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Viant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Christopher Vanderhook</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8,787,144.00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8,787,144.00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8,787,144.00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32.8 %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20"/>
          </w:cols>
          <w:pgMar w:left="360" w:top="102" w:right="51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Viant Technology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2722 Michelson Drive, Suite 100, Irvine, California, 92612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statement is filed on behalf of Christopher Vanderhook (the "Reporting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The business address of the Reporting Person is c/o Viant Technology Inc., 2722 Michelson Drive, Suite 100, Irvine, CA 92612.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Reporting Person is a citizen of the United States of America.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6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ectPr>
          <w:pgSz w:w="11900" w:h="16838" w:orient="portrait"/>
          <w:cols w:equalWidth="0" w:num="2">
            <w:col w:w="620" w:space="300"/>
            <w:col w:w="10100"/>
          </w:cols>
          <w:pgMar w:left="360" w:top="102" w:right="519" w:bottom="0" w:gutter="0" w:footer="0" w:header="0"/>
          <w:type w:val="continuous"/>
        </w:sectPr>
      </w:pPr>
    </w:p>
    <w:bookmarkStart w:id="2" w:name="page3"/>
    <w:bookmarkEnd w:id="2"/>
    <w:p>
      <w:pPr>
        <w:ind w:left="920" w:right="1000" w:hanging="912"/>
        <w:spacing w:after="0" w:line="241"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1"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specify the type of institution:</w:t>
      </w:r>
    </w:p>
    <w:p>
      <w:pPr>
        <w:spacing w:after="0" w:line="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60"/>
        <w:spacing w:after="0" w:line="247" w:lineRule="auto"/>
        <w:rPr>
          <w:sz w:val="20"/>
          <w:szCs w:val="20"/>
          <w:color w:val="auto"/>
        </w:rPr>
      </w:pPr>
      <w:r>
        <w:rPr>
          <w:rFonts w:ascii="Times New Roman" w:cs="Times New Roman" w:eastAsia="Times New Roman" w:hAnsi="Times New Roman"/>
          <w:sz w:val="21"/>
          <w:szCs w:val="21"/>
          <w:color w:val="auto"/>
        </w:rPr>
        <w:t>The ownership information below represents beneficial ownership of the shares of Class A Common Stock as of March 31, 2026, based upon 18,270,658 shares of the Issuer's Class A Common Stock outstanding as of April 9, 2026, as disclosed in the Issuer's Definitive Proxy Statement filed with the Securities and Exchange Commission on April 23, 2026. The ownership information assumes the redemption of the Class B units of Viant Technology LLC</w:t>
      </w:r>
    </w:p>
    <w:p>
      <w:pPr>
        <w:spacing w:after="0" w:line="2" w:lineRule="exact"/>
        <w:rPr>
          <w:sz w:val="20"/>
          <w:szCs w:val="20"/>
          <w:color w:val="auto"/>
        </w:rPr>
      </w:pPr>
    </w:p>
    <w:p>
      <w:pPr>
        <w:ind w:left="920" w:right="60" w:hanging="912"/>
        <w:spacing w:after="0" w:line="207"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("Class B Units") beneficially owned by the Reporting Person for shares of the Issuer's Class A Common Stock on a one-to-one basis. The Reporting Person may be deemed to beneficially own 8,787,144 shares of Class A Common Stock, including: (i) 238,210 shares of Class A Common Stock held of record by the Reporting Person, (ii) 715,160 shares of Class A Common Stock underlying stock options that are exercisable or will become exercisable within 60 days of March 31, 2026, (iii) 6,626,214 shares of Class A Common Stock underlying Class B Units held of record by the Reporting Person and (iv) 1,207,560 shares of Class A Common Stock underlying Class B Units held in grantor retained annuity trusts for the benefit of the Reporting Person's children, each of which the Reporting Person serves as trustee.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32.8 %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20"/>
          </w:cols>
          <w:pgMar w:left="360" w:top="126"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0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8787144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0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8787144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00"/>
          </w:cols>
          <w:pgMar w:left="360" w:top="126" w:right="41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20"/>
        <w:spacing w:after="0" w:line="238" w:lineRule="auto"/>
        <w:rPr>
          <w:sz w:val="20"/>
          <w:szCs w:val="20"/>
          <w:color w:val="auto"/>
        </w:rPr>
      </w:pPr>
      <w:r>
        <w:rPr>
          <w:rFonts w:ascii="Times New Roman" w:cs="Times New Roman" w:eastAsia="Times New Roman" w:hAnsi="Times New Roman"/>
          <w:sz w:val="22"/>
          <w:szCs w:val="22"/>
          <w:color w:val="auto"/>
        </w:rPr>
        <w:t>The Reporting Person acknowledges and agrees that he is acting as a "group" with Capital V LLC and Timothy Vanderhook within the meaning of Section 13(d) of the Securities Exchange Act of 1934, as amended (the "Exchange Act"). Based in part on information provided by the Issuer, as of the date hereof, such a "group" would be deemed to beneficially own an aggregate of 44,848,614 shares of Class A Common Stock, or 71.5% of the Class A Common Stock, calculated pursuant to Rule 13d-3 of the Exchange Act.</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ectPr>
          <w:pgSz w:w="11900" w:h="16838" w:orient="portrait"/>
          <w:cols w:equalWidth="0" w:num="1">
            <w:col w:w="11120"/>
          </w:cols>
          <w:pgMar w:left="360" w:top="126" w:right="41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Christopher Vanderhook</w:t>
      </w:r>
    </w:p>
    <w:p>
      <w:pPr>
        <w:spacing w:after="0" w:line="152"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Christopher Vanderhook</w:t>
      </w:r>
    </w:p>
    <w:p>
      <w:pPr>
        <w:spacing w:after="0" w:line="4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Name/Title: Chief Operating Officer</w:t>
      </w:r>
    </w:p>
    <w:p>
      <w:pPr>
        <w:spacing w:after="0" w:line="44"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10920"/>
      </w:cols>
      <w:pgMar w:left="580" w:top="40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0"/>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2026-05-13T12:47:12Z</dcterms:created>
  <dcterms:modified xsi:type="dcterms:W3CDTF">2026-05-13T12:47:12Z</dcterms:modified>
</cp:coreProperties>
</file>