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664210</wp:posOffset>
            </wp:positionH>
            <wp:positionV relativeFrom="page">
              <wp:posOffset>478155</wp:posOffset>
            </wp:positionV>
            <wp:extent cx="6533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page">
              <wp:posOffset>664210</wp:posOffset>
            </wp:positionH>
            <wp:positionV relativeFrom="page">
              <wp:posOffset>503555</wp:posOffset>
            </wp:positionV>
            <wp:extent cx="65335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3515" cy="8255"/>
                    </a:xfrm>
                    <a:prstGeom prst="rect">
                      <a:avLst/>
                    </a:prstGeom>
                    <a:noFill/>
                  </pic:spPr>
                </pic:pic>
              </a:graphicData>
            </a:graphic>
          </wp:anchor>
        </w:drawing>
        <w:t>UNITED STATES</w:t>
      </w:r>
    </w:p>
    <w:p>
      <w:pPr>
        <w:spacing w:after="0" w:line="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2"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0" w:lineRule="exact"/>
        <w:rPr>
          <w:sz w:val="24"/>
          <w:szCs w:val="24"/>
          <w:color w:val="auto"/>
        </w:rPr>
      </w:pPr>
    </w:p>
    <w:p>
      <w:pPr>
        <w:ind w:left="1160" w:hanging="423"/>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6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ind w:left="1160" w:hanging="423"/>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from_______to_______</w:t>
            </w:r>
          </w:p>
        </w:tc>
      </w:tr>
      <w:tr>
        <w:trPr>
          <w:trHeight w:val="252"/>
        </w:trPr>
        <w:tc>
          <w:tcPr>
            <w:tcW w:w="2300" w:type="dxa"/>
            <w:vAlign w:val="bottom"/>
          </w:tcPr>
          <w:p>
            <w:pPr>
              <w:spacing w:after="0"/>
              <w:rPr>
                <w:sz w:val="21"/>
                <w:szCs w:val="21"/>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001-40015</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1003"/>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21"/>
                <w:szCs w:val="21"/>
                <w:b w:val="1"/>
                <w:bCs w:val="1"/>
                <w:color w:val="auto"/>
              </w:rPr>
              <w:t>Viant Technology Inc.</w:t>
            </w:r>
          </w:p>
        </w:tc>
      </w:tr>
      <w:tr>
        <w:trPr>
          <w:trHeight w:val="220"/>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9"/>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tcPr>
          <w:p>
            <w:pPr>
              <w:jc w:val="center"/>
              <w:ind w:left="4862"/>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7"/>
        </w:trPr>
        <w:tc>
          <w:tcPr>
            <w:tcW w:w="2300" w:type="dxa"/>
            <w:vAlign w:val="bottom"/>
          </w:tcPr>
          <w:p>
            <w:pPr>
              <w:jc w:val="center"/>
              <w:ind w:right="111"/>
              <w:spacing w:after="0" w:line="187"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6280" w:type="dxa"/>
            <w:vAlign w:val="bottom"/>
          </w:tcPr>
          <w:p>
            <w:pPr>
              <w:jc w:val="center"/>
              <w:ind w:left="4862"/>
              <w:spacing w:after="0" w:line="18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80" w:type="dxa"/>
            <w:vAlign w:val="bottom"/>
          </w:tcPr>
          <w:p>
            <w:pPr>
              <w:jc w:val="center"/>
              <w:ind w:left="488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19"/>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2722 Michelson Drive, Suite 100</w:t>
            </w:r>
          </w:p>
        </w:tc>
      </w:tr>
      <w:tr>
        <w:trPr>
          <w:trHeight w:val="234"/>
        </w:trPr>
        <w:tc>
          <w:tcPr>
            <w:tcW w:w="2300" w:type="dxa"/>
            <w:vAlign w:val="bottom"/>
          </w:tcPr>
          <w:p>
            <w:pPr>
              <w:spacing w:after="0"/>
              <w:rPr>
                <w:sz w:val="20"/>
                <w:szCs w:val="20"/>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Irvine, CA 92612</w:t>
            </w:r>
          </w:p>
        </w:tc>
      </w:tr>
      <w:tr>
        <w:trPr>
          <w:trHeight w:val="253"/>
        </w:trPr>
        <w:tc>
          <w:tcPr>
            <w:tcW w:w="2300" w:type="dxa"/>
            <w:vAlign w:val="bottom"/>
          </w:tcPr>
          <w:p>
            <w:pPr>
              <w:spacing w:after="0"/>
              <w:rPr>
                <w:sz w:val="22"/>
                <w:szCs w:val="22"/>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(Address of principal executive offices and zip code)</w:t>
            </w:r>
          </w:p>
        </w:tc>
      </w:tr>
      <w:tr>
        <w:trPr>
          <w:trHeight w:val="341"/>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r>
      <w:tr>
        <w:trPr>
          <w:trHeight w:val="218"/>
        </w:trPr>
        <w:tc>
          <w:tcPr>
            <w:tcW w:w="2300" w:type="dxa"/>
            <w:vAlign w:val="bottom"/>
          </w:tcPr>
          <w:p>
            <w:pPr>
              <w:spacing w:after="0"/>
              <w:rPr>
                <w:sz w:val="18"/>
                <w:szCs w:val="18"/>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2805430</wp:posOffset>
            </wp:positionH>
            <wp:positionV relativeFrom="paragraph">
              <wp:posOffset>-2049145</wp:posOffset>
            </wp:positionV>
            <wp:extent cx="1836420"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6420" cy="321310"/>
                    </a:xfrm>
                    <a:prstGeom prst="rect">
                      <a:avLst/>
                    </a:prstGeom>
                    <a:noFill/>
                  </pic:spPr>
                </pic:pic>
              </a:graphicData>
            </a:graphic>
          </wp:anchor>
        </w:drawing>
      </w:r>
    </w:p>
    <w:p>
      <w:pPr>
        <w:spacing w:after="0" w:line="8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720" w:type="dxa"/>
        <w:tblCellMar>
          <w:top w:w="0" w:type="dxa"/>
          <w:left w:w="0" w:type="dxa"/>
          <w:bottom w:w="0" w:type="dxa"/>
          <w:right w:w="0" w:type="dxa"/>
        </w:tblCellMar>
      </w:tblPr>
      <w:tr>
        <w:trPr>
          <w:trHeight w:val="213"/>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56"/>
        </w:trPr>
        <w:tc>
          <w:tcPr>
            <w:tcW w:w="33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8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DSP</w:t>
            </w:r>
          </w:p>
        </w:tc>
        <w:tc>
          <w:tcPr>
            <w:tcW w:w="1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8"/>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37" w:lineRule="exact"/>
        <w:rPr>
          <w:sz w:val="24"/>
          <w:szCs w:val="24"/>
          <w:color w:val="auto"/>
        </w:rPr>
      </w:pPr>
    </w:p>
    <w:p>
      <w:pPr>
        <w:ind w:right="120" w:firstLine="480"/>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 w:lineRule="exact"/>
        <w:rPr>
          <w:sz w:val="24"/>
          <w:szCs w:val="24"/>
          <w:color w:val="auto"/>
        </w:rPr>
      </w:pPr>
    </w:p>
    <w:p>
      <w:pPr>
        <w:ind w:right="40" w:firstLine="48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8" w:lineRule="exact"/>
        <w:rPr>
          <w:sz w:val="24"/>
          <w:szCs w:val="24"/>
          <w:color w:val="auto"/>
        </w:rPr>
      </w:pPr>
    </w:p>
    <w:p>
      <w:pPr>
        <w:jc w:val="both"/>
        <w:ind w:right="380" w:firstLine="48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40" w:type="dxa"/>
        <w:tblCellMar>
          <w:top w:w="0" w:type="dxa"/>
          <w:left w:w="0" w:type="dxa"/>
          <w:bottom w:w="0" w:type="dxa"/>
          <w:right w:w="0" w:type="dxa"/>
        </w:tblCellMar>
      </w:tblPr>
      <w:tr>
        <w:trPr>
          <w:trHeight w:val="208"/>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80" w:type="dxa"/>
            <w:vAlign w:val="bottom"/>
          </w:tcPr>
          <w:p>
            <w:pPr>
              <w:ind w:left="1500"/>
              <w:spacing w:after="0"/>
              <w:rPr>
                <w:sz w:val="20"/>
                <w:szCs w:val="20"/>
                <w:color w:val="auto"/>
              </w:rPr>
            </w:pPr>
            <w:r>
              <w:rPr>
                <w:rFonts w:ascii="Wingdings" w:cs="Wingdings" w:eastAsia="Wingdings" w:hAnsi="Wingdings"/>
                <w:sz w:val="16"/>
                <w:szCs w:val="16"/>
                <w:b w:val="1"/>
                <w:bCs w:val="1"/>
                <w:color w:val="auto"/>
              </w:rPr>
              <w:t>o</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60" w:type="dxa"/>
            <w:vAlign w:val="bottom"/>
          </w:tcPr>
          <w:p>
            <w:pPr>
              <w:ind w:left="1500"/>
              <w:spacing w:after="0"/>
              <w:rPr>
                <w:sz w:val="20"/>
                <w:szCs w:val="20"/>
                <w:color w:val="auto"/>
              </w:rPr>
            </w:pPr>
            <w:r>
              <w:rPr>
                <w:rFonts w:ascii="Wingdings" w:cs="Wingdings" w:eastAsia="Wingdings" w:hAnsi="Wingdings"/>
                <w:sz w:val="16"/>
                <w:szCs w:val="16"/>
                <w:b w:val="1"/>
                <w:bCs w:val="1"/>
                <w:color w:val="auto"/>
                <w:w w:val="97"/>
              </w:rPr>
              <w:t>o</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80" w:type="dxa"/>
            <w:vAlign w:val="bottom"/>
          </w:tcPr>
          <w:p>
            <w:pPr>
              <w:ind w:left="14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60" w:type="dxa"/>
            <w:vAlign w:val="bottom"/>
          </w:tcPr>
          <w:p>
            <w:pPr>
              <w:ind w:left="1500"/>
              <w:spacing w:after="0"/>
              <w:rPr>
                <w:sz w:val="20"/>
                <w:szCs w:val="20"/>
                <w:color w:val="auto"/>
              </w:rPr>
            </w:pPr>
            <w:r>
              <w:rPr>
                <w:rFonts w:ascii="Wingdings" w:cs="Wingdings" w:eastAsia="Wingdings" w:hAnsi="Wingdings"/>
                <w:sz w:val="16"/>
                <w:szCs w:val="16"/>
                <w:b w:val="1"/>
                <w:bCs w:val="1"/>
                <w:color w:val="auto"/>
                <w:w w:val="82"/>
              </w:rPr>
              <w:t>x</w:t>
            </w:r>
          </w:p>
        </w:tc>
      </w:tr>
      <w:tr>
        <w:trPr>
          <w:trHeight w:val="21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780" w:type="dxa"/>
            <w:vAlign w:val="bottom"/>
          </w:tcPr>
          <w:p>
            <w:pPr>
              <w:ind w:left="1480"/>
              <w:spacing w:after="0"/>
              <w:rPr>
                <w:sz w:val="20"/>
                <w:szCs w:val="20"/>
                <w:color w:val="auto"/>
              </w:rPr>
            </w:pPr>
            <w:r>
              <w:rPr>
                <w:rFonts w:ascii="Wingdings" w:cs="Wingdings" w:eastAsia="Wingdings" w:hAnsi="Wingdings"/>
                <w:sz w:val="16"/>
                <w:szCs w:val="16"/>
                <w:b w:val="1"/>
                <w:bCs w:val="1"/>
                <w:color w:val="auto"/>
              </w:rPr>
              <w:t>x</w:t>
            </w:r>
          </w:p>
        </w:tc>
        <w:tc>
          <w:tcPr>
            <w:tcW w:w="336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38" w:lineRule="exact"/>
        <w:rPr>
          <w:sz w:val="24"/>
          <w:szCs w:val="24"/>
          <w:color w:val="auto"/>
        </w:rPr>
      </w:pPr>
    </w:p>
    <w:p>
      <w:pPr>
        <w:ind w:right="220" w:firstLine="480"/>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6" w:lineRule="exact"/>
        <w:rPr>
          <w:sz w:val="24"/>
          <w:szCs w:val="24"/>
          <w:color w:val="auto"/>
        </w:rPr>
      </w:pPr>
    </w:p>
    <w:p>
      <w:pPr>
        <w:ind w:firstLine="480"/>
        <w:spacing w:after="0" w:line="292" w:lineRule="auto"/>
        <w:rPr>
          <w:sz w:val="20"/>
          <w:szCs w:val="20"/>
          <w:color w:val="auto"/>
        </w:rPr>
      </w:pPr>
      <w:r>
        <w:rPr>
          <w:rFonts w:ascii="Times New Roman" w:cs="Times New Roman" w:eastAsia="Times New Roman" w:hAnsi="Times New Roman"/>
          <w:sz w:val="16"/>
          <w:szCs w:val="16"/>
          <w:color w:val="auto"/>
        </w:rPr>
        <w:t>As of November 8, 2024, there were 16,047,982 shares and 46,803,841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388620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71755</wp:posOffset>
            </wp:positionV>
            <wp:extent cx="653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97155</wp:posOffset>
            </wp:positionV>
            <wp:extent cx="653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4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9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00" w:type="dxa"/>
            <w:vAlign w:val="bottom"/>
            <w:gridSpan w:val="11"/>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20" w:type="dxa"/>
            <w:vAlign w:val="bottom"/>
            <w:gridSpan w:val="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960" w:type="dxa"/>
            <w:vAlign w:val="bottom"/>
            <w:gridSpan w:val="1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686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400" w:type="dxa"/>
            <w:vAlign w:val="bottom"/>
            <w:gridSpan w:val="16"/>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tcBorders>
              <w:top w:val="single" w:sz="8" w:color="0000FF"/>
            </w:tcBorders>
            <w:gridSpan w:val="6"/>
          </w:tcPr>
          <w:p>
            <w:pPr>
              <w:spacing w:after="0"/>
              <w:rPr>
                <w:sz w:val="17"/>
                <w:szCs w:val="17"/>
                <w:color w:val="auto"/>
              </w:rPr>
            </w:pPr>
          </w:p>
        </w:tc>
        <w:tc>
          <w:tcPr>
            <w:tcW w:w="4440" w:type="dxa"/>
            <w:vAlign w:val="bottom"/>
            <w:gridSpan w:val="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tcPr>
          <w:p>
            <w:pPr>
              <w:spacing w:after="0"/>
              <w:rPr>
                <w:sz w:val="17"/>
                <w:szCs w:val="17"/>
                <w:color w:val="auto"/>
              </w:rPr>
            </w:pPr>
          </w:p>
        </w:tc>
        <w:tc>
          <w:tcPr>
            <w:tcW w:w="6980" w:type="dxa"/>
            <w:vAlign w:val="bottom"/>
            <w:gridSpan w:val="1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4"/>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gridSpan w:val="18"/>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 w:name="page3"/>
    <w:bookmarkEnd w:id="2"/>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3" w:lineRule="exact"/>
        <w:rPr>
          <w:sz w:val="20"/>
          <w:szCs w:val="20"/>
          <w:color w:val="auto"/>
        </w:rPr>
      </w:pPr>
    </w:p>
    <w:p>
      <w:pPr>
        <w:ind w:right="20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66"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including our use of artificial intelligence;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unaudited condensed consolidated financial statements.</w:t>
      </w:r>
    </w:p>
    <w:p>
      <w:pPr>
        <w:spacing w:after="0" w:line="87" w:lineRule="exact"/>
        <w:rPr>
          <w:sz w:val="20"/>
          <w:szCs w:val="20"/>
          <w:color w:val="auto"/>
        </w:rPr>
      </w:pPr>
    </w:p>
    <w:p>
      <w:pPr>
        <w:ind w:right="100" w:firstLine="480"/>
        <w:spacing w:after="0" w:line="266" w:lineRule="auto"/>
        <w:rPr>
          <w:sz w:val="20"/>
          <w:szCs w:val="20"/>
          <w:color w:val="auto"/>
        </w:rPr>
      </w:pPr>
      <w:r>
        <w:rPr>
          <w:rFonts w:ascii="Times New Roman" w:cs="Times New Roman" w:eastAsia="Times New Roman" w:hAnsi="Times New Roman"/>
          <w:sz w:val="17"/>
          <w:szCs w:val="17"/>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69" w:lineRule="exact"/>
        <w:rPr>
          <w:sz w:val="20"/>
          <w:szCs w:val="20"/>
          <w:color w:val="auto"/>
        </w:rPr>
      </w:pPr>
    </w:p>
    <w:p>
      <w:pPr>
        <w:ind w:right="120" w:firstLine="480"/>
        <w:spacing w:after="0" w:line="271" w:lineRule="auto"/>
        <w:rPr>
          <w:sz w:val="20"/>
          <w:szCs w:val="20"/>
          <w:color w:val="auto"/>
        </w:rPr>
      </w:pPr>
      <w:r>
        <w:rPr>
          <w:rFonts w:ascii="Times New Roman" w:cs="Times New Roman" w:eastAsia="Times New Roman" w:hAnsi="Times New Roman"/>
          <w:sz w:val="17"/>
          <w:szCs w:val="17"/>
          <w:i w:val="1"/>
          <w:iCs w:val="1"/>
          <w:color w:val="auto"/>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38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158,528</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87,825</w:t>
            </w: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38,006</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177,706</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80" w:type="dxa"/>
            <w:vAlign w:val="bottom"/>
          </w:tcPr>
          <w:p>
            <w:pPr>
              <w:ind w:left="26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40"/>
          </w:cols>
          <w:pgMar w:left="800" w:top="1345" w:right="5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17"/>
                <w:szCs w:val="17"/>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7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117,473</w:t>
            </w: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20"/>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340,417</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w:t>
            </w: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0"/>
        </w:trPr>
        <w:tc>
          <w:tcPr>
            <w:tcW w:w="7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3"/>
        </w:trPr>
        <w:tc>
          <w:tcPr>
            <w:tcW w:w="72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w:t>
            </w: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20"/>
        </w:trPr>
        <w:tc>
          <w:tcPr>
            <w:tcW w:w="7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108,850</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21,672</w:t>
            </w:r>
          </w:p>
        </w:tc>
      </w:tr>
      <w:tr>
        <w:trPr>
          <w:trHeight w:val="220"/>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130,522</w:t>
            </w:r>
          </w:p>
        </w:tc>
      </w:tr>
      <w:tr>
        <w:trPr>
          <w:trHeight w:val="20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 17,423,015 and 15,937,816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16,224,237 and 15,783,941</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7"/>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 46,850,054 and 47,032,260</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112,830</w:t>
            </w:r>
          </w:p>
        </w:tc>
      </w:tr>
      <w:tr>
        <w:trPr>
          <w:trHeight w:val="22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(43,509)</w:t>
            </w:r>
          </w:p>
        </w:tc>
      </w:tr>
      <w:tr>
        <w:trPr>
          <w:trHeight w:val="22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1,198,778 and 153,875 shares held</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0"/>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w:t>
            </w:r>
          </w:p>
        </w:tc>
      </w:tr>
      <w:tr>
        <w:trPr>
          <w:trHeight w:val="227"/>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206,132</w:t>
            </w:r>
          </w:p>
        </w:tc>
      </w:tr>
      <w:tr>
        <w:trPr>
          <w:trHeight w:val="220"/>
        </w:trPr>
        <w:tc>
          <w:tcPr>
            <w:tcW w:w="72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274,389</w:t>
            </w:r>
          </w:p>
        </w:tc>
      </w:tr>
      <w:tr>
        <w:trPr>
          <w:trHeight w:val="220"/>
        </w:trPr>
        <w:tc>
          <w:tcPr>
            <w:tcW w:w="7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280"/>
          </w:cols>
          <w:pgMar w:left="1040" w:top="119" w:right="57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119,740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208,878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271,94</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the stock repurchase program</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51"/>
        </w:trPr>
        <w:tc>
          <w:tcPr>
            <w:tcW w:w="248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5,968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121,597</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(50,049)</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217,803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4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102,885</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10,136</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108,858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(42,993)</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112,830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274,38</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the stock repurchase program</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51"/>
        </w:trPr>
        <w:tc>
          <w:tcPr>
            <w:tcW w:w="248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7,554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17,047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46,850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121,597</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(50,049)</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217,803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277,22</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4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(36,261)</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265,76</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Cumulative impact of ASU 2016-13</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adoption (CECL)</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(36,470)</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29,058</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(13,25</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108,858</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(42,993)</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203,983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(5,639)</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treasury stock related to tax withholdings on vested equity awards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treasury stock related to the stock repurchase program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206,573</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203,007</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8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FF"/>
              </w:rPr>
              <w:t>Nature of Operations</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7"/>
        </w:trPr>
        <w:tc>
          <w:tcPr>
            <w:tcW w:w="940" w:type="dxa"/>
            <w:vAlign w:val="bottom"/>
            <w:vMerge w:val="continue"/>
          </w:tcPr>
          <w:p>
            <w:pPr>
              <w:spacing w:after="0"/>
              <w:rPr>
                <w:sz w:val="14"/>
                <w:szCs w:val="14"/>
                <w:color w:val="auto"/>
              </w:rPr>
            </w:pPr>
          </w:p>
        </w:tc>
        <w:tc>
          <w:tcPr>
            <w:tcW w:w="8700" w:type="dxa"/>
            <w:vAlign w:val="bottom"/>
            <w:gridSpan w:val="14"/>
            <w:vMerge w:val="continue"/>
          </w:tcPr>
          <w:p>
            <w:pPr>
              <w:spacing w:after="0"/>
              <w:rPr>
                <w:sz w:val="14"/>
                <w:szCs w:val="14"/>
                <w:color w:val="auto"/>
              </w:rPr>
            </w:pPr>
          </w:p>
        </w:tc>
        <w:tc>
          <w:tcPr>
            <w:tcW w:w="64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4400" w:type="dxa"/>
            <w:vAlign w:val="bottom"/>
            <w:tcBorders>
              <w:top w:val="single" w:sz="8" w:color="0000FF"/>
            </w:tcBorders>
            <w:gridSpan w:val="11"/>
          </w:tcPr>
          <w:p>
            <w:pPr>
              <w:spacing w:after="0"/>
              <w:rPr>
                <w:sz w:val="17"/>
                <w:szCs w:val="17"/>
                <w:color w:val="auto"/>
              </w:rPr>
            </w:pPr>
          </w:p>
        </w:tc>
        <w:tc>
          <w:tcPr>
            <w:tcW w:w="36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2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Property, Equipment, and Software, Net</w:t>
            </w:r>
          </w:p>
        </w:tc>
        <w:tc>
          <w:tcPr>
            <w:tcW w:w="5860" w:type="dxa"/>
            <w:vAlign w:val="bottom"/>
            <w:gridSpan w:val="3"/>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Leases</w:t>
            </w:r>
          </w:p>
        </w:tc>
        <w:tc>
          <w:tcPr>
            <w:tcW w:w="8220" w:type="dxa"/>
            <w:vAlign w:val="bottom"/>
            <w:gridSpan w:val="13"/>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Intangible Assets,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13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6"/>
              </w:rPr>
              <w:t>Accrued Liabilities</w:t>
            </w:r>
          </w:p>
        </w:tc>
        <w:tc>
          <w:tcPr>
            <w:tcW w:w="200" w:type="dxa"/>
            <w:vAlign w:val="bottom"/>
            <w:tcBorders>
              <w:top w:val="single" w:sz="8" w:color="0000FF"/>
            </w:tcBorders>
            <w:gridSpan w:val="2"/>
          </w:tcPr>
          <w:p>
            <w:pPr>
              <w:spacing w:after="0"/>
              <w:rPr>
                <w:sz w:val="17"/>
                <w:szCs w:val="17"/>
                <w:color w:val="auto"/>
              </w:rPr>
            </w:pPr>
          </w:p>
        </w:tc>
        <w:tc>
          <w:tcPr>
            <w:tcW w:w="7140" w:type="dxa"/>
            <w:vAlign w:val="bottom"/>
            <w:gridSpan w:val="8"/>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Revolving Credit Facility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18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Stockholders' Equity</w:t>
            </w:r>
          </w:p>
        </w:tc>
        <w:tc>
          <w:tcPr>
            <w:tcW w:w="6900" w:type="dxa"/>
            <w:vAlign w:val="bottom"/>
            <w:gridSpan w:val="6"/>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3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Income Taxes and Tax Receivable Agreement</w:t>
            </w:r>
          </w:p>
        </w:tc>
        <w:tc>
          <w:tcPr>
            <w:tcW w:w="544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Earnings (Loss) Per Share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Noncontrolling Interests</w:t>
            </w:r>
          </w:p>
        </w:tc>
        <w:tc>
          <w:tcPr>
            <w:tcW w:w="6860" w:type="dxa"/>
            <w:vAlign w:val="bottom"/>
            <w:gridSpan w:val="5"/>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2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Commitments and Contingencies</w:t>
            </w:r>
          </w:p>
        </w:tc>
        <w:tc>
          <w:tcPr>
            <w:tcW w:w="6340" w:type="dxa"/>
            <w:vAlign w:val="bottom"/>
            <w:gridSpan w:val="4"/>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14</w:t>
            </w:r>
          </w:p>
        </w:tc>
        <w:tc>
          <w:tcPr>
            <w:tcW w:w="1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Subsequent Events</w:t>
            </w:r>
          </w:p>
        </w:tc>
        <w:tc>
          <w:tcPr>
            <w:tcW w:w="7360" w:type="dxa"/>
            <w:vAlign w:val="bottom"/>
            <w:gridSpan w:val="11"/>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220" w:hanging="213"/>
        <w:spacing w:after="0"/>
        <w:tabs>
          <w:tab w:leader="none" w:pos="2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20" w:lineRule="exact"/>
        <w:rPr>
          <w:sz w:val="20"/>
          <w:szCs w:val="20"/>
          <w:color w:val="auto"/>
        </w:rPr>
      </w:pPr>
    </w:p>
    <w:p>
      <w:pPr>
        <w:ind w:right="240" w:firstLine="480"/>
        <w:spacing w:after="0" w:line="284" w:lineRule="auto"/>
        <w:rPr>
          <w:sz w:val="20"/>
          <w:szCs w:val="20"/>
          <w:color w:val="auto"/>
        </w:rPr>
      </w:pPr>
      <w:r>
        <w:rPr>
          <w:rFonts w:ascii="Times New Roman" w:cs="Times New Roman" w:eastAsia="Times New Roman" w:hAnsi="Times New Roman"/>
          <w:sz w:val="17"/>
          <w:szCs w:val="17"/>
          <w:color w:val="231F20"/>
        </w:rPr>
        <w:t>Viant Technology Inc. (the “Company,” “we,” “us,” “our” or “Viant”) was incorporated in the State of Delaware on October 9, 2020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The Company operates a cloud-based demand side platform (“DSP”) that is used by marketers and their advertising agencies to centralize the planning, buying and measurement of their advertising across most channels, including connected TV, mobile, desktop, in-game, streaming audio and digital billboards.</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24" w:lineRule="exact"/>
        <w:rPr>
          <w:sz w:val="20"/>
          <w:szCs w:val="20"/>
          <w:color w:val="auto"/>
        </w:rPr>
      </w:pPr>
    </w:p>
    <w:p>
      <w:pPr>
        <w:ind w:left="220" w:hanging="213"/>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231F20"/>
        </w:rPr>
        <w:t xml:space="preserve">The </w:t>
      </w:r>
      <w:r>
        <w:rPr>
          <w:rFonts w:ascii="Times New Roman" w:cs="Times New Roman" w:eastAsia="Times New Roman" w:hAnsi="Times New Roman"/>
          <w:sz w:val="17"/>
          <w:szCs w:val="17"/>
          <w:color w:val="000000"/>
        </w:rPr>
        <w:t>accompanying unaudited condensed consolidated financial statements are prepared in accordance with generally accepted accounting principles 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United States of America (“GAAP”) for interim financial information which are unaudited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6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statements of operations, and cash flows included in this Quarterly Report on Form 10-Q. The condensed consolidated balance sheet as of December 31, 2023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2023.</w:t>
      </w:r>
    </w:p>
    <w:p>
      <w:pPr>
        <w:spacing w:after="0" w:line="78"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and nine months ended September 30, 2024 are not necessarily indicative of the results to be expected for the year ending December 31, 2024 (“fiscal 2024”), or for any other future annual or interim period.</w:t>
      </w:r>
    </w:p>
    <w:p>
      <w:pPr>
        <w:spacing w:after="0" w:line="57"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7" w:lineRule="exact"/>
        <w:rPr>
          <w:sz w:val="20"/>
          <w:szCs w:val="20"/>
          <w:color w:val="auto"/>
        </w:rPr>
      </w:pPr>
    </w:p>
    <w:p>
      <w:pPr>
        <w:jc w:val="both"/>
        <w:ind w:right="760" w:firstLine="480"/>
        <w:spacing w:after="0" w:line="261" w:lineRule="auto"/>
        <w:rPr>
          <w:sz w:val="20"/>
          <w:szCs w:val="20"/>
          <w:color w:val="auto"/>
        </w:rPr>
      </w:pPr>
      <w:r>
        <w:rPr>
          <w:rFonts w:ascii="Times New Roman" w:cs="Times New Roman" w:eastAsia="Times New Roman" w:hAnsi="Times New Roman"/>
          <w:sz w:val="18"/>
          <w:szCs w:val="18"/>
          <w:color w:val="231F20"/>
        </w:rPr>
        <w:t>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w:t>
      </w:r>
    </w:p>
    <w:p>
      <w:pPr>
        <w:sectPr>
          <w:pgSz w:w="11900" w:h="16838" w:orient="portrait"/>
          <w:cols w:equalWidth="0" w:num="1">
            <w:col w:w="11220"/>
          </w:cols>
          <w:pgMar w:left="320" w:top="119" w:right="359" w:bottom="1440" w:gutter="0" w:footer="0" w:header="0"/>
        </w:sectPr>
      </w:pP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 xml:space="preserve">period. </w:t>
      </w:r>
      <w:r>
        <w:rPr>
          <w:rFonts w:ascii="Times New Roman" w:cs="Times New Roman" w:eastAsia="Times New Roman" w:hAnsi="Times New Roman"/>
          <w:sz w:val="18"/>
          <w:szCs w:val="18"/>
          <w:color w:val="000000"/>
        </w:rPr>
        <w:t>On an ongoing basis, management evaluates its estimates, primarily those related to revenue recognition, stock-based compensation, income taxes,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7" w:lineRule="exact"/>
        <w:rPr>
          <w:sz w:val="20"/>
          <w:szCs w:val="20"/>
          <w:color w:val="auto"/>
        </w:rPr>
      </w:pPr>
    </w:p>
    <w:p>
      <w:pPr>
        <w:ind w:right="100" w:firstLine="480"/>
        <w:spacing w:after="0" w:line="273" w:lineRule="auto"/>
        <w:rPr>
          <w:sz w:val="20"/>
          <w:szCs w:val="20"/>
          <w:color w:val="auto"/>
        </w:rPr>
      </w:pPr>
      <w:r>
        <w:rPr>
          <w:rFonts w:ascii="Times New Roman" w:cs="Times New Roman" w:eastAsia="Times New Roman" w:hAnsi="Times New Roman"/>
          <w:sz w:val="17"/>
          <w:szCs w:val="17"/>
          <w:color w:val="auto"/>
        </w:rPr>
        <w:t>The impact of widespread macroeconomic and geopolitical uncertainties, including the impact of bank failures, high interest rates, inflationary pressures, labor shortages, shortages of goods and services, supply chain constraints, pandemics, political election cycles,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income (loss) is equal to comprehensive income (loss).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September 30, 2024, cash equivalents included money market funds of $195.4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three and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6122670</wp:posOffset>
            </wp:positionH>
            <wp:positionV relativeFrom="paragraph">
              <wp:posOffset>100330</wp:posOffset>
            </wp:positionV>
            <wp:extent cx="871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4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20320</wp:posOffset>
            </wp:positionV>
            <wp:extent cx="6533515" cy="152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3515" cy="1524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19050</wp:posOffset>
            </wp:positionV>
            <wp:extent cx="6533515"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15875</wp:posOffset>
            </wp:positionV>
            <wp:extent cx="653351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12065</wp:posOffset>
            </wp:positionV>
            <wp:extent cx="6533515" cy="152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3515" cy="152400"/>
                    </a:xfrm>
                    <a:prstGeom prst="rect">
                      <a:avLst/>
                    </a:prstGeom>
                    <a:noFill/>
                  </pic:spPr>
                </pic:pic>
              </a:graphicData>
            </a:graphic>
          </wp:anchor>
        </w:drawing>
      </w:r>
    </w:p>
    <w:p>
      <w:pPr>
        <w:spacing w:after="0" w:line="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19050</wp:posOffset>
            </wp:positionV>
            <wp:extent cx="6533515" cy="144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September 30, 2024</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87" w:hanging="887"/>
        <w:spacing w:after="0"/>
        <w:tabs>
          <w:tab w:leader="none" w:pos="8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1,197</w:t>
      </w:r>
    </w:p>
    <w:p>
      <w:pPr>
        <w:spacing w:after="0" w:line="25" w:lineRule="exact"/>
        <w:rPr>
          <w:rFonts w:ascii="Times New Roman" w:cs="Times New Roman" w:eastAsia="Times New Roman" w:hAnsi="Times New Roman"/>
          <w:sz w:val="18"/>
          <w:szCs w:val="18"/>
          <w:color w:val="auto"/>
        </w:rPr>
      </w:pPr>
    </w:p>
    <w:p>
      <w:pPr>
        <w:ind w:left="10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19"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1,110</w:t>
      </w:r>
    </w:p>
    <w:p>
      <w:pPr>
        <w:spacing w:after="0" w:line="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1,165</w:t>
      </w:r>
    </w:p>
    <w:p>
      <w:pPr>
        <w:spacing w:after="0" w:line="25"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8"/>
          <w:szCs w:val="18"/>
          <w:color w:val="auto"/>
        </w:rPr>
        <w:t>908</w:t>
      </w:r>
    </w:p>
    <w:p>
      <w:pPr>
        <w:spacing w:after="0" w:line="20"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7" w:lineRule="exact"/>
        <w:rPr>
          <w:sz w:val="20"/>
          <w:szCs w:val="20"/>
          <w:color w:val="auto"/>
        </w:rPr>
      </w:pPr>
    </w:p>
    <w:p>
      <w:pPr>
        <w:ind w:left="887" w:hanging="887"/>
        <w:spacing w:after="0"/>
        <w:tabs>
          <w:tab w:leader="none" w:pos="8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8718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7185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41275</wp:posOffset>
            </wp:positionV>
            <wp:extent cx="871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933" w:space="720"/>
            <w:col w:w="1567"/>
          </w:cols>
          <w:pgMar w:left="320" w:top="119" w:right="359" w:bottom="1440" w:gutter="0" w:footer="0" w:header="0"/>
          <w:type w:val="continuous"/>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17"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77" w:lineRule="exact"/>
        <w:rPr>
          <w:sz w:val="20"/>
          <w:szCs w:val="20"/>
          <w:color w:val="auto"/>
        </w:rPr>
      </w:pPr>
    </w:p>
    <w:p>
      <w:pPr>
        <w:ind w:right="720" w:firstLine="480"/>
        <w:spacing w:after="0" w:line="276" w:lineRule="auto"/>
        <w:rPr>
          <w:sz w:val="20"/>
          <w:szCs w:val="20"/>
          <w:color w:val="auto"/>
        </w:rPr>
      </w:pPr>
      <w:r>
        <w:rPr>
          <w:rFonts w:ascii="Times New Roman" w:cs="Times New Roman" w:eastAsia="Times New Roman" w:hAnsi="Times New Roman"/>
          <w:sz w:val="18"/>
          <w:szCs w:val="18"/>
          <w:color w:val="auto"/>
        </w:rPr>
        <w:t>As of September 30, 2024, one individual customer accounted for 15.2% of consolidated accounts receivable. As of December 31, 2023, one individual customer accounted for 17.9% of consolidated accounts receivable.</w:t>
      </w:r>
    </w:p>
    <w:p>
      <w:pPr>
        <w:spacing w:after="0" w:line="57" w:lineRule="exact"/>
        <w:rPr>
          <w:sz w:val="20"/>
          <w:szCs w:val="20"/>
          <w:color w:val="auto"/>
        </w:rPr>
      </w:pPr>
    </w:p>
    <w:p>
      <w:pPr>
        <w:jc w:val="both"/>
        <w:ind w:right="440" w:firstLine="480"/>
        <w:spacing w:after="0" w:line="261" w:lineRule="auto"/>
        <w:rPr>
          <w:sz w:val="20"/>
          <w:szCs w:val="20"/>
          <w:color w:val="auto"/>
        </w:rPr>
      </w:pPr>
      <w:r>
        <w:rPr>
          <w:rFonts w:ascii="Times New Roman" w:cs="Times New Roman" w:eastAsia="Times New Roman" w:hAnsi="Times New Roman"/>
          <w:sz w:val="18"/>
          <w:szCs w:val="18"/>
          <w:color w:val="auto"/>
        </w:rPr>
        <w:t>As of September 30, 2024, three individual suppliers accounted for 17.4%, 14.4% and 11.1%, respectively, of consolidated accounts payable and accrued liabilities. As of December 31, 2023, three individual suppliers accounted for 16.1%, 14.4% and 11.6%, respectively, of consolidated accounts payable and accrued liabilities.</w:t>
      </w:r>
    </w:p>
    <w:p>
      <w:pPr>
        <w:sectPr>
          <w:pgSz w:w="11900" w:h="16838" w:orient="portrait"/>
          <w:cols w:equalWidth="0" w:num="1">
            <w:col w:w="11220"/>
          </w:cols>
          <w:pgMar w:left="320" w:top="119" w:right="359" w:bottom="1440" w:gutter="0" w:footer="0" w:header="0"/>
          <w:type w:val="continuous"/>
        </w:sectPr>
      </w:pP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4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7"/>
                <w:szCs w:val="17"/>
                <w:color w:val="auto"/>
              </w:rPr>
            </w:pPr>
          </w:p>
        </w:tc>
        <w:tc>
          <w:tcPr>
            <w:tcW w:w="29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7"/>
        </w:trPr>
        <w:tc>
          <w:tcPr>
            <w:tcW w:w="426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bottom w:val="single" w:sz="8" w:color="auto"/>
            </w:tcBorders>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42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27"/>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32"/>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auto"/>
        </w:rPr>
        <w:t xml:space="preserve"> may, under Section 7(a)(2)</w:t>
      </w:r>
    </w:p>
    <w:p>
      <w:pPr>
        <w:spacing w:after="0" w:line="1" w:lineRule="exact"/>
        <w:rPr>
          <w:sz w:val="20"/>
          <w:szCs w:val="20"/>
          <w:color w:val="auto"/>
        </w:rPr>
      </w:pPr>
    </w:p>
    <w:p>
      <w:pPr>
        <w:ind w:right="180" w:firstLine="7"/>
        <w:spacing w:after="0" w:line="248" w:lineRule="auto"/>
        <w:tabs>
          <w:tab w:leader="none" w:pos="2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may take advantage of this extended transition period until the first to occur of the date that it (i) is no longer an “emerging growth company” or (ii) affirmatively and irrevocably opts out of this extended transition period.</w:t>
      </w:r>
    </w:p>
    <w:p>
      <w:pPr>
        <w:spacing w:after="0" w:line="8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3"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This ASU is not expected to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w:t>
      </w:r>
    </w:p>
    <w:p>
      <w:pPr>
        <w:sectPr>
          <w:pgSz w:w="11900" w:h="16838" w:orient="portrait"/>
          <w:cols w:equalWidth="0" w:num="1">
            <w:col w:w="11240"/>
          </w:cols>
          <w:pgMar w:left="320" w:top="119" w:right="339" w:bottom="1440" w:gutter="0" w:footer="0" w:header="0"/>
        </w:sectPr>
      </w:pPr>
    </w:p>
    <w:p>
      <w:pPr>
        <w:spacing w:after="0" w:line="3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1" w:name="page12"/>
    <w:bookmarkEnd w:id="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beginning January 1, 2025, with early adoption permitted. The Company is currently evaluating the impact of these amendments.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1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issued Accounting Standards Update ("ASU") No.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more timely recognition of losses on financial instruments. We adopted this standard at the beginning of the fiscal year ended December 31, 2023 ("fiscal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291" w:lineRule="exact"/>
        <w:rPr>
          <w:sz w:val="20"/>
          <w:szCs w:val="20"/>
          <w:color w:val="auto"/>
        </w:rPr>
      </w:pPr>
    </w:p>
    <w:p>
      <w:pPr>
        <w:ind w:left="220" w:hanging="213"/>
        <w:spacing w:after="0"/>
        <w:tabs>
          <w:tab w:leader="none" w:pos="220" w:val="left"/>
        </w:tabs>
        <w:numPr>
          <w:ilvl w:val="0"/>
          <w:numId w:val="8"/>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3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0"/>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58,566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195,316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156,340</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8"/>
          <w:szCs w:val="18"/>
          <w:color w:val="000000"/>
        </w:rPr>
        <w:t>$0.9</w:t>
      </w:r>
      <w:r>
        <w:rPr>
          <w:rFonts w:ascii="Times New Roman" w:cs="Times New Roman" w:eastAsia="Times New Roman" w:hAnsi="Times New Roman"/>
          <w:sz w:val="18"/>
          <w:szCs w:val="18"/>
          <w:color w:val="231F20"/>
        </w:rPr>
        <w:t xml:space="preserve"> million as of September 30, 2024 and </w:t>
      </w:r>
      <w:r>
        <w:rPr>
          <w:rFonts w:ascii="Times New Roman" w:cs="Times New Roman" w:eastAsia="Times New Roman" w:hAnsi="Times New Roman"/>
          <w:sz w:val="18"/>
          <w:szCs w:val="18"/>
          <w:color w:val="000000"/>
        </w:rPr>
        <w:t>$0.2 million as of</w:t>
      </w:r>
      <w:r>
        <w:rPr>
          <w:rFonts w:ascii="Times New Roman" w:cs="Times New Roman" w:eastAsia="Times New Roman" w:hAnsi="Times New Roman"/>
          <w:sz w:val="18"/>
          <w:szCs w:val="18"/>
          <w:color w:val="231F20"/>
        </w:rPr>
        <w:t xml:space="preserve"> December 31, 2023. These amounts do not include contracts with an original expected duration of less than one year, which is the majority of the Company’s contracts.</w:t>
      </w:r>
    </w:p>
    <w:p>
      <w:pPr>
        <w:spacing w:after="0" w:line="71"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Remaining deferred revenue that is anticipated to be recognized during the succeeding 12 month period is recorded in the current portion of </w:t>
      </w:r>
      <w:r>
        <w:rPr>
          <w:rFonts w:ascii="Times New Roman" w:cs="Times New Roman" w:eastAsia="Times New Roman" w:hAnsi="Times New Roman"/>
          <w:sz w:val="18"/>
          <w:szCs w:val="18"/>
          <w:color w:val="000000"/>
        </w:rPr>
        <w:t>deferred</w:t>
      </w:r>
      <w:r>
        <w:rPr>
          <w:rFonts w:ascii="Times New Roman" w:cs="Times New Roman" w:eastAsia="Times New Roman" w:hAnsi="Times New Roman"/>
          <w:sz w:val="18"/>
          <w:szCs w:val="18"/>
          <w:color w:val="231F20"/>
        </w:rPr>
        <w:t xml:space="preserve"> revenue within the condensed consolidated balance sheets.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4. </w:t>
      </w:r>
      <w:r>
        <w:rPr>
          <w:rFonts w:ascii="Times New Roman" w:cs="Times New Roman" w:eastAsia="Times New Roman" w:hAnsi="Times New Roman"/>
          <w:sz w:val="21"/>
          <w:szCs w:val="21"/>
          <w:b w:val="1"/>
          <w:bCs w:val="1"/>
          <w:i w:val="1"/>
          <w:iCs w:val="1"/>
          <w:color w:val="231F20"/>
        </w:rPr>
        <w:t>Property, Equipment, and Software,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20" w:type="dxa"/>
            <w:vAlign w:val="bottom"/>
            <w:vMerge w:val="restart"/>
          </w:tcPr>
          <w:p>
            <w:pPr>
              <w:jc w:val="right"/>
              <w:ind w:right="19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3,383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220" w:hanging="213"/>
        <w:spacing w:after="0"/>
        <w:tabs>
          <w:tab w:leader="none" w:pos="220" w:val="left"/>
        </w:tabs>
        <w:numPr>
          <w:ilvl w:val="0"/>
          <w:numId w:val="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Leases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seven years. The Company does not have finance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4"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71"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As of September 30, 2024, the Company's operating leases had a weighted-average remaining lease term of approximately six years and a weighted-average incremental borrowing rate of 4.1%.</w:t>
      </w:r>
    </w:p>
    <w:p>
      <w:pPr>
        <w:spacing w:after="0" w:line="5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Cash paid for amounts included in the operating lease liabilities was $1.4 million and $3.8 million for the three and nine months ended September 30, 2024, respectively, and $1.3 and $3.5 million for the three and nine months ended September 30, 2023, respectively.</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ectPr>
          <w:pgSz w:w="11900" w:h="16838" w:orient="portrait"/>
          <w:cols w:equalWidth="0" w:num="1">
            <w:col w:w="11120"/>
          </w:cols>
          <w:pgMar w:left="320" w:top="11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15"/>
        </w:trPr>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1,030</w:t>
            </w:r>
          </w:p>
        </w:tc>
        <w:tc>
          <w:tcPr>
            <w:tcW w:w="100" w:type="dxa"/>
            <w:vAlign w:val="bottom"/>
          </w:tcPr>
          <w:p>
            <w:pPr>
              <w:spacing w:after="0"/>
              <w:rPr>
                <w:sz w:val="18"/>
                <w:szCs w:val="18"/>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1,234</w:t>
            </w:r>
          </w:p>
        </w:tc>
        <w:tc>
          <w:tcPr>
            <w:tcW w:w="10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8"/>
                <w:szCs w:val="18"/>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r>
      <w:tr>
        <w:trPr>
          <w:trHeight w:val="227"/>
        </w:trPr>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32"/>
        </w:trPr>
        <w:tc>
          <w:tcPr>
            <w:tcW w:w="86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0"/>
        </w:trPr>
        <w:tc>
          <w:tcPr>
            <w:tcW w:w="86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1,355</w:t>
            </w: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-625475</wp:posOffset>
            </wp:positionV>
            <wp:extent cx="6541770"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41770" cy="15240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-329565</wp:posOffset>
            </wp:positionV>
            <wp:extent cx="6541770" cy="144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1770" cy="144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580" w:space="720"/>
            <w:col w:w="5820"/>
          </w:cols>
          <w:pgMar w:left="320" w:top="119" w:right="459" w:bottom="1440" w:gutter="0" w:footer="0" w:header="0"/>
          <w:type w:val="continuous"/>
        </w:sect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As of September 30, 2024, the Company had a remaining contractual obligation of $1.8 million related to a short-term lease to be paid over the following three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39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type w:val="continuous"/>
        </w:sectPr>
      </w:pPr>
    </w:p>
    <w:bookmarkStart w:id="13" w:name="page14"/>
    <w:bookmarkEnd w:id="1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are as follows: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4"/>
        </w:trPr>
        <w:tc>
          <w:tcPr>
            <w:tcW w:w="2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5"/>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26,865</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45"/>
        </w:trPr>
        <w:tc>
          <w:tcPr>
            <w:tcW w:w="240" w:type="dxa"/>
            <w:vAlign w:val="bottom"/>
          </w:tcPr>
          <w:p>
            <w:pPr>
              <w:spacing w:after="0"/>
              <w:rPr>
                <w:sz w:val="20"/>
                <w:szCs w:val="20"/>
                <w:color w:val="auto"/>
              </w:rPr>
            </w:pPr>
          </w:p>
        </w:tc>
        <w:tc>
          <w:tcPr>
            <w:tcW w:w="8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22,317</w:t>
            </w:r>
          </w:p>
        </w:tc>
      </w:tr>
      <w:tr>
        <w:trPr>
          <w:trHeight w:val="20"/>
        </w:trPr>
        <w:tc>
          <w:tcPr>
            <w:tcW w:w="240" w:type="dxa"/>
            <w:vAlign w:val="bottom"/>
          </w:tcPr>
          <w:p>
            <w:pPr>
              <w:spacing w:after="0" w:line="20" w:lineRule="exact"/>
              <w:rPr>
                <w:sz w:val="1"/>
                <w:szCs w:val="1"/>
                <w:color w:val="auto"/>
              </w:rPr>
            </w:pPr>
          </w:p>
        </w:tc>
        <w:tc>
          <w:tcPr>
            <w:tcW w:w="8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6. </w:t>
      </w:r>
      <w:r>
        <w:rPr>
          <w:rFonts w:ascii="Times New Roman" w:cs="Times New Roman" w:eastAsia="Times New Roman" w:hAnsi="Times New Roman"/>
          <w:sz w:val="21"/>
          <w:szCs w:val="21"/>
          <w:b w:val="1"/>
          <w:bCs w:val="1"/>
          <w:i w:val="1"/>
          <w:iCs w:val="1"/>
          <w:color w:val="231F20"/>
        </w:rPr>
        <w:t>Intangible Assets,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are as follows: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As of September 30,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vMerge w:val="restart"/>
          </w:tcPr>
          <w:p>
            <w:pPr>
              <w:jc w:val="right"/>
              <w:ind w:right="5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2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380" w:type="dxa"/>
            <w:vAlign w:val="bottom"/>
            <w:gridSpan w:val="4"/>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00" w:type="dxa"/>
            <w:vAlign w:val="bottom"/>
            <w:gridSpan w:val="4"/>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Borders>
              <w:right w:val="single" w:sz="8" w:color="CCEEFF"/>
            </w:tcBorders>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5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is as follows: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6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33"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24"/>
                <w:szCs w:val="24"/>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27"/>
        </w:trPr>
        <w:tc>
          <w:tcPr>
            <w:tcW w:w="240" w:type="dxa"/>
            <w:vAlign w:val="bottom"/>
          </w:tcPr>
          <w:p>
            <w:pPr>
              <w:spacing w:after="0"/>
              <w:rPr>
                <w:sz w:val="19"/>
                <w:szCs w:val="19"/>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45"/>
        </w:trPr>
        <w:tc>
          <w:tcPr>
            <w:tcW w:w="2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0" w:firstLine="480"/>
        <w:spacing w:after="0" w:line="257"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 balance of $0.1 million and $0.3 million, respectively, payable to related parties for expenses such related parties incurred on the Company's behalf, which was recorded within accrued liabilities on the condensed consolidated balance sheets. The related expense incurred by the Company was $0.2 million and $0.7 million for the three and nine months ended September 30, 2024, respectively, and $0.2 million and $0.5 million for the three and nine months ended September 30, 2023, respectively.</w:t>
      </w:r>
    </w:p>
    <w:p>
      <w:pPr>
        <w:spacing w:after="0" w:line="284" w:lineRule="exact"/>
        <w:rPr>
          <w:sz w:val="20"/>
          <w:szCs w:val="20"/>
          <w:color w:val="auto"/>
        </w:rPr>
      </w:pPr>
    </w:p>
    <w:p>
      <w:pPr>
        <w:ind w:left="220" w:hanging="213"/>
        <w:spacing w:after="0"/>
        <w:tabs>
          <w:tab w:leader="none" w:pos="220" w:val="left"/>
        </w:tabs>
        <w:numPr>
          <w:ilvl w:val="0"/>
          <w:numId w:val="10"/>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20"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231F20"/>
        </w:rPr>
        <w:t>On October 31, 2019, the Company entere</w:t>
      </w:r>
      <w:r>
        <w:rPr>
          <w:rFonts w:ascii="Times New Roman" w:cs="Times New Roman" w:eastAsia="Times New Roman" w:hAnsi="Times New Roman"/>
          <w:sz w:val="18"/>
          <w:szCs w:val="18"/>
          <w:color w:val="000000"/>
        </w:rPr>
        <w:t>d into an asset-based revolving credit and security agreement (the "Loan Agreement") with PNC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 Agreement is collateralized by security interests in substantially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assets.</w:t>
      </w:r>
    </w:p>
    <w:p>
      <w:pPr>
        <w:spacing w:after="0" w:line="7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w:t>
      </w:r>
    </w:p>
    <w:p>
      <w:pPr>
        <w:sectPr>
          <w:pgSz w:w="11900" w:h="16838" w:orient="portrait"/>
          <w:cols w:equalWidth="0" w:num="1">
            <w:col w:w="11160"/>
          </w:cols>
          <w:pgMar w:left="320" w:top="119" w:right="41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231F20"/>
        </w:rPr>
        <w:t>(as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The applicable margin as of September 30, 2024 was equal to 1.00% for Domestic Rate Loans and 2.00% for Term SOFR Rate Loans. The facility fee for undrawn amounts under the Amended Loan Agreement is 0.375% per annum; additionally, the Company pays customary letter of credit fees, as applicable.</w:t>
      </w:r>
    </w:p>
    <w:p>
      <w:pPr>
        <w:spacing w:after="0" w:line="77"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September 30, 2024, the Company was in compliance with all applicable covenants under the Amended Loan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September 30, 2024.</w:t>
      </w:r>
    </w:p>
    <w:p>
      <w:pPr>
        <w:spacing w:after="0" w:line="324" w:lineRule="exact"/>
        <w:rPr>
          <w:sz w:val="20"/>
          <w:szCs w:val="20"/>
          <w:color w:val="auto"/>
        </w:rPr>
      </w:pPr>
    </w:p>
    <w:p>
      <w:pPr>
        <w:ind w:left="220" w:hanging="213"/>
        <w:spacing w:after="0"/>
        <w:tabs>
          <w:tab w:leader="none" w:pos="220" w:val="left"/>
        </w:tabs>
        <w:numPr>
          <w:ilvl w:val="0"/>
          <w:numId w:val="11"/>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Stockholders' Equity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1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xml:space="preserve">, the Company had only granted RSUs and NQSOs under the LTIP. Under the LTIP, 5.9 million shares of Class A common stock remained available for grant as of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0"/>
        </w:trPr>
        <w:tc>
          <w:tcPr>
            <w:tcW w:w="7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tcPr>
          <w:p>
            <w:pPr>
              <w:spacing w:after="0"/>
              <w:rPr>
                <w:sz w:val="19"/>
                <w:szCs w:val="19"/>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1,180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tcPr>
          <w:p>
            <w:pPr>
              <w:spacing w:after="0"/>
              <w:rPr>
                <w:sz w:val="19"/>
                <w:szCs w:val="19"/>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2,903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220" w:type="dxa"/>
            <w:vAlign w:val="bottom"/>
          </w:tcPr>
          <w:p>
            <w:pPr>
              <w:spacing w:after="0"/>
              <w:rPr>
                <w:sz w:val="19"/>
                <w:szCs w:val="19"/>
                <w:color w:val="auto"/>
              </w:rPr>
            </w:pPr>
          </w:p>
        </w:tc>
      </w:tr>
      <w:tr>
        <w:trPr>
          <w:trHeight w:val="245"/>
        </w:trPr>
        <w:tc>
          <w:tcPr>
            <w:tcW w:w="7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5,329</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8,734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c>
          <w:tcPr>
            <w:tcW w:w="220" w:type="dxa"/>
            <w:vAlign w:val="bottom"/>
          </w:tcPr>
          <w:p>
            <w:pPr>
              <w:spacing w:after="0"/>
              <w:rPr>
                <w:sz w:val="20"/>
                <w:szCs w:val="20"/>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07"/>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6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RSUs</w:t>
      </w:r>
    </w:p>
    <w:p>
      <w:pPr>
        <w:spacing w:after="0" w:line="115"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111"/>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136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00" w:type="dxa"/>
            <w:vAlign w:val="bottom"/>
          </w:tcPr>
          <w:p>
            <w:pPr>
              <w:spacing w:after="0"/>
              <w:rPr>
                <w:sz w:val="16"/>
                <w:szCs w:val="16"/>
                <w:color w:val="auto"/>
              </w:rPr>
            </w:pPr>
          </w:p>
        </w:tc>
        <w:tc>
          <w:tcPr>
            <w:tcW w:w="138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March 31,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June 30,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7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45"/>
        </w:trPr>
        <w:tc>
          <w:tcPr>
            <w:tcW w:w="240" w:type="dxa"/>
            <w:vAlign w:val="bottom"/>
          </w:tcPr>
          <w:p>
            <w:pPr>
              <w:spacing w:after="0"/>
              <w:rPr>
                <w:sz w:val="20"/>
                <w:szCs w:val="20"/>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September 30,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3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40" w:firstLine="480"/>
        <w:spacing w:after="0" w:line="276" w:lineRule="auto"/>
        <w:rPr>
          <w:sz w:val="20"/>
          <w:szCs w:val="20"/>
          <w:color w:val="auto"/>
        </w:rPr>
      </w:pPr>
      <w:r>
        <w:rPr>
          <w:rFonts w:ascii="Times New Roman" w:cs="Times New Roman" w:eastAsia="Times New Roman" w:hAnsi="Times New Roman"/>
          <w:sz w:val="18"/>
          <w:szCs w:val="18"/>
          <w:color w:val="auto"/>
        </w:rPr>
        <w:t>As of September 30, 2024, the Company had unrecognized stock-based compensation relating to RSUs of approximately $26.1 million, which is expected to be recognized over a weighted-average period of 1.9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nonqualified stock option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26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5"/>
                <w:szCs w:val="15"/>
                <w:color w:val="auto"/>
              </w:rPr>
            </w:pPr>
          </w:p>
        </w:tc>
        <w:tc>
          <w:tcPr>
            <w:tcW w:w="1260" w:type="dxa"/>
            <w:vAlign w:val="bottom"/>
          </w:tcPr>
          <w:p>
            <w:pPr>
              <w:jc w:val="center"/>
              <w:ind w:right="51"/>
              <w:spacing w:after="0" w:line="173"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320" w:top="119" w:right="559" w:bottom="1440" w:gutter="0" w:footer="0" w:header="0"/>
        </w:sectPr>
      </w:pPr>
    </w:p>
    <w:p>
      <w:pPr>
        <w:spacing w:after="0" w:line="28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19" w:right="559" w:bottom="1440" w:gutter="0" w:footer="0" w:header="0"/>
          <w:type w:val="continuous"/>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There were no nonqualified stock options granted during the three months ended September 30, 2024. The weighted-average grant date fair value of the nonqualified stock options granted during the nine months ended September 30, 2024 was $6.67. As of September 30, 2024, the Company had unrecognized stock-based compensation relating to unvested nonqualified stock options of approximately $8.8 million, which is expected to be recognized over a weighted-average period of 1.5 years.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nonqualified stock options were as follows:</w:t>
      </w:r>
    </w:p>
    <w:p>
      <w:pPr>
        <w:spacing w:after="0" w:line="13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and Nine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5" w:lineRule="exact"/>
        <w:rPr>
          <w:sz w:val="20"/>
          <w:szCs w:val="20"/>
          <w:color w:val="auto"/>
        </w:rPr>
      </w:pPr>
    </w:p>
    <w:tbl>
      <w:tblPr>
        <w:tblLayout w:type="fixed"/>
        <w:tblInd w:w="760" w:type="dxa"/>
        <w:tblCellMar>
          <w:top w:w="0" w:type="dxa"/>
          <w:left w:w="0" w:type="dxa"/>
          <w:bottom w:w="0" w:type="dxa"/>
          <w:right w:w="0" w:type="dxa"/>
        </w:tblCellMar>
      </w:tblPr>
      <w:tr>
        <w:trPr>
          <w:trHeight w:val="233"/>
        </w:trPr>
        <w:tc>
          <w:tcPr>
            <w:tcW w:w="7280" w:type="dxa"/>
            <w:vAlign w:val="bottom"/>
            <w:tcBorders>
              <w:bottom w:val="single" w:sz="8" w:color="CCEEFF"/>
            </w:tcBorders>
          </w:tcPr>
          <w:p>
            <w:pPr>
              <w:spacing w:after="0"/>
              <w:rPr>
                <w:sz w:val="20"/>
                <w:szCs w:val="20"/>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top w:val="single" w:sz="8" w:color="auto"/>
              <w:bottom w:val="single" w:sz="8" w:color="CCEEFF"/>
            </w:tcBorders>
          </w:tcPr>
          <w:p>
            <w:pPr>
              <w:spacing w:after="0"/>
              <w:rPr>
                <w:sz w:val="20"/>
                <w:szCs w:val="20"/>
                <w:color w:val="auto"/>
              </w:rPr>
            </w:pPr>
          </w:p>
        </w:tc>
        <w:tc>
          <w:tcPr>
            <w:tcW w:w="1440" w:type="dxa"/>
            <w:vAlign w:val="bottom"/>
            <w:tcBorders>
              <w:top w:val="single" w:sz="8" w:color="auto"/>
              <w:bottom w:val="single" w:sz="8" w:color="auto"/>
            </w:tcBorders>
            <w:gridSpan w:val="2"/>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- 81.5%</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tcPr>
          <w:p>
            <w:pPr>
              <w:spacing w:after="0"/>
              <w:rPr>
                <w:sz w:val="20"/>
                <w:szCs w:val="20"/>
                <w:color w:val="auto"/>
              </w:rPr>
            </w:pPr>
          </w:p>
        </w:tc>
        <w:tc>
          <w:tcPr>
            <w:tcW w:w="144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4" w:lineRule="exact"/>
        <w:rPr>
          <w:sz w:val="20"/>
          <w:szCs w:val="20"/>
          <w:color w:val="auto"/>
        </w:rPr>
      </w:pPr>
    </w:p>
    <w:p>
      <w:pPr>
        <w:jc w:val="both"/>
        <w:ind w:right="400"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4"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3" w:lineRule="exact"/>
        <w:rPr>
          <w:sz w:val="20"/>
          <w:szCs w:val="20"/>
          <w:color w:val="auto"/>
        </w:rPr>
      </w:pPr>
    </w:p>
    <w:p>
      <w:pPr>
        <w:ind w:right="360" w:firstLine="480"/>
        <w:spacing w:after="0" w:line="263"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nonqualified stock option exercises, the expected term assumption is based on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simplified method, which uses the midpoint of the weighted-average vesting period and the contractual term. The Company will continue to apply this process until a sufficient amount of historical information regarding the Company’s nonqualified stock option exercises becomes available.</w:t>
      </w:r>
    </w:p>
    <w:p>
      <w:pPr>
        <w:spacing w:after="0" w:line="66" w:lineRule="exact"/>
        <w:rPr>
          <w:sz w:val="20"/>
          <w:szCs w:val="20"/>
          <w:color w:val="auto"/>
        </w:rPr>
      </w:pPr>
    </w:p>
    <w:p>
      <w:pPr>
        <w:ind w:right="60"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so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On April 23, 2024, the Company's board of directors approved a stock repurchase program with authorization to purchase up to $50 million in shares of the Company's Class A common stock or Class B units of Viant Technology LLC. As of September 30, 2024, $38.5 million remained available under the stock repurchase program.</w:t>
      </w:r>
    </w:p>
    <w:p>
      <w:pPr>
        <w:spacing w:after="0" w:line="7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Shares of Class A common stock and Class B units repurchased by the Company under the stock repurchase program were as follows (in thousands):</w:t>
      </w:r>
    </w:p>
    <w:p>
      <w:pPr>
        <w:spacing w:after="0" w:line="13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29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4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000" w:type="dxa"/>
            <w:vAlign w:val="bottom"/>
          </w:tcPr>
          <w:p>
            <w:pPr>
              <w:ind w:left="340"/>
              <w:spacing w:after="0" w:line="223"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3"/>
                <w:szCs w:val="23"/>
                <w:b w:val="1"/>
                <w:bCs w:val="1"/>
                <w:color w:val="auto"/>
                <w:w w:val="91"/>
                <w:vertAlign w:val="superscript"/>
              </w:rPr>
              <w:t>(1)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211"/>
              <w:spacing w:after="0" w:line="223"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3"/>
                <w:szCs w:val="23"/>
                <w:b w:val="1"/>
                <w:bCs w:val="1"/>
                <w:color w:val="auto"/>
                <w:vertAlign w:val="superscript"/>
              </w:rPr>
              <w:t>(2)</w:t>
            </w:r>
          </w:p>
        </w:tc>
        <w:tc>
          <w:tcPr>
            <w:tcW w:w="100" w:type="dxa"/>
            <w:vAlign w:val="bottom"/>
          </w:tcPr>
          <w:p>
            <w:pPr>
              <w:spacing w:after="0"/>
              <w:rPr>
                <w:sz w:val="19"/>
                <w:szCs w:val="19"/>
                <w:color w:val="auto"/>
              </w:rPr>
            </w:pPr>
          </w:p>
        </w:tc>
        <w:tc>
          <w:tcPr>
            <w:tcW w:w="1440" w:type="dxa"/>
            <w:vAlign w:val="bottom"/>
            <w:gridSpan w:val="2"/>
          </w:tcPr>
          <w:p>
            <w:pPr>
              <w:ind w:left="360"/>
              <w:spacing w:after="0" w:line="223" w:lineRule="exact"/>
              <w:rPr>
                <w:sz w:val="20"/>
                <w:szCs w:val="20"/>
                <w:color w:val="auto"/>
              </w:rPr>
            </w:pP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9"/>
                <w:szCs w:val="19"/>
                <w:color w:val="auto"/>
              </w:rPr>
            </w:pPr>
          </w:p>
        </w:tc>
        <w:tc>
          <w:tcPr>
            <w:tcW w:w="1160" w:type="dxa"/>
            <w:vAlign w:val="bottom"/>
          </w:tcPr>
          <w:p>
            <w:pPr>
              <w:jc w:val="right"/>
              <w:ind w:right="231"/>
              <w:spacing w:after="0" w:line="223"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3"/>
                <w:szCs w:val="23"/>
                <w:b w:val="1"/>
                <w:bCs w:val="1"/>
                <w:color w:val="auto"/>
                <w:vertAlign w:val="superscript"/>
              </w:rPr>
              <w:t>(2)</w:t>
            </w:r>
          </w:p>
        </w:tc>
      </w:tr>
      <w:tr>
        <w:trPr>
          <w:trHeight w:val="22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0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unit repurchases</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960" w:hanging="31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Shares repurchased include unsettled repurchases as of </w:t>
      </w:r>
      <w:r>
        <w:rPr>
          <w:rFonts w:ascii="Times New Roman" w:cs="Times New Roman" w:eastAsia="Times New Roman" w:hAnsi="Times New Roman"/>
          <w:sz w:val="18"/>
          <w:szCs w:val="18"/>
          <w:color w:val="000000"/>
        </w:rPr>
        <w:t>September 30, 2024.</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8" w:name="page19"/>
    <w:bookmarkEnd w:id="1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 Amount includes costs associated with the repurchase such as commissions and excise taxes.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24"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20"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recognized an income tax benefit that was de minimis for the three months ended September 30, 2024 and effective tax rates of (0.2)% and (0.3)% for the three and nine months ended September 30, 2024, respectively. The Company recognized an income tax expense of $0.2 million for the three and nine months ended September 30, 2023, due to federal and state taxes payable, which resulted in an effective tax rate of (36.9)% and (1.4)%, respectively.</w:t>
      </w:r>
    </w:p>
    <w:p>
      <w:pPr>
        <w:spacing w:after="0" w:line="7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As of September 30, 2024, management determined based on applicable accounting standards and the weight of all available evidence,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September 30, 2024. In the event that management subsequently determines that it is MLTN that the Company will realize its deferred tax assets in the future over the recorded amount, a decrease to the valuation allowance will be made, which will reduce the provision for income taxes.</w:t>
      </w:r>
    </w:p>
    <w:p>
      <w:pPr>
        <w:spacing w:after="0" w:line="7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The Company has concluded based on applicable accounting standards and the weight of all available evidence, that it was MLTN that its deferred tax assets subject to the Tax Receivable Agreement ("TRA") entered into with Viant Technology LLC, continuing members of Viant Technology LLC and the TRA Representative (as defined in the TRA) on February 9, 2021 would not be realized as of September 30, 2024. Therefore, the Company has not recorded a liability related to the remaining tax savings it may realize from utilization of such deferred tax assets. As of September 30, 2024, the total unrecorded TRA liability is approximately $10.8 million.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b w:val="1"/>
          <w:bCs w:val="1"/>
          <w:i w:val="1"/>
          <w:iCs w:val="1"/>
          <w:color w:val="231F20"/>
        </w:rPr>
        <w:t>Loss) Per Share</w:t>
      </w:r>
    </w:p>
    <w:p>
      <w:pPr>
        <w:spacing w:after="0" w:line="12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earnings (loss) per share while considering all potentially dilutive shares of Class A common stock outstanding during the period.</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Net income (loss) attributable to Viant Technology Inc.—basic</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80" w:type="dxa"/>
            <w:vAlign w:val="bottom"/>
            <w:shd w:val="clear" w:color="auto" w:fill="CCEEFF"/>
          </w:tcPr>
          <w:p>
            <w:pPr>
              <w:ind w:left="180"/>
              <w:spacing w:after="0" w:line="140" w:lineRule="exact"/>
              <w:rPr>
                <w:sz w:val="20"/>
                <w:szCs w:val="20"/>
                <w:color w:val="auto"/>
              </w:rPr>
            </w:pPr>
            <w:r>
              <w:rPr>
                <w:rFonts w:ascii="Times New Roman" w:cs="Times New Roman" w:eastAsia="Times New Roman" w:hAnsi="Times New Roman"/>
                <w:sz w:val="16"/>
                <w:szCs w:val="16"/>
                <w:color w:val="auto"/>
              </w:rPr>
              <w:t>Add back: Reallocation of net income (loss) attributable to</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noncontrolling interest from the assumed exchange of</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dilutive securities for Class A common stock</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458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from the assumed exchange of</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dilutive securities for Class A common stock</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45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300" w:type="dxa"/>
            <w:vAlign w:val="bottom"/>
            <w:tcBorders>
              <w:top w:val="single" w:sz="8" w:color="auto"/>
            </w:tcBorders>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vMerge w:val="restart"/>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vMerge w:val="restart"/>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w w:val="98"/>
              </w:rPr>
              <w:t>Weighted-average shares of Class A common stock outstanding</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4580" w:type="dxa"/>
            <w:vAlign w:val="bottom"/>
            <w:tcBorders>
              <w:top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 outstanding</w:t>
            </w: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8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9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5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 Class A</w:t>
            </w: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56,801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56,703</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56,801</w:t>
            </w:r>
          </w:p>
        </w:tc>
        <w:tc>
          <w:tcPr>
            <w:tcW w:w="0" w:type="dxa"/>
            <w:vAlign w:val="bottom"/>
          </w:tcPr>
          <w:p>
            <w:pPr>
              <w:spacing w:after="0"/>
              <w:rPr>
                <w:sz w:val="1"/>
                <w:szCs w:val="1"/>
                <w:color w:val="auto"/>
              </w:rPr>
            </w:pPr>
          </w:p>
        </w:tc>
      </w:tr>
      <w:tr>
        <w:trPr>
          <w:trHeight w:val="21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stock—diluted</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20"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7"/>
          <w:szCs w:val="17"/>
          <w:color w:val="000000"/>
        </w:rPr>
        <w:t xml:space="preserve">The limited liability company agreement of Viant Technology LLC, as amended and restated (the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7"/>
          <w:szCs w:val="17"/>
          <w:color w:val="231F20"/>
        </w:rPr>
        <w:t>Changes in the Company’s ownership interest in Viant</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38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0" w:name="page21"/>
    <w:bookmarkEnd w:id="2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98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29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67"/>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80" w:type="dxa"/>
            <w:vAlign w:val="bottom"/>
          </w:tcPr>
          <w:p>
            <w:pPr>
              <w:spacing w:after="0"/>
              <w:rPr>
                <w:sz w:val="14"/>
                <w:szCs w:val="14"/>
                <w:color w:val="auto"/>
              </w:rPr>
            </w:pPr>
          </w:p>
        </w:tc>
        <w:tc>
          <w:tcPr>
            <w:tcW w:w="14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0"/>
        </w:trPr>
        <w:tc>
          <w:tcPr>
            <w:tcW w:w="440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vMerge w:val="continue"/>
          </w:tcPr>
          <w:p>
            <w:pPr>
              <w:spacing w:after="0"/>
              <w:rPr>
                <w:sz w:val="20"/>
                <w:szCs w:val="20"/>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2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16,224,237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15,783,941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46,850,054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47,032,260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63,074,291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62,816,201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firstLine="480"/>
        <w:spacing w:after="0" w:line="284" w:lineRule="auto"/>
        <w:rPr>
          <w:sz w:val="20"/>
          <w:szCs w:val="20"/>
          <w:color w:val="auto"/>
        </w:rPr>
      </w:pPr>
      <w:r>
        <w:rPr>
          <w:rFonts w:ascii="Times New Roman" w:cs="Times New Roman" w:eastAsia="Times New Roman" w:hAnsi="Times New Roman"/>
          <w:sz w:val="17"/>
          <w:szCs w:val="17"/>
          <w:color w:val="231F20"/>
        </w:rPr>
        <w:t xml:space="preserve">During the </w:t>
      </w:r>
      <w:r>
        <w:rPr>
          <w:rFonts w:ascii="Times New Roman" w:cs="Times New Roman" w:eastAsia="Times New Roman" w:hAnsi="Times New Roman"/>
          <w:sz w:val="17"/>
          <w:szCs w:val="17"/>
          <w:color w:val="000000"/>
        </w:rPr>
        <w:t>three and nine</w:t>
      </w:r>
      <w:r>
        <w:rPr>
          <w:rFonts w:ascii="Times New Roman" w:cs="Times New Roman" w:eastAsia="Times New Roman" w:hAnsi="Times New Roman"/>
          <w:sz w:val="17"/>
          <w:szCs w:val="17"/>
          <w:color w:val="231F20"/>
        </w:rPr>
        <w:t xml:space="preserve"> months ended September 30, 2024, </w:t>
      </w:r>
      <w:r>
        <w:rPr>
          <w:rFonts w:ascii="Times New Roman" w:cs="Times New Roman" w:eastAsia="Times New Roman" w:hAnsi="Times New Roman"/>
          <w:sz w:val="17"/>
          <w:szCs w:val="17"/>
          <w:color w:val="000000"/>
        </w:rPr>
        <w:t>noncontrolling interests exchanged 134,613 and 182,206 Class B shares of Viant</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Technology LLC, respectively, for 134,613 and 182,206 shares of the Company’s Class A common stock, respectively, which also resulted in the cancellation of 134,613 and 182,206 Class B shares, respectively, that were previously held by noncontrolling interests with no additional consideration provided.</w:t>
      </w:r>
    </w:p>
    <w:p>
      <w:pPr>
        <w:spacing w:after="0" w:line="52" w:lineRule="exact"/>
        <w:rPr>
          <w:sz w:val="20"/>
          <w:szCs w:val="20"/>
          <w:color w:val="auto"/>
        </w:rPr>
      </w:pPr>
    </w:p>
    <w:p>
      <w:pPr>
        <w:ind w:right="34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1,507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Decrease in the additional-paid-in-capital of Viant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260"/>
              <w:spacing w:after="0" w:line="173" w:lineRule="exact"/>
              <w:rPr>
                <w:sz w:val="20"/>
                <w:szCs w:val="20"/>
                <w:color w:val="auto"/>
              </w:rPr>
            </w:pPr>
            <w:r>
              <w:rPr>
                <w:rFonts w:ascii="Times New Roman" w:cs="Times New Roman" w:eastAsia="Times New Roman" w:hAnsi="Times New Roman"/>
                <w:sz w:val="18"/>
                <w:szCs w:val="18"/>
                <w:color w:val="auto"/>
              </w:rPr>
              <w:t>Technology Inc. resulting from ownership changes in Viant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LLC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8"/>
                <w:szCs w:val="18"/>
                <w:color w:val="auto"/>
                <w:w w:val="98"/>
              </w:rPr>
              <w:t>(3,974)</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Change from net income (loss) attributable to Viant Technology</w:t>
            </w: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center"/>
              <w:ind w:left="411"/>
              <w:spacing w:after="0"/>
              <w:rPr>
                <w:sz w:val="20"/>
                <w:szCs w:val="20"/>
                <w:color w:val="auto"/>
              </w:rPr>
            </w:pPr>
            <w:r>
              <w:rPr>
                <w:rFonts w:ascii="Times New Roman" w:cs="Times New Roman" w:eastAsia="Times New Roman" w:hAnsi="Times New Roman"/>
                <w:sz w:val="18"/>
                <w:szCs w:val="18"/>
                <w:color w:val="auto"/>
                <w:w w:val="98"/>
              </w:rPr>
              <w:t>(2,467)</w:t>
            </w:r>
          </w:p>
        </w:tc>
        <w:tc>
          <w:tcPr>
            <w:tcW w:w="100" w:type="dxa"/>
            <w:vAlign w:val="bottom"/>
          </w:tcPr>
          <w:p>
            <w:pPr>
              <w:spacing w:after="0"/>
              <w:rPr>
                <w:sz w:val="13"/>
                <w:szCs w:val="13"/>
                <w:color w:val="auto"/>
              </w:rPr>
            </w:pPr>
          </w:p>
        </w:tc>
        <w:tc>
          <w:tcPr>
            <w:tcW w:w="480" w:type="dxa"/>
            <w:vAlign w:val="bottom"/>
            <w:vMerge w:val="restart"/>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3"/>
                <w:szCs w:val="13"/>
                <w:color w:val="auto"/>
              </w:rPr>
            </w:pP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(6,939)</w:t>
            </w:r>
          </w:p>
        </w:tc>
        <w:tc>
          <w:tcPr>
            <w:tcW w:w="100" w:type="dxa"/>
            <w:vAlign w:val="bottom"/>
          </w:tcPr>
          <w:p>
            <w:pPr>
              <w:spacing w:after="0"/>
              <w:rPr>
                <w:sz w:val="13"/>
                <w:szCs w:val="13"/>
                <w:color w:val="auto"/>
              </w:rPr>
            </w:pPr>
          </w:p>
        </w:tc>
        <w:tc>
          <w:tcPr>
            <w:tcW w:w="500" w:type="dxa"/>
            <w:vAlign w:val="bottom"/>
            <w:vMerge w:val="restart"/>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0" w:type="dxa"/>
            <w:vAlign w:val="bottom"/>
          </w:tcPr>
          <w:p>
            <w:pPr>
              <w:spacing w:after="0"/>
              <w:rPr>
                <w:sz w:val="1"/>
                <w:szCs w:val="1"/>
                <w:color w:val="auto"/>
              </w:rPr>
            </w:pPr>
          </w:p>
        </w:tc>
      </w:tr>
      <w:tr>
        <w:trPr>
          <w:trHeight w:val="21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and transfers to noncontrolling interests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2024, we had non-cancelable operating lease commitments for office space that have been recorded as operating lease liabilities.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5—Leases for additional information regarding lease commitments.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As of September 30, 2024, we had non-cancelable contractual agreements primarily related to the hosting of our data storage processing, storage and other computing services. As of September 30, 2024, we estimate these obligations to be approximately $3.4 million for the remainder of 2024, $12.4 million in 2025, $7.5 million in 2026, and $2.0 million in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7"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7"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September 30, 2024.</w:t>
      </w:r>
    </w:p>
    <w:p>
      <w:pPr>
        <w:sectPr>
          <w:pgSz w:w="11900" w:h="16838" w:orient="portrait"/>
          <w:cols w:equalWidth="0" w:num="1">
            <w:col w:w="11220"/>
          </w:cols>
          <w:pgMar w:left="320" w:top="119" w:right="359" w:bottom="1440" w:gutter="0" w:footer="0" w:header="0"/>
        </w:sectPr>
      </w:pPr>
    </w:p>
    <w:p>
      <w:pPr>
        <w:spacing w:after="0" w:line="39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1" w:name="page22"/>
    <w:bookmarkEnd w:id="2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Subsequent Events</w:t>
      </w:r>
    </w:p>
    <w:p>
      <w:pPr>
        <w:spacing w:after="0" w:line="120"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On November 6, 2024, the Company completed the acquisition of IRIS.TV, Inc., a leading video content data platform, to further strengthen the Company’s suite of AI enabled tools and Connected TV solutions. We expect to account for this transaction as a business combination and are currently in the process of determining the initial purchase accounting for this transaction.</w:t>
      </w:r>
    </w:p>
    <w:p>
      <w:pPr>
        <w:spacing w:after="0" w:line="200" w:lineRule="exact"/>
        <w:rPr>
          <w:sz w:val="20"/>
          <w:szCs w:val="20"/>
          <w:color w:val="auto"/>
        </w:rPr>
      </w:pPr>
    </w:p>
    <w:p>
      <w:pPr>
        <w:spacing w:after="0" w:line="35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20" w:top="119" w:right="599" w:bottom="1440" w:gutter="0" w:footer="0" w:header="0"/>
        </w:sectPr>
      </w:pPr>
    </w:p>
    <w:bookmarkStart w:id="22" w:name="page23"/>
    <w:bookmarkEnd w:id="22"/>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 w:cs="Times New Roman" w:eastAsia="Times New Roman" w:hAnsi="Times New Roman"/>
          <w:sz w:val="18"/>
          <w:szCs w:val="18"/>
          <w:i w:val="1"/>
          <w:iCs w:val="1"/>
          <w:color w:val="000000"/>
        </w:rPr>
        <w:t>terly Report on Form 10-Q</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2023, which was filed with the Securities and Exchange Commission (“SEC”) on March 4, 2024.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rFonts w:ascii="Times New Roman" w:cs="Times New Roman" w:eastAsia="Times New Roman" w:hAnsi="Times New Roman"/>
          <w:sz w:val="18"/>
          <w:szCs w:val="18"/>
          <w:color w:val="000000"/>
        </w:rPr>
        <w:t xml:space="preserve">“Special Note Regarding Forward-Looking Statements”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color w:val="000000"/>
        </w:rPr>
        <w:t xml:space="preserve"> “Risk Factors” </w:t>
      </w:r>
      <w:r>
        <w:rPr>
          <w:rFonts w:ascii="Times New Roman" w:cs="Times New Roman" w:eastAsia="Times New Roman" w:hAnsi="Times New Roman"/>
          <w:sz w:val="18"/>
          <w:szCs w:val="18"/>
          <w:i w:val="1"/>
          <w:iCs w:val="1"/>
          <w:color w:val="000000"/>
        </w:rPr>
        <w:t>and discussed elsewhere in this Quarterly Report. Additionally, our historical results are not necessarily indicative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of the results that may be expected for any period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5"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mobile, desktop, in-game, streaming audio and digital billboards.</w:t>
      </w:r>
    </w:p>
    <w:p>
      <w:pPr>
        <w:spacing w:after="0" w:line="71"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household 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7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7"/>
          <w:szCs w:val="17"/>
          <w:color w:val="000000"/>
        </w:rPr>
        <w:t>percentage of spend. Customers who prefer to use our fixed CPM pricing option enter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into insertion order (“IO”) arrangements with us, </w:t>
      </w:r>
      <w:r>
        <w:rPr>
          <w:rFonts w:ascii="Times New Roman" w:cs="Times New Roman" w:eastAsia="Times New Roman" w:hAnsi="Times New Roman"/>
          <w:sz w:val="17"/>
          <w:szCs w:val="17"/>
          <w:color w:val="231F20"/>
        </w:rPr>
        <w:t>and we generate revenue by charging these customers a platform fee at a price for every 1,000 impressions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66"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57"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In September 2024, we launched our artificial intelligence product suite, ViantAI, which we believe will be the foundational component of our long-term vision for autonomous advertising to create the most efficient and cost-effective experience for our customers. ViantAI handles every stage of programmatic advertising, from building campaigns to optimizing execution allowing advertisers and their agencies to rely on ViantAI to manage their campaigns while they focus on broader strategic goals.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September 30, 2024</w:t>
      </w:r>
      <w:r>
        <w:rPr>
          <w:rFonts w:ascii="Times New Roman" w:cs="Times New Roman" w:eastAsia="Times New Roman" w:hAnsi="Times New Roman"/>
          <w:sz w:val="18"/>
          <w:szCs w:val="18"/>
          <w:color w:val="231F20"/>
        </w:rPr>
        <w:t xml:space="preserve"> and 2023, respectively, include:</w:t>
      </w:r>
    </w:p>
    <w:p>
      <w:pPr>
        <w:spacing w:after="0" w:line="113" w:lineRule="exact"/>
        <w:rPr>
          <w:sz w:val="20"/>
          <w:szCs w:val="20"/>
          <w:color w:val="auto"/>
        </w:rPr>
      </w:pPr>
    </w:p>
    <w:p>
      <w:pPr>
        <w:ind w:left="1280" w:hanging="63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$79.9 million and $59.6 million, representing an increase of 34.1%;</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$35.3 million and $28.6 million, representing an increase of 23.4%;</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$47.4 million and $39.1 million, representing an increase of 21.1%;</w:t>
      </w:r>
    </w:p>
    <w:p>
      <w:pPr>
        <w:spacing w:after="0" w:line="58"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income (loss) of $6.5 million and $(0.7) million, representing an improvement of 1,061.0%;</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$12.3 million and $7.6 million, representing an increase of 61.4%; and</w:t>
      </w:r>
    </w:p>
    <w:p>
      <w:pPr>
        <w:spacing w:after="0" w:line="3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1" w:lineRule="exact"/>
        <w:rPr>
          <w:sz w:val="20"/>
          <w:szCs w:val="20"/>
          <w:color w:val="auto"/>
        </w:rPr>
      </w:pPr>
    </w:p>
    <w:p>
      <w:pPr>
        <w:ind w:left="-40" w:right="3520" w:firstLine="166"/>
        <w:spacing w:after="0" w:line="344" w:lineRule="auto"/>
        <w:tabs>
          <w:tab w:leader="none" w:pos="7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Adjusted EBITDA</w:t>
      </w:r>
      <w:r>
        <w:rPr>
          <w:rFonts w:ascii="Times New Roman" w:cs="Times New Roman" w:eastAsia="Times New Roman" w:hAnsi="Times New Roman"/>
          <w:sz w:val="22"/>
          <w:szCs w:val="22"/>
          <w:color w:val="231F20"/>
          <w:vertAlign w:val="superscript"/>
        </w:rPr>
        <w:t>(1)</w:t>
      </w:r>
      <w:r>
        <w:rPr>
          <w:rFonts w:ascii="Times New Roman" w:cs="Times New Roman" w:eastAsia="Times New Roman" w:hAnsi="Times New Roman"/>
          <w:sz w:val="17"/>
          <w:szCs w:val="17"/>
          <w:color w:val="231F20"/>
        </w:rPr>
        <w:t xml:space="preserve"> of $14.7 million and $9.7 million, representing an increase of 51.8%. Our financial results for the nine months ended </w:t>
      </w:r>
      <w:r>
        <w:rPr>
          <w:rFonts w:ascii="Times New Roman" w:cs="Times New Roman" w:eastAsia="Times New Roman" w:hAnsi="Times New Roman"/>
          <w:sz w:val="17"/>
          <w:szCs w:val="17"/>
          <w:color w:val="000000"/>
        </w:rPr>
        <w:t>September 30, 2024</w:t>
      </w:r>
      <w:r>
        <w:rPr>
          <w:rFonts w:ascii="Times New Roman" w:cs="Times New Roman" w:eastAsia="Times New Roman" w:hAnsi="Times New Roman"/>
          <w:sz w:val="17"/>
          <w:szCs w:val="17"/>
          <w:color w:val="231F20"/>
        </w:rPr>
        <w:t xml:space="preserve"> and 2023, respectively, include:</w:t>
      </w: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Revenue of </w:t>
      </w:r>
      <w:r>
        <w:rPr>
          <w:rFonts w:ascii="Times New Roman" w:cs="Times New Roman" w:eastAsia="Times New Roman" w:hAnsi="Times New Roman"/>
          <w:sz w:val="18"/>
          <w:szCs w:val="18"/>
          <w:color w:val="000000"/>
        </w:rPr>
        <w:t>$199.2</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$158.5</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25.6%</w:t>
      </w:r>
      <w:r>
        <w:rPr>
          <w:rFonts w:ascii="Times New Roman" w:cs="Times New Roman" w:eastAsia="Times New Roman" w:hAnsi="Times New Roman"/>
          <w:sz w:val="18"/>
          <w:szCs w:val="18"/>
          <w:color w:val="231F20"/>
        </w:rPr>
        <w:t>;</w:t>
      </w:r>
    </w:p>
    <w:p>
      <w:pPr>
        <w:spacing w:after="0" w:line="112" w:lineRule="exact"/>
        <w:rPr>
          <w:rFonts w:ascii="Times New Roman" w:cs="Times New Roman" w:eastAsia="Times New Roman" w:hAnsi="Times New Roman"/>
          <w:sz w:val="18"/>
          <w:szCs w:val="18"/>
          <w:color w:val="auto"/>
        </w:rPr>
      </w:pP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Gross profit of </w:t>
      </w:r>
      <w:r>
        <w:rPr>
          <w:rFonts w:ascii="Times New Roman" w:cs="Times New Roman" w:eastAsia="Times New Roman" w:hAnsi="Times New Roman"/>
          <w:sz w:val="18"/>
          <w:szCs w:val="18"/>
          <w:color w:val="000000"/>
        </w:rPr>
        <w:t>$89.6</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$70.7</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26.7%</w:t>
      </w:r>
      <w:r>
        <w:rPr>
          <w:rFonts w:ascii="Times New Roman" w:cs="Times New Roman" w:eastAsia="Times New Roman" w:hAnsi="Times New Roman"/>
          <w:sz w:val="18"/>
          <w:szCs w:val="18"/>
          <w:color w:val="231F20"/>
        </w:rPr>
        <w:t>;</w:t>
      </w:r>
    </w:p>
    <w:p>
      <w:pPr>
        <w:spacing w:after="0" w:line="109" w:lineRule="exact"/>
        <w:rPr>
          <w:rFonts w:ascii="Times New Roman" w:cs="Times New Roman" w:eastAsia="Times New Roman" w:hAnsi="Times New Roman"/>
          <w:sz w:val="18"/>
          <w:szCs w:val="18"/>
          <w:color w:val="auto"/>
        </w:rPr>
      </w:pP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$123.0</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$100.8</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22.1%</w:t>
      </w:r>
      <w:r>
        <w:rPr>
          <w:rFonts w:ascii="Times New Roman" w:cs="Times New Roman" w:eastAsia="Times New Roman" w:hAnsi="Times New Roman"/>
          <w:sz w:val="18"/>
          <w:szCs w:val="18"/>
          <w:color w:val="231F20"/>
        </w:rPr>
        <w:t>;</w:t>
      </w:r>
    </w:p>
    <w:p>
      <w:pPr>
        <w:spacing w:after="0" w:line="58" w:lineRule="exact"/>
        <w:rPr>
          <w:rFonts w:ascii="Times New Roman" w:cs="Times New Roman" w:eastAsia="Times New Roman" w:hAnsi="Times New Roman"/>
          <w:sz w:val="18"/>
          <w:szCs w:val="18"/>
          <w:color w:val="auto"/>
        </w:rPr>
      </w:pP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Net income (loss) of </w:t>
      </w:r>
      <w:r>
        <w:rPr>
          <w:rFonts w:ascii="Times New Roman" w:cs="Times New Roman" w:eastAsia="Times New Roman" w:hAnsi="Times New Roman"/>
          <w:sz w:val="18"/>
          <w:szCs w:val="18"/>
          <w:color w:val="000000"/>
        </w:rPr>
        <w:t>$4.7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$(13.3)</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improvement</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135.7%</w:t>
      </w:r>
      <w:r>
        <w:rPr>
          <w:rFonts w:ascii="Times New Roman" w:cs="Times New Roman" w:eastAsia="Times New Roman" w:hAnsi="Times New Roman"/>
          <w:sz w:val="18"/>
          <w:szCs w:val="18"/>
          <w:color w:val="231F20"/>
        </w:rPr>
        <w:t>;</w:t>
      </w:r>
    </w:p>
    <w:p>
      <w:pPr>
        <w:spacing w:after="0" w:line="109" w:lineRule="exact"/>
        <w:rPr>
          <w:rFonts w:ascii="Times New Roman" w:cs="Times New Roman" w:eastAsia="Times New Roman" w:hAnsi="Times New Roman"/>
          <w:sz w:val="18"/>
          <w:szCs w:val="18"/>
          <w:color w:val="auto"/>
        </w:rPr>
      </w:pP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$20.9</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$10.8</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93.0%</w:t>
      </w:r>
      <w:r>
        <w:rPr>
          <w:rFonts w:ascii="Times New Roman" w:cs="Times New Roman" w:eastAsia="Times New Roman" w:hAnsi="Times New Roman"/>
          <w:sz w:val="18"/>
          <w:szCs w:val="18"/>
          <w:color w:val="231F20"/>
        </w:rPr>
        <w:t>; and</w:t>
      </w:r>
    </w:p>
    <w:p>
      <w:pPr>
        <w:spacing w:after="0" w:line="55" w:lineRule="exact"/>
        <w:rPr>
          <w:rFonts w:ascii="Times New Roman" w:cs="Times New Roman" w:eastAsia="Times New Roman" w:hAnsi="Times New Roman"/>
          <w:sz w:val="18"/>
          <w:szCs w:val="18"/>
          <w:color w:val="auto"/>
        </w:rPr>
      </w:pPr>
    </w:p>
    <w:p>
      <w:pPr>
        <w:ind w:left="760" w:hanging="63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$27.4</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$16.1</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69.9%</w:t>
      </w:r>
      <w:r>
        <w:rPr>
          <w:rFonts w:ascii="Times New Roman" w:cs="Times New Roman" w:eastAsia="Times New Roman" w:hAnsi="Times New Roman"/>
          <w:sz w:val="18"/>
          <w:szCs w:val="18"/>
          <w:color w:val="231F20"/>
        </w:rPr>
        <w:t>.</w:t>
      </w:r>
    </w:p>
    <w:p>
      <w:pPr>
        <w:spacing w:after="0" w:line="165" w:lineRule="exact"/>
        <w:rPr>
          <w:sz w:val="20"/>
          <w:szCs w:val="20"/>
          <w:color w:val="auto"/>
        </w:rPr>
      </w:pPr>
    </w:p>
    <w:p>
      <w:pPr>
        <w:ind w:left="440" w:hanging="314"/>
        <w:spacing w:after="0" w:line="257" w:lineRule="auto"/>
        <w:tabs>
          <w:tab w:leader="none" w:pos="434"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Contribution ex-TAC, non-GAAP net income and adjusted EBITDA are non-GAAP financial measures. For a detailed discussion of our key operating and financial performance measures and a reconciliation of contribution ex-TAC, non-GAAP net income and adjusted EBITDA to the most directly comparable financial measures calculated in accordance with generally accepted </w:t>
      </w:r>
      <w:r>
        <w:rPr>
          <w:rFonts w:ascii="Times New Roman" w:cs="Times New Roman" w:eastAsia="Times New Roman" w:hAnsi="Times New Roman"/>
          <w:sz w:val="18"/>
          <w:szCs w:val="18"/>
          <w:color w:val="000000"/>
        </w:rPr>
        <w:t>accounting principles in the United States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America </w:t>
      </w:r>
      <w:r>
        <w:rPr>
          <w:rFonts w:ascii="Times New Roman" w:cs="Times New Roman" w:eastAsia="Times New Roman" w:hAnsi="Times New Roman"/>
          <w:sz w:val="18"/>
          <w:szCs w:val="18"/>
          <w:color w:val="231F20"/>
        </w:rPr>
        <w:t>(“GAAP”), see “</w:t>
      </w:r>
      <w:r>
        <w:rPr>
          <w:rFonts w:ascii="Times New Roman" w:cs="Times New Roman" w:eastAsia="Times New Roman" w:hAnsi="Times New Roman"/>
          <w:sz w:val="18"/>
          <w:szCs w:val="18"/>
          <w:i w:val="1"/>
          <w:iCs w:val="1"/>
          <w:color w:val="231F20"/>
        </w:rPr>
        <w:t>—Key Operating and Financial Performance Measures—Use of Non-GAAP Financial Measures.</w:t>
      </w:r>
      <w:r>
        <w:rPr>
          <w:rFonts w:ascii="Times New Roman" w:cs="Times New Roman" w:eastAsia="Times New Roman" w:hAnsi="Times New Roman"/>
          <w:sz w:val="18"/>
          <w:szCs w:val="18"/>
          <w:color w:val="231F20"/>
        </w:rPr>
        <w: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840" w:top="119" w:right="359" w:bottom="1440" w:gutter="0" w:footer="0" w:header="0"/>
        </w:sectPr>
      </w:pPr>
    </w:p>
    <w:bookmarkStart w:id="24" w:name="page25"/>
    <w:bookmarkEnd w:id="2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w:t>
      </w:r>
      <w:r>
        <w:rPr>
          <w:rFonts w:ascii="Times New Roman" w:cs="Times New Roman" w:eastAsia="Times New Roman" w:hAnsi="Times New Roman"/>
          <w:sz w:val="18"/>
          <w:szCs w:val="18"/>
          <w:color w:val="000000"/>
        </w:rPr>
        <w:t>s most channels, we believe we are well positioned to capture more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accelerate market share gains and expand our total addressable market. Furthe</w:t>
      </w:r>
      <w:r>
        <w:rPr>
          <w:rFonts w:ascii="Times New Roman" w:cs="Times New Roman" w:eastAsia="Times New Roman" w:hAnsi="Times New Roman"/>
          <w:sz w:val="18"/>
          <w:szCs w:val="18"/>
          <w:color w:val="231F20"/>
        </w:rPr>
        <w:t>r, we intend to continue to grow</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our sales and marketing efforts to increase awareness of our DSP and highlight the advantages of our household ID and strategic partner data as a superior option to cookie-based targeting.</w:t>
      </w:r>
    </w:p>
    <w:p>
      <w:pPr>
        <w:spacing w:after="0" w:line="81"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nine months ended September 30, 2024 compared to the nine months ended September 30, 2023, our revenue grew 26%. We believe growing customer adoption of our newer products and platform features continued to drive incremental revenue, gross profit and contribution ex-TAC during the nine months ended September 30, 2024.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Macroeconomic conditions and geopolitical events, such as pandemics, inflation, high interest rates, tightening of credit markets, recession risks, labor shortages, supply chain disruptions,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115"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and nine months ended September 30, 2024 and 2023:</w:t>
      </w:r>
    </w:p>
    <w:p>
      <w:pPr>
        <w:spacing w:after="0" w:line="8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59,585</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158,528</w:t>
            </w:r>
          </w:p>
        </w:tc>
      </w:tr>
      <w:tr>
        <w:trPr>
          <w:trHeight w:val="227"/>
        </w:trPr>
        <w:tc>
          <w:tcPr>
            <w:tcW w:w="45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87,825</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33,658</w:t>
            </w:r>
          </w:p>
        </w:tc>
      </w:tr>
      <w:tr>
        <w:trPr>
          <w:trHeight w:val="22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177,706</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(13,070)</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0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37"/>
        </w:trPr>
        <w:tc>
          <w:tcPr>
            <w:tcW w:w="43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8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2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60"/>
        </w:trPr>
        <w:tc>
          <w:tcPr>
            <w:tcW w:w="4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920" w:type="dxa"/>
            <w:vAlign w:val="bottom"/>
          </w:tcPr>
          <w:p>
            <w:pPr>
              <w:spacing w:after="0"/>
              <w:rPr>
                <w:sz w:val="22"/>
                <w:szCs w:val="22"/>
                <w:color w:val="auto"/>
              </w:rPr>
            </w:pPr>
          </w:p>
        </w:tc>
      </w:tr>
      <w:tr>
        <w:trPr>
          <w:trHeight w:val="22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7"/>
        </w:trPr>
        <w:tc>
          <w:tcPr>
            <w:tcW w:w="522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7"/>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7"/>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7"/>
        </w:trPr>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7"/>
        </w:trPr>
        <w:tc>
          <w:tcPr>
            <w:tcW w:w="5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80" w:type="dxa"/>
            <w:vAlign w:val="bottom"/>
            <w:tcBorders>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3"/>
        </w:trPr>
        <w:tc>
          <w:tcPr>
            <w:tcW w:w="52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960" w:hanging="314"/>
        <w:spacing w:after="0"/>
        <w:tabs>
          <w:tab w:leader="none" w:pos="9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are as follows: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1,171</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2,903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5,329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8,734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0"/>
        </w:trPr>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w w:val="96"/>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3,383</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3,147</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10,440</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4,018</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10,367</w:t>
            </w:r>
          </w:p>
        </w:tc>
      </w:tr>
      <w:tr>
        <w:trPr>
          <w:trHeight w:val="20"/>
        </w:trPr>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80" w:type="dxa"/>
            <w:vAlign w:val="bottom"/>
            <w:gridSpan w:val="4"/>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4"/>
        </w:trPr>
        <w:tc>
          <w:tcPr>
            <w:tcW w:w="45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r>
      <w:tr>
        <w:trPr>
          <w:trHeight w:val="220"/>
        </w:trPr>
        <w:tc>
          <w:tcPr>
            <w:tcW w:w="45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6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45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September 30, 2024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80" w:type="dxa"/>
            <w:vAlign w:val="bottom"/>
          </w:tcPr>
          <w:p>
            <w:pPr>
              <w:spacing w:after="0"/>
              <w:rPr>
                <w:sz w:val="18"/>
                <w:szCs w:val="18"/>
                <w:color w:val="auto"/>
              </w:rPr>
            </w:pPr>
          </w:p>
        </w:tc>
        <w:tc>
          <w:tcPr>
            <w:tcW w:w="15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231F20"/>
        </w:rPr>
        <w:t xml:space="preserve">Revenue </w:t>
      </w:r>
      <w:r>
        <w:rPr>
          <w:rFonts w:ascii="Times New Roman" w:cs="Times New Roman" w:eastAsia="Times New Roman" w:hAnsi="Times New Roman"/>
          <w:sz w:val="17"/>
          <w:szCs w:val="17"/>
          <w:color w:val="000000"/>
        </w:rPr>
        <w:t>increased</w:t>
      </w:r>
      <w:r>
        <w:rPr>
          <w:rFonts w:ascii="Times New Roman" w:cs="Times New Roman" w:eastAsia="Times New Roman" w:hAnsi="Times New Roman"/>
          <w:sz w:val="17"/>
          <w:szCs w:val="17"/>
          <w:color w:val="231F20"/>
        </w:rPr>
        <w:t xml:space="preserve"> by $20.3 million, or 34%, during the three months ended September 30, 2024 compared to the three months ended September 30,</w:t>
      </w:r>
    </w:p>
    <w:p>
      <w:pPr>
        <w:spacing w:after="0" w:line="37"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18"/>
          <w:szCs w:val="18"/>
          <w:color w:val="231F20"/>
        </w:rPr>
        <w:t xml:space="preserve">2023. </w:t>
      </w:r>
      <w:r>
        <w:rPr>
          <w:rFonts w:ascii="Times New Roman" w:cs="Times New Roman" w:eastAsia="Times New Roman" w:hAnsi="Times New Roman"/>
          <w:sz w:val="18"/>
          <w:szCs w:val="18"/>
          <w:color w:val="000000"/>
        </w:rPr>
        <w:t>The increase was primarily due to an 154% increase in revenue from marketers in the political, automotive, travel, and consumer goods industry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verticals, and a net 6% increase in all other industry verticals.</w:t>
      </w:r>
    </w:p>
    <w:p>
      <w:pPr>
        <w:spacing w:after="0" w:line="39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27" w:name="page28"/>
    <w:bookmarkEnd w:id="2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12,028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$13.6 million, or 44%, during the three months ended September 30, 2024 compared to the three months ended September 30, 2023.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$12.1 million increase in traffic acquisition costs (“TAC”), </w:t>
      </w:r>
      <w:r>
        <w:rPr>
          <w:rFonts w:ascii="Times New Roman" w:cs="Times New Roman" w:eastAsia="Times New Roman" w:hAnsi="Times New Roman"/>
          <w:sz w:val="18"/>
          <w:szCs w:val="18"/>
          <w:color w:val="000000"/>
        </w:rPr>
        <w:t>a variable function of revenue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related to our fixed CPM pricing option and certain arrangements related to our percentage of spend pricing option. The increase was also due to higher other platform operations expense which was driven by a $1.3 million increase in platform costs related to non-operational media purchases, a $</w:t>
      </w:r>
      <w:r>
        <w:rPr>
          <w:rFonts w:ascii="Times New Roman" w:cs="Times New Roman" w:eastAsia="Times New Roman" w:hAnsi="Times New Roman"/>
          <w:sz w:val="18"/>
          <w:szCs w:val="18"/>
          <w:color w:val="231F20"/>
        </w:rPr>
        <w:t>0.5</w:t>
      </w:r>
      <w:r>
        <w:rPr>
          <w:rFonts w:ascii="Times New Roman" w:cs="Times New Roman" w:eastAsia="Times New Roman" w:hAnsi="Times New Roman"/>
          <w:sz w:val="18"/>
          <w:szCs w:val="18"/>
          <w:color w:val="000000"/>
        </w:rPr>
        <w:t xml:space="preserve"> million increase in cloud and data center services in support of our DSP, a $</w:t>
      </w:r>
      <w:r>
        <w:rPr>
          <w:rFonts w:ascii="Times New Roman" w:cs="Times New Roman" w:eastAsia="Times New Roman" w:hAnsi="Times New Roman"/>
          <w:sz w:val="18"/>
          <w:szCs w:val="18"/>
          <w:color w:val="231F20"/>
        </w:rPr>
        <w:t>0.2</w:t>
      </w:r>
      <w:r>
        <w:rPr>
          <w:rFonts w:ascii="Times New Roman" w:cs="Times New Roman" w:eastAsia="Times New Roman" w:hAnsi="Times New Roman"/>
          <w:sz w:val="18"/>
          <w:szCs w:val="18"/>
          <w:color w:val="000000"/>
        </w:rPr>
        <w:t xml:space="preserve"> million increase in depreciation driven by our continued investment in developed technology and a $</w:t>
      </w:r>
      <w:r>
        <w:rPr>
          <w:rFonts w:ascii="Times New Roman" w:cs="Times New Roman" w:eastAsia="Times New Roman" w:hAnsi="Times New Roman"/>
          <w:sz w:val="18"/>
          <w:szCs w:val="18"/>
          <w:color w:val="231F20"/>
        </w:rPr>
        <w:t>0.1</w:t>
      </w:r>
      <w:r>
        <w:rPr>
          <w:rFonts w:ascii="Times New Roman" w:cs="Times New Roman" w:eastAsia="Times New Roman" w:hAnsi="Times New Roman"/>
          <w:sz w:val="18"/>
          <w:szCs w:val="18"/>
          <w:color w:val="000000"/>
        </w:rPr>
        <w:t xml:space="preserve"> million increase in personnel costs, partially offset by a $</w:t>
      </w:r>
      <w:r>
        <w:rPr>
          <w:rFonts w:ascii="Times New Roman" w:cs="Times New Roman" w:eastAsia="Times New Roman" w:hAnsi="Times New Roman"/>
          <w:sz w:val="18"/>
          <w:szCs w:val="18"/>
          <w:color w:val="231F20"/>
        </w:rPr>
        <w:t>0.6</w:t>
      </w:r>
      <w:r>
        <w:rPr>
          <w:rFonts w:ascii="Times New Roman" w:cs="Times New Roman" w:eastAsia="Times New Roman" w:hAnsi="Times New Roman"/>
          <w:sz w:val="18"/>
          <w:szCs w:val="18"/>
          <w:color w:val="000000"/>
        </w:rPr>
        <w:t xml:space="preserve"> million decrease in stock-based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14,146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40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$1.1 million, or 8%, during the three months ended September 30, 2024 compared to the three months ended September 30, 2023. This </w:t>
      </w:r>
      <w:r>
        <w:rPr>
          <w:rFonts w:ascii="Times New Roman" w:cs="Times New Roman" w:eastAsia="Times New Roman" w:hAnsi="Times New Roman"/>
          <w:sz w:val="18"/>
          <w:szCs w:val="18"/>
          <w:color w:val="000000"/>
        </w:rPr>
        <w:t>decrease</w:t>
      </w:r>
      <w:r>
        <w:rPr>
          <w:rFonts w:ascii="Times New Roman" w:cs="Times New Roman" w:eastAsia="Times New Roman" w:hAnsi="Times New Roman"/>
          <w:sz w:val="18"/>
          <w:szCs w:val="18"/>
          <w:color w:val="231F20"/>
        </w:rPr>
        <w:t xml:space="preserve"> was primarily due to a $1.4 million decrease in stock-based compensation and a $1.2 million decrease in advertising expense, partially offset by a $1.5 million increase in personnel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$0.5 million, or 8%, during the three months ended September 30, 2024 compared to the three months ended September 30, 2023. </w:t>
      </w:r>
      <w:r>
        <w:rPr>
          <w:rFonts w:ascii="Times New Roman" w:cs="Times New Roman" w:eastAsia="Times New Roman" w:hAnsi="Times New Roman"/>
          <w:sz w:val="18"/>
          <w:szCs w:val="18"/>
          <w:color w:val="000000"/>
        </w:rPr>
        <w:t>This decrease was primarily due to a $0.8 million decrease in stock-based compensation, partially offset by a $0.2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in personnel costs and a $0.1 million increase in technology costs in support of our DSP.</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$1.5 million, or 14%, during the three months ended September 30, 2024 compared to the three months ended September 30, 2023. </w:t>
      </w:r>
      <w:r>
        <w:rPr>
          <w:rFonts w:ascii="Times New Roman" w:cs="Times New Roman" w:eastAsia="Times New Roman" w:hAnsi="Times New Roman"/>
          <w:sz w:val="18"/>
          <w:szCs w:val="18"/>
          <w:color w:val="000000"/>
        </w:rPr>
        <w:t>This increase was primarily due to a $</w:t>
      </w:r>
      <w:r>
        <w:rPr>
          <w:rFonts w:ascii="Times New Roman" w:cs="Times New Roman" w:eastAsia="Times New Roman" w:hAnsi="Times New Roman"/>
          <w:sz w:val="18"/>
          <w:szCs w:val="18"/>
          <w:color w:val="231F20"/>
        </w:rPr>
        <w:t xml:space="preserve">1.1 </w:t>
      </w:r>
      <w:r>
        <w:rPr>
          <w:rFonts w:ascii="Times New Roman" w:cs="Times New Roman" w:eastAsia="Times New Roman" w:hAnsi="Times New Roman"/>
          <w:sz w:val="18"/>
          <w:szCs w:val="18"/>
          <w:color w:val="000000"/>
        </w:rPr>
        <w:t>million increase in personnel costs, a $0.9 million increase in bad debt expense,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 $0.2 million increase in travel and entertainment expense and a $0.1 million increase in accounting, legal, and consulting expenses associated with general corporate and compliance matters, partially offset by a</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$0.5 million decrease in stock-based compensation, a $</w:t>
      </w:r>
      <w:r>
        <w:rPr>
          <w:rFonts w:ascii="Times New Roman" w:cs="Times New Roman" w:eastAsia="Times New Roman" w:hAnsi="Times New Roman"/>
          <w:sz w:val="17"/>
          <w:szCs w:val="17"/>
          <w:color w:val="231F20"/>
        </w:rPr>
        <w:t>0.2</w:t>
      </w:r>
      <w:r>
        <w:rPr>
          <w:rFonts w:ascii="Times New Roman" w:cs="Times New Roman" w:eastAsia="Times New Roman" w:hAnsi="Times New Roman"/>
          <w:sz w:val="17"/>
          <w:szCs w:val="17"/>
          <w:color w:val="auto"/>
        </w:rPr>
        <w:t xml:space="preserve"> million decrease in recruiting services and a $</w:t>
      </w:r>
      <w:r>
        <w:rPr>
          <w:rFonts w:ascii="Times New Roman" w:cs="Times New Roman" w:eastAsia="Times New Roman" w:hAnsi="Times New Roman"/>
          <w:sz w:val="17"/>
          <w:szCs w:val="17"/>
          <w:color w:val="231F20"/>
        </w:rPr>
        <w:t>0.1</w:t>
      </w:r>
      <w:r>
        <w:rPr>
          <w:rFonts w:ascii="Times New Roman" w:cs="Times New Roman" w:eastAsia="Times New Roman" w:hAnsi="Times New Roman"/>
          <w:sz w:val="17"/>
          <w:szCs w:val="17"/>
          <w:color w:val="auto"/>
        </w:rPr>
        <w:t xml:space="preserve"> million decrease in business insurance expense.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380" w:firstLine="480"/>
        <w:spacing w:after="0" w:line="306" w:lineRule="auto"/>
        <w:rPr>
          <w:sz w:val="20"/>
          <w:szCs w:val="20"/>
          <w:color w:val="auto"/>
        </w:rPr>
      </w:pPr>
      <w:r>
        <w:rPr>
          <w:rFonts w:ascii="Times New Roman" w:cs="Times New Roman" w:eastAsia="Times New Roman" w:hAnsi="Times New Roman"/>
          <w:sz w:val="17"/>
          <w:szCs w:val="17"/>
          <w:color w:val="231F20"/>
        </w:rPr>
        <w:t xml:space="preserve">Total other income, net </w:t>
      </w:r>
      <w:r>
        <w:rPr>
          <w:rFonts w:ascii="Times New Roman" w:cs="Times New Roman" w:eastAsia="Times New Roman" w:hAnsi="Times New Roman"/>
          <w:sz w:val="17"/>
          <w:szCs w:val="17"/>
          <w:color w:val="000000"/>
        </w:rPr>
        <w:t>increased</w:t>
      </w:r>
      <w:r>
        <w:rPr>
          <w:rFonts w:ascii="Times New Roman" w:cs="Times New Roman" w:eastAsia="Times New Roman" w:hAnsi="Times New Roman"/>
          <w:sz w:val="17"/>
          <w:szCs w:val="17"/>
          <w:color w:val="231F20"/>
        </w:rPr>
        <w:t xml:space="preserve"> by </w:t>
      </w:r>
      <w:r>
        <w:rPr>
          <w:rFonts w:ascii="Times New Roman" w:cs="Times New Roman" w:eastAsia="Times New Roman" w:hAnsi="Times New Roman"/>
          <w:sz w:val="17"/>
          <w:szCs w:val="17"/>
          <w:color w:val="000000"/>
        </w:rPr>
        <w:t>$0.1</w:t>
      </w:r>
      <w:r>
        <w:rPr>
          <w:rFonts w:ascii="Times New Roman" w:cs="Times New Roman" w:eastAsia="Times New Roman" w:hAnsi="Times New Roman"/>
          <w:sz w:val="17"/>
          <w:szCs w:val="17"/>
          <w:color w:val="231F20"/>
        </w:rPr>
        <w:t xml:space="preserve"> million, or </w:t>
      </w:r>
      <w:r>
        <w:rPr>
          <w:rFonts w:ascii="Times New Roman" w:cs="Times New Roman" w:eastAsia="Times New Roman" w:hAnsi="Times New Roman"/>
          <w:sz w:val="17"/>
          <w:szCs w:val="17"/>
          <w:color w:val="000000"/>
        </w:rPr>
        <w:t>3%,</w:t>
      </w:r>
      <w:r>
        <w:rPr>
          <w:rFonts w:ascii="Times New Roman" w:cs="Times New Roman" w:eastAsia="Times New Roman" w:hAnsi="Times New Roman"/>
          <w:sz w:val="17"/>
          <w:szCs w:val="17"/>
          <w:color w:val="231F20"/>
        </w:rPr>
        <w:t xml:space="preserve"> during the three months ended September 30, 2024 compared to the three months ended September 30, 2023. </w:t>
      </w:r>
      <w:r>
        <w:rPr>
          <w:rFonts w:ascii="Times New Roman" w:cs="Times New Roman" w:eastAsia="Times New Roman" w:hAnsi="Times New Roman"/>
          <w:sz w:val="17"/>
          <w:szCs w:val="17"/>
          <w:color w:val="000000"/>
        </w:rPr>
        <w:t>This increase was primarily attributable to higher interest income on cash and cash equivalents driven by higher interest rates.</w:t>
      </w:r>
    </w:p>
    <w:p>
      <w:pPr>
        <w:spacing w:after="0" w:line="35" w:lineRule="exact"/>
        <w:rPr>
          <w:sz w:val="20"/>
          <w:szCs w:val="20"/>
          <w:color w:val="auto"/>
        </w:rPr>
      </w:pPr>
    </w:p>
    <w:p>
      <w:pPr>
        <w:ind w:right="440" w:firstLine="480"/>
        <w:spacing w:after="0" w:line="276" w:lineRule="auto"/>
        <w:rPr>
          <w:sz w:val="20"/>
          <w:szCs w:val="20"/>
          <w:color w:val="auto"/>
        </w:rPr>
      </w:pPr>
      <w:r>
        <w:rPr>
          <w:rFonts w:ascii="Times New Roman" w:cs="Times New Roman" w:eastAsia="Times New Roman" w:hAnsi="Times New Roman"/>
          <w:sz w:val="18"/>
          <w:szCs w:val="18"/>
          <w:color w:val="auto"/>
        </w:rPr>
        <w:t>For the three months ended September 30, 2024 and 2023, total interest cost incurred was $0.1 million. Interest costs capitalized during the three months ended September 30, 2024 and 2023 were de minimis.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80" w:type="dxa"/>
            <w:vAlign w:val="bottom"/>
            <w:gridSpan w:val="4"/>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20" w:type="dxa"/>
            <w:vAlign w:val="bottom"/>
          </w:tcPr>
          <w:p>
            <w:pPr>
              <w:spacing w:after="0"/>
              <w:rPr>
                <w:sz w:val="20"/>
                <w:szCs w:val="20"/>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September 30,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de minimis</w:t>
      </w:r>
      <w:r>
        <w:rPr>
          <w:rFonts w:ascii="Times New Roman" w:cs="Times New Roman" w:eastAsia="Times New Roman" w:hAnsi="Times New Roman"/>
          <w:sz w:val="18"/>
          <w:szCs w:val="18"/>
          <w:color w:val="231F20"/>
        </w:rPr>
        <w:t xml:space="preserve"> during the three months ended September 30, 2024, </w:t>
      </w:r>
      <w:r>
        <w:rPr>
          <w:rFonts w:ascii="Times New Roman" w:cs="Times New Roman" w:eastAsia="Times New Roman" w:hAnsi="Times New Roman"/>
          <w:sz w:val="18"/>
          <w:szCs w:val="18"/>
          <w:color w:val="000000"/>
        </w:rPr>
        <w:t>compared to a provision of $0.2 million for the three months ended</w:t>
      </w:r>
      <w:r>
        <w:rPr>
          <w:rFonts w:ascii="Times New Roman" w:cs="Times New Roman" w:eastAsia="Times New Roman" w:hAnsi="Times New Roman"/>
          <w:sz w:val="18"/>
          <w:szCs w:val="18"/>
          <w:color w:val="231F20"/>
        </w:rPr>
        <w:t xml:space="preserve">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Comparison of the </w:t>
      </w:r>
      <w:r>
        <w:rPr>
          <w:rFonts w:ascii="Times New Roman" w:cs="Times New Roman" w:eastAsia="Times New Roman" w:hAnsi="Times New Roman"/>
          <w:sz w:val="18"/>
          <w:szCs w:val="18"/>
          <w:b w:val="1"/>
          <w:bCs w:val="1"/>
          <w:color w:val="000000"/>
        </w:rPr>
        <w:t>Nine Months Ended September 30, 2024</w:t>
      </w:r>
      <w:r>
        <w:rPr>
          <w:rFonts w:ascii="Times New Roman" w:cs="Times New Roman" w:eastAsia="Times New Roman" w:hAnsi="Times New Roman"/>
          <w:sz w:val="18"/>
          <w:szCs w:val="18"/>
          <w:b w:val="1"/>
          <w:bCs w:val="1"/>
          <w:color w:val="231F20"/>
        </w:rPr>
        <w:t xml:space="preserve">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80" w:type="dxa"/>
            <w:vAlign w:val="bottom"/>
          </w:tcPr>
          <w:p>
            <w:pPr>
              <w:spacing w:after="0"/>
              <w:rPr>
                <w:sz w:val="18"/>
                <w:szCs w:val="18"/>
                <w:color w:val="auto"/>
              </w:rPr>
            </w:pPr>
          </w:p>
        </w:tc>
        <w:tc>
          <w:tcPr>
            <w:tcW w:w="154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47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$40.7</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26%</w:t>
      </w:r>
      <w:r>
        <w:rPr>
          <w:rFonts w:ascii="Times New Roman" w:cs="Times New Roman" w:eastAsia="Times New Roman" w:hAnsi="Times New Roman"/>
          <w:sz w:val="18"/>
          <w:szCs w:val="18"/>
          <w:color w:val="231F20"/>
        </w:rPr>
        <w:t xml:space="preserve">, during the nine months ended September 30, 2024 compared to the nine months ended September 30, 2023. </w:t>
      </w:r>
      <w:r>
        <w:rPr>
          <w:rFonts w:ascii="Times New Roman" w:cs="Times New Roman" w:eastAsia="Times New Roman" w:hAnsi="Times New Roman"/>
          <w:sz w:val="18"/>
          <w:szCs w:val="18"/>
          <w:color w:val="000000"/>
        </w:rPr>
        <w:t>The increase was primarily due to a 67% increase in revenue from marketers in the travel, automotive, consumer goods, and political industry verticals,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a net 13% increase in all other industry verticals.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33,450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30,078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87,825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34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Platform operations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$21.8</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during the nine months ended September 30, 2024 compared to the nine months ended September 30, 2023.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an $</w:t>
      </w:r>
      <w:r>
        <w:rPr>
          <w:rFonts w:ascii="Times New Roman" w:cs="Times New Roman" w:eastAsia="Times New Roman" w:hAnsi="Times New Roman"/>
          <w:sz w:val="18"/>
          <w:szCs w:val="18"/>
          <w:color w:val="000000"/>
        </w:rPr>
        <w:t>18.4</w:t>
      </w:r>
      <w:r>
        <w:rPr>
          <w:rFonts w:ascii="Times New Roman" w:cs="Times New Roman" w:eastAsia="Times New Roman" w:hAnsi="Times New Roman"/>
          <w:sz w:val="18"/>
          <w:szCs w:val="18"/>
          <w:color w:val="231F20"/>
        </w:rPr>
        <w:t xml:space="preserve"> million increase in TAC, </w:t>
      </w:r>
      <w:r>
        <w:rPr>
          <w:rFonts w:ascii="Times New Roman" w:cs="Times New Roman" w:eastAsia="Times New Roman" w:hAnsi="Times New Roman"/>
          <w:sz w:val="18"/>
          <w:szCs w:val="18"/>
          <w:color w:val="000000"/>
        </w:rPr>
        <w:t>a variable function of revenue related to our fixed CPM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pricing option and certain arrangements related to our percentage of spend pricing option. The increase was also due to higher other platform operations expense which was driven by a $1.7 million increase in cloud</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data center services in support of our DSP, a $1.6 million increase in depreciation, driven by our continued investment in developed technology, a $1.3 million increase in platform costs related to non-operational media purchases and a $</w:t>
      </w:r>
      <w:r>
        <w:rPr>
          <w:rFonts w:ascii="Times New Roman" w:cs="Times New Roman" w:eastAsia="Times New Roman" w:hAnsi="Times New Roman"/>
          <w:sz w:val="18"/>
          <w:szCs w:val="18"/>
          <w:color w:val="231F20"/>
        </w:rPr>
        <w:t>0.5</w:t>
      </w:r>
      <w:r>
        <w:rPr>
          <w:rFonts w:ascii="Times New Roman" w:cs="Times New Roman" w:eastAsia="Times New Roman" w:hAnsi="Times New Roman"/>
          <w:sz w:val="18"/>
          <w:szCs w:val="18"/>
          <w:color w:val="auto"/>
        </w:rPr>
        <w:t xml:space="preserve"> million increase in personnel costs, partially offset by a $</w:t>
      </w:r>
      <w:r>
        <w:rPr>
          <w:rFonts w:ascii="Times New Roman" w:cs="Times New Roman" w:eastAsia="Times New Roman" w:hAnsi="Times New Roman"/>
          <w:sz w:val="18"/>
          <w:szCs w:val="18"/>
          <w:color w:val="231F20"/>
        </w:rPr>
        <w:t>1.7</w:t>
      </w:r>
      <w:r>
        <w:rPr>
          <w:rFonts w:ascii="Times New Roman" w:cs="Times New Roman" w:eastAsia="Times New Roman" w:hAnsi="Times New Roman"/>
          <w:sz w:val="18"/>
          <w:szCs w:val="18"/>
          <w:color w:val="auto"/>
        </w:rPr>
        <w:t xml:space="preserve"> million decrease in stock-based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38,994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38,006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3%</w:t>
      </w:r>
      <w:r>
        <w:rPr>
          <w:rFonts w:ascii="Times New Roman" w:cs="Times New Roman" w:eastAsia="Times New Roman" w:hAnsi="Times New Roman"/>
          <w:sz w:val="18"/>
          <w:szCs w:val="18"/>
          <w:color w:val="231F20"/>
        </w:rPr>
        <w:t xml:space="preserve">, during the nine months ended September 30, 2024 compared to the nine months ended September 30, 2023. This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primarily due to a $3.4 million increase in personnel costs, a $1.6 million increase in advertising expense and a $0.7 million increase in travel and entertainment expense, partially offset by a $4.5 million decrease in stock-based compensation and a $0.2 million decrease in facilities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Technology and development expense </w:t>
      </w:r>
      <w:r>
        <w:rPr>
          <w:rFonts w:ascii="Times New Roman" w:cs="Times New Roman" w:eastAsia="Times New Roman" w:hAnsi="Times New Roman"/>
          <w:sz w:val="18"/>
          <w:szCs w:val="18"/>
          <w:color w:val="000000"/>
        </w:rPr>
        <w:t>decreased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$1.5</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31F20"/>
        </w:rPr>
        <w:t xml:space="preserve">, during the nine months ended September 30, 2024 compared to the nine months ended September 30, 2023. </w:t>
      </w:r>
      <w:r>
        <w:rPr>
          <w:rFonts w:ascii="Times New Roman" w:cs="Times New Roman" w:eastAsia="Times New Roman" w:hAnsi="Times New Roman"/>
          <w:sz w:val="18"/>
          <w:szCs w:val="18"/>
          <w:color w:val="000000"/>
        </w:rPr>
        <w:t>This decrease was primarily due to a $2.5 million decrease in stock-based compensation and a $0.2 million decrease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facilities expense, partially offset by a $0.6 million increase in personnel costs, a $0.3 million increase in technology costs in support of our DSP and a $0.1 million increase in depreciation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1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36,334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by </w:t>
      </w:r>
      <w:r>
        <w:rPr>
          <w:rFonts w:ascii="Times New Roman" w:cs="Times New Roman" w:eastAsia="Times New Roman" w:hAnsi="Times New Roman"/>
          <w:sz w:val="18"/>
          <w:szCs w:val="18"/>
          <w:color w:val="000000"/>
        </w:rPr>
        <w:t>$2.7</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31F20"/>
        </w:rPr>
        <w:t xml:space="preserve">, during the nine months ended September 30, 2024 compared to the nine months ended September 30, 2023. </w:t>
      </w:r>
      <w:r>
        <w:rPr>
          <w:rFonts w:ascii="Times New Roman" w:cs="Times New Roman" w:eastAsia="Times New Roman" w:hAnsi="Times New Roman"/>
          <w:sz w:val="18"/>
          <w:szCs w:val="18"/>
          <w:color w:val="000000"/>
        </w:rPr>
        <w:t>This increase was primarily due to a $</w:t>
      </w:r>
      <w:r>
        <w:rPr>
          <w:rFonts w:ascii="Times New Roman" w:cs="Times New Roman" w:eastAsia="Times New Roman" w:hAnsi="Times New Roman"/>
          <w:sz w:val="18"/>
          <w:szCs w:val="18"/>
          <w:color w:val="231F20"/>
        </w:rPr>
        <w:t xml:space="preserve">2.2 </w:t>
      </w:r>
      <w:r>
        <w:rPr>
          <w:rFonts w:ascii="Times New Roman" w:cs="Times New Roman" w:eastAsia="Times New Roman" w:hAnsi="Times New Roman"/>
          <w:sz w:val="18"/>
          <w:szCs w:val="18"/>
          <w:color w:val="000000"/>
        </w:rPr>
        <w:t>million increase in personnel costs, a $0.8 million increase in bad debt expense, a $0.8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increase in accounting, legal, and consulting expenses associated with general corporate and compliance matters, a $0.5 million increase in travel and entertainment expense and a $0.2 million increase in facilities expense, partially offset by a $0.7 million decrease in business insurance, licenses and taxes expense, a $0.7 million decrease in stock-based compensation and a $0.4 million decrease in recruiting services.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(6,108)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340" w:firstLine="480"/>
        <w:spacing w:after="0" w:line="306" w:lineRule="auto"/>
        <w:rPr>
          <w:sz w:val="20"/>
          <w:szCs w:val="20"/>
          <w:color w:val="auto"/>
        </w:rPr>
      </w:pPr>
      <w:r>
        <w:rPr>
          <w:rFonts w:ascii="Times New Roman" w:cs="Times New Roman" w:eastAsia="Times New Roman" w:hAnsi="Times New Roman"/>
          <w:sz w:val="17"/>
          <w:szCs w:val="17"/>
          <w:color w:val="231F20"/>
        </w:rPr>
        <w:t xml:space="preserve">Total other income, net </w:t>
      </w:r>
      <w:r>
        <w:rPr>
          <w:rFonts w:ascii="Times New Roman" w:cs="Times New Roman" w:eastAsia="Times New Roman" w:hAnsi="Times New Roman"/>
          <w:sz w:val="17"/>
          <w:szCs w:val="17"/>
          <w:color w:val="000000"/>
        </w:rPr>
        <w:t>increased</w:t>
      </w:r>
      <w:r>
        <w:rPr>
          <w:rFonts w:ascii="Times New Roman" w:cs="Times New Roman" w:eastAsia="Times New Roman" w:hAnsi="Times New Roman"/>
          <w:sz w:val="17"/>
          <w:szCs w:val="17"/>
          <w:color w:val="231F20"/>
        </w:rPr>
        <w:t xml:space="preserve"> by </w:t>
      </w:r>
      <w:r>
        <w:rPr>
          <w:rFonts w:ascii="Times New Roman" w:cs="Times New Roman" w:eastAsia="Times New Roman" w:hAnsi="Times New Roman"/>
          <w:sz w:val="17"/>
          <w:szCs w:val="17"/>
          <w:color w:val="000000"/>
        </w:rPr>
        <w:t>$1.0</w:t>
      </w:r>
      <w:r>
        <w:rPr>
          <w:rFonts w:ascii="Times New Roman" w:cs="Times New Roman" w:eastAsia="Times New Roman" w:hAnsi="Times New Roman"/>
          <w:sz w:val="17"/>
          <w:szCs w:val="17"/>
          <w:color w:val="231F20"/>
        </w:rPr>
        <w:t xml:space="preserve"> million, or </w:t>
      </w:r>
      <w:r>
        <w:rPr>
          <w:rFonts w:ascii="Times New Roman" w:cs="Times New Roman" w:eastAsia="Times New Roman" w:hAnsi="Times New Roman"/>
          <w:sz w:val="17"/>
          <w:szCs w:val="17"/>
          <w:color w:val="000000"/>
        </w:rPr>
        <w:t>17%,</w:t>
      </w:r>
      <w:r>
        <w:rPr>
          <w:rFonts w:ascii="Times New Roman" w:cs="Times New Roman" w:eastAsia="Times New Roman" w:hAnsi="Times New Roman"/>
          <w:sz w:val="17"/>
          <w:szCs w:val="17"/>
          <w:color w:val="231F20"/>
        </w:rPr>
        <w:t xml:space="preserve"> during the nine months ended September 30, 2024 compared to the nine months ended September 30, 2023. </w:t>
      </w:r>
      <w:r>
        <w:rPr>
          <w:rFonts w:ascii="Times New Roman" w:cs="Times New Roman" w:eastAsia="Times New Roman" w:hAnsi="Times New Roman"/>
          <w:sz w:val="17"/>
          <w:szCs w:val="17"/>
          <w:color w:val="000000"/>
        </w:rPr>
        <w:t>This increase was primarily attributable to higher interest income on cash and cash equivalents driven by higher interest rates.</w:t>
      </w:r>
    </w:p>
    <w:p>
      <w:pPr>
        <w:spacing w:after="0" w:line="35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For the nine months ended September 30, 2024 and 2023, total interest cost incurred was $0.3 million and $0.3 million, respectively. Interest costs capitalized during the nine months ended September 30, 2024 and 2023 were de minimis.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480" w:type="dxa"/>
            <w:vAlign w:val="bottom"/>
            <w:gridSpan w:val="4"/>
          </w:tcPr>
          <w:p>
            <w:pPr>
              <w:jc w:val="center"/>
              <w:ind w:left="431"/>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94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94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2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nine months ended September 30,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de minimis</w:t>
      </w:r>
      <w:r>
        <w:rPr>
          <w:rFonts w:ascii="Times New Roman" w:cs="Times New Roman" w:eastAsia="Times New Roman" w:hAnsi="Times New Roman"/>
          <w:sz w:val="18"/>
          <w:szCs w:val="18"/>
          <w:color w:val="231F20"/>
        </w:rPr>
        <w:t xml:space="preserve"> during the nine months ended September 30, 2024, </w:t>
      </w:r>
      <w:r>
        <w:rPr>
          <w:rFonts w:ascii="Times New Roman" w:cs="Times New Roman" w:eastAsia="Times New Roman" w:hAnsi="Times New Roman"/>
          <w:sz w:val="18"/>
          <w:szCs w:val="18"/>
          <w:color w:val="000000"/>
        </w:rPr>
        <w:t>compared to a provision of $0.2 million for the nine months ended</w:t>
      </w:r>
      <w:r>
        <w:rPr>
          <w:rFonts w:ascii="Times New Roman" w:cs="Times New Roman" w:eastAsia="Times New Roman" w:hAnsi="Times New Roman"/>
          <w:sz w:val="18"/>
          <w:szCs w:val="18"/>
          <w:color w:val="231F20"/>
        </w:rPr>
        <w:t xml:space="preserve">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1" w:name="page32"/>
    <w:bookmarkEnd w:id="3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45"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2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c>
          <w:tcPr>
            <w:tcW w:w="1260" w:type="dxa"/>
            <w:vAlign w:val="bottom"/>
          </w:tcPr>
          <w:p>
            <w:pPr>
              <w:spacing w:after="0"/>
              <w:rPr>
                <w:sz w:val="17"/>
                <w:szCs w:val="17"/>
                <w:color w:val="auto"/>
              </w:rPr>
            </w:pPr>
          </w:p>
        </w:tc>
      </w:tr>
      <w:tr>
        <w:trPr>
          <w:trHeight w:val="234"/>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60" w:type="dxa"/>
            <w:vAlign w:val="bottom"/>
          </w:tcPr>
          <w:p>
            <w:pPr>
              <w:spacing w:after="0"/>
              <w:rPr>
                <w:sz w:val="20"/>
                <w:szCs w:val="20"/>
                <w:color w:val="auto"/>
              </w:rPr>
            </w:pPr>
          </w:p>
        </w:tc>
      </w:tr>
      <w:tr>
        <w:trPr>
          <w:trHeight w:val="225"/>
        </w:trPr>
        <w:tc>
          <w:tcPr>
            <w:tcW w:w="23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09"/>
        </w:trPr>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(NM = Not Meaningful)</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
        </w:trPr>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Operating and Financial</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35,324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28,620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89,581</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70,703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47,352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39,102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123,031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100,781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62,404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201,606</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177,706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29,434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95,681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84,687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(13,251)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2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173"/>
        </w:trPr>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Net income (loss) as a</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gross profit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Adjusted EBITDA as a</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2"/>
        </w:trPr>
        <w:tc>
          <w:tcPr>
            <w:tcW w:w="23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percentage of contribution ex-</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3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7"/>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10,824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7"/>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 $</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173"/>
        </w:trPr>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8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173"/>
        </w:trPr>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Non-GAAP earnings (loss) per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4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share—basic</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173"/>
        </w:trPr>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Non-GAAP earnings (loss) per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1"/>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share—diluted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5" w:lineRule="exact"/>
        <w:rPr>
          <w:sz w:val="20"/>
          <w:szCs w:val="20"/>
          <w:color w:val="auto"/>
        </w:rPr>
      </w:pPr>
    </w:p>
    <w:p>
      <w:pPr>
        <w:ind w:firstLine="480"/>
        <w:spacing w:after="0" w:line="270" w:lineRule="auto"/>
        <w:rPr>
          <w:sz w:val="20"/>
          <w:szCs w:val="20"/>
          <w:color w:val="auto"/>
        </w:rPr>
      </w:pPr>
      <w:r>
        <w:rPr>
          <w:rFonts w:ascii="Times New Roman" w:cs="Times New Roman" w:eastAsia="Times New Roman" w:hAnsi="Times New Roman"/>
          <w:sz w:val="17"/>
          <w:szCs w:val="17"/>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7"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79,922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59,585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158,528</w:t>
            </w:r>
          </w:p>
        </w:tc>
      </w:tr>
      <w:tr>
        <w:trPr>
          <w:trHeight w:val="22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31"/>
              <w:spacing w:after="0"/>
              <w:rPr>
                <w:sz w:val="20"/>
                <w:szCs w:val="20"/>
                <w:color w:val="auto"/>
              </w:rPr>
            </w:pPr>
            <w:r>
              <w:rPr>
                <w:rFonts w:ascii="Times New Roman" w:cs="Times New Roman" w:eastAsia="Times New Roman" w:hAnsi="Times New Roman"/>
                <w:sz w:val="18"/>
                <w:szCs w:val="18"/>
                <w:color w:val="auto"/>
                <w:w w:val="97"/>
              </w:rPr>
              <w:t>(30,965)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(87,825)</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35,324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28,620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70,703</w:t>
            </w:r>
          </w:p>
        </w:tc>
      </w:tr>
      <w:tr>
        <w:trPr>
          <w:trHeight w:val="22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6"/>
              </w:rPr>
              <w:t>12,028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6"/>
              </w:rPr>
              <w:t>10,482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33,450</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30,078</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47,352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171"/>
              <w:spacing w:after="0"/>
              <w:rPr>
                <w:sz w:val="20"/>
                <w:szCs w:val="20"/>
                <w:color w:val="auto"/>
              </w:rPr>
            </w:pPr>
            <w:r>
              <w:rPr>
                <w:rFonts w:ascii="Times New Roman" w:cs="Times New Roman" w:eastAsia="Times New Roman" w:hAnsi="Times New Roman"/>
                <w:sz w:val="18"/>
                <w:szCs w:val="18"/>
                <w:color w:val="auto"/>
                <w:w w:val="96"/>
              </w:rPr>
              <w:t>39,102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5"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transaction expense and non-operational media purchases.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68"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44,598</w:t>
            </w:r>
          </w:p>
        </w:tc>
        <w:tc>
          <w:tcPr>
            <w:tcW w:w="100" w:type="dxa"/>
            <w:vAlign w:val="bottom"/>
          </w:tcPr>
          <w:p>
            <w:pPr>
              <w:spacing w:after="0"/>
              <w:rPr>
                <w:sz w:val="19"/>
                <w:szCs w:val="19"/>
                <w:color w:val="auto"/>
              </w:rPr>
            </w:pPr>
          </w:p>
        </w:tc>
        <w:tc>
          <w:tcPr>
            <w:tcW w:w="4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30,965</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109,600</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87,825</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33,658</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177,706</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(57,747)</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95,681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84,687</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60" w:hanging="314"/>
        <w:spacing w:after="0" w:line="261"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nine months ended September 30, 2024, and adjustments to severance charges initially recognized during 2022 for the three and nine months ended </w:t>
      </w:r>
      <w:r>
        <w:rPr>
          <w:rFonts w:ascii="Times New Roman" w:cs="Times New Roman" w:eastAsia="Times New Roman" w:hAnsi="Times New Roman"/>
          <w:sz w:val="18"/>
          <w:szCs w:val="18"/>
          <w:color w:val="000000"/>
        </w:rPr>
        <w:t>September 30, 2023.</w:t>
      </w:r>
    </w:p>
    <w:p>
      <w:pPr>
        <w:spacing w:after="0" w:line="71" w:lineRule="exact"/>
        <w:rPr>
          <w:rFonts w:ascii="Times New Roman" w:cs="Times New Roman" w:eastAsia="Times New Roman" w:hAnsi="Times New Roman"/>
          <w:sz w:val="18"/>
          <w:szCs w:val="18"/>
          <w:color w:val="231F20"/>
        </w:rPr>
      </w:pPr>
    </w:p>
    <w:p>
      <w:pPr>
        <w:ind w:left="960" w:right="400" w:hanging="314"/>
        <w:spacing w:after="0" w:line="276"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for the Company's filing of a "shelf" registration statement on Form S-3 for the nine months ended </w:t>
      </w:r>
      <w:r>
        <w:rPr>
          <w:rFonts w:ascii="Times New Roman" w:cs="Times New Roman" w:eastAsia="Times New Roman" w:hAnsi="Times New Roman"/>
          <w:sz w:val="18"/>
          <w:szCs w:val="18"/>
          <w:color w:val="231F20"/>
        </w:rPr>
        <w:t>September 30, 2024</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231F20"/>
        </w:rPr>
      </w:pPr>
    </w:p>
    <w:p>
      <w:pPr>
        <w:ind w:left="960" w:right="80" w:hanging="314"/>
        <w:spacing w:after="0" w:line="276" w:lineRule="auto"/>
        <w:tabs>
          <w:tab w:leader="none" w:pos="9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one-time and non-operating supplier purchases that are not billable to the customer for the three and nine months ended September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5"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and non-operational media purchases.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77"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 Net income (loss) as a percentage of gross profit is the most comparable GAAP financial measure.</w:t>
      </w: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4" w:name="page35"/>
    <w:bookmarkEnd w:id="3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180" w:firstLine="480"/>
        <w:spacing w:after="0" w:line="261" w:lineRule="auto"/>
        <w:rPr>
          <w:sz w:val="20"/>
          <w:szCs w:val="20"/>
          <w:color w:val="auto"/>
        </w:rPr>
      </w:pPr>
      <w:r>
        <w:rPr>
          <w:rFonts w:ascii="Times New Roman" w:cs="Times New Roman" w:eastAsia="Times New Roman" w:hAnsi="Times New Roman"/>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1" w:lineRule="exact"/>
        <w:rPr>
          <w:sz w:val="20"/>
          <w:szCs w:val="20"/>
          <w:color w:val="auto"/>
        </w:rPr>
      </w:pPr>
    </w:p>
    <w:p>
      <w:pPr>
        <w:ind w:left="1280" w:right="220" w:hanging="634"/>
        <w:spacing w:after="0" w:line="261"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1" w:lineRule="exact"/>
        <w:rPr>
          <w:rFonts w:ascii="Times New Roman" w:cs="Times New Roman" w:eastAsia="Times New Roman" w:hAnsi="Times New Roman"/>
          <w:sz w:val="18"/>
          <w:szCs w:val="18"/>
          <w:color w:val="auto"/>
        </w:rPr>
      </w:pPr>
    </w:p>
    <w:p>
      <w:pPr>
        <w:ind w:left="1280" w:right="180" w:hanging="634"/>
        <w:spacing w:after="0" w:line="261"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1" w:lineRule="exact"/>
        <w:rPr>
          <w:rFonts w:ascii="Times New Roman" w:cs="Times New Roman" w:eastAsia="Times New Roman" w:hAnsi="Times New Roman"/>
          <w:sz w:val="18"/>
          <w:szCs w:val="18"/>
          <w:color w:val="auto"/>
        </w:rPr>
      </w:pPr>
    </w:p>
    <w:p>
      <w:pPr>
        <w:ind w:left="1280" w:right="400" w:hanging="634"/>
        <w:spacing w:after="0" w:line="276"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5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income (loss) and cash flows.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to adjusted EBITDA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16,094</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960" w:hanging="314"/>
        <w:spacing w:after="0" w:line="261"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nine months ended September 30, 2024, and adjustments to severance charges initially recognized during 2022 for the three and nine months ended </w:t>
      </w:r>
      <w:r>
        <w:rPr>
          <w:rFonts w:ascii="Times New Roman" w:cs="Times New Roman" w:eastAsia="Times New Roman" w:hAnsi="Times New Roman"/>
          <w:sz w:val="18"/>
          <w:szCs w:val="18"/>
          <w:color w:val="000000"/>
        </w:rPr>
        <w:t>September 30, 2023.</w:t>
      </w:r>
    </w:p>
    <w:p>
      <w:pPr>
        <w:spacing w:after="0" w:line="71" w:lineRule="exact"/>
        <w:rPr>
          <w:rFonts w:ascii="Times New Roman" w:cs="Times New Roman" w:eastAsia="Times New Roman" w:hAnsi="Times New Roman"/>
          <w:sz w:val="18"/>
          <w:szCs w:val="18"/>
          <w:color w:val="231F20"/>
        </w:rPr>
      </w:pPr>
    </w:p>
    <w:p>
      <w:pPr>
        <w:ind w:left="960" w:right="400" w:hanging="314"/>
        <w:spacing w:after="0" w:line="276" w:lineRule="auto"/>
        <w:tabs>
          <w:tab w:leader="none" w:pos="954"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for the Company's filing of a "shelf" registration statement on Form S-3 for the nine months ended </w:t>
      </w:r>
      <w:r>
        <w:rPr>
          <w:rFonts w:ascii="Times New Roman" w:cs="Times New Roman" w:eastAsia="Times New Roman" w:hAnsi="Times New Roman"/>
          <w:sz w:val="18"/>
          <w:szCs w:val="18"/>
          <w:color w:val="231F20"/>
        </w:rPr>
        <w:t>September 30, 2024</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231F20"/>
        </w:rPr>
      </w:pPr>
    </w:p>
    <w:p>
      <w:pPr>
        <w:ind w:left="960" w:right="80" w:hanging="314"/>
        <w:spacing w:after="0" w:line="276" w:lineRule="auto"/>
        <w:tabs>
          <w:tab w:leader="none" w:pos="9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one-time and non-operating supplier purchases that are not billable to the customer for the three and nine months ended September 30, 2024.</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5" w:name="page36"/>
    <w:bookmarkEnd w:id="35"/>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0" w:lineRule="exact"/>
        <w:rPr>
          <w:sz w:val="20"/>
          <w:szCs w:val="20"/>
          <w:color w:val="auto"/>
        </w:rPr>
      </w:pPr>
    </w:p>
    <w:p>
      <w:pPr>
        <w:ind w:right="760" w:firstLine="480"/>
        <w:spacing w:after="0" w:line="276" w:lineRule="auto"/>
        <w:rPr>
          <w:sz w:val="20"/>
          <w:szCs w:val="20"/>
          <w:color w:val="auto"/>
        </w:rPr>
      </w:pPr>
      <w:r>
        <w:rPr>
          <w:rFonts w:ascii="Times New Roman" w:cs="Times New Roman" w:eastAsia="Times New Roman" w:hAnsi="Times New Roman"/>
          <w:sz w:val="18"/>
          <w:szCs w:val="18"/>
          <w:color w:val="231F20"/>
        </w:rPr>
        <w:t>The following table presents the calculation of net income (loss) as a percentage of gross profit and the calculation of adjusted EBITDA as a percentage of contribution ex-TAC for the periods presented: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35,324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28,620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89,581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70,703</w:t>
            </w: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6,458</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(13,251)</w:t>
            </w:r>
          </w:p>
        </w:tc>
      </w:tr>
      <w:tr>
        <w:trPr>
          <w:trHeight w:val="22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as a percentage of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7"/>
        </w:trPr>
        <w:tc>
          <w:tcPr>
            <w:tcW w:w="42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47,352</w:t>
            </w:r>
          </w:p>
        </w:tc>
        <w:tc>
          <w:tcPr>
            <w:tcW w:w="80" w:type="dxa"/>
            <w:vAlign w:val="bottom"/>
          </w:tcPr>
          <w:p>
            <w:pPr>
              <w:spacing w:after="0"/>
              <w:rPr>
                <w:sz w:val="19"/>
                <w:szCs w:val="19"/>
                <w:color w:val="auto"/>
              </w:rPr>
            </w:pPr>
          </w:p>
        </w:tc>
        <w:tc>
          <w:tcPr>
            <w:tcW w:w="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39,102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123,031</w:t>
            </w:r>
          </w:p>
        </w:tc>
        <w:tc>
          <w:tcPr>
            <w:tcW w:w="100" w:type="dxa"/>
            <w:vAlign w:val="bottom"/>
          </w:tcPr>
          <w:p>
            <w:pPr>
              <w:spacing w:after="0"/>
              <w:rPr>
                <w:sz w:val="19"/>
                <w:szCs w:val="19"/>
                <w:color w:val="auto"/>
              </w:rPr>
            </w:pPr>
          </w:p>
        </w:tc>
        <w:tc>
          <w:tcPr>
            <w:tcW w:w="52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100,781</w:t>
            </w:r>
          </w:p>
        </w:tc>
      </w:tr>
      <w:tr>
        <w:trPr>
          <w:trHeight w:val="22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14,675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27,350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16,094</w:t>
            </w:r>
          </w:p>
        </w:tc>
      </w:tr>
      <w:tr>
        <w:trPr>
          <w:trHeight w:val="232"/>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Adjusted EBITDA as a percentage of contribution ex-TAC</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80" w:lineRule="exact"/>
        <w:rPr>
          <w:sz w:val="20"/>
          <w:szCs w:val="20"/>
          <w:color w:val="auto"/>
        </w:rPr>
      </w:pPr>
    </w:p>
    <w:p>
      <w:pPr>
        <w:ind w:left="960" w:right="300" w:hanging="314"/>
        <w:spacing w:after="0" w:line="278"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and non-operational media purchases,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1" w:lineRule="exact"/>
        <w:rPr>
          <w:sz w:val="20"/>
          <w:szCs w:val="20"/>
          <w:color w:val="auto"/>
        </w:rPr>
      </w:pPr>
    </w:p>
    <w:p>
      <w:pPr>
        <w:ind w:right="14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income (loss) to non-GAAP net income for the </w:t>
      </w:r>
      <w:r>
        <w:rPr>
          <w:rFonts w:ascii="Times New Roman" w:cs="Times New Roman" w:eastAsia="Times New Roman" w:hAnsi="Times New Roman"/>
          <w:sz w:val="18"/>
          <w:szCs w:val="18"/>
          <w:color w:val="231F20"/>
        </w:rPr>
        <w:t>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45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 Technology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0"/>
        </w:trPr>
        <w:tc>
          <w:tcPr>
            <w:tcW w:w="4580" w:type="dxa"/>
            <w:vAlign w:val="bottom"/>
            <w:shd w:val="clear" w:color="auto" w:fill="CCEEFF"/>
          </w:tcPr>
          <w:p>
            <w:pPr>
              <w:ind w:left="260"/>
              <w:spacing w:after="0" w:line="240" w:lineRule="exact"/>
              <w:rPr>
                <w:sz w:val="20"/>
                <w:szCs w:val="20"/>
                <w:color w:val="auto"/>
              </w:rPr>
            </w:pPr>
            <w:r>
              <w:rPr>
                <w:rFonts w:ascii="Times New Roman" w:cs="Times New Roman" w:eastAsia="Times New Roman" w:hAnsi="Times New Roman"/>
                <w:sz w:val="18"/>
                <w:szCs w:val="18"/>
                <w:color w:val="auto"/>
              </w:rPr>
              <w:t>Inc.’s share of non-GAAP pre-tax income (loss)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10,824</w:t>
            </w: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960" w:hanging="314"/>
        <w:spacing w:after="0" w:line="261"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nine months ended September 30, 2024, and adjustments to severance charges initially recognized during 2022 for the three and nine months ended </w:t>
      </w:r>
      <w:r>
        <w:rPr>
          <w:rFonts w:ascii="Times New Roman" w:cs="Times New Roman" w:eastAsia="Times New Roman" w:hAnsi="Times New Roman"/>
          <w:sz w:val="18"/>
          <w:szCs w:val="18"/>
          <w:color w:val="000000"/>
        </w:rPr>
        <w:t>September 30, 2023.</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6" w:name="page37"/>
    <w:bookmarkEnd w:id="36"/>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960" w:right="380" w:hanging="314"/>
        <w:spacing w:after="0" w:line="276"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for the Company's filing of a "shelf" registration statement on Form S-3 for the nine months ended </w:t>
      </w:r>
      <w:r>
        <w:rPr>
          <w:rFonts w:ascii="Times New Roman" w:cs="Times New Roman" w:eastAsia="Times New Roman" w:hAnsi="Times New Roman"/>
          <w:sz w:val="18"/>
          <w:szCs w:val="18"/>
          <w:color w:val="231F20"/>
        </w:rPr>
        <w:t>September 30, 2024</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231F20"/>
        </w:rPr>
      </w:pPr>
    </w:p>
    <w:p>
      <w:pPr>
        <w:ind w:left="960" w:right="60" w:hanging="314"/>
        <w:spacing w:after="0" w:line="276" w:lineRule="auto"/>
        <w:tabs>
          <w:tab w:leader="none" w:pos="9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one-time and non-operating supplier purchases that are not billable to the customer for the three and nine months ended September 30, 2024.</w:t>
      </w:r>
    </w:p>
    <w:p>
      <w:pPr>
        <w:spacing w:after="0" w:line="57" w:lineRule="exact"/>
        <w:rPr>
          <w:rFonts w:ascii="Times New Roman" w:cs="Times New Roman" w:eastAsia="Times New Roman" w:hAnsi="Times New Roman"/>
          <w:sz w:val="18"/>
          <w:szCs w:val="18"/>
          <w:color w:val="auto"/>
        </w:rPr>
      </w:pPr>
    </w:p>
    <w:p>
      <w:pPr>
        <w:jc w:val="both"/>
        <w:ind w:left="960" w:right="100" w:hanging="314"/>
        <w:spacing w:after="0" w:line="261"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and nine months ended September 30, 2024 and 2023 is calculated using assumed blended tax rates of 24% and 25%, respectively, which represent our expected corporate tax rates, excluding discrete and non-recurring tax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5"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and non-operational media purchases, as well as the income tax effect of such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stock—basic and diluted provides information to investors and the market generally that aids in the understanding and evaluation of our results of operations in the same manner as our management and board of directors.</w:t>
      </w:r>
    </w:p>
    <w:p>
      <w:pPr>
        <w:spacing w:after="0" w:line="83"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77"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73"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 xml:space="preserve">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Times New Roman" w:cs="Times New Roman" w:eastAsia="Times New Roman" w:hAnsi="Times New Roman"/>
          <w:sz w:val="18"/>
          <w:szCs w:val="18"/>
          <w:color w:val="231F20"/>
        </w:rPr>
        <w:t>three and nine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September 30, 2024</w:t>
      </w:r>
      <w:r>
        <w:rPr>
          <w:rFonts w:ascii="Times New Roman" w:cs="Times New Roman" w:eastAsia="Times New Roman" w:hAnsi="Times New Roman"/>
          <w:sz w:val="18"/>
          <w:szCs w:val="18"/>
          <w:color w:val="auto"/>
        </w:rPr>
        <w:t xml:space="preserve">, Class B common stock has been excluded from the computation of diluted earnings (loss) per share of Class A common stock because the effect would have been anti-dilutive under the if-converted method. For the </w:t>
      </w:r>
      <w:r>
        <w:rPr>
          <w:rFonts w:ascii="Times New Roman" w:cs="Times New Roman" w:eastAsia="Times New Roman" w:hAnsi="Times New Roman"/>
          <w:sz w:val="18"/>
          <w:szCs w:val="18"/>
          <w:color w:val="231F20"/>
        </w:rPr>
        <w:t>three and nine</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September 30, 2023</w:t>
      </w:r>
      <w:r>
        <w:rPr>
          <w:rFonts w:ascii="Times New Roman" w:cs="Times New Roman" w:eastAsia="Times New Roman" w:hAnsi="Times New Roman"/>
          <w:sz w:val="18"/>
          <w:szCs w:val="18"/>
          <w:color w:val="auto"/>
        </w:rPr>
        <w:t>, Class B common stock and nonqualified stock options have been excluded from the computation of diluted earnings (loss) per share of Class A common stock because the effect would have been anti-dilutive under both the if-converted and treasury stock method.</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7" w:name="page38"/>
    <w:bookmarkEnd w:id="3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5"/>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5"/>
        </w:trPr>
        <w:tc>
          <w:tcPr>
            <w:tcW w:w="4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4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3"/>
        </w:trPr>
        <w:tc>
          <w:tcPr>
            <w:tcW w:w="4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4080" w:type="dxa"/>
            <w:vAlign w:val="bottom"/>
            <w:shd w:val="clear" w:color="auto" w:fill="CCEEFF"/>
          </w:tcPr>
          <w:p>
            <w:pPr>
              <w:ind w:left="260"/>
              <w:spacing w:after="0" w:line="235"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080" w:type="dxa"/>
            <w:vAlign w:val="bottom"/>
            <w:shd w:val="clear" w:color="auto" w:fill="CCEEFF"/>
          </w:tcPr>
          <w:p>
            <w:pPr>
              <w:ind w:left="260"/>
              <w:spacing w:after="0" w:line="240"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tcBorders>
              <w:top w:val="single" w:sz="8" w:color="CCEEFF"/>
            </w:tcBorders>
            <w:shd w:val="clear" w:color="auto" w:fill="CCEEFF"/>
          </w:tcPr>
          <w:p>
            <w:pPr>
              <w:ind w:left="180"/>
              <w:spacing w:after="0" w:line="154" w:lineRule="exact"/>
              <w:rPr>
                <w:sz w:val="20"/>
                <w:szCs w:val="20"/>
                <w:color w:val="auto"/>
              </w:rPr>
            </w:pPr>
            <w:r>
              <w:rPr>
                <w:rFonts w:ascii="Times New Roman" w:cs="Times New Roman" w:eastAsia="Times New Roman" w:hAnsi="Times New Roman"/>
                <w:sz w:val="17"/>
                <w:szCs w:val="17"/>
                <w:color w:val="auto"/>
              </w:rPr>
              <w:t>Add back: Reallocation of net income (loss)</w:t>
            </w: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80" w:type="dxa"/>
            <w:vAlign w:val="bottom"/>
          </w:tcPr>
          <w:p>
            <w:pPr>
              <w:spacing w:after="0"/>
              <w:rPr>
                <w:sz w:val="15"/>
                <w:szCs w:val="15"/>
                <w:color w:val="auto"/>
              </w:rPr>
            </w:pPr>
          </w:p>
        </w:tc>
        <w:tc>
          <w:tcPr>
            <w:tcW w:w="4080" w:type="dxa"/>
            <w:vAlign w:val="bottom"/>
            <w:shd w:val="clear" w:color="auto" w:fill="CCEEFF"/>
          </w:tcPr>
          <w:p>
            <w:pPr>
              <w:ind w:left="260"/>
              <w:spacing w:after="0" w:line="178" w:lineRule="exact"/>
              <w:rPr>
                <w:sz w:val="20"/>
                <w:szCs w:val="20"/>
                <w:color w:val="auto"/>
              </w:rPr>
            </w:pPr>
            <w:r>
              <w:rPr>
                <w:rFonts w:ascii="Times New Roman" w:cs="Times New Roman" w:eastAsia="Times New Roman" w:hAnsi="Times New Roman"/>
                <w:sz w:val="18"/>
                <w:szCs w:val="18"/>
                <w:color w:val="auto"/>
              </w:rPr>
              <w:t>assumed exchange of dilutive securities for Class A</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40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exchange of dilutive securities for Class A common</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4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6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480" w:type="dxa"/>
            <w:vAlign w:val="bottom"/>
          </w:tcPr>
          <w:p>
            <w:pPr>
              <w:spacing w:after="0"/>
              <w:rPr>
                <w:sz w:val="20"/>
                <w:szCs w:val="20"/>
                <w:color w:val="auto"/>
              </w:rPr>
            </w:pPr>
          </w:p>
        </w:tc>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Earnings (loss) per share of Class A common stock—</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0" w:type="dxa"/>
            <w:vAlign w:val="bottom"/>
          </w:tcPr>
          <w:p>
            <w:pPr>
              <w:spacing w:after="0"/>
              <w:rPr>
                <w:sz w:val="20"/>
                <w:szCs w:val="20"/>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80" w:type="dxa"/>
            <w:vAlign w:val="bottom"/>
          </w:tcPr>
          <w:p>
            <w:pPr>
              <w:spacing w:after="0"/>
              <w:rPr>
                <w:sz w:val="13"/>
                <w:szCs w:val="13"/>
                <w:color w:val="auto"/>
              </w:rPr>
            </w:pPr>
          </w:p>
        </w:tc>
        <w:tc>
          <w:tcPr>
            <w:tcW w:w="40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56,801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80" w:type="dxa"/>
            <w:vAlign w:val="bottom"/>
          </w:tcPr>
          <w:p>
            <w:pPr>
              <w:spacing w:after="0"/>
              <w:rPr>
                <w:sz w:val="18"/>
                <w:szCs w:val="18"/>
                <w:color w:val="auto"/>
              </w:rPr>
            </w:pPr>
          </w:p>
        </w:tc>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gridSpan w:val="3"/>
            <w:vMerge w:val="restart"/>
          </w:tcPr>
          <w:p>
            <w:pPr>
              <w:jc w:val="right"/>
              <w:ind w:right="713"/>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8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bookmarkStart w:id="38" w:name="page39"/>
    <w:bookmarkEnd w:id="3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0" w:lineRule="exact"/>
        <w:rPr>
          <w:sz w:val="20"/>
          <w:szCs w:val="20"/>
          <w:color w:val="auto"/>
        </w:rPr>
      </w:pPr>
    </w:p>
    <w:p>
      <w:pPr>
        <w:ind w:left="320" w:right="120" w:hanging="314"/>
        <w:spacing w:after="0" w:line="276" w:lineRule="auto"/>
        <w:tabs>
          <w:tab w:leader="none" w:pos="31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adjustments to severance charges initially recognized during 2022 for the three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2023.</w:t>
      </w:r>
    </w:p>
    <w:p>
      <w:pPr>
        <w:spacing w:after="0" w:line="57" w:lineRule="exact"/>
        <w:rPr>
          <w:rFonts w:ascii="Times New Roman" w:cs="Times New Roman" w:eastAsia="Times New Roman" w:hAnsi="Times New Roman"/>
          <w:sz w:val="18"/>
          <w:szCs w:val="18"/>
          <w:color w:val="231F20"/>
        </w:rPr>
      </w:pPr>
    </w:p>
    <w:p>
      <w:pPr>
        <w:ind w:left="320" w:hanging="314"/>
        <w:spacing w:after="0" w:line="276"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one-time and non-operating supplier purchases that are not billable to the customer for the three months ended September 30, 2024.</w:t>
      </w:r>
    </w:p>
    <w:p>
      <w:pPr>
        <w:spacing w:after="0" w:line="57" w:lineRule="exact"/>
        <w:rPr>
          <w:rFonts w:ascii="Times New Roman" w:cs="Times New Roman" w:eastAsia="Times New Roman" w:hAnsi="Times New Roman"/>
          <w:sz w:val="18"/>
          <w:szCs w:val="18"/>
          <w:color w:val="auto"/>
        </w:rPr>
      </w:pPr>
    </w:p>
    <w:p>
      <w:pPr>
        <w:ind w:left="320" w:right="40" w:hanging="314"/>
        <w:spacing w:after="0" w:line="261" w:lineRule="auto"/>
        <w:tabs>
          <w:tab w:leader="none" w:pos="31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months ended September 30, 2024 and 2023 is calculated using assumed blended tax rates of 24% and 25%, respectively, which represent our expected corporate tax rates, excluding discrete and non-recurring tax items.</w:t>
      </w:r>
    </w:p>
    <w:p>
      <w:pPr>
        <w:spacing w:after="0" w:line="71" w:lineRule="exact"/>
        <w:rPr>
          <w:rFonts w:ascii="Times New Roman" w:cs="Times New Roman" w:eastAsia="Times New Roman" w:hAnsi="Times New Roman"/>
          <w:sz w:val="18"/>
          <w:szCs w:val="18"/>
          <w:color w:val="231F20"/>
        </w:rPr>
      </w:pPr>
    </w:p>
    <w:p>
      <w:pPr>
        <w:ind w:left="320" w:right="480" w:hanging="314"/>
        <w:spacing w:after="0" w:line="276" w:lineRule="auto"/>
        <w:tabs>
          <w:tab w:leader="none" w:pos="31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non-operational media purchases attributed to the noncontrolling interests outstanding during the period.</w:t>
      </w:r>
    </w:p>
    <w:p>
      <w:pPr>
        <w:spacing w:after="0" w:line="3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00"/>
          </w:cols>
          <w:pgMar w:left="960" w:top="119" w:right="439" w:bottom="1440" w:gutter="0" w:footer="0" w:header="0"/>
        </w:sectPr>
      </w:pPr>
    </w:p>
    <w:bookmarkStart w:id="39" w:name="page40"/>
    <w:bookmarkEnd w:id="3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33"/>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3"/>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86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3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40" w:type="dxa"/>
            <w:vAlign w:val="bottom"/>
          </w:tcPr>
          <w:p>
            <w:pPr>
              <w:spacing w:after="0"/>
              <w:rPr>
                <w:sz w:val="16"/>
                <w:szCs w:val="16"/>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398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80" w:type="dxa"/>
            <w:vAlign w:val="bottom"/>
          </w:tcPr>
          <w:p>
            <w:pPr>
              <w:spacing w:after="0"/>
              <w:rPr>
                <w:sz w:val="20"/>
                <w:szCs w:val="20"/>
                <w:color w:val="auto"/>
              </w:rPr>
            </w:pPr>
          </w:p>
        </w:tc>
        <w:tc>
          <w:tcPr>
            <w:tcW w:w="3980" w:type="dxa"/>
            <w:vAlign w:val="bottom"/>
            <w:tcBorders>
              <w:bottom w:val="single" w:sz="8" w:color="CCEEFF"/>
            </w:tcBorders>
          </w:tcPr>
          <w:p>
            <w:pPr>
              <w:ind w:left="260"/>
              <w:spacing w:after="0" w:line="235"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3980" w:type="dxa"/>
            <w:vAlign w:val="bottom"/>
            <w:tcBorders>
              <w:bottom w:val="single" w:sz="8" w:color="CCEEFF"/>
            </w:tcBorders>
          </w:tcPr>
          <w:p>
            <w:pPr>
              <w:ind w:left="260"/>
              <w:spacing w:after="0" w:line="240" w:lineRule="exact"/>
              <w:rPr>
                <w:sz w:val="20"/>
                <w:szCs w:val="20"/>
                <w:color w:val="auto"/>
              </w:rPr>
            </w:pPr>
            <w:r>
              <w:rPr>
                <w:rFonts w:ascii="Times New Roman" w:cs="Times New Roman" w:eastAsia="Times New Roman" w:hAnsi="Times New Roman"/>
                <w:sz w:val="18"/>
                <w:szCs w:val="18"/>
                <w:color w:val="auto"/>
              </w:rPr>
              <w:t>noncontrolling interests</w:t>
            </w:r>
            <w:r>
              <w:rPr>
                <w:rFonts w:ascii="Times New Roman" w:cs="Times New Roman" w:eastAsia="Times New Roman" w:hAnsi="Times New Roman"/>
                <w:sz w:val="23"/>
                <w:szCs w:val="23"/>
                <w:color w:val="auto"/>
                <w:vertAlign w:val="superscript"/>
              </w:rPr>
              <w:t>(5)</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12,683</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(9,181)</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tcPr>
          <w:p>
            <w:pPr>
              <w:ind w:left="180"/>
              <w:spacing w:after="0" w:line="154" w:lineRule="exact"/>
              <w:rPr>
                <w:sz w:val="20"/>
                <w:szCs w:val="20"/>
                <w:color w:val="auto"/>
              </w:rPr>
            </w:pPr>
            <w:r>
              <w:rPr>
                <w:rFonts w:ascii="Times New Roman" w:cs="Times New Roman" w:eastAsia="Times New Roman" w:hAnsi="Times New Roman"/>
                <w:sz w:val="17"/>
                <w:szCs w:val="17"/>
                <w:color w:val="auto"/>
              </w:rPr>
              <w:t>Add back: Reallocation of net income (loss)</w:t>
            </w: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398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attributable to noncontrolling interest from the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80" w:type="dxa"/>
            <w:vAlign w:val="bottom"/>
          </w:tcPr>
          <w:p>
            <w:pPr>
              <w:spacing w:after="0"/>
              <w:rPr>
                <w:sz w:val="15"/>
                <w:szCs w:val="15"/>
                <w:color w:val="auto"/>
              </w:rPr>
            </w:pPr>
          </w:p>
        </w:tc>
        <w:tc>
          <w:tcPr>
            <w:tcW w:w="3980" w:type="dxa"/>
            <w:vAlign w:val="bottom"/>
          </w:tcPr>
          <w:p>
            <w:pPr>
              <w:ind w:left="260"/>
              <w:spacing w:after="0" w:line="178" w:lineRule="exact"/>
              <w:rPr>
                <w:sz w:val="20"/>
                <w:szCs w:val="20"/>
                <w:color w:val="auto"/>
              </w:rPr>
            </w:pPr>
            <w:r>
              <w:rPr>
                <w:rFonts w:ascii="Times New Roman" w:cs="Times New Roman" w:eastAsia="Times New Roman" w:hAnsi="Times New Roman"/>
                <w:sz w:val="18"/>
                <w:szCs w:val="18"/>
                <w:color w:val="auto"/>
                <w:w w:val="99"/>
              </w:rPr>
              <w:t>assumed exchange of dilutive securities for Class A</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from the assumed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398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w w:val="99"/>
              </w:rPr>
              <w:t>exchange of dilutive securities for Class A common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Net income (loss) attributable to Viant Technology Inc.</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13"/>
                <w:szCs w:val="1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8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80" w:type="dxa"/>
            <w:vAlign w:val="bottom"/>
          </w:tcPr>
          <w:p>
            <w:pPr>
              <w:spacing w:after="0"/>
              <w:rPr>
                <w:sz w:val="16"/>
                <w:szCs w:val="16"/>
                <w:color w:val="auto"/>
              </w:rPr>
            </w:pPr>
          </w:p>
        </w:tc>
        <w:tc>
          <w:tcPr>
            <w:tcW w:w="3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15,574</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Earnings (loss) per share of Class A common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39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0" w:type="dxa"/>
            <w:vAlign w:val="bottom"/>
          </w:tcPr>
          <w:p>
            <w:pPr>
              <w:spacing w:after="0"/>
              <w:rPr>
                <w:sz w:val="20"/>
                <w:szCs w:val="20"/>
                <w:color w:val="auto"/>
              </w:rPr>
            </w:pPr>
          </w:p>
        </w:tc>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8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80" w:type="dxa"/>
            <w:vAlign w:val="bottom"/>
          </w:tcPr>
          <w:p>
            <w:pPr>
              <w:spacing w:after="0"/>
              <w:rPr>
                <w:sz w:val="13"/>
                <w:szCs w:val="13"/>
                <w:color w:val="auto"/>
              </w:rPr>
            </w:pPr>
          </w:p>
        </w:tc>
        <w:tc>
          <w:tcPr>
            <w:tcW w:w="3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432"/>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8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40" w:lineRule="exact"/>
        <w:rPr>
          <w:sz w:val="20"/>
          <w:szCs w:val="20"/>
          <w:color w:val="auto"/>
        </w:rPr>
      </w:pPr>
    </w:p>
    <w:p>
      <w:pPr>
        <w:ind w:left="960" w:right="20" w:hanging="314"/>
        <w:spacing w:after="0" w:line="261" w:lineRule="auto"/>
        <w:tabs>
          <w:tab w:leader="none" w:pos="95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nine months ended September 30, 2024, and adjustments to severance charges initially recognized during 2022 for the nine months ended </w:t>
      </w:r>
      <w:r>
        <w:rPr>
          <w:rFonts w:ascii="Times New Roman" w:cs="Times New Roman" w:eastAsia="Times New Roman" w:hAnsi="Times New Roman"/>
          <w:sz w:val="18"/>
          <w:szCs w:val="18"/>
          <w:color w:val="000000"/>
        </w:rPr>
        <w:t>September 30, 2023.</w:t>
      </w:r>
    </w:p>
    <w:p>
      <w:pPr>
        <w:spacing w:after="0" w:line="71" w:lineRule="exact"/>
        <w:rPr>
          <w:rFonts w:ascii="Times New Roman" w:cs="Times New Roman" w:eastAsia="Times New Roman" w:hAnsi="Times New Roman"/>
          <w:sz w:val="18"/>
          <w:szCs w:val="18"/>
          <w:color w:val="231F20"/>
        </w:rPr>
      </w:pPr>
    </w:p>
    <w:p>
      <w:pPr>
        <w:ind w:left="960" w:right="420" w:hanging="314"/>
        <w:spacing w:after="0" w:line="276" w:lineRule="auto"/>
        <w:tabs>
          <w:tab w:leader="none" w:pos="95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consists of costs incurred for the Company's filing of a "shelf" registration statement on Form S-3 for the nine months ended </w:t>
      </w:r>
      <w:r>
        <w:rPr>
          <w:rFonts w:ascii="Times New Roman" w:cs="Times New Roman" w:eastAsia="Times New Roman" w:hAnsi="Times New Roman"/>
          <w:sz w:val="18"/>
          <w:szCs w:val="18"/>
          <w:color w:val="231F20"/>
        </w:rPr>
        <w:t>September 30, 2024</w:t>
      </w:r>
      <w:r>
        <w:rPr>
          <w:rFonts w:ascii="Times New Roman" w:cs="Times New Roman" w:eastAsia="Times New Roman" w:hAnsi="Times New Roman"/>
          <w:sz w:val="18"/>
          <w:szCs w:val="18"/>
          <w:color w:val="auto"/>
        </w:rPr>
        <w:t>.</w:t>
      </w:r>
    </w:p>
    <w:p>
      <w:pPr>
        <w:spacing w:after="0" w:line="57" w:lineRule="exact"/>
        <w:rPr>
          <w:rFonts w:ascii="Times New Roman" w:cs="Times New Roman" w:eastAsia="Times New Roman" w:hAnsi="Times New Roman"/>
          <w:sz w:val="18"/>
          <w:szCs w:val="18"/>
          <w:color w:val="231F20"/>
        </w:rPr>
      </w:pPr>
    </w:p>
    <w:p>
      <w:pPr>
        <w:ind w:left="960" w:right="100" w:hanging="314"/>
        <w:spacing w:after="0" w:line="276" w:lineRule="auto"/>
        <w:tabs>
          <w:tab w:leader="none" w:pos="9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one-time and non-operating supplier purchases that are not billable to the customer for the nine months ended September 30, 2024.</w:t>
      </w:r>
    </w:p>
    <w:p>
      <w:pPr>
        <w:spacing w:after="0" w:line="57" w:lineRule="exact"/>
        <w:rPr>
          <w:rFonts w:ascii="Times New Roman" w:cs="Times New Roman" w:eastAsia="Times New Roman" w:hAnsi="Times New Roman"/>
          <w:sz w:val="18"/>
          <w:szCs w:val="18"/>
          <w:color w:val="auto"/>
        </w:rPr>
      </w:pPr>
    </w:p>
    <w:p>
      <w:pPr>
        <w:ind w:left="960" w:right="140" w:hanging="314"/>
        <w:spacing w:after="0" w:line="261" w:lineRule="auto"/>
        <w:tabs>
          <w:tab w:leader="none" w:pos="95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nine months ended September 30, 2024 and 2023 is calculated using assumed blended tax rates of 24% and 25%, respectively, which represent our expected corporate tax rates, excluding discrete and non-recurring tax items.</w:t>
      </w:r>
    </w:p>
    <w:p>
      <w:pPr>
        <w:spacing w:after="0" w:line="71" w:lineRule="exact"/>
        <w:rPr>
          <w:rFonts w:ascii="Times New Roman" w:cs="Times New Roman" w:eastAsia="Times New Roman" w:hAnsi="Times New Roman"/>
          <w:sz w:val="18"/>
          <w:szCs w:val="18"/>
          <w:color w:val="231F20"/>
        </w:rPr>
      </w:pPr>
    </w:p>
    <w:p>
      <w:pPr>
        <w:ind w:left="960" w:right="480" w:hanging="314"/>
        <w:spacing w:after="0" w:line="306" w:lineRule="auto"/>
        <w:tabs>
          <w:tab w:leader="none" w:pos="954" w:val="left"/>
        </w:tabs>
        <w:numPr>
          <w:ilvl w:val="0"/>
          <w:numId w:val="2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adjustment to net income (loss) attributable to noncontrolling interests represents stock-based compensation, restructuring and other charges, transaction expense and non-operational media purchases attributed to the noncontrolling interests outstanding during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As of September 30, 2024, we had cash and cash equivalents of $214.6 million and working capital, consisting of current assets less current liabilities, of $230.2 million, compared to cash and cash equivalents of $216.5 million and working capital of $231.6 million as of December 31, 2023.</w:t>
      </w:r>
    </w:p>
    <w:p>
      <w:pPr>
        <w:spacing w:after="0" w:line="57" w:lineRule="exact"/>
        <w:rPr>
          <w:sz w:val="20"/>
          <w:szCs w:val="20"/>
          <w:color w:val="auto"/>
        </w:rPr>
      </w:pPr>
    </w:p>
    <w:p>
      <w:pPr>
        <w:ind w:right="280" w:firstLine="480"/>
        <w:spacing w:after="0" w:line="257"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for the remainder of 2024 to further accelerate demand for our product and growth across the platform. Additionally, we may use cash to fund repurchases under the stock repurchase program approved by our board of directors in April 2024.</w:t>
      </w:r>
    </w:p>
    <w:p>
      <w:pPr>
        <w:spacing w:after="0" w:line="77" w:lineRule="exact"/>
        <w:rPr>
          <w:sz w:val="20"/>
          <w:szCs w:val="20"/>
          <w:color w:val="auto"/>
        </w:rPr>
      </w:pPr>
    </w:p>
    <w:p>
      <w:pPr>
        <w:ind w:right="140" w:firstLine="480"/>
        <w:spacing w:after="0" w:line="25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As of September 30, 2024, our material cash requirements from non-cancelable contractual obligations with an original duration of over one year included future minimum payments under our non-cancelable operating leases, which we estimate will be approximately $1.3 million for the remainder of 2024, $5.6 million in 2025, $5.4 million in 2026, $5.4 million in 2027, and $4.1 million in 2028, and non-cancelable contractual agreements primarily related to the hosting of our data storage processing, storage, and other computing services, which we estimate will be approximately $3.4 million for the remainder of 2024, $12.4 million in 2025, $7.5 million in 2026, and $2.0 million in 2027.</w:t>
      </w:r>
    </w:p>
    <w:p>
      <w:pPr>
        <w:spacing w:after="0" w:line="77" w:lineRule="exact"/>
        <w:rPr>
          <w:sz w:val="20"/>
          <w:szCs w:val="20"/>
          <w:color w:val="auto"/>
        </w:rPr>
      </w:pPr>
    </w:p>
    <w:p>
      <w:pPr>
        <w:jc w:val="both"/>
        <w:ind w:right="280" w:firstLine="480"/>
        <w:spacing w:after="0" w:line="261"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September 30, 2024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8"/>
          <w:szCs w:val="18"/>
          <w:color w:val="auto"/>
        </w:rPr>
        <w:t>On February 9, 2021, in connection with our initial public offering ("IPO"), we entered into a Tax Receivable Agreement (the "TRA") with Viant Technology LLC, continuing members of Viant Technology LLC (our “pre-IPO owners”) and the TRA Representative (as defined in the TRA), as described under Note 10—Income Taxes and Tax Receivable Agreement to our unaudited</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condensed consolidated financial statements included elsewhere in this Quarterly Report. 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 As of September 30, 2024, we concluded that it was more likely than not that our deferred tax assets subject to the TRA would not be realized. Therefore, the Company has not recorded a liability related to the remaining tax savings it may realize from utilization of such deferred tax assets. As of September 30, 2024, the total unrecorded liability for our TRA is approximately $10.8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 xml:space="preserve">On April 23, 2024, our board of directors approved a stock repurchase program with authorization to purchase up to $50 million in shares of our Class A common stock or Class B units of Viant Technology LLC. During the </w:t>
      </w:r>
      <w:r>
        <w:rPr>
          <w:rFonts w:ascii="Times New Roman" w:cs="Times New Roman" w:eastAsia="Times New Roman" w:hAnsi="Times New Roman"/>
          <w:sz w:val="18"/>
          <w:szCs w:val="18"/>
          <w:color w:val="231F20"/>
        </w:rPr>
        <w:t>three and nine</w:t>
      </w:r>
      <w:r>
        <w:rPr>
          <w:rFonts w:ascii="Times New Roman" w:cs="Times New Roman" w:eastAsia="Times New Roman" w:hAnsi="Times New Roman"/>
          <w:sz w:val="18"/>
          <w:szCs w:val="18"/>
          <w:color w:val="auto"/>
        </w:rPr>
        <w:t xml:space="preserve"> months ended September 30, 2024, we repurchased 0.6 and 1.1 million shares of our Class A common stock, respectively, which includes unsettled repurchases as of September 30, 2024, for an aggregate amount of $6.1 million and $11.6 million, respectively, including costs associated with the repurchases. As of September 30, 2024, $38.5 million remained available under the stock repurchase program for Class A common stock and Class B unit repurchases. For additional information related to share repurchases, refer to Note 9—Stockholders' Equity to our unaudited condensed consolidated financial statements included elsewhere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7"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As of September 30, 2024, our Amended Loan Agreement provided us with access to a $75.0 million senior secured revolving credit facility with a maturity date of April 4, 2028 that is collateralized by security interests in substantially all of our assets. As of September 30, 2024 and December 31, 2023, there was no outstanding balance and up to $74.1 million of undrawn availability under the revolving credit facility.</w:t>
      </w:r>
    </w:p>
    <w:p>
      <w:pPr>
        <w:spacing w:after="0" w:line="71" w:lineRule="exact"/>
        <w:rPr>
          <w:sz w:val="20"/>
          <w:szCs w:val="20"/>
          <w:color w:val="auto"/>
        </w:rPr>
      </w:pPr>
    </w:p>
    <w:p>
      <w:pPr>
        <w:ind w:right="40" w:firstLine="480"/>
        <w:spacing w:after="0" w:line="276" w:lineRule="auto"/>
        <w:rPr>
          <w:sz w:val="20"/>
          <w:szCs w:val="20"/>
          <w:color w:val="auto"/>
        </w:rPr>
      </w:pPr>
      <w:r>
        <w:rPr>
          <w:rFonts w:ascii="Times New Roman" w:cs="Times New Roman" w:eastAsia="Times New Roman" w:hAnsi="Times New Roman"/>
          <w:sz w:val="17"/>
          <w:szCs w:val="17"/>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September 30, 2024, we were in compliance with this covenant, and we do not believe this covenant or any other provision in the Amended Loan Agreement will materially impact our liquidity or otherwise restrict our ability to execute on our business plan during or beyond the next 12 months.</w:t>
      </w:r>
    </w:p>
    <w:p>
      <w:pPr>
        <w:spacing w:after="0" w:line="60" w:lineRule="exact"/>
        <w:rPr>
          <w:sz w:val="20"/>
          <w:szCs w:val="20"/>
          <w:color w:val="auto"/>
        </w:rPr>
      </w:pPr>
    </w:p>
    <w:p>
      <w:pPr>
        <w:jc w:val="both"/>
        <w:ind w:right="120" w:firstLine="480"/>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7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14,503</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(9,660)</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(8,409)</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(3,566)</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Operating Activities</w:t>
      </w:r>
    </w:p>
    <w:p>
      <w:pPr>
        <w:spacing w:after="0" w:line="115" w:lineRule="exact"/>
        <w:rPr>
          <w:sz w:val="20"/>
          <w:szCs w:val="20"/>
          <w:color w:val="auto"/>
        </w:rPr>
      </w:pPr>
    </w:p>
    <w:p>
      <w:pPr>
        <w:ind w:right="280" w:firstLine="480"/>
        <w:spacing w:after="0" w:line="253"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7" w:lineRule="exact"/>
        <w:rPr>
          <w:sz w:val="20"/>
          <w:szCs w:val="20"/>
          <w:color w:val="auto"/>
        </w:rPr>
      </w:pPr>
    </w:p>
    <w:p>
      <w:pPr>
        <w:jc w:val="both"/>
        <w:ind w:right="200" w:firstLine="480"/>
        <w:spacing w:after="0" w:line="261" w:lineRule="auto"/>
        <w:rPr>
          <w:sz w:val="20"/>
          <w:szCs w:val="20"/>
          <w:color w:val="auto"/>
        </w:rPr>
      </w:pPr>
      <w:r>
        <w:rPr>
          <w:rFonts w:ascii="Times New Roman" w:cs="Times New Roman" w:eastAsia="Times New Roman" w:hAnsi="Times New Roman"/>
          <w:sz w:val="18"/>
          <w:szCs w:val="18"/>
          <w:color w:val="auto"/>
        </w:rPr>
        <w:t>Our cash flows provided by operating activities for the nine months ended September 30, 2024 was $35.3 million, a net increase of $20.8 million, or 143%, from cash flows provided by operating activities for the nine months ended September 30, 2023 of $14.5 million. Cash flows provided by operating activities for the nine months ended September 30, 2024 resulted primarily from:</w:t>
      </w:r>
    </w:p>
    <w:p>
      <w:pPr>
        <w:spacing w:after="0" w:line="71" w:lineRule="exact"/>
        <w:rPr>
          <w:sz w:val="20"/>
          <w:szCs w:val="20"/>
          <w:color w:val="auto"/>
        </w:rPr>
      </w:pPr>
    </w:p>
    <w:p>
      <w:pPr>
        <w:ind w:left="1280" w:hanging="63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increase of $4.7 million from net income;</w:t>
      </w:r>
    </w:p>
    <w:p>
      <w:pPr>
        <w:spacing w:after="0" w:line="112" w:lineRule="exact"/>
        <w:rPr>
          <w:rFonts w:ascii="Times New Roman" w:cs="Times New Roman" w:eastAsia="Times New Roman" w:hAnsi="Times New Roman"/>
          <w:sz w:val="18"/>
          <w:szCs w:val="18"/>
          <w:color w:val="auto"/>
        </w:rPr>
      </w:pPr>
    </w:p>
    <w:p>
      <w:pPr>
        <w:ind w:left="1280" w:right="20" w:hanging="634"/>
        <w:spacing w:after="0" w:line="261" w:lineRule="auto"/>
        <w:tabs>
          <w:tab w:leader="none" w:pos="1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an increase of $31.5 million due to non-cash add back adjustments to net income primarily comprised of $15.3 million for stock-based compensation, $12.4 million for depreciation and amortization, $3.0 million of noncash lease expense and </w:t>
      </w:r>
      <w:r>
        <w:rPr>
          <w:rFonts w:ascii="Times New Roman" w:cs="Times New Roman" w:eastAsia="Times New Roman" w:hAnsi="Times New Roman"/>
          <w:sz w:val="18"/>
          <w:szCs w:val="18"/>
          <w:color w:val="000000"/>
        </w:rPr>
        <w:t>$0.9</w:t>
      </w:r>
      <w:r>
        <w:rPr>
          <w:rFonts w:ascii="Times New Roman" w:cs="Times New Roman" w:eastAsia="Times New Roman" w:hAnsi="Times New Roman"/>
          <w:sz w:val="18"/>
          <w:szCs w:val="18"/>
          <w:color w:val="231F20"/>
        </w:rPr>
        <w:t xml:space="preserve"> million for the provision for doubtful accounts;</w:t>
      </w:r>
    </w:p>
    <w:p>
      <w:pPr>
        <w:spacing w:after="0" w:line="71" w:lineRule="exact"/>
        <w:rPr>
          <w:rFonts w:ascii="Times New Roman" w:cs="Times New Roman" w:eastAsia="Times New Roman" w:hAnsi="Times New Roman"/>
          <w:sz w:val="18"/>
          <w:szCs w:val="18"/>
          <w:color w:val="auto"/>
        </w:rPr>
      </w:pPr>
    </w:p>
    <w:p>
      <w:pPr>
        <w:ind w:left="1280" w:right="60" w:hanging="634"/>
        <w:spacing w:after="0" w:line="257" w:lineRule="auto"/>
        <w:tabs>
          <w:tab w:leader="none" w:pos="1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increase of $1.0 million from changes in working capital (excluding deferred revenue, other liabilities and operating lease liabilities), including a net decrease of $22.8 million in accounts receivable, prepaid assets and other assets primarily related to higher sales and timing of customer collections due to seasonal fluctuations as well as an increase of $23.8 million in accounts payable, accrued liabilities and accrued compensation primarily related to timing of payments;</w:t>
      </w:r>
    </w:p>
    <w:p>
      <w:pPr>
        <w:spacing w:after="0" w:line="7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operating lease liabilities of </w:t>
      </w:r>
      <w:r>
        <w:rPr>
          <w:rFonts w:ascii="Times New Roman" w:cs="Times New Roman" w:eastAsia="Times New Roman" w:hAnsi="Times New Roman"/>
          <w:sz w:val="18"/>
          <w:szCs w:val="18"/>
          <w:color w:val="231F20"/>
        </w:rPr>
        <w:t>$3.2</w:t>
      </w:r>
      <w:r>
        <w:rPr>
          <w:rFonts w:ascii="Times New Roman" w:cs="Times New Roman" w:eastAsia="Times New Roman" w:hAnsi="Times New Roman"/>
          <w:sz w:val="18"/>
          <w:szCs w:val="18"/>
          <w:color w:val="auto"/>
        </w:rPr>
        <w:t xml:space="preserve"> million;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other liabilities of $1.1 million.</w:t>
      </w:r>
    </w:p>
    <w:p>
      <w:pPr>
        <w:spacing w:after="0" w:line="113"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2023, cash provided by operating activities of $14.5 million resulted primarily from a net loss of $13.3 million; an increase of $38.6 primarily due to non-cash add back adjustments to net loss of $24.7 million for stock-based compensation, $10.7 million for depreciation and amortization and $2.9 million of noncash lease expense; a decrease in net working capital (excluding deferred revenue, operating lease liabilities and other liabilities) of $9.6 million; an increase in deferred revenue of $1.2 million; a decrease in operating lease liabilities of $2.7 million; and an increase in other liabilities of $0.3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5"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capitalization of stock-based compensation in future periods and the growth of our business, we expect our capital expenditures and our investment activity to continue to increase.</w:t>
      </w:r>
    </w:p>
    <w:p>
      <w:pPr>
        <w:spacing w:after="0" w:line="78"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for the nine months ended September 30, 2024 was $13.4 million, a net increase of $3.8 million, or 39%, from cash flows used in investing activities for the nine months ended September 30, 2023 of $9.7 million. Cash flows used in investing activities for the nine months ended September 30, 2024 resulted from:</w:t>
      </w:r>
    </w:p>
    <w:p>
      <w:pPr>
        <w:sectPr>
          <w:pgSz w:w="11900" w:h="16838" w:orient="portrait"/>
          <w:cols w:equalWidth="0" w:num="1">
            <w:col w:w="11240"/>
          </w:cols>
          <w:pgMar w:left="320" w:top="119" w:right="339" w:bottom="1440" w:gutter="0" w:footer="0" w:header="0"/>
        </w:sectPr>
      </w:pP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1280" w:hanging="634"/>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million of investments in capitalized software to develop our technology in support of enhancing our platform;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$2.3 million of purchases of property and equipment.</w:t>
      </w:r>
    </w:p>
    <w:p>
      <w:pPr>
        <w:spacing w:after="0" w:line="113" w:lineRule="exact"/>
        <w:rPr>
          <w:sz w:val="20"/>
          <w:szCs w:val="20"/>
          <w:color w:val="auto"/>
        </w:rPr>
      </w:pPr>
    </w:p>
    <w:p>
      <w:pPr>
        <w:ind w:right="5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2023</w:t>
      </w:r>
      <w:r>
        <w:rPr>
          <w:rFonts w:ascii="Times New Roman" w:cs="Times New Roman" w:eastAsia="Times New Roman" w:hAnsi="Times New Roman"/>
          <w:sz w:val="18"/>
          <w:szCs w:val="18"/>
          <w:color w:val="231F20"/>
        </w:rPr>
        <w:t xml:space="preserve">, cash used in investing activities of </w:t>
      </w:r>
      <w:r>
        <w:rPr>
          <w:rFonts w:ascii="Times New Roman" w:cs="Times New Roman" w:eastAsia="Times New Roman" w:hAnsi="Times New Roman"/>
          <w:sz w:val="18"/>
          <w:szCs w:val="18"/>
          <w:color w:val="000000"/>
        </w:rPr>
        <w:t>$9.7</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$8.9</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$0.7</w:t>
      </w:r>
      <w:r>
        <w:rPr>
          <w:rFonts w:ascii="Times New Roman" w:cs="Times New Roman" w:eastAsia="Times New Roman" w:hAnsi="Times New Roman"/>
          <w:sz w:val="18"/>
          <w:szCs w:val="18"/>
          <w:color w:val="231F20"/>
        </w:rPr>
        <w:t xml:space="preserve"> million of purchases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5"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Our financing activities have consisted primarily of proceeds from borrowings and repayments of our debt, issuances of our equity, payments of member distributions in accordance with their assumed tax liabilities, </w:t>
      </w:r>
      <w:r>
        <w:rPr>
          <w:rFonts w:ascii="Times New Roman" w:cs="Times New Roman" w:eastAsia="Times New Roman" w:hAnsi="Times New Roman"/>
          <w:sz w:val="18"/>
          <w:szCs w:val="18"/>
          <w:color w:val="000000"/>
        </w:rPr>
        <w:t>repurchases of treasury stock in connection with the taxes paid related to the vesting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equity awards and repurchases of treasury stock related to the stock repurchase program</w:t>
      </w:r>
      <w:r>
        <w:rPr>
          <w:rFonts w:ascii="Times New Roman" w:cs="Times New Roman" w:eastAsia="Times New Roman" w:hAnsi="Times New Roman"/>
          <w:sz w:val="18"/>
          <w:szCs w:val="18"/>
          <w:color w:val="231F20"/>
        </w:rPr>
        <w:t>. Net cash provided by or used in financing activities has been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will be used to finance our operations, capital expenditures, platform development and growth.</w:t>
      </w:r>
    </w:p>
    <w:p>
      <w:pPr>
        <w:spacing w:after="0" w:line="73"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Our cash flows used in financing activities for the nine months ended September 30, 2024 was $23.7 million, a net increase of $15.3 million, or 182%, from cash flows used in financing activities for the nine months ended September 30, 2023 of $8.4 million. Cash flows used in financing activities for the nine months ended September 30, 2024 resulted primarily from:</w:t>
      </w:r>
    </w:p>
    <w:p>
      <w:pPr>
        <w:spacing w:after="0" w:line="71" w:lineRule="exact"/>
        <w:rPr>
          <w:sz w:val="20"/>
          <w:szCs w:val="20"/>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color w:val="231F20"/>
        </w:rPr>
        <w:t>million for the</w:t>
      </w:r>
      <w:r>
        <w:rPr>
          <w:rFonts w:ascii="Times New Roman" w:cs="Times New Roman" w:eastAsia="Times New Roman" w:hAnsi="Times New Roman"/>
          <w:sz w:val="18"/>
          <w:szCs w:val="18"/>
          <w:color w:val="auto"/>
        </w:rPr>
        <w:t xml:space="preserve"> repurchase of treasury stock related to the stock repurchase program;</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$8.5 million for the repurchase of treasury stock in connection with the taxes paid related to the vesting of equity award</w:t>
      </w:r>
      <w:r>
        <w:rPr>
          <w:rFonts w:ascii="Times New Roman" w:cs="Times New Roman" w:eastAsia="Times New Roman" w:hAnsi="Times New Roman"/>
          <w:sz w:val="18"/>
          <w:szCs w:val="18"/>
          <w:color w:val="000000"/>
        </w:rPr>
        <w:t>s;</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 million for payments related to member tax distributions;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of proceeds related to the exercise of stock options.</w:t>
      </w:r>
    </w:p>
    <w:p>
      <w:pPr>
        <w:spacing w:after="0" w:line="113" w:lineRule="exact"/>
        <w:rPr>
          <w:sz w:val="20"/>
          <w:szCs w:val="20"/>
          <w:color w:val="auto"/>
        </w:rPr>
      </w:pPr>
    </w:p>
    <w:p>
      <w:pPr>
        <w:ind w:right="28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September 30, 2023, cash flows used in financing activities of $8.4 million resulted from $3.2 million for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repurchase of treasury stock in connection with the taxes paid related to the vesting of equity awards and $5.2 million for payments related to member tax distributions.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77" w:lineRule="exact"/>
        <w:rPr>
          <w:sz w:val="20"/>
          <w:szCs w:val="20"/>
          <w:color w:val="auto"/>
        </w:rPr>
      </w:pPr>
    </w:p>
    <w:p>
      <w:pPr>
        <w:ind w:right="280" w:firstLine="480"/>
        <w:spacing w:after="0" w:line="306"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2023, there have been no material changes in our critical accounting policies and estimates disclosed in Part II, Item 7 “Management’s Discussion and Analysis of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5"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5"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there have been no material changes in our exposure to market risk. For a discussion of our exposure to market risk, see Part II, Item 7A “Quantitative and Qualitative Disclosures About Market Risk” of our Annual Report on Form 10-K for the fiscal year ended December 31, 2023.</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80" w:firstLine="480"/>
        <w:spacing w:after="0" w:line="306" w:lineRule="auto"/>
        <w:rPr>
          <w:sz w:val="20"/>
          <w:szCs w:val="20"/>
          <w:color w:val="auto"/>
        </w:rPr>
      </w:pPr>
      <w:r>
        <w:rPr>
          <w:rFonts w:ascii="Times New Roman" w:cs="Times New Roman" w:eastAsia="Times New Roman" w:hAnsi="Times New Roman"/>
          <w:sz w:val="17"/>
          <w:szCs w:val="17"/>
          <w:color w:val="auto"/>
        </w:rPr>
        <w:t xml:space="preserve">There was no change in our internal control over financial reporting (as defined in Rules 13a-15(d) and 15d-15(d) under the Exchange Act) during the three months ended </w:t>
      </w:r>
      <w:r>
        <w:rPr>
          <w:rFonts w:ascii="Times New Roman" w:cs="Times New Roman" w:eastAsia="Times New Roman" w:hAnsi="Times New Roman"/>
          <w:sz w:val="17"/>
          <w:szCs w:val="17"/>
          <w:color w:val="231F20"/>
        </w:rPr>
        <w:t>September 30, 2024</w:t>
      </w:r>
      <w:r>
        <w:rPr>
          <w:rFonts w:ascii="Times New Roman" w:cs="Times New Roman" w:eastAsia="Times New Roman" w:hAnsi="Times New Roman"/>
          <w:sz w:val="17"/>
          <w:szCs w:val="17"/>
          <w:color w:val="auto"/>
        </w:rPr>
        <w:t xml:space="preserve"> that has materially affected, or is reasonably likely to materially affect, our internal control over financial reporting.</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6" w:name="page47"/>
    <w:bookmarkEnd w:id="46"/>
    <w:p>
      <w:pPr>
        <w:ind w:left="44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3"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68" w:lineRule="exact"/>
        <w:rPr>
          <w:sz w:val="20"/>
          <w:szCs w:val="20"/>
          <w:color w:val="auto"/>
        </w:rPr>
      </w:pPr>
    </w:p>
    <w:p>
      <w:pPr>
        <w:ind w:left="960" w:right="14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2" w:lineRule="exact"/>
        <w:rPr>
          <w:rFonts w:ascii="Times New Roman" w:cs="Times New Roman" w:eastAsia="Times New Roman" w:hAnsi="Times New Roman"/>
          <w:sz w:val="18"/>
          <w:szCs w:val="18"/>
          <w:color w:val="auto"/>
        </w:rPr>
      </w:pPr>
    </w:p>
    <w:p>
      <w:pPr>
        <w:ind w:left="960" w:right="24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7" w:lineRule="exact"/>
        <w:rPr>
          <w:rFonts w:ascii="Times New Roman" w:cs="Times New Roman" w:eastAsia="Times New Roman" w:hAnsi="Times New Roman"/>
          <w:sz w:val="18"/>
          <w:szCs w:val="18"/>
          <w:color w:val="auto"/>
        </w:rPr>
      </w:pPr>
    </w:p>
    <w:p>
      <w:pPr>
        <w:ind w:left="960" w:right="44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7" w:lineRule="exact"/>
        <w:rPr>
          <w:rFonts w:ascii="Times New Roman" w:cs="Times New Roman" w:eastAsia="Times New Roman" w:hAnsi="Times New Roman"/>
          <w:sz w:val="18"/>
          <w:szCs w:val="18"/>
          <w:color w:val="auto"/>
        </w:rPr>
      </w:pPr>
    </w:p>
    <w:p>
      <w:pPr>
        <w:ind w:left="960" w:right="400" w:hanging="474"/>
        <w:spacing w:after="0" w:line="306" w:lineRule="auto"/>
        <w:tabs>
          <w:tab w:leader="none" w:pos="9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34" w:lineRule="exact"/>
        <w:rPr>
          <w:rFonts w:ascii="Times New Roman" w:cs="Times New Roman" w:eastAsia="Times New Roman" w:hAnsi="Times New Roman"/>
          <w:sz w:val="17"/>
          <w:szCs w:val="17"/>
          <w:color w:val="auto"/>
        </w:rPr>
      </w:pPr>
    </w:p>
    <w:p>
      <w:pPr>
        <w:ind w:left="960" w:right="20" w:hanging="474"/>
        <w:spacing w:after="0" w:line="306" w:lineRule="auto"/>
        <w:tabs>
          <w:tab w:leader="none" w:pos="95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34" w:lineRule="exact"/>
        <w:rPr>
          <w:rFonts w:ascii="Times New Roman" w:cs="Times New Roman" w:eastAsia="Times New Roman" w:hAnsi="Times New Roman"/>
          <w:sz w:val="17"/>
          <w:szCs w:val="17"/>
          <w:color w:val="auto"/>
        </w:rPr>
      </w:pPr>
    </w:p>
    <w:p>
      <w:pPr>
        <w:ind w:left="960" w:right="28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2" w:lineRule="exact"/>
        <w:rPr>
          <w:rFonts w:ascii="Times New Roman" w:cs="Times New Roman" w:eastAsia="Times New Roman" w:hAnsi="Times New Roman"/>
          <w:sz w:val="18"/>
          <w:szCs w:val="18"/>
          <w:color w:val="auto"/>
        </w:rPr>
      </w:pPr>
    </w:p>
    <w:p>
      <w:pPr>
        <w:ind w:left="960" w:right="360" w:hanging="474"/>
        <w:spacing w:after="0" w:line="276"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related to our household ID is diminished, the effectiveness of our platform would be decreased, which could harm our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line="254"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w:t>
      </w:r>
    </w:p>
    <w:p>
      <w:pPr>
        <w:spacing w:after="0" w:line="77" w:lineRule="exact"/>
        <w:rPr>
          <w:rFonts w:ascii="Times New Roman" w:cs="Times New Roman" w:eastAsia="Times New Roman" w:hAnsi="Times New Roman"/>
          <w:sz w:val="18"/>
          <w:szCs w:val="18"/>
          <w:color w:val="auto"/>
        </w:rPr>
      </w:pPr>
    </w:p>
    <w:p>
      <w:pPr>
        <w:ind w:left="960" w:right="300" w:hanging="474"/>
        <w:spacing w:after="0" w:line="261" w:lineRule="auto"/>
        <w:tabs>
          <w:tab w:leader="none" w:pos="9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7" w:name="page48"/>
    <w:bookmarkEnd w:id="47"/>
    <w:p>
      <w:pPr>
        <w:ind w:left="960" w:right="100" w:hanging="474"/>
        <w:spacing w:after="0" w:line="306" w:lineRule="auto"/>
        <w:tabs>
          <w:tab w:leader="none" w:pos="9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breach of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34" w:lineRule="exact"/>
        <w:rPr>
          <w:rFonts w:ascii="Times New Roman" w:cs="Times New Roman" w:eastAsia="Times New Roman" w:hAnsi="Times New Roman"/>
          <w:sz w:val="17"/>
          <w:szCs w:val="17"/>
          <w:color w:val="auto"/>
        </w:rPr>
      </w:pPr>
    </w:p>
    <w:p>
      <w:pPr>
        <w:ind w:left="960" w:right="40" w:hanging="474"/>
        <w:spacing w:after="0" w:line="276"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7" w:lineRule="exact"/>
        <w:rPr>
          <w:rFonts w:ascii="Times New Roman" w:cs="Times New Roman" w:eastAsia="Times New Roman" w:hAnsi="Times New Roman"/>
          <w:sz w:val="18"/>
          <w:szCs w:val="18"/>
          <w:color w:val="auto"/>
        </w:rPr>
      </w:pPr>
    </w:p>
    <w:p>
      <w:pPr>
        <w:ind w:left="960" w:right="900" w:hanging="474"/>
        <w:spacing w:after="0" w:line="276"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12" w:lineRule="exact"/>
        <w:rPr>
          <w:rFonts w:ascii="Times New Roman" w:cs="Times New Roman" w:eastAsia="Times New Roman" w:hAnsi="Times New Roman"/>
          <w:sz w:val="18"/>
          <w:szCs w:val="18"/>
          <w:color w:val="auto"/>
        </w:rPr>
      </w:pPr>
    </w:p>
    <w:p>
      <w:pPr>
        <w:ind w:left="960" w:right="80" w:hanging="474"/>
        <w:spacing w:after="0" w:line="276" w:lineRule="auto"/>
        <w:tabs>
          <w:tab w:leader="none" w:pos="9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8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2"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8" w:name="page49"/>
    <w:bookmarkEnd w:id="48"/>
    <w:p>
      <w:pPr>
        <w:ind w:right="40"/>
        <w:spacing w:after="0" w:line="261" w:lineRule="auto"/>
        <w:rPr>
          <w:sz w:val="20"/>
          <w:szCs w:val="20"/>
          <w:color w:val="auto"/>
        </w:rPr>
      </w:pPr>
      <w:r>
        <w:rPr>
          <w:rFonts w:ascii="Times New Roman" w:cs="Times New Roman" w:eastAsia="Times New Roman" w:hAnsi="Times New Roman"/>
          <w:sz w:val="18"/>
          <w:szCs w:val="18"/>
          <w:color w:val="auto"/>
        </w:rPr>
        <w:t>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2"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connected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2"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3"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2"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2"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labor shortages, shortages of goods and services, supply chain constraints, pandemics, political election cycles,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shortages, tightening of credit markets,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88"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7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7"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17"/>
          <w:szCs w:val="17"/>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67" w:lineRule="exact"/>
        <w:rPr>
          <w:sz w:val="20"/>
          <w:szCs w:val="20"/>
          <w:color w:val="auto"/>
        </w:rPr>
      </w:pPr>
    </w:p>
    <w:p>
      <w:pPr>
        <w:ind w:right="340" w:firstLine="480"/>
        <w:spacing w:after="0" w:line="257"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7" w:right="359" w:bottom="1440" w:gutter="0" w:footer="0" w:header="0"/>
        </w:sectPr>
      </w:pPr>
    </w:p>
    <w:bookmarkStart w:id="50" w:name="page51"/>
    <w:bookmarkEnd w:id="50"/>
    <w:p>
      <w:pPr>
        <w:ind w:right="200"/>
        <w:spacing w:after="0" w:line="276" w:lineRule="auto"/>
        <w:rPr>
          <w:sz w:val="20"/>
          <w:szCs w:val="20"/>
          <w:color w:val="auto"/>
        </w:rPr>
      </w:pPr>
      <w:r>
        <w:rPr>
          <w:rFonts w:ascii="Times New Roman" w:cs="Times New Roman" w:eastAsia="Times New Roman" w:hAnsi="Times New Roman"/>
          <w:sz w:val="18"/>
          <w:szCs w:val="18"/>
          <w:color w:val="auto"/>
        </w:rPr>
        <w:t>customers’ advertising campaigns, our ability to retain our existing customers could suffer and our reputation with existing or potential customers could be harmed, which would negatively impact our business.</w:t>
      </w:r>
    </w:p>
    <w:p>
      <w:pPr>
        <w:spacing w:after="0" w:line="16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2"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 Furthermore, the inventory that we access through real-time advertising exchanges may be of low quality or misrepresented to us, despite attempts by us and our suppliers to prevent fraud and conduct quality assurance checks.</w:t>
      </w:r>
    </w:p>
    <w:p>
      <w:pPr>
        <w:spacing w:after="0" w:line="88"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access to data related to our household ID is diminished, the effectiveness of our platform would be decreased, which could harm our operating results and financial condition.</w:t>
      </w:r>
    </w:p>
    <w:p>
      <w:pPr>
        <w:spacing w:after="0" w:line="52"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1" w:name="page52"/>
    <w:bookmarkEnd w:id="51"/>
    <w:p>
      <w:pPr>
        <w:ind w:right="20"/>
        <w:spacing w:after="0" w:line="254" w:lineRule="auto"/>
        <w:rPr>
          <w:sz w:val="20"/>
          <w:szCs w:val="20"/>
          <w:color w:val="auto"/>
        </w:rPr>
      </w:pPr>
      <w:r>
        <w:rPr>
          <w:rFonts w:ascii="Times New Roman" w:cs="Times New Roman" w:eastAsia="Times New Roman" w:hAnsi="Times New Roman"/>
          <w:sz w:val="18"/>
          <w:szCs w:val="18"/>
          <w:color w:val="auto"/>
        </w:rPr>
        <w:t>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77"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Legislators, regulators, and other authorities have focused heavily on third-party data suppliers and the advertising industry in recent years, and we expect this to continue. Consumer privacy laws and regulations enacted at the state level, such as the California Consumer Privacy Act of 2018 (“CCPA”), Washington's My Health, My Data Act ("MHMD"), and other similar privacy focused laws in Colorado, Virginia, Connecticut, and Utah among other states (“State Privacy Laws”) and other U.S. and foreign laws governing personal data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66"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data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82"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that enables our Household ID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2"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We had 352 employees as of September 30, 2024.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2" w:name="page53"/>
    <w:bookmarkEnd w:id="52"/>
    <w:p>
      <w:pPr>
        <w:ind w:right="220"/>
        <w:spacing w:after="0" w:line="261" w:lineRule="auto"/>
        <w:rPr>
          <w:sz w:val="20"/>
          <w:szCs w:val="20"/>
          <w:color w:val="auto"/>
        </w:rPr>
      </w:pPr>
      <w:r>
        <w:rPr>
          <w:rFonts w:ascii="Times New Roman" w:cs="Times New Roman" w:eastAsia="Times New Roman" w:hAnsi="Times New Roman"/>
          <w:sz w:val="18"/>
          <w:szCs w:val="18"/>
          <w:color w:val="auto"/>
        </w:rPr>
        <w:t>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7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2" w:lineRule="exact"/>
        <w:rPr>
          <w:sz w:val="20"/>
          <w:szCs w:val="20"/>
          <w:color w:val="auto"/>
        </w:rPr>
      </w:pPr>
    </w:p>
    <w:p>
      <w:pPr>
        <w:ind w:right="40" w:firstLine="480"/>
        <w:spacing w:after="0" w:line="265" w:lineRule="auto"/>
        <w:rPr>
          <w:sz w:val="20"/>
          <w:szCs w:val="20"/>
          <w:color w:val="auto"/>
        </w:rPr>
      </w:pPr>
      <w:r>
        <w:rPr>
          <w:rFonts w:ascii="Times New Roman" w:cs="Times New Roman" w:eastAsia="Times New Roman" w:hAnsi="Times New Roman"/>
          <w:sz w:val="17"/>
          <w:szCs w:val="17"/>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 disclosure of our Confidential Data, or of the security of our 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8"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2"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8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7"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3" w:name="page54"/>
    <w:bookmarkEnd w:id="53"/>
    <w:p>
      <w:pPr>
        <w:spacing w:after="0" w:line="276" w:lineRule="auto"/>
        <w:rPr>
          <w:sz w:val="20"/>
          <w:szCs w:val="20"/>
          <w:color w:val="auto"/>
        </w:rPr>
      </w:pPr>
      <w:r>
        <w:rPr>
          <w:rFonts w:ascii="Times New Roman" w:cs="Times New Roman" w:eastAsia="Times New Roman" w:hAnsi="Times New Roman"/>
          <w:sz w:val="18"/>
          <w:szCs w:val="18"/>
          <w:color w:val="auto"/>
        </w:rPr>
        <w:t>capital and other resources and could cause interruptions, delays or the cessation of our business, any of which may adversely affect our operating results and financial condition.</w:t>
      </w:r>
    </w:p>
    <w:p>
      <w:pPr>
        <w:spacing w:after="0" w:line="160"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2"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78"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0" w:lineRule="exact"/>
        <w:rPr>
          <w:sz w:val="20"/>
          <w:szCs w:val="20"/>
          <w:color w:val="auto"/>
        </w:rPr>
      </w:pPr>
    </w:p>
    <w:p>
      <w:pPr>
        <w:jc w:val="both"/>
        <w:ind w:right="300" w:firstLine="480"/>
        <w:spacing w:after="0" w:line="261"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2"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w:t>
      </w:r>
    </w:p>
    <w:p>
      <w:pPr>
        <w:spacing w:after="0" w:line="200" w:lineRule="exact"/>
        <w:rPr>
          <w:sz w:val="20"/>
          <w:szCs w:val="20"/>
          <w:color w:val="auto"/>
        </w:rPr>
      </w:pPr>
    </w:p>
    <w:p>
      <w:pPr>
        <w:spacing w:after="0" w:line="20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54" w:name="page55"/>
    <w:bookmarkEnd w:id="54"/>
    <w:p>
      <w:pPr>
        <w:ind w:right="60"/>
        <w:spacing w:after="0" w:line="261" w:lineRule="auto"/>
        <w:rPr>
          <w:sz w:val="20"/>
          <w:szCs w:val="20"/>
          <w:color w:val="auto"/>
        </w:rPr>
      </w:pPr>
      <w:r>
        <w:rPr>
          <w:rFonts w:ascii="Times New Roman" w:cs="Times New Roman" w:eastAsia="Times New Roman" w:hAnsi="Times New Roman"/>
          <w:sz w:val="18"/>
          <w:szCs w:val="18"/>
          <w:color w:val="auto"/>
        </w:rPr>
        <w:t>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clients violate our ad policies or other contract terms, which could harm our business, operating results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7"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0" w:lineRule="exact"/>
        <w:rPr>
          <w:sz w:val="20"/>
          <w:szCs w:val="20"/>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112" w:lineRule="exact"/>
        <w:rPr>
          <w:rFonts w:ascii="Times New Roman" w:cs="Times New Roman" w:eastAsia="Times New Roman" w:hAnsi="Times New Roman"/>
          <w:sz w:val="18"/>
          <w:szCs w:val="18"/>
          <w:color w:val="auto"/>
        </w:rPr>
      </w:pPr>
    </w:p>
    <w:p>
      <w:pPr>
        <w:ind w:left="960" w:hanging="474"/>
        <w:spacing w:after="0" w:line="276"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2" w:lineRule="exact"/>
        <w:rPr>
          <w:rFonts w:ascii="Times New Roman" w:cs="Times New Roman" w:eastAsia="Times New Roman" w:hAnsi="Times New Roman"/>
          <w:sz w:val="18"/>
          <w:szCs w:val="18"/>
          <w:color w:val="auto"/>
        </w:rPr>
      </w:pPr>
    </w:p>
    <w:p>
      <w:pPr>
        <w:ind w:left="960" w:right="160" w:hanging="474"/>
        <w:spacing w:after="0" w:line="276"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1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5" w:name="page56"/>
    <w:bookmarkEnd w:id="55"/>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2"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3"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7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8"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7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7"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6" w:name="page57"/>
    <w:bookmarkEnd w:id="56"/>
    <w:p>
      <w:pPr>
        <w:ind w:right="100"/>
        <w:spacing w:after="0" w:line="306" w:lineRule="auto"/>
        <w:rPr>
          <w:sz w:val="20"/>
          <w:szCs w:val="20"/>
          <w:color w:val="auto"/>
        </w:rPr>
      </w:pPr>
      <w:r>
        <w:rPr>
          <w:rFonts w:ascii="Times New Roman" w:cs="Times New Roman" w:eastAsia="Times New Roman" w:hAnsi="Times New Roman"/>
          <w:sz w:val="17"/>
          <w:szCs w:val="17"/>
          <w:color w:val="auto"/>
        </w:rPr>
        <w:t>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60"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2"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we derive a significant portion of our revenue from advertising in the connected TV, mobile, and desktop channels, which are rapidly evolving, highly competitive, complex and fragmented. We face significant competition in these markets which we expect will intensify in the future. While fewer of our competitors currently have capability in other channels such as in-game streaming audio and digital billboard channels, we also expect to face additional competition in those channels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 effects on the demand for our products and services, or other adverse business consequences.</w:t>
      </w:r>
    </w:p>
    <w:p>
      <w:pPr>
        <w:spacing w:after="0" w:line="58"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sensitive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7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As a result, our practices may not comply with such laws, regulations or obligations. Any failure or perceived failure to comply with applicable laws or regulations regarding privacy, data protection and cybersecurity could adversely affect our business, brand or</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7" w:name="page58"/>
    <w:bookmarkEnd w:id="57"/>
    <w:p>
      <w:pPr>
        <w:ind w:right="20"/>
        <w:spacing w:after="0" w:line="276" w:lineRule="auto"/>
        <w:rPr>
          <w:sz w:val="20"/>
          <w:szCs w:val="20"/>
          <w:color w:val="auto"/>
        </w:rPr>
      </w:pPr>
      <w:r>
        <w:rPr>
          <w:rFonts w:ascii="Times New Roman" w:cs="Times New Roman" w:eastAsia="Times New Roman" w:hAnsi="Times New Roman"/>
          <w:sz w:val="18"/>
          <w:szCs w:val="18"/>
          <w:color w:val="auto"/>
        </w:rPr>
        <w:t>reputation and may result in claims, actions, investigations or proceedings against us by regulators or individuals and require us to change our practices, all of which may result in significant costs.</w:t>
      </w:r>
    </w:p>
    <w:p>
      <w:pPr>
        <w:spacing w:after="0" w:line="5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In the United States, an ever-increasing number of state laws and regulations apply to the Processing of personal information. In recent years, U.S. federal and state legislatures, along with regulatory authorities, have increased their focus on the collection and use of personal information, including relating to “interest-based,” “cross-context behavioral,” or “targeted” advertising. As an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of the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information. These laws are generally enforced by each state’s attorney general with potentially steep penalties for violations.</w:t>
      </w:r>
    </w:p>
    <w:p>
      <w:pPr>
        <w:spacing w:after="0" w:line="8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data they process. Several states, including California and Texas, have recently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These obligations may reduce the data available to Viant, require us to develop complex and expensive compliance tools and procedures, and may result in reductions in revenue.</w:t>
      </w:r>
    </w:p>
    <w:p>
      <w:pPr>
        <w:spacing w:after="0" w:line="78"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data perceived as especially sensitive, such as children’s data and health data, which will impact the advertising industry. This includes the Children’s Online Privacy Protection Act of 1998 (“COPPA”), which restricts the collection and use of data about users of child-directed websites. The Federal Trade Commission actively enforces COPPA and may in the future update and expand certain parts of the law. Additionally, several State Privacy Laws have increased the age at which a consumer can be shown targeted ads (without opt-in consent) from 13 to 16 or 18 years of age.</w:t>
      </w:r>
    </w:p>
    <w:p>
      <w:pPr>
        <w:spacing w:after="0" w:line="77"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Related to consumer health information,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 the law’s text.</w:t>
      </w:r>
    </w:p>
    <w:p>
      <w:pPr>
        <w:spacing w:after="0" w:line="7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spacing w:after="0" w:line="8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7"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8" w:name="page59"/>
    <w:bookmarkEnd w:id="58"/>
    <w:p>
      <w:pPr>
        <w:ind w:right="20"/>
        <w:spacing w:after="0" w:line="276" w:lineRule="auto"/>
        <w:rPr>
          <w:sz w:val="20"/>
          <w:szCs w:val="20"/>
          <w:color w:val="auto"/>
        </w:rPr>
      </w:pPr>
      <w:r>
        <w:rPr>
          <w:rFonts w:ascii="Times New Roman" w:cs="Times New Roman" w:eastAsia="Times New Roman" w:hAnsi="Times New Roman"/>
          <w:sz w:val="18"/>
          <w:szCs w:val="18"/>
          <w:color w:val="auto"/>
        </w:rPr>
        <w:t>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5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data from the EEA and UK to the United States in compliance with law, these mechanisms are subject to ongoing legal challenges.</w:t>
      </w:r>
    </w:p>
    <w:p>
      <w:pPr>
        <w:spacing w:after="0" w:line="77"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17"/>
          <w:szCs w:val="17"/>
          <w:color w:val="auto"/>
        </w:rPr>
        <w:t>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6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such usage may be subject to various laws and other obligations, including those related to privacy, and governments have passed and are likely to pass additional laws regulating generative AI. For example, the California Privacy Protection Agency is contemplating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7"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("NAI"), the Digital Advertising Alliance ("DAA"), and their international counterparts, apply to many players in the advertising technology ecosystem.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 w:cs="Times New Roman" w:eastAsia="Times New Roman" w:hAnsi="Times New Roman"/>
          <w:sz w:val="18"/>
          <w:szCs w:val="18"/>
          <w:i w:val="1"/>
          <w:iCs w:val="1"/>
          <w:color w:val="auto"/>
        </w:rPr>
        <w:t>Our business or ability to operate our platform could be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260" w:firstLine="480"/>
        <w:spacing w:after="0" w:line="257"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9" w:name="page60"/>
    <w:bookmarkEnd w:id="59"/>
    <w:p>
      <w:pPr>
        <w:ind w:right="60"/>
        <w:spacing w:after="0" w:line="276" w:lineRule="auto"/>
        <w:rPr>
          <w:sz w:val="20"/>
          <w:szCs w:val="20"/>
          <w:color w:val="auto"/>
        </w:rPr>
      </w:pPr>
      <w:r>
        <w:rPr>
          <w:rFonts w:ascii="Times New Roman" w:cs="Times New Roman" w:eastAsia="Times New Roman" w:hAnsi="Times New Roman"/>
          <w:sz w:val="18"/>
          <w:szCs w:val="18"/>
          <w:color w:val="auto"/>
        </w:rPr>
        <w:t>reputation, business, or financial condition, including but not limited to loss of customers, additional costs and liabilities, damage our reputation, reduction in sales and demand for our platform, and harm our business.</w:t>
      </w:r>
    </w:p>
    <w:p>
      <w:pPr>
        <w:spacing w:after="0" w:line="57" w:lineRule="exact"/>
        <w:rPr>
          <w:sz w:val="20"/>
          <w:szCs w:val="20"/>
          <w:color w:val="auto"/>
        </w:rPr>
      </w:pPr>
    </w:p>
    <w:p>
      <w:pPr>
        <w:ind w:right="440" w:firstLine="480"/>
        <w:spacing w:after="0" w:line="261"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74"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0"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5"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to introduce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Viant Household 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94"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and Google has announced that it will eventually deprecate its Android advertising identifier entirely.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78" w:lineRule="exact"/>
        <w:rPr>
          <w:sz w:val="20"/>
          <w:szCs w:val="20"/>
          <w:color w:val="auto"/>
        </w:rPr>
      </w:pPr>
    </w:p>
    <w:p>
      <w:pPr>
        <w:ind w:right="120" w:firstLine="480"/>
        <w:spacing w:after="0" w:line="276"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0" w:name="page61"/>
    <w:bookmarkEnd w:id="60"/>
    <w:p>
      <w:pPr>
        <w:ind w:right="120"/>
        <w:spacing w:after="0" w:line="257" w:lineRule="auto"/>
        <w:rPr>
          <w:sz w:val="20"/>
          <w:szCs w:val="20"/>
          <w:color w:val="auto"/>
        </w:rPr>
      </w:pPr>
      <w:r>
        <w:rPr>
          <w:rFonts w:ascii="Times New Roman" w:cs="Times New Roman" w:eastAsia="Times New Roman" w:hAnsi="Times New Roman"/>
          <w:sz w:val="18"/>
          <w:szCs w:val="18"/>
          <w:color w:val="auto"/>
        </w:rPr>
        <w:t>regulators, such as the FTC, California Privacy Protection Agency, and privacy advocates have raised significant concerns around observed data, leading to an array of ‘do-not-track’ and similar opt-out efforts, suggestions and technologies introduced to address these concerns,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7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2" w:lineRule="exact"/>
        <w:rPr>
          <w:sz w:val="20"/>
          <w:szCs w:val="20"/>
          <w:color w:val="auto"/>
        </w:rPr>
      </w:pPr>
    </w:p>
    <w:p>
      <w:pPr>
        <w:jc w:val="both"/>
        <w:ind w:right="120" w:firstLine="480"/>
        <w:spacing w:after="0" w:line="257"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80"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3"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7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5"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3" w:lineRule="exact"/>
        <w:rPr>
          <w:sz w:val="20"/>
          <w:szCs w:val="20"/>
          <w:color w:val="auto"/>
        </w:rPr>
      </w:pPr>
    </w:p>
    <w:p>
      <w:pPr>
        <w:ind w:right="260" w:firstLine="480"/>
        <w:spacing w:after="0" w:line="306"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35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61" w:name="page62"/>
    <w:bookmarkEnd w:id="61"/>
    <w:p>
      <w:pPr>
        <w:ind w:right="340" w:firstLine="480"/>
        <w:spacing w:after="0" w:line="276"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7"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6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2"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2" w:name="page63"/>
    <w:bookmarkEnd w:id="62"/>
    <w:p>
      <w:pPr>
        <w:spacing w:after="0" w:line="253" w:lineRule="auto"/>
        <w:rPr>
          <w:sz w:val="20"/>
          <w:szCs w:val="20"/>
          <w:color w:val="auto"/>
        </w:rPr>
      </w:pPr>
      <w:r>
        <w:rPr>
          <w:rFonts w:ascii="Times New Roman" w:cs="Times New Roman" w:eastAsia="Times New Roman" w:hAnsi="Times New Roman"/>
          <w:sz w:val="18"/>
          <w:szCs w:val="18"/>
          <w:color w:val="auto"/>
        </w:rPr>
        <w:t>protection can be difficult and expensive, the laws, procedures and restrictions may provide only limited protection, and protection may not be available for some of our technology, in particular technology that uses open 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77"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7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2"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7"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2"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25.7% of the membership interests of Viant Technology LLC as of</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3" w:name="page64"/>
    <w:bookmarkEnd w:id="63"/>
    <w:p>
      <w:pPr>
        <w:ind w:right="280"/>
        <w:spacing w:after="0" w:line="276" w:lineRule="auto"/>
        <w:rPr>
          <w:sz w:val="20"/>
          <w:szCs w:val="20"/>
          <w:color w:val="auto"/>
        </w:rPr>
      </w:pPr>
      <w:r>
        <w:rPr>
          <w:rFonts w:ascii="Times New Roman" w:cs="Times New Roman" w:eastAsia="Times New Roman" w:hAnsi="Times New Roman"/>
          <w:sz w:val="18"/>
          <w:szCs w:val="18"/>
          <w:color w:val="auto"/>
        </w:rPr>
        <w:t>September 30, 2024. We do not have any independent means of generating revenue or cash flow, and our ability to pay dividends in the future, if any, will depend upon the financial results and cash flows of Viant Technology LLC.</w:t>
      </w:r>
    </w:p>
    <w:p>
      <w:pPr>
        <w:spacing w:after="0" w:line="5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7"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2"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88"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4" w:name="page65"/>
    <w:bookmarkEnd w:id="64"/>
    <w:p>
      <w:pPr>
        <w:ind w:right="220"/>
        <w:spacing w:after="0" w:line="257" w:lineRule="auto"/>
        <w:rPr>
          <w:sz w:val="20"/>
          <w:szCs w:val="20"/>
          <w:color w:val="auto"/>
        </w:rPr>
      </w:pPr>
      <w:r>
        <w:rPr>
          <w:rFonts w:ascii="Times New Roman" w:cs="Times New Roman" w:eastAsia="Times New Roman" w:hAnsi="Times New Roman"/>
          <w:sz w:val="18"/>
          <w:szCs w:val="18"/>
          <w:color w:val="auto"/>
        </w:rPr>
        <w:t>result no TRA liability has been recorded. If deferred tax assets subject to the TRA become more likely than not to be realized, we will record the TRA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7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2"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95"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200" w:lineRule="exact"/>
        <w:rPr>
          <w:sz w:val="20"/>
          <w:szCs w:val="20"/>
          <w:color w:val="auto"/>
        </w:rPr>
      </w:pPr>
    </w:p>
    <w:p>
      <w:pPr>
        <w:spacing w:after="0" w:line="2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5" w:name="page66"/>
    <w:bookmarkEnd w:id="65"/>
    <w:p>
      <w:pPr>
        <w:ind w:right="5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Viant Technology Inc. and the existing members of Viant Technology LLC, and the distributions that Viant Technology LLC will be required to make may be substantial.</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51"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78"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inflation and monetary supply shifts, high interest rates, tightening of credit markets,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2" w:lineRule="exact"/>
        <w:rPr>
          <w:sz w:val="20"/>
          <w:szCs w:val="20"/>
          <w:color w:val="auto"/>
        </w:rPr>
      </w:pPr>
    </w:p>
    <w:p>
      <w:pPr>
        <w:ind w:left="960" w:hanging="474"/>
        <w:spacing w:after="0"/>
        <w:tabs>
          <w:tab w:leader="none" w:pos="9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platform, including those related to the seasonal nature of our customers’ spending on digital advertising campaigns;</w:t>
      </w:r>
    </w:p>
    <w:p>
      <w:pPr>
        <w:spacing w:after="0" w:line="124" w:lineRule="exact"/>
        <w:rPr>
          <w:rFonts w:ascii="Times New Roman" w:cs="Times New Roman" w:eastAsia="Times New Roman" w:hAnsi="Times New Roman"/>
          <w:sz w:val="17"/>
          <w:szCs w:val="17"/>
          <w:color w:val="auto"/>
        </w:rPr>
      </w:pPr>
    </w:p>
    <w:p>
      <w:pPr>
        <w:ind w:left="960" w:right="38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connected TV);</w:t>
      </w:r>
    </w:p>
    <w:p>
      <w:pPr>
        <w:spacing w:after="0" w:line="112" w:lineRule="exact"/>
        <w:rPr>
          <w:rFonts w:ascii="Times New Roman" w:cs="Times New Roman" w:eastAsia="Times New Roman" w:hAnsi="Times New Roman"/>
          <w:sz w:val="18"/>
          <w:szCs w:val="18"/>
          <w:color w:val="auto"/>
        </w:rPr>
      </w:pPr>
    </w:p>
    <w:p>
      <w:pPr>
        <w:ind w:left="960" w:right="18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7" w:lineRule="exact"/>
        <w:rPr>
          <w:rFonts w:ascii="Times New Roman" w:cs="Times New Roman" w:eastAsia="Times New Roman" w:hAnsi="Times New Roman"/>
          <w:sz w:val="18"/>
          <w:szCs w:val="18"/>
          <w:color w:val="auto"/>
        </w:rPr>
      </w:pPr>
    </w:p>
    <w:p>
      <w:pPr>
        <w:ind w:left="960" w:right="40" w:hanging="474"/>
        <w:spacing w:after="0" w:line="284" w:lineRule="auto"/>
        <w:tabs>
          <w:tab w:leader="none" w:pos="9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prospects of marketers or the economy generally (due to pandemics, labor shortages, inflation and monetary supply shifts, high interest rates, tightening of credit markets, and potential disruptions from international conflicts and acts of terrorism or otherwise), which could alter marketers’ spending priorities, or could increase the time or costs required to complete advertising inventory sales;</w:t>
      </w:r>
    </w:p>
    <w:p>
      <w:pPr>
        <w:spacing w:after="0" w:line="52"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19"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319"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17"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2"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71" w:lineRule="exact"/>
        <w:rPr>
          <w:sz w:val="20"/>
          <w:szCs w:val="20"/>
          <w:color w:val="auto"/>
        </w:rPr>
      </w:pPr>
    </w:p>
    <w:p>
      <w:pPr>
        <w:ind w:left="960" w:right="140" w:hanging="474"/>
        <w:spacing w:after="0" w:line="27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expenses relating to data collection and consumer privacy compliance, including additional infrastructure, automation and personnel; and</w:t>
      </w:r>
    </w:p>
    <w:p>
      <w:pPr>
        <w:spacing w:after="0" w:line="124"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113"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57"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7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2"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Our Amended Loan Agreement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68" w:name="page69"/>
    <w:bookmarkEnd w:id="68"/>
    <w:p>
      <w:pPr>
        <w:ind w:right="140"/>
        <w:spacing w:after="0" w:line="276" w:lineRule="auto"/>
        <w:rPr>
          <w:sz w:val="20"/>
          <w:szCs w:val="20"/>
          <w:color w:val="auto"/>
        </w:rPr>
      </w:pPr>
      <w:r>
        <w:rPr>
          <w:rFonts w:ascii="Times New Roman" w:cs="Times New Roman" w:eastAsia="Times New Roman" w:hAnsi="Times New Roman"/>
          <w:sz w:val="18"/>
          <w:szCs w:val="18"/>
          <w:color w:val="auto"/>
        </w:rPr>
        <w:t>debt immediately due and payable. If this occurs, we might not be able to repay our debt or borrow sufficient funds to refinance it. Even if new financing is available, it may not be on terms that are acceptable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2"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2"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Through their ownership of common stock, the Vanderhook Parties control approximately 70% of the voting power of our common stock in the election of directors as of September 30, 2024.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ind w:right="40" w:firstLine="480"/>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52" w:lineRule="exact"/>
        <w:rPr>
          <w:sz w:val="20"/>
          <w:szCs w:val="20"/>
          <w:color w:val="auto"/>
        </w:rPr>
      </w:pPr>
    </w:p>
    <w:p>
      <w:pPr>
        <w:ind w:left="960" w:right="160" w:hanging="474"/>
        <w:spacing w:after="0" w:line="261"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1"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2" w:lineRule="exact"/>
        <w:rPr>
          <w:rFonts w:ascii="Times New Roman" w:cs="Times New Roman" w:eastAsia="Times New Roman" w:hAnsi="Times New Roman"/>
          <w:sz w:val="18"/>
          <w:szCs w:val="18"/>
          <w:color w:val="auto"/>
        </w:rPr>
      </w:pPr>
    </w:p>
    <w:p>
      <w:pPr>
        <w:ind w:left="960" w:right="28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2" w:lineRule="exact"/>
        <w:rPr>
          <w:rFonts w:ascii="Times New Roman" w:cs="Times New Roman" w:eastAsia="Times New Roman" w:hAnsi="Times New Roman"/>
          <w:sz w:val="18"/>
          <w:szCs w:val="18"/>
          <w:color w:val="auto"/>
        </w:rPr>
      </w:pPr>
    </w:p>
    <w:p>
      <w:pPr>
        <w:ind w:left="960" w:right="34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57" w:lineRule="exact"/>
        <w:rPr>
          <w:rFonts w:ascii="Times New Roman" w:cs="Times New Roman" w:eastAsia="Times New Roman" w:hAnsi="Times New Roman"/>
          <w:sz w:val="18"/>
          <w:szCs w:val="18"/>
          <w:color w:val="auto"/>
        </w:rPr>
      </w:pPr>
    </w:p>
    <w:p>
      <w:pPr>
        <w:ind w:left="960" w:right="10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2" w:lineRule="exact"/>
        <w:rPr>
          <w:rFonts w:ascii="Times New Roman" w:cs="Times New Roman" w:eastAsia="Times New Roman" w:hAnsi="Times New Roman"/>
          <w:sz w:val="18"/>
          <w:szCs w:val="18"/>
          <w:color w:val="auto"/>
        </w:rPr>
      </w:pPr>
    </w:p>
    <w:p>
      <w:pPr>
        <w:ind w:left="960" w:right="14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2"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5"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3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7" w:right="359" w:bottom="1440" w:gutter="0" w:footer="0" w:header="0"/>
        </w:sectPr>
      </w:pPr>
    </w:p>
    <w:bookmarkStart w:id="70" w:name="page71"/>
    <w:bookmarkEnd w:id="70"/>
    <w:p>
      <w:pPr>
        <w:ind w:right="380" w:firstLine="480"/>
        <w:spacing w:after="0" w:line="27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2"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reduce our cash reserves and may be suspended or terminated at any time, which may result in a decrease in the trading prices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result in increased costs and compliance and/or disclosure obligations. For more information, see our risk factor titled “</w:t>
      </w:r>
      <w:r>
        <w:rPr>
          <w:rFonts w:ascii="Times New Roman" w:cs="Times New Roman" w:eastAsia="Times New Roman" w:hAnsi="Times New Roman"/>
          <w:sz w:val="18"/>
          <w:szCs w:val="18"/>
          <w:i w:val="1"/>
          <w:iCs w:val="1"/>
          <w:color w:val="231F20"/>
        </w:rPr>
        <w:t>Increasing attention to, and evolving expectations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environmental, social, and governance matters may impact our business and reputation.</w:t>
      </w:r>
      <w:r>
        <w:rPr>
          <w:rFonts w:ascii="Times New Roman" w:cs="Times New Roman" w:eastAsia="Times New Roman" w:hAnsi="Times New Roman"/>
          <w:sz w:val="18"/>
          <w:szCs w:val="18"/>
          <w:color w:val="231F20"/>
        </w:rPr>
        <w:t>” Noncompliance with applicable regulations or requirements could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subject us to investigations, enforcement actions, sanctions, fines, damages, penalties, injunctions or termination of contracts. Any such matters could have a material adverse effect on our business, results of operations and financial condition.</w:t>
      </w:r>
    </w:p>
    <w:p>
      <w:pPr>
        <w:spacing w:after="0" w:line="18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(“ESG”) matters may impact our business and reputation.</w:t>
      </w:r>
    </w:p>
    <w:p>
      <w:pPr>
        <w:spacing w:after="0" w:line="5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Companies across </w:t>
      </w:r>
      <w:r>
        <w:rPr>
          <w:rFonts w:ascii="Times New Roman" w:cs="Times New Roman" w:eastAsia="Times New Roman" w:hAnsi="Times New Roman"/>
          <w:sz w:val="18"/>
          <w:szCs w:val="18"/>
          <w:color w:val="000000"/>
        </w:rPr>
        <w:t>industries are facing increasing scrutiny from a variety of stakeholders related to their ESG and sustainability practices.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 xml:space="preserve">While we have and continue to engage in voluntary initiatives (which may include voluntary disclosures, certifications, and/or goals, among others) to improve the ESG profile of the Company and/or our products, such initiatives </w:t>
      </w:r>
      <w:r>
        <w:rPr>
          <w:rFonts w:ascii="Times New Roman" w:cs="Times New Roman" w:eastAsia="Times New Roman" w:hAnsi="Times New Roman"/>
          <w:sz w:val="18"/>
          <w:szCs w:val="18"/>
          <w:color w:val="231F20"/>
        </w:rPr>
        <w:t>may require considerable investments and may not have the desired effect.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example, our goals, such as efforts to be carbon neutral in fiscal 2023 and subsequent years, with all of their contingencies, dependencies, calculations and in certain cases, reliance on third-party verification and/or performance, are complex and ambitious, and we may not achieve them, either according to specific standards or stakeholder expectations or at all. </w:t>
      </w:r>
      <w:r>
        <w:rPr>
          <w:rFonts w:ascii="Times New Roman" w:cs="Times New Roman" w:eastAsia="Times New Roman" w:hAnsi="Times New Roman"/>
          <w:sz w:val="18"/>
          <w:szCs w:val="18"/>
          <w:color w:val="000000"/>
        </w:rPr>
        <w:t>Moreover, actions or statements that we may take based on expectations, assumptions, methodologies,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third-party information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For example, we identified certain calculation discrepancies in historically reported emissions metrics and statements, which required us to purchase additional environmental attributes in order to achieve our fiscal 2023 carbon neutrality goal.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w:t>
      </w:r>
      <w:r>
        <w:rPr>
          <w:rFonts w:ascii="Times New Roman" w:cs="Times New Roman" w:eastAsia="Times New Roman" w:hAnsi="Times New Roman"/>
          <w:sz w:val="18"/>
          <w:szCs w:val="18"/>
          <w:color w:val="231F20"/>
        </w:rPr>
        <w:t>Additionally, our current programs,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reporting frameworks, and principles may not be in compliance with any new environmental and social laws and regulations, or novel interpretations of existing laws and regulations,</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71" w:name="page72"/>
    <w:bookmarkEnd w:id="71"/>
    <w:p>
      <w:pPr>
        <w:ind w:right="620"/>
        <w:spacing w:after="0" w:line="276" w:lineRule="auto"/>
        <w:rPr>
          <w:sz w:val="20"/>
          <w:szCs w:val="20"/>
          <w:color w:val="auto"/>
        </w:rPr>
      </w:pPr>
      <w:r>
        <w:rPr>
          <w:rFonts w:ascii="Times New Roman" w:cs="Times New Roman" w:eastAsia="Times New Roman" w:hAnsi="Times New Roman"/>
          <w:sz w:val="18"/>
          <w:szCs w:val="18"/>
          <w:color w:val="231F20"/>
        </w:rPr>
        <w:t>that may be promulgated in the United States and elsewhere, and the costs of changing any of our current practices to comply with any new legal and regulatory requirements in the United States and elsewhere may be substantial.</w:t>
      </w:r>
    </w:p>
    <w:p>
      <w:pPr>
        <w:spacing w:after="0" w:line="57"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231F20"/>
        </w:rPr>
        <w:t xml:space="preserve">We expect </w:t>
      </w:r>
      <w:r>
        <w:rPr>
          <w:rFonts w:ascii="Times New Roman" w:cs="Times New Roman" w:eastAsia="Times New Roman" w:hAnsi="Times New Roman"/>
          <w:sz w:val="18"/>
          <w:szCs w:val="18"/>
          <w:color w:val="000000"/>
        </w:rPr>
        <w:t>there will likely be increasing levels of regulation, disclosure-related and otherwise, with respect to ESG matters. For example, the SEC has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issued rules that would require companies to provide significantly expanded climate-related disclosures in their periodic reporting. Although the SEC voluntarily issued an order staying the final rules due to petitions filed in the Eighth Circuit, such rules, if implemented,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Similar requirements have been proposed or adopted in other jurisdictions, such as the European Union and California, which may require us to incur further costs to the extent we are, or become, subject to such requirements. </w:t>
      </w:r>
      <w:r>
        <w:rPr>
          <w:rFonts w:ascii="Times New Roman" w:cs="Times New Roman" w:eastAsia="Times New Roman" w:hAnsi="Times New Roman"/>
          <w:sz w:val="18"/>
          <w:szCs w:val="18"/>
          <w:color w:val="231F20"/>
        </w:rPr>
        <w:t>Noncompliance with applicable regulations or requirements could subject us to investigations, enforcement actions,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sanctions, fines, damages, penalties, injunctions or termination of contracts.</w:t>
      </w:r>
    </w:p>
    <w:p>
      <w:pPr>
        <w:spacing w:after="0" w:line="8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w:t>
      </w:r>
      <w:r>
        <w:rPr>
          <w:rFonts w:ascii="Times New Roman" w:cs="Times New Roman" w:eastAsia="Times New Roman" w:hAnsi="Times New Roman"/>
          <w:sz w:val="18"/>
          <w:szCs w:val="18"/>
          <w:color w:val="000000"/>
        </w:rPr>
        <w:t>negatively impact our share price as well as our access to and cost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w:t>
      </w:r>
      <w:r>
        <w:rPr>
          <w:rFonts w:ascii="Times New Roman" w:cs="Times New Roman" w:eastAsia="Times New Roman" w:hAnsi="Times New Roman"/>
          <w:sz w:val="18"/>
          <w:szCs w:val="18"/>
          <w:color w:val="231F20"/>
        </w:rPr>
        <w:t>Any such matters could have a material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adverse effect on our business, results of operations and financial condition.</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8" w:lineRule="exact"/>
        <w:rPr>
          <w:sz w:val="20"/>
          <w:szCs w:val="20"/>
          <w:color w:val="auto"/>
        </w:rPr>
      </w:pPr>
    </w:p>
    <w:p>
      <w:pPr>
        <w:jc w:val="both"/>
        <w:ind w:right="42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w:t>
      </w:r>
      <w:r>
        <w:rPr>
          <w:rFonts w:ascii="Times New Roman" w:cs="Times New Roman" w:eastAsia="Times New Roman" w:hAnsi="Times New Roman"/>
          <w:sz w:val="18"/>
          <w:szCs w:val="18"/>
          <w:color w:val="000000"/>
        </w:rPr>
        <w:t>including not being required to comply with the auditor attestation requirements of Section 404 of the Sarbanes-Oxley Act and reduced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disclosure obligations regarding executive compensation in our periodic reports and proxy statements.</w:t>
      </w:r>
    </w:p>
    <w:p>
      <w:pPr>
        <w:spacing w:after="0" w:line="73"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72" w:name="page73"/>
    <w:bookmarkEnd w:id="72"/>
    <w:p>
      <w:pPr>
        <w:spacing w:after="0" w:line="276" w:lineRule="auto"/>
        <w:rPr>
          <w:sz w:val="20"/>
          <w:szCs w:val="20"/>
          <w:color w:val="auto"/>
        </w:rPr>
      </w:pPr>
      <w:r>
        <w:rPr>
          <w:rFonts w:ascii="Times New Roman" w:cs="Times New Roman" w:eastAsia="Times New Roman" w:hAnsi="Times New Roman"/>
          <w:sz w:val="18"/>
          <w:szCs w:val="18"/>
          <w:color w:val="auto"/>
        </w:rPr>
        <w:t>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57"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5"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3" w:lineRule="exact"/>
        <w:rPr>
          <w:sz w:val="20"/>
          <w:szCs w:val="20"/>
          <w:color w:val="auto"/>
        </w:rPr>
      </w:pPr>
    </w:p>
    <w:p>
      <w:pPr>
        <w:ind w:right="460" w:firstLine="480"/>
        <w:spacing w:after="0" w:line="276"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2"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57" w:lineRule="exact"/>
        <w:rPr>
          <w:sz w:val="20"/>
          <w:szCs w:val="20"/>
          <w:color w:val="auto"/>
        </w:rPr>
      </w:pPr>
    </w:p>
    <w:p>
      <w:pPr>
        <w:jc w:val="both"/>
        <w:ind w:right="360" w:firstLine="480"/>
        <w:spacing w:after="0" w:line="261"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5"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71" w:lineRule="exact"/>
        <w:rPr>
          <w:sz w:val="20"/>
          <w:szCs w:val="20"/>
          <w:color w:val="auto"/>
        </w:rPr>
      </w:pPr>
    </w:p>
    <w:p>
      <w:pPr>
        <w:jc w:val="both"/>
        <w:ind w:right="100" w:firstLine="480"/>
        <w:spacing w:after="0" w:line="261" w:lineRule="auto"/>
        <w:rPr>
          <w:sz w:val="20"/>
          <w:szCs w:val="20"/>
          <w:color w:val="auto"/>
        </w:rPr>
      </w:pPr>
      <w:r>
        <w:rPr>
          <w:rFonts w:ascii="Times New Roman" w:cs="Times New Roman" w:eastAsia="Times New Roman" w:hAnsi="Times New Roman"/>
          <w:sz w:val="18"/>
          <w:szCs w:val="18"/>
          <w:color w:val="auto"/>
        </w:rPr>
        <w:t>Other than shares repurchased under the stock repurchase program, during the third quarter of 2024, we repurchased shares of Class A common stock in connection with the vesting of restricted stock units to provide the holders of such restricted units with cash to satisfy the estimated taxes incidental to the vesting of the related awards.</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73" w:name="page74"/>
    <w:bookmarkEnd w:id="73"/>
    <w:p>
      <w:pPr>
        <w:ind w:left="48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6"/>
                <w:szCs w:val="16"/>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Average Price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Shares Purchased</w:t>
            </w:r>
          </w:p>
        </w:tc>
        <w:tc>
          <w:tcPr>
            <w:tcW w:w="80" w:type="dxa"/>
            <w:vAlign w:val="bottom"/>
          </w:tcPr>
          <w:p>
            <w:pPr>
              <w:spacing w:after="0"/>
              <w:rPr>
                <w:sz w:val="16"/>
                <w:szCs w:val="16"/>
                <w:color w:val="auto"/>
              </w:rPr>
            </w:pPr>
          </w:p>
        </w:tc>
        <w:tc>
          <w:tcPr>
            <w:tcW w:w="13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Class A Shares</w:t>
            </w:r>
          </w:p>
        </w:tc>
        <w:tc>
          <w:tcPr>
            <w:tcW w:w="13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Class B Units</w:t>
            </w:r>
          </w:p>
        </w:tc>
        <w:tc>
          <w:tcPr>
            <w:tcW w:w="80" w:type="dxa"/>
            <w:vAlign w:val="bottom"/>
          </w:tcPr>
          <w:p>
            <w:pPr>
              <w:spacing w:after="0"/>
              <w:rPr>
                <w:sz w:val="15"/>
                <w:szCs w:val="15"/>
                <w:color w:val="auto"/>
              </w:rPr>
            </w:pPr>
          </w:p>
        </w:tc>
        <w:tc>
          <w:tcPr>
            <w:tcW w:w="14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Paid per Class A</w:t>
            </w:r>
          </w:p>
        </w:tc>
        <w:tc>
          <w:tcPr>
            <w:tcW w:w="142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color w:val="auto"/>
              </w:rPr>
              <w:t>Paid per Class B</w:t>
            </w:r>
          </w:p>
        </w:tc>
        <w:tc>
          <w:tcPr>
            <w:tcW w:w="13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Announced Plans</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or Programs (in</w:t>
            </w:r>
          </w:p>
        </w:tc>
        <w:tc>
          <w:tcPr>
            <w:tcW w:w="0" w:type="dxa"/>
            <w:vAlign w:val="bottom"/>
          </w:tcPr>
          <w:p>
            <w:pPr>
              <w:spacing w:after="0"/>
              <w:rPr>
                <w:sz w:val="1"/>
                <w:szCs w:val="1"/>
                <w:color w:val="auto"/>
              </w:rPr>
            </w:pPr>
          </w:p>
        </w:tc>
      </w:tr>
      <w:tr>
        <w:trPr>
          <w:trHeight w:val="24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80" w:type="dxa"/>
            <w:vAlign w:val="bottom"/>
          </w:tcPr>
          <w:p>
            <w:pPr>
              <w:spacing w:after="0"/>
              <w:rPr>
                <w:sz w:val="20"/>
                <w:szCs w:val="20"/>
                <w:color w:val="auto"/>
              </w:rPr>
            </w:pPr>
          </w:p>
        </w:tc>
        <w:tc>
          <w:tcPr>
            <w:tcW w:w="72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7/1/24 to 7/31/24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189,026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189,026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42,536</w:t>
            </w:r>
          </w:p>
        </w:tc>
        <w:tc>
          <w:tcPr>
            <w:tcW w:w="0" w:type="dxa"/>
            <w:vAlign w:val="bottom"/>
          </w:tcPr>
          <w:p>
            <w:pPr>
              <w:spacing w:after="0"/>
              <w:rPr>
                <w:sz w:val="1"/>
                <w:szCs w:val="1"/>
                <w:color w:val="auto"/>
              </w:rPr>
            </w:pPr>
          </w:p>
        </w:tc>
      </w:tr>
      <w:tr>
        <w:trPr>
          <w:trHeight w:val="22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8/1/24 to 8/31/24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156,378</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156,378</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40,866</w:t>
            </w:r>
          </w:p>
        </w:tc>
        <w:tc>
          <w:tcPr>
            <w:tcW w:w="0" w:type="dxa"/>
            <w:vAlign w:val="bottom"/>
          </w:tcPr>
          <w:p>
            <w:pPr>
              <w:spacing w:after="0"/>
              <w:rPr>
                <w:sz w:val="1"/>
                <w:szCs w:val="1"/>
                <w:color w:val="auto"/>
              </w:rPr>
            </w:pPr>
          </w:p>
        </w:tc>
      </w:tr>
      <w:tr>
        <w:trPr>
          <w:trHeight w:val="227"/>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9/1/24 to 9/30/24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235,839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218,567</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38,538</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581,243</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563,971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80" w:right="340" w:hanging="314"/>
        <w:spacing w:after="0" w:line="276" w:lineRule="auto"/>
        <w:tabs>
          <w:tab w:leader="none" w:pos="127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5" w:lineRule="exact"/>
        <w:rPr>
          <w:sz w:val="20"/>
          <w:szCs w:val="20"/>
          <w:color w:val="auto"/>
        </w:rPr>
      </w:pPr>
    </w:p>
    <w:p>
      <w:pPr>
        <w:ind w:left="960" w:hanging="31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hanging="314"/>
        <w:spacing w:after="0" w:line="261" w:lineRule="auto"/>
        <w:tabs>
          <w:tab w:leader="none" w:pos="9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2024, no director or "officer" (as defined in Rule 16a-1(f) of the Exchange Act) of the Company adopted or terminated a "Rule 10b5-1 trading arrangement" or "non-Rule 10b5-1 trading arrangement," as each term is defined in Item 408(a) of Regulation S-K.</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0"/>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9"/>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20"/>
        </w:trPr>
        <w:tc>
          <w:tcPr>
            <w:tcW w:w="18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0"/>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Company’s Annual Report on Form 10-K (File No. 001-40015) for the year ended December 31, 2020, filed on March 23,</w:t>
              </w:r>
            </w:hyperlink>
          </w:p>
        </w:tc>
        <w:tc>
          <w:tcPr>
            <w:tcW w:w="20" w:type="dxa"/>
            <w:vAlign w:val="bottom"/>
          </w:tcPr>
          <w:p>
            <w:pPr>
              <w:spacing w:after="0"/>
              <w:rPr>
                <w:sz w:val="13"/>
                <w:szCs w:val="13"/>
                <w:color w:val="auto"/>
              </w:rPr>
            </w:pPr>
          </w:p>
        </w:tc>
        <w:tc>
          <w:tcPr>
            <w:tcW w:w="740" w:type="dxa"/>
            <w:vAlign w:val="bottom"/>
            <w:gridSpan w:val="2"/>
          </w:tcPr>
          <w:p>
            <w:pPr>
              <w:spacing w:after="0"/>
              <w:rPr>
                <w:sz w:val="13"/>
                <w:szCs w:val="13"/>
                <w:color w:val="auto"/>
              </w:rPr>
            </w:pPr>
          </w:p>
        </w:tc>
      </w:tr>
      <w:tr>
        <w:trPr>
          <w:trHeight w:val="167"/>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5"/>
              </w:rPr>
            </w:pPr>
            <w:hyperlink r:id="rId105">
              <w:r>
                <w:rPr>
                  <w:rFonts w:ascii="Times New Roman" w:cs="Times New Roman" w:eastAsia="Times New Roman" w:hAnsi="Times New Roman"/>
                  <w:sz w:val="18"/>
                  <w:szCs w:val="18"/>
                  <w:color w:val="0000FF"/>
                  <w:w w:val="95"/>
                </w:rPr>
                <w:t>2021)</w:t>
              </w:r>
            </w:hyperlink>
          </w:p>
        </w:tc>
        <w:tc>
          <w:tcPr>
            <w:tcW w:w="6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60"/>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10"/>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Report on Form 10-K (File No. 001-40015) for the year ended December 31, 2020, filed on March 23, 2021)</w:t>
              </w:r>
            </w:hyperlink>
          </w:p>
        </w:tc>
        <w:tc>
          <w:tcPr>
            <w:tcW w:w="740" w:type="dxa"/>
            <w:vAlign w:val="bottom"/>
            <w:gridSpan w:val="2"/>
          </w:tcPr>
          <w:p>
            <w:pPr>
              <w:spacing w:after="0"/>
              <w:rPr>
                <w:sz w:val="13"/>
                <w:szCs w:val="13"/>
                <w:color w:val="auto"/>
              </w:rPr>
            </w:pPr>
          </w:p>
        </w:tc>
      </w:tr>
      <w:tr>
        <w:trPr>
          <w:trHeight w:val="273"/>
        </w:trPr>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1880" w:type="dxa"/>
            <w:vAlign w:val="bottom"/>
            <w:gridSpan w:val="5"/>
          </w:tcPr>
          <w:p>
            <w:pPr>
              <w:spacing w:after="0"/>
              <w:rPr>
                <w:sz w:val="23"/>
                <w:szCs w:val="23"/>
                <w:color w:val="auto"/>
              </w:rPr>
            </w:pPr>
          </w:p>
        </w:tc>
      </w:tr>
      <w:tr>
        <w:trPr>
          <w:trHeight w:val="260"/>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2280" w:type="dxa"/>
            <w:vAlign w:val="bottom"/>
            <w:gridSpan w:val="6"/>
          </w:tcPr>
          <w:p>
            <w:pPr>
              <w:spacing w:after="0"/>
              <w:rPr>
                <w:sz w:val="22"/>
                <w:szCs w:val="22"/>
                <w:color w:val="auto"/>
              </w:rPr>
            </w:pPr>
          </w:p>
        </w:tc>
      </w:tr>
      <w:tr>
        <w:trPr>
          <w:trHeight w:val="260"/>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60"/>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7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906 of the Sarbanes-Oxley Act of 2002</w:t>
            </w:r>
          </w:p>
        </w:tc>
        <w:tc>
          <w:tcPr>
            <w:tcW w:w="2280" w:type="dxa"/>
            <w:vAlign w:val="bottom"/>
            <w:gridSpan w:val="6"/>
          </w:tcPr>
          <w:p>
            <w:pPr>
              <w:spacing w:after="0"/>
              <w:rPr>
                <w:sz w:val="22"/>
                <w:szCs w:val="22"/>
                <w:color w:val="auto"/>
              </w:rPr>
            </w:pPr>
          </w:p>
        </w:tc>
      </w:tr>
      <w:tr>
        <w:trPr>
          <w:trHeight w:val="295"/>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3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20" w:type="dxa"/>
            <w:vAlign w:val="bottom"/>
            <w:gridSpan w:val="8"/>
          </w:tcPr>
          <w:p>
            <w:pPr>
              <w:spacing w:after="0"/>
              <w:rPr>
                <w:sz w:val="24"/>
                <w:szCs w:val="24"/>
                <w:color w:val="auto"/>
              </w:rPr>
            </w:pP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2"/>
        </w:trPr>
        <w:tc>
          <w:tcPr>
            <w:tcW w:w="18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3"/>
        </w:trPr>
        <w:tc>
          <w:tcPr>
            <w:tcW w:w="180" w:type="dxa"/>
            <w:vAlign w:val="bottom"/>
          </w:tcPr>
          <w:p>
            <w:pPr>
              <w:spacing w:after="0"/>
              <w:rPr>
                <w:sz w:val="24"/>
                <w:szCs w:val="24"/>
                <w:color w:val="auto"/>
              </w:rPr>
            </w:pPr>
          </w:p>
        </w:tc>
        <w:tc>
          <w:tcPr>
            <w:tcW w:w="874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4"/>
          </w:tcPr>
          <w:p>
            <w:pPr>
              <w:jc w:val="center"/>
              <w:ind w:right="944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640"/>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jc w:val="right"/>
              <w:ind w:right="2889"/>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3"/>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5" w:name="page76"/>
    <w:bookmarkEnd w:id="7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5" w:lineRule="exact"/>
        <w:rPr>
          <w:sz w:val="20"/>
          <w:szCs w:val="20"/>
          <w:color w:val="auto"/>
        </w:rPr>
      </w:pPr>
    </w:p>
    <w:p>
      <w:pPr>
        <w:ind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9" w:lineRule="exact"/>
        <w:rPr>
          <w:sz w:val="20"/>
          <w:szCs w:val="20"/>
          <w:color w:val="auto"/>
        </w:rPr>
      </w:pPr>
    </w:p>
    <w:p>
      <w:pPr>
        <w:ind w:left="500"/>
        <w:spacing w:after="0"/>
        <w:tabs>
          <w:tab w:leader="none" w:pos="5420" w:val="left"/>
          <w:tab w:leader="none" w:pos="75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7"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780"/>
          </w:cols>
          <w:pgMar w:left="320" w:top="1319" w:right="7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80" w:lineRule="exact"/>
        <w:rPr>
          <w:sz w:val="20"/>
          <w:szCs w:val="20"/>
          <w:color w:val="auto"/>
        </w:rPr>
      </w:pPr>
    </w:p>
    <w:p>
      <w:pPr>
        <w:ind w:left="820" w:hanging="174"/>
        <w:spacing w:after="0"/>
        <w:tabs>
          <w:tab w:leader="none" w:pos="8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9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80" w:lineRule="exact"/>
        <w:rPr>
          <w:sz w:val="20"/>
          <w:szCs w:val="20"/>
          <w:color w:val="auto"/>
        </w:rPr>
      </w:pPr>
    </w:p>
    <w:p>
      <w:pPr>
        <w:ind w:left="820" w:hanging="174"/>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92"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24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Tim Vanderhook</w:t>
            </w:r>
          </w:p>
        </w:tc>
      </w:tr>
      <w:tr>
        <w:trPr>
          <w:trHeight w:val="215"/>
        </w:trPr>
        <w:tc>
          <w:tcPr>
            <w:tcW w:w="3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7"/>
        </w:trPr>
        <w:tc>
          <w:tcPr>
            <w:tcW w:w="3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r>
      <w:tr>
        <w:trPr>
          <w:trHeight w:val="232"/>
        </w:trPr>
        <w:tc>
          <w:tcPr>
            <w:tcW w:w="3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092"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September 30,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Larry Madden</w:t>
            </w:r>
          </w:p>
        </w:tc>
      </w:tr>
      <w:tr>
        <w:trPr>
          <w:trHeight w:val="215"/>
        </w:trPr>
        <w:tc>
          <w:tcPr>
            <w:tcW w:w="3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7"/>
        </w:trPr>
        <w:tc>
          <w:tcPr>
            <w:tcW w:w="3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2"/>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9838CB2"/>
    <w:multiLevelType w:val="hybridMultilevel"/>
    <w:lvl w:ilvl="0">
      <w:lvlJc w:val="left"/>
      <w:lvlText w:val="x"/>
      <w:numFmt w:val="bullet"/>
      <w:start w:val="1"/>
    </w:lvl>
  </w:abstractNum>
  <w:abstractNum w:abstractNumId="1">
    <w:nsid w:val="4353D0CD"/>
    <w:multiLevelType w:val="hybridMultilevel"/>
    <w:lvl w:ilvl="0">
      <w:lvlJc w:val="left"/>
      <w:lvlText w:val="o"/>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upperLetter"/>
      <w:start w:val="2"/>
    </w:lvl>
  </w:abstractNum>
  <w:abstractNum w:abstractNumId="7">
    <w:nsid w:val="836C40E"/>
    <w:multiLevelType w:val="hybridMultilevel"/>
    <w:lvl w:ilvl="0">
      <w:lvlJc w:val="left"/>
      <w:lvlText w:val="%1."/>
      <w:numFmt w:val="decimal"/>
      <w:start w:val="3"/>
    </w:lvl>
  </w:abstractNum>
  <w:abstractNum w:abstractNumId="8">
    <w:nsid w:val="2901D82"/>
    <w:multiLevelType w:val="hybridMultilevel"/>
    <w:lvl w:ilvl="0">
      <w:lvlJc w:val="left"/>
      <w:lvlText w:val="%1."/>
      <w:numFmt w:val="decimal"/>
      <w:start w:val="5"/>
    </w:lvl>
  </w:abstractNum>
  <w:abstractNum w:abstractNumId="9">
    <w:nsid w:val="3A95F874"/>
    <w:multiLevelType w:val="hybridMultilevel"/>
    <w:lvl w:ilvl="0">
      <w:lvlJc w:val="left"/>
      <w:lvlText w:val="%1."/>
      <w:numFmt w:val="decimal"/>
      <w:start w:val="8"/>
    </w:lvl>
  </w:abstractNum>
  <w:abstractNum w:abstractNumId="10">
    <w:nsid w:val="8138641"/>
    <w:multiLevelType w:val="hybridMultilevel"/>
    <w:lvl w:ilvl="0">
      <w:lvlJc w:val="left"/>
      <w:lvlText w:val="%1."/>
      <w:numFmt w:val="decimal"/>
      <w:start w:val="9"/>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0"/>
    </w:lvl>
  </w:abstractNum>
  <w:abstractNum w:abstractNumId="13">
    <w:nsid w:val="737B8DDC"/>
    <w:multiLevelType w:val="hybridMultilevel"/>
    <w:lvl w:ilvl="0">
      <w:lvlJc w:val="left"/>
      <w:lvlText w:val="%1."/>
      <w:numFmt w:val="decimal"/>
      <w:start w:val="12"/>
    </w:lvl>
  </w:abstractNum>
  <w:abstractNum w:abstractNumId="14">
    <w:nsid w:val="6CEAF087"/>
    <w:multiLevelType w:val="hybridMultilevel"/>
    <w:lvl w:ilvl="0">
      <w:lvlJc w:val="left"/>
      <w:lvlText w:val="%1."/>
      <w:numFmt w:val="decimal"/>
      <w:start w:val="13"/>
    </w:lvl>
  </w:abstractNum>
  <w:abstractNum w:abstractNumId="15">
    <w:nsid w:val="22221A70"/>
    <w:multiLevelType w:val="hybridMultilevel"/>
    <w:lvl w:ilvl="0">
      <w:lvlJc w:val="left"/>
      <w:lvlText w:val="%1."/>
      <w:numFmt w:val="decimal"/>
      <w:start w:val="14"/>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1"/>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decimal"/>
      <w:start w:val="1"/>
    </w:lvl>
  </w:abstractNum>
  <w:abstractNum w:abstractNumId="25">
    <w:nsid w:val="7724C67E"/>
    <w:multiLevelType w:val="hybridMultilevel"/>
    <w:lvl w:ilvl="0">
      <w:lvlJc w:val="left"/>
      <w:lvlText w:val="(%1)"/>
      <w:numFmt w:val="decimal"/>
      <w:start w:val="2"/>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05" Type="http://schemas.openxmlformats.org/officeDocument/2006/relationships/hyperlink" Target="https://www.sec.gov/Archives/edgar/data/1828791/000156459021014855/dsp-ex31_279.htm" TargetMode="External"/><Relationship Id="rId106" Type="http://schemas.openxmlformats.org/officeDocument/2006/relationships/hyperlink" Target="https://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2024-11-12T16:45:52Z</dcterms:created>
  <dcterms:modified xsi:type="dcterms:W3CDTF">2024-11-12T16:45:52Z</dcterms:modified>
</cp:coreProperties>
</file>