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206375</wp:posOffset>
            </wp:positionH>
            <wp:positionV relativeFrom="page">
              <wp:posOffset>688340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713740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w:t>
      </w:r>
      <w:r>
        <w:rPr>
          <w:rFonts w:ascii="Times New Roman" w:cs="Times New Roman" w:eastAsia="Times New Roman" w:hAnsi="Times New Roman"/>
          <w:sz w:val="17"/>
          <w:szCs w:val="17"/>
          <w:b w:val="1"/>
          <w:bCs w:val="1"/>
          <w:color w:val="auto"/>
        </w:rPr>
        <w:t>): June 4, 2026</w:t>
      </w:r>
    </w:p>
    <w:p>
      <w:pPr>
        <w:spacing w:after="0" w:line="3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76200</wp:posOffset>
            </wp:positionV>
            <wp:extent cx="2248535" cy="399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8535" cy="399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Viant Technology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2"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w:t>
      </w:r>
    </w:p>
    <w:p>
      <w:pPr>
        <w:spacing w:after="0" w:line="139" w:lineRule="exact"/>
        <w:rPr>
          <w:sz w:val="24"/>
          <w:szCs w:val="24"/>
          <w:color w:val="auto"/>
        </w:rPr>
      </w:pPr>
    </w:p>
    <w:tbl>
      <w:tblPr>
        <w:tblLayout w:type="fixed"/>
        <w:tblInd w:w="960" w:type="dxa"/>
        <w:tblCellMar>
          <w:top w:w="0" w:type="dxa"/>
          <w:left w:w="0" w:type="dxa"/>
          <w:bottom w:w="0" w:type="dxa"/>
          <w:right w:w="0" w:type="dxa"/>
        </w:tblCellMar>
      </w:tblPr>
      <w:tr>
        <w:trPr>
          <w:trHeight w:val="225"/>
        </w:trPr>
        <w:tc>
          <w:tcPr>
            <w:tcW w:w="2760" w:type="dxa"/>
            <w:vAlign w:val="bottom"/>
          </w:tcPr>
          <w:p>
            <w:pPr>
              <w:jc w:val="center"/>
              <w:ind w:right="85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940" w:type="dxa"/>
            <w:vAlign w:val="bottom"/>
          </w:tcPr>
          <w:p>
            <w:pPr>
              <w:jc w:val="right"/>
              <w:ind w:right="1573"/>
              <w:spacing w:after="0"/>
              <w:rPr>
                <w:sz w:val="20"/>
                <w:szCs w:val="20"/>
                <w:color w:val="auto"/>
              </w:rPr>
            </w:pPr>
            <w:r>
              <w:rPr>
                <w:rFonts w:ascii="Times New Roman" w:cs="Times New Roman" w:eastAsia="Times New Roman" w:hAnsi="Times New Roman"/>
                <w:sz w:val="17"/>
                <w:szCs w:val="17"/>
                <w:b w:val="1"/>
                <w:bCs w:val="1"/>
                <w:color w:val="auto"/>
              </w:rPr>
              <w:t>001-40015</w:t>
            </w:r>
          </w:p>
        </w:tc>
        <w:tc>
          <w:tcPr>
            <w:tcW w:w="2360" w:type="dxa"/>
            <w:vAlign w:val="bottom"/>
          </w:tcPr>
          <w:p>
            <w:pPr>
              <w:jc w:val="center"/>
              <w:ind w:left="973"/>
              <w:spacing w:after="0"/>
              <w:rPr>
                <w:sz w:val="20"/>
                <w:szCs w:val="20"/>
                <w:color w:val="auto"/>
              </w:rPr>
            </w:pPr>
            <w:r>
              <w:rPr>
                <w:rFonts w:ascii="Times New Roman" w:cs="Times New Roman" w:eastAsia="Times New Roman" w:hAnsi="Times New Roman"/>
                <w:sz w:val="17"/>
                <w:szCs w:val="17"/>
                <w:b w:val="1"/>
                <w:bCs w:val="1"/>
                <w:color w:val="auto"/>
              </w:rPr>
              <w:t>85-3447553</w:t>
            </w:r>
          </w:p>
        </w:tc>
      </w:tr>
      <w:tr>
        <w:trPr>
          <w:trHeight w:val="228"/>
        </w:trPr>
        <w:tc>
          <w:tcPr>
            <w:tcW w:w="2760" w:type="dxa"/>
            <w:vAlign w:val="bottom"/>
          </w:tcPr>
          <w:p>
            <w:pPr>
              <w:jc w:val="center"/>
              <w:ind w:right="833"/>
              <w:spacing w:after="0"/>
              <w:rPr>
                <w:sz w:val="20"/>
                <w:szCs w:val="20"/>
                <w:color w:val="auto"/>
              </w:rPr>
            </w:pPr>
            <w:r>
              <w:rPr>
                <w:rFonts w:ascii="Times New Roman" w:cs="Times New Roman" w:eastAsia="Times New Roman" w:hAnsi="Times New Roman"/>
                <w:sz w:val="17"/>
                <w:szCs w:val="17"/>
                <w:color w:val="auto"/>
              </w:rPr>
              <w:t>(State or other jurisdiction</w:t>
            </w:r>
          </w:p>
        </w:tc>
        <w:tc>
          <w:tcPr>
            <w:tcW w:w="394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auto"/>
              </w:rPr>
              <w:t>(Commission File Number)</w:t>
            </w:r>
          </w:p>
        </w:tc>
        <w:tc>
          <w:tcPr>
            <w:tcW w:w="236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2760" w:type="dxa"/>
            <w:vAlign w:val="bottom"/>
          </w:tcPr>
          <w:p>
            <w:pPr>
              <w:jc w:val="center"/>
              <w:ind w:right="853"/>
              <w:spacing w:after="0"/>
              <w:rPr>
                <w:sz w:val="20"/>
                <w:szCs w:val="20"/>
                <w:color w:val="auto"/>
              </w:rPr>
            </w:pPr>
            <w:r>
              <w:rPr>
                <w:rFonts w:ascii="Times New Roman" w:cs="Times New Roman" w:eastAsia="Times New Roman" w:hAnsi="Times New Roman"/>
                <w:sz w:val="17"/>
                <w:szCs w:val="17"/>
                <w:color w:val="auto"/>
              </w:rPr>
              <w:t>of incorporation)</w:t>
            </w:r>
          </w:p>
        </w:tc>
        <w:tc>
          <w:tcPr>
            <w:tcW w:w="3940" w:type="dxa"/>
            <w:vAlign w:val="bottom"/>
          </w:tcPr>
          <w:p>
            <w:pPr>
              <w:spacing w:after="0"/>
              <w:rPr>
                <w:sz w:val="19"/>
                <w:szCs w:val="19"/>
                <w:color w:val="auto"/>
              </w:rPr>
            </w:pPr>
          </w:p>
        </w:tc>
        <w:tc>
          <w:tcPr>
            <w:tcW w:w="2360" w:type="dxa"/>
            <w:vAlign w:val="bottom"/>
          </w:tcPr>
          <w:p>
            <w:pPr>
              <w:jc w:val="center"/>
              <w:ind w:left="973"/>
              <w:spacing w:after="0"/>
              <w:rPr>
                <w:sz w:val="20"/>
                <w:szCs w:val="20"/>
                <w:color w:val="auto"/>
              </w:rPr>
            </w:pPr>
            <w:r>
              <w:rPr>
                <w:rFonts w:ascii="Times New Roman" w:cs="Times New Roman" w:eastAsia="Times New Roman" w:hAnsi="Times New Roman"/>
                <w:sz w:val="17"/>
                <w:szCs w:val="17"/>
                <w:color w:val="auto"/>
              </w:rPr>
              <w:t>Identification No.)</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2722 Michelson Drive, Suite 100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Irvine, CA, 92612</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(949) 861-8888</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w:t>
      </w:r>
    </w:p>
    <w:p>
      <w:pPr>
        <w:spacing w:after="0" w:line="101" w:lineRule="exact"/>
        <w:rPr>
          <w:sz w:val="24"/>
          <w:szCs w:val="24"/>
          <w:color w:val="auto"/>
        </w:rPr>
      </w:pPr>
    </w:p>
    <w:p>
      <w:pPr>
        <w:ind w:right="260"/>
        <w:spacing w:after="0" w:line="29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80" w:lineRule="exact"/>
        <w:rPr>
          <w:sz w:val="24"/>
          <w:szCs w:val="24"/>
          <w:color w:val="auto"/>
        </w:rPr>
      </w:pPr>
    </w:p>
    <w:p>
      <w:pPr>
        <w:ind w:left="640" w:hanging="618"/>
        <w:spacing w:after="0"/>
        <w:tabs>
          <w:tab w:leader="none" w:pos="6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32" w:lineRule="exact"/>
        <w:rPr>
          <w:rFonts w:ascii="Wingdings" w:cs="Wingdings" w:eastAsia="Wingdings" w:hAnsi="Wingdings"/>
          <w:sz w:val="17"/>
          <w:szCs w:val="17"/>
          <w:b w:val="1"/>
          <w:bCs w:val="1"/>
          <w:color w:val="auto"/>
        </w:rPr>
      </w:pPr>
    </w:p>
    <w:p>
      <w:pPr>
        <w:ind w:left="640" w:hanging="618"/>
        <w:spacing w:after="0"/>
        <w:tabs>
          <w:tab w:leader="none" w:pos="6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32" w:lineRule="exact"/>
        <w:rPr>
          <w:rFonts w:ascii="Wingdings" w:cs="Wingdings" w:eastAsia="Wingdings" w:hAnsi="Wingdings"/>
          <w:sz w:val="17"/>
          <w:szCs w:val="17"/>
          <w:b w:val="1"/>
          <w:bCs w:val="1"/>
          <w:color w:val="auto"/>
        </w:rPr>
      </w:pPr>
    </w:p>
    <w:p>
      <w:pPr>
        <w:ind w:left="640" w:hanging="618"/>
        <w:spacing w:after="0"/>
        <w:tabs>
          <w:tab w:leader="none" w:pos="6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32" w:lineRule="exact"/>
        <w:rPr>
          <w:rFonts w:ascii="Wingdings" w:cs="Wingdings" w:eastAsia="Wingdings" w:hAnsi="Wingdings"/>
          <w:sz w:val="17"/>
          <w:szCs w:val="17"/>
          <w:b w:val="1"/>
          <w:bCs w:val="1"/>
          <w:color w:val="auto"/>
        </w:rPr>
      </w:pPr>
    </w:p>
    <w:p>
      <w:pPr>
        <w:ind w:left="640" w:hanging="618"/>
        <w:spacing w:after="0"/>
        <w:tabs>
          <w:tab w:leader="none" w:pos="64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54"/>
        </w:trPr>
        <w:tc>
          <w:tcPr>
            <w:tcW w:w="4820" w:type="dxa"/>
            <w:vAlign w:val="bottom"/>
            <w:gridSpan w:val="2"/>
          </w:tcPr>
          <w:p>
            <w:pPr>
              <w:ind w:left="17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34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63"/>
        </w:trPr>
        <w:tc>
          <w:tcPr>
            <w:tcW w:w="4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Class A common stock, par value $0.001 per share</w:t>
            </w:r>
          </w:p>
        </w:tc>
        <w:tc>
          <w:tcPr>
            <w:tcW w:w="100" w:type="dxa"/>
            <w:vAlign w:val="bottom"/>
          </w:tcPr>
          <w:p>
            <w:pPr>
              <w:spacing w:after="0"/>
              <w:rPr>
                <w:sz w:val="22"/>
                <w:szCs w:val="22"/>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DSP</w:t>
            </w:r>
          </w:p>
        </w:tc>
        <w:tc>
          <w:tcPr>
            <w:tcW w:w="80" w:type="dxa"/>
            <w:vAlign w:val="bottom"/>
          </w:tcPr>
          <w:p>
            <w:pPr>
              <w:spacing w:after="0"/>
              <w:rPr>
                <w:sz w:val="22"/>
                <w:szCs w:val="22"/>
                <w:color w:val="auto"/>
              </w:rPr>
            </w:pPr>
          </w:p>
        </w:tc>
        <w:tc>
          <w:tcPr>
            <w:tcW w:w="43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8"/>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4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192" w:lineRule="exact"/>
        <w:rPr>
          <w:sz w:val="24"/>
          <w:szCs w:val="24"/>
          <w:color w:val="auto"/>
        </w:rPr>
      </w:pPr>
    </w:p>
    <w:p>
      <w:pPr>
        <w:jc w:val="both"/>
        <w:ind w:right="20"/>
        <w:spacing w:after="0" w:line="29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119" w:lineRule="exact"/>
        <w:rPr>
          <w:sz w:val="24"/>
          <w:szCs w:val="24"/>
          <w:color w:val="auto"/>
        </w:rPr>
      </w:pPr>
    </w:p>
    <w:p>
      <w:pPr>
        <w:ind w:right="300"/>
        <w:spacing w:after="0" w:line="29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716280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5.07 Submission of Matters to a Vote of Security Holders.</w:t>
      </w:r>
    </w:p>
    <w:p>
      <w:pPr>
        <w:spacing w:after="0" w:line="106" w:lineRule="exact"/>
        <w:rPr>
          <w:sz w:val="20"/>
          <w:szCs w:val="20"/>
          <w:color w:val="auto"/>
        </w:rPr>
      </w:pPr>
    </w:p>
    <w:p>
      <w:pPr>
        <w:ind w:right="140" w:firstLine="472"/>
        <w:spacing w:after="0" w:line="248" w:lineRule="auto"/>
        <w:rPr>
          <w:sz w:val="20"/>
          <w:szCs w:val="20"/>
          <w:color w:val="auto"/>
        </w:rPr>
      </w:pPr>
      <w:r>
        <w:rPr>
          <w:rFonts w:ascii="Times New Roman" w:cs="Times New Roman" w:eastAsia="Times New Roman" w:hAnsi="Times New Roman"/>
          <w:sz w:val="17"/>
          <w:szCs w:val="17"/>
          <w:color w:val="auto"/>
        </w:rPr>
        <w:t>On June 4, 2026, Viant Technology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held its 2026 annual meeting of stockholders (the “</w:t>
      </w: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 As of April 9, 2026, the record date for the Annual Meeting, 18,270,658 shares of Class A common stock and 45,559,716 shares of Class B common stock (collectively, the “</w:t>
      </w:r>
      <w:r>
        <w:rPr>
          <w:rFonts w:ascii="Times New Roman" w:cs="Times New Roman" w:eastAsia="Times New Roman" w:hAnsi="Times New Roman"/>
          <w:sz w:val="17"/>
          <w:szCs w:val="17"/>
          <w:i w:val="1"/>
          <w:iCs w:val="1"/>
          <w:color w:val="auto"/>
        </w:rPr>
        <w:t>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 were outstanding and entitled to vote at the Annual Meeting. Holders of the Company’s Class A common stock and Class B common stock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one (1) vote per share and voted together as a single class on all matters submitted to a vote of stockholders at the Annual Meeting. At the Annual Meeting, holders of approximately 94.55% of the voting power of the outstanding shares of Common Stock entitled to vote were present in person either by virtual attendance or by proxy. The following are the voting results for the proposals considered and voted upon at the meeting, each of which were described in the Company’s Definitive Proxy Statement filed with the Securities and Exchange Commission on April 23,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 One: Election of Directors</w:t>
      </w:r>
    </w:p>
    <w:p>
      <w:pPr>
        <w:spacing w:after="0" w:line="121" w:lineRule="exact"/>
        <w:rPr>
          <w:sz w:val="20"/>
          <w:szCs w:val="20"/>
          <w:color w:val="auto"/>
        </w:rPr>
      </w:pPr>
    </w:p>
    <w:p>
      <w:pPr>
        <w:ind w:right="120" w:firstLine="472"/>
        <w:spacing w:after="0" w:line="297" w:lineRule="auto"/>
        <w:rPr>
          <w:sz w:val="20"/>
          <w:szCs w:val="20"/>
          <w:color w:val="auto"/>
        </w:rPr>
      </w:pPr>
      <w:r>
        <w:rPr>
          <w:rFonts w:ascii="Times New Roman" w:cs="Times New Roman" w:eastAsia="Times New Roman" w:hAnsi="Times New Roman"/>
          <w:sz w:val="17"/>
          <w:szCs w:val="17"/>
          <w:color w:val="auto"/>
        </w:rPr>
        <w:t>The Company’s stockholders elected the persons listed below as Class II directors, to serve until the Company’s 2029 annual meeting of stockholders and until their successors are duly elected and qualified, or until their earlier death, resignation or removal. The final voting results are as follows:</w:t>
      </w:r>
    </w:p>
    <w:p>
      <w:pPr>
        <w:spacing w:after="0" w:line="87"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4"/>
        </w:trPr>
        <w:tc>
          <w:tcPr>
            <w:tcW w:w="6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 Vanderhook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51,583,984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2,522,872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6,242,135</w:t>
            </w:r>
          </w:p>
        </w:tc>
      </w:tr>
      <w:tr>
        <w:trPr>
          <w:trHeight w:val="24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Brett Wilson</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53,364,114</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rPr>
              <w:t>742,742</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6,242,135</w:t>
            </w:r>
          </w:p>
        </w:tc>
      </w:tr>
      <w:tr>
        <w:trPr>
          <w:trHeight w:val="27"/>
        </w:trPr>
        <w:tc>
          <w:tcPr>
            <w:tcW w:w="6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 Two: Ratification of the Selection of Independent Registered Public Accounting Firm</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stockholders ratified the selection by the Audit Committee of the Company’s board of directors of Deloitte &amp; Touche LLP as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independent registered public accounting firm for the fiscal year ending December 31, 2026. The final voting results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Abstentions</w:t>
            </w:r>
          </w:p>
        </w:tc>
        <w:tc>
          <w:tcPr>
            <w:tcW w:w="248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100" w:type="dxa"/>
            <w:vAlign w:val="bottom"/>
          </w:tcPr>
          <w:p>
            <w:pPr>
              <w:spacing w:after="0"/>
              <w:rPr>
                <w:sz w:val="16"/>
                <w:szCs w:val="16"/>
                <w:color w:val="auto"/>
              </w:rPr>
            </w:pPr>
          </w:p>
        </w:tc>
      </w:tr>
      <w:tr>
        <w:trPr>
          <w:trHeight w:val="24"/>
        </w:trPr>
        <w:tc>
          <w:tcPr>
            <w:tcW w:w="3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480" w:type="dxa"/>
            <w:vAlign w:val="bottom"/>
          </w:tcPr>
          <w:p>
            <w:pPr>
              <w:spacing w:after="0"/>
              <w:rPr>
                <w:sz w:val="19"/>
                <w:szCs w:val="19"/>
                <w:color w:val="auto"/>
              </w:rPr>
            </w:pPr>
          </w:p>
        </w:tc>
        <w:tc>
          <w:tcPr>
            <w:tcW w:w="2660" w:type="dxa"/>
            <w:vAlign w:val="bottom"/>
            <w:tcBorders>
              <w:top w:val="single" w:sz="8" w:color="auto"/>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7"/>
                <w:szCs w:val="17"/>
                <w:color w:val="auto"/>
              </w:rPr>
              <w:t>59,901,367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60" w:type="dxa"/>
            <w:vAlign w:val="bottom"/>
            <w:tcBorders>
              <w:top w:val="single" w:sz="8" w:color="auto"/>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17"/>
                <w:szCs w:val="17"/>
                <w:color w:val="auto"/>
              </w:rPr>
              <w:t>445,419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80" w:type="dxa"/>
            <w:vAlign w:val="bottom"/>
            <w:tcBorders>
              <w:top w:val="single" w:sz="8" w:color="auto"/>
              <w:bottom w:val="single" w:sz="8" w:color="CCEEFF"/>
            </w:tcBorders>
            <w:shd w:val="clear" w:color="auto" w:fill="CCEEFF"/>
          </w:tcPr>
          <w:p>
            <w:pPr>
              <w:jc w:val="right"/>
              <w:ind w:right="1061"/>
              <w:spacing w:after="0"/>
              <w:rPr>
                <w:sz w:val="20"/>
                <w:szCs w:val="20"/>
                <w:color w:val="auto"/>
              </w:rPr>
            </w:pPr>
            <w:r>
              <w:rPr>
                <w:rFonts w:ascii="Times New Roman" w:cs="Times New Roman" w:eastAsia="Times New Roman" w:hAnsi="Times New Roman"/>
                <w:sz w:val="17"/>
                <w:szCs w:val="17"/>
                <w:color w:val="auto"/>
              </w:rPr>
              <w:t>2,205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80" w:type="dxa"/>
            <w:vAlign w:val="bottom"/>
            <w:tcBorders>
              <w:top w:val="single" w:sz="8" w:color="auto"/>
              <w:bottom w:val="single" w:sz="8" w:color="CCEEFF"/>
            </w:tcBorders>
            <w:shd w:val="clear" w:color="auto" w:fill="CCEEFF"/>
          </w:tcPr>
          <w:p>
            <w:pPr>
              <w:jc w:val="right"/>
              <w:ind w:right="1021"/>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990"/>
        </w:trPr>
        <w:tc>
          <w:tcPr>
            <w:tcW w:w="4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011" w:right="2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21"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VIANT TECHNOLOGY INC.</w:t>
      </w:r>
    </w:p>
    <w:p>
      <w:pPr>
        <w:spacing w:after="0" w:line="237" w:lineRule="exact"/>
        <w:rPr>
          <w:sz w:val="20"/>
          <w:szCs w:val="20"/>
          <w:color w:val="auto"/>
        </w:rPr>
      </w:pPr>
    </w:p>
    <w:p>
      <w:pPr>
        <w:ind w:left="20"/>
        <w:spacing w:after="0"/>
        <w:tabs>
          <w:tab w:leader="none" w:pos="5520" w:val="left"/>
          <w:tab w:leader="none" w:pos="7940" w:val="left"/>
        </w:tabs>
        <w:rPr>
          <w:sz w:val="20"/>
          <w:szCs w:val="20"/>
          <w:color w:val="auto"/>
        </w:rPr>
      </w:pPr>
      <w:r>
        <w:rPr>
          <w:rFonts w:ascii="Times New Roman" w:cs="Times New Roman" w:eastAsia="Times New Roman" w:hAnsi="Times New Roman"/>
          <w:sz w:val="17"/>
          <w:szCs w:val="17"/>
          <w:color w:val="auto"/>
        </w:rPr>
        <w:t>Date: June 5,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20955</wp:posOffset>
            </wp:positionV>
            <wp:extent cx="3281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b w:val="1"/>
          <w:bCs w:val="1"/>
          <w:color w:val="auto"/>
        </w:rPr>
        <w:t>Tim Vanderhook</w:t>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b w:val="1"/>
          <w:bCs w:val="1"/>
          <w:color w:val="auto"/>
        </w:rPr>
        <w:t>Chief Executive Officer and Chairman</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sectPr>
      <w:pgSz w:w="11900" w:h="16838" w:orient="portrait"/>
      <w:cols w:equalWidth="0" w:num="1">
        <w:col w:w="10620"/>
      </w:cols>
      <w:pgMar w:left="320" w:top="1011"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2026-06-05T15:34:16Z</dcterms:created>
  <dcterms:modified xsi:type="dcterms:W3CDTF">2026-06-05T15:34:16Z</dcterms:modified>
</cp:coreProperties>
</file>