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69" w:lineRule="exact"/>
        <w:rPr>
          <w:sz w:val="24"/>
          <w:szCs w:val="24"/>
          <w:color w:val="auto"/>
        </w:rPr>
      </w:pPr>
    </w:p>
    <w:p>
      <w:pPr>
        <w:ind w:left="4000" w:right="2100" w:hanging="3992"/>
        <w:spacing w:after="0" w:line="336" w:lineRule="auto"/>
        <w:tabs>
          <w:tab w:leader="none" w:pos="46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June 30, 2022</w:t>
      </w: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77" w:lineRule="exact"/>
        <w:rPr>
          <w:sz w:val="24"/>
          <w:szCs w:val="24"/>
          <w:color w:val="auto"/>
        </w:rPr>
      </w:pPr>
    </w:p>
    <w:p>
      <w:pPr>
        <w:ind w:left="3520"/>
        <w:spacing w:after="0"/>
        <w:tabs>
          <w:tab w:leader="none" w:pos="66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3591560</wp:posOffset>
            </wp:positionH>
            <wp:positionV relativeFrom="paragraph">
              <wp:posOffset>-7620</wp:posOffset>
            </wp:positionV>
            <wp:extent cx="1316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6990"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001-40015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2087880</wp:posOffset>
            </wp:positionH>
            <wp:positionV relativeFrom="paragraph">
              <wp:posOffset>146050</wp:posOffset>
            </wp:positionV>
            <wp:extent cx="2974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7434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257175</wp:posOffset>
            </wp:positionV>
            <wp:extent cx="1859915" cy="325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5991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Viant Technology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2087880</wp:posOffset>
            </wp:positionH>
            <wp:positionV relativeFrom="paragraph">
              <wp:posOffset>13335</wp:posOffset>
            </wp:positionV>
            <wp:extent cx="2974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8"/>
              </w:rPr>
              <w:t>85-3447553</w:t>
            </w:r>
          </w:p>
        </w:tc>
      </w:tr>
      <w:tr>
        <w:trPr>
          <w:trHeight w:val="252"/>
        </w:trPr>
        <w:tc>
          <w:tcPr>
            <w:tcW w:w="4280" w:type="dxa"/>
            <w:vAlign w:val="bottom"/>
            <w:gridSpan w:val="2"/>
          </w:tcPr>
          <w:p>
            <w:pPr>
              <w:jc w:val="center"/>
              <w:ind w:left="12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38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280" w:type="dxa"/>
            <w:vAlign w:val="bottom"/>
            <w:gridSpan w:val="2"/>
          </w:tcPr>
          <w:p>
            <w:pPr>
              <w:jc w:val="center"/>
              <w:ind w:left="12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88"/>
        </w:trPr>
        <w:tc>
          <w:tcPr>
            <w:tcW w:w="3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58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2722 Michelson Drive, Suite 100</w:t>
            </w:r>
          </w:p>
        </w:tc>
        <w:tc>
          <w:tcPr>
            <w:tcW w:w="11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38"/>
        </w:trPr>
        <w:tc>
          <w:tcPr>
            <w:tcW w:w="3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Irvine, CA 92612</w:t>
            </w:r>
          </w:p>
        </w:tc>
        <w:tc>
          <w:tcPr>
            <w:tcW w:w="112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270"/>
        </w:trPr>
        <w:tc>
          <w:tcPr>
            <w:tcW w:w="3280" w:type="dxa"/>
            <w:vAlign w:val="bottom"/>
          </w:tcPr>
          <w:p>
            <w:pPr>
              <w:spacing w:after="0"/>
              <w:rPr>
                <w:sz w:val="23"/>
                <w:szCs w:val="23"/>
                <w:color w:val="auto"/>
              </w:rPr>
            </w:pPr>
          </w:p>
        </w:tc>
        <w:tc>
          <w:tcPr>
            <w:tcW w:w="7960" w:type="dxa"/>
            <w:vAlign w:val="bottom"/>
            <w:gridSpan w:val="7"/>
          </w:tcPr>
          <w:p>
            <w:pPr>
              <w:jc w:val="center"/>
              <w:ind w:right="328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r>
      <w:tr>
        <w:trPr>
          <w:trHeight w:val="324"/>
        </w:trPr>
        <w:tc>
          <w:tcPr>
            <w:tcW w:w="3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(949) 861-8888</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70"/>
        </w:trPr>
        <w:tc>
          <w:tcPr>
            <w:tcW w:w="3280" w:type="dxa"/>
            <w:vAlign w:val="bottom"/>
          </w:tcPr>
          <w:p>
            <w:pPr>
              <w:spacing w:after="0"/>
              <w:rPr>
                <w:sz w:val="23"/>
                <w:szCs w:val="23"/>
                <w:color w:val="auto"/>
              </w:rPr>
            </w:pPr>
          </w:p>
        </w:tc>
        <w:tc>
          <w:tcPr>
            <w:tcW w:w="7960" w:type="dxa"/>
            <w:vAlign w:val="bottom"/>
            <w:gridSpan w:val="7"/>
          </w:tcPr>
          <w:p>
            <w:pPr>
              <w:jc w:val="center"/>
              <w:ind w:right="32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54"/>
        </w:trPr>
        <w:tc>
          <w:tcPr>
            <w:tcW w:w="328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260" w:type="dxa"/>
            <w:vAlign w:val="bottom"/>
          </w:tcPr>
          <w:p>
            <w:pPr>
              <w:spacing w:after="0"/>
              <w:rPr>
                <w:sz w:val="4"/>
                <w:szCs w:val="4"/>
                <w:color w:val="auto"/>
              </w:rPr>
            </w:pPr>
          </w:p>
        </w:tc>
      </w:tr>
      <w:tr>
        <w:trPr>
          <w:trHeight w:val="31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24"/>
        </w:trPr>
        <w:tc>
          <w:tcPr>
            <w:tcW w:w="42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Borders>
              <w:top w:val="single" w:sz="8" w:color="auto"/>
            </w:tcBorders>
            <w:gridSpan w:val="2"/>
          </w:tcPr>
          <w:p>
            <w:pPr>
              <w:jc w:val="center"/>
              <w:ind w:left="50"/>
              <w:spacing w:after="0" w:line="191" w:lineRule="exact"/>
              <w:rPr>
                <w:sz w:val="20"/>
                <w:szCs w:val="20"/>
                <w:color w:val="auto"/>
              </w:rPr>
            </w:pPr>
            <w:r>
              <w:rPr>
                <w:rFonts w:ascii="Times New Roman" w:cs="Times New Roman" w:eastAsia="Times New Roman" w:hAnsi="Times New Roman"/>
                <w:sz w:val="18"/>
                <w:szCs w:val="18"/>
                <w:color w:val="auto"/>
              </w:rPr>
              <w:t>Class A common stock, par value $0.001 per share</w:t>
            </w:r>
          </w:p>
        </w:tc>
        <w:tc>
          <w:tcPr>
            <w:tcW w:w="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DSP</w:t>
            </w:r>
          </w:p>
        </w:tc>
        <w:tc>
          <w:tcPr>
            <w:tcW w:w="100" w:type="dxa"/>
            <w:vAlign w:val="bottom"/>
          </w:tcPr>
          <w:p>
            <w:pPr>
              <w:spacing w:after="0"/>
              <w:rPr>
                <w:sz w:val="16"/>
                <w:szCs w:val="16"/>
                <w:color w:val="auto"/>
              </w:rPr>
            </w:pPr>
          </w:p>
        </w:tc>
        <w:tc>
          <w:tcPr>
            <w:tcW w:w="438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63" w:lineRule="exact"/>
        <w:rPr>
          <w:sz w:val="24"/>
          <w:szCs w:val="24"/>
          <w:color w:val="auto"/>
        </w:rPr>
      </w:pPr>
    </w:p>
    <w:p>
      <w:pPr>
        <w:ind w:right="60" w:firstLine="51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right="40" w:firstLine="51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Accelerated filer</w:t>
            </w:r>
          </w:p>
        </w:tc>
        <w:tc>
          <w:tcPr>
            <w:tcW w:w="1740" w:type="dxa"/>
            <w:vAlign w:val="bottom"/>
          </w:tcPr>
          <w:p>
            <w:pPr>
              <w:ind w:left="15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0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49" w:lineRule="exact"/>
        <w:rPr>
          <w:sz w:val="24"/>
          <w:szCs w:val="24"/>
          <w:color w:val="auto"/>
        </w:rPr>
      </w:pPr>
    </w:p>
    <w:p>
      <w:pPr>
        <w:ind w:firstLine="51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4"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55" w:lineRule="exact"/>
        <w:rPr>
          <w:sz w:val="24"/>
          <w:szCs w:val="24"/>
          <w:color w:val="auto"/>
        </w:rPr>
      </w:pPr>
    </w:p>
    <w:p>
      <w:pPr>
        <w:ind w:left="520"/>
        <w:spacing w:after="0" w:line="207" w:lineRule="exact"/>
        <w:tabs>
          <w:tab w:leader="none" w:pos="12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9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August 5, 2022, there were 14,253,800 shares and 47,082,260 shares of the registrant’s Class A and Class B common stock, respectively,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w w:val="98"/>
              </w:rPr>
              <w:t>FINANCIAL INFORMATION</w:t>
            </w:r>
          </w:p>
        </w:tc>
        <w:tc>
          <w:tcPr>
            <w:tcW w:w="7280" w:type="dxa"/>
            <w:vAlign w:val="bottom"/>
            <w:gridSpan w:val="9"/>
            <w:vMerge w:val="restart"/>
          </w:tcPr>
          <w:p>
            <w:pPr>
              <w:spacing w:after="0"/>
              <w:rPr>
                <w:sz w:val="15"/>
                <w:szCs w:val="15"/>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8"/>
        </w:trPr>
        <w:tc>
          <w:tcPr>
            <w:tcW w:w="1140" w:type="dxa"/>
            <w:vAlign w:val="bottom"/>
            <w:gridSpan w:val="2"/>
            <w:vMerge w:val="continue"/>
          </w:tcPr>
          <w:p>
            <w:pPr>
              <w:spacing w:after="0"/>
              <w:rPr>
                <w:sz w:val="15"/>
                <w:szCs w:val="15"/>
                <w:color w:val="auto"/>
              </w:rPr>
            </w:pPr>
          </w:p>
        </w:tc>
        <w:tc>
          <w:tcPr>
            <w:tcW w:w="2260" w:type="dxa"/>
            <w:vAlign w:val="bottom"/>
            <w:tcBorders>
              <w:bottom w:val="single" w:sz="8" w:color="0000EE"/>
            </w:tcBorders>
            <w:gridSpan w:val="10"/>
            <w:vMerge w:val="continue"/>
          </w:tcPr>
          <w:p>
            <w:pPr>
              <w:spacing w:after="0"/>
              <w:rPr>
                <w:sz w:val="15"/>
                <w:szCs w:val="15"/>
                <w:color w:val="auto"/>
              </w:rPr>
            </w:pPr>
          </w:p>
        </w:tc>
        <w:tc>
          <w:tcPr>
            <w:tcW w:w="7280" w:type="dxa"/>
            <w:vAlign w:val="bottom"/>
            <w:gridSpan w:val="9"/>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40" w:type="dxa"/>
            <w:vAlign w:val="bottom"/>
            <w:gridSpan w:val="19"/>
          </w:tcPr>
          <w:p>
            <w:pPr>
              <w:ind w:left="120"/>
              <w:spacing w:after="0" w:line="182" w:lineRule="exact"/>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color w:val="0000EE"/>
              </w:rPr>
              <w:t>Condensed Consolidated Statements of Operations</w:t>
            </w:r>
          </w:p>
        </w:tc>
        <w:tc>
          <w:tcPr>
            <w:tcW w:w="5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40" w:type="dxa"/>
            <w:vAlign w:val="bottom"/>
            <w:gridSpan w:val="19"/>
          </w:tcPr>
          <w:p>
            <w:pPr>
              <w:ind w:left="120"/>
              <w:spacing w:after="0" w:line="196" w:lineRule="exact"/>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color w:val="0000EE"/>
              </w:rPr>
              <w:t>Condensed Consolidated Balance Sheets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57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Convertible Preferred Units and Equity</w:t>
            </w:r>
          </w:p>
        </w:tc>
        <w:tc>
          <w:tcPr>
            <w:tcW w:w="3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40" w:type="dxa"/>
            <w:vAlign w:val="bottom"/>
            <w:gridSpan w:val="19"/>
          </w:tcPr>
          <w:p>
            <w:pPr>
              <w:ind w:left="120"/>
              <w:spacing w:after="0" w:line="196" w:lineRule="exact"/>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color w:val="0000EE"/>
              </w:rPr>
              <w:t>Condensed Consolidated Statements of Cash Flows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40" w:type="dxa"/>
            <w:vAlign w:val="bottom"/>
            <w:gridSpan w:val="19"/>
          </w:tcPr>
          <w:p>
            <w:pPr>
              <w:ind w:left="120"/>
              <w:spacing w:after="0" w:line="196" w:lineRule="exact"/>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color w:val="0000EE"/>
              </w:rPr>
              <w:t>Notes to Condensed Consolidated Financial Statements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160" w:type="dxa"/>
            <w:vAlign w:val="bottom"/>
            <w:gridSpan w:val="3"/>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8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7740" w:type="dxa"/>
            <w:vAlign w:val="bottom"/>
            <w:gridSpan w:val="11"/>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42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5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540" w:type="dxa"/>
            <w:vAlign w:val="bottom"/>
            <w:tcBorders>
              <w:top w:val="single" w:sz="8" w:color="0000EE"/>
            </w:tcBorders>
            <w:gridSpan w:val="4"/>
          </w:tcPr>
          <w:p>
            <w:pPr>
              <w:spacing w:after="0"/>
              <w:rPr>
                <w:sz w:val="18"/>
                <w:szCs w:val="18"/>
                <w:color w:val="auto"/>
              </w:rPr>
            </w:pPr>
          </w:p>
        </w:tc>
        <w:tc>
          <w:tcPr>
            <w:tcW w:w="7660" w:type="dxa"/>
            <w:vAlign w:val="bottom"/>
            <w:gridSpan w:val="10"/>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5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5200" w:type="dxa"/>
            <w:vAlign w:val="bottom"/>
            <w:gridSpan w:val="4"/>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gridSpan w:val="4"/>
          </w:tcPr>
          <w:p>
            <w:pPr>
              <w:spacing w:after="0"/>
              <w:rPr>
                <w:sz w:val="18"/>
                <w:szCs w:val="18"/>
                <w:color w:val="auto"/>
              </w:rPr>
            </w:pPr>
          </w:p>
        </w:tc>
        <w:tc>
          <w:tcPr>
            <w:tcW w:w="7220" w:type="dxa"/>
            <w:vAlign w:val="bottom"/>
            <w:gridSpan w:val="8"/>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8220" w:type="dxa"/>
            <w:vAlign w:val="bottom"/>
            <w:gridSpan w:val="15"/>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5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Exhibits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40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51,200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50,411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93,829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Platform operations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30,950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31,715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57,144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11,725</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14,075</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64,972</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74,374</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121,008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(23,963)</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(6,110)</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(6,110)</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(10,691)</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(14,440)</w:t>
            </w: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(21,062)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(26,206)</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Viant Technology Inc.</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share of Class A common stock:</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(0.24)</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(0.32)</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bottom w:val="single" w:sz="8" w:color="CFF0FC"/>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58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14,114</w:t>
            </w:r>
          </w:p>
        </w:tc>
        <w:tc>
          <w:tcPr>
            <w:tcW w:w="24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24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13,962</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14,114</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13,962</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r>
      <w:tr>
        <w:trPr>
          <w:trHeight w:val="223"/>
        </w:trPr>
        <w:tc>
          <w:tcPr>
            <w:tcW w:w="73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r>
      <w:tr>
        <w:trPr>
          <w:trHeight w:val="223"/>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207,248</w:t>
            </w:r>
          </w:p>
        </w:tc>
        <w:tc>
          <w:tcPr>
            <w:tcW w:w="2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238,480</w:t>
            </w:r>
          </w:p>
        </w:tc>
        <w:tc>
          <w:tcPr>
            <w:tcW w:w="120" w:type="dxa"/>
            <w:vAlign w:val="bottom"/>
            <w:shd w:val="clear" w:color="auto" w:fill="CFF0FC"/>
          </w:tcPr>
          <w:p>
            <w:pPr>
              <w:spacing w:after="0"/>
              <w:rPr>
                <w:sz w:val="19"/>
                <w:szCs w:val="19"/>
                <w:color w:val="auto"/>
              </w:rPr>
            </w:pPr>
          </w:p>
        </w:tc>
      </w:tr>
      <w:tr>
        <w:trPr>
          <w:trHeight w:val="229"/>
        </w:trPr>
        <w:tc>
          <w:tcPr>
            <w:tcW w:w="7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93,481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110,739</w:t>
            </w:r>
          </w:p>
        </w:tc>
        <w:tc>
          <w:tcPr>
            <w:tcW w:w="120" w:type="dxa"/>
            <w:vAlign w:val="bottom"/>
          </w:tcPr>
          <w:p>
            <w:pPr>
              <w:spacing w:after="0"/>
              <w:rPr>
                <w:sz w:val="19"/>
                <w:szCs w:val="19"/>
                <w:color w:val="auto"/>
              </w:rPr>
            </w:pPr>
          </w:p>
        </w:tc>
      </w:tr>
      <w:tr>
        <w:trPr>
          <w:trHeight w:val="230"/>
        </w:trPr>
        <w:tc>
          <w:tcPr>
            <w:tcW w:w="7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20" w:type="dxa"/>
            <w:vAlign w:val="bottom"/>
            <w:shd w:val="clear" w:color="auto" w:fill="CFF0FC"/>
          </w:tcPr>
          <w:p>
            <w:pPr>
              <w:spacing w:after="0"/>
              <w:rPr>
                <w:sz w:val="19"/>
                <w:szCs w:val="19"/>
                <w:color w:val="auto"/>
              </w:rPr>
            </w:pPr>
          </w:p>
        </w:tc>
      </w:tr>
      <w:tr>
        <w:trPr>
          <w:trHeight w:val="223"/>
        </w:trPr>
        <w:tc>
          <w:tcPr>
            <w:tcW w:w="7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303,640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352,186</w:t>
            </w:r>
          </w:p>
        </w:tc>
        <w:tc>
          <w:tcPr>
            <w:tcW w:w="120" w:type="dxa"/>
            <w:vAlign w:val="bottom"/>
          </w:tcPr>
          <w:p>
            <w:pPr>
              <w:spacing w:after="0"/>
              <w:rPr>
                <w:sz w:val="19"/>
                <w:szCs w:val="19"/>
                <w:color w:val="auto"/>
              </w:rPr>
            </w:pPr>
          </w:p>
        </w:tc>
      </w:tr>
      <w:tr>
        <w:trPr>
          <w:trHeight w:val="229"/>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22,331</w:t>
            </w:r>
          </w:p>
        </w:tc>
        <w:tc>
          <w:tcPr>
            <w:tcW w:w="120" w:type="dxa"/>
            <w:vAlign w:val="bottom"/>
            <w:shd w:val="clear" w:color="auto" w:fill="CFF0FC"/>
          </w:tcPr>
          <w:p>
            <w:pPr>
              <w:spacing w:after="0"/>
              <w:rPr>
                <w:sz w:val="19"/>
                <w:szCs w:val="19"/>
                <w:color w:val="auto"/>
              </w:rPr>
            </w:pP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20" w:type="dxa"/>
            <w:vAlign w:val="bottom"/>
            <w:shd w:val="clear" w:color="auto" w:fill="CFF0FC"/>
          </w:tcPr>
          <w:p>
            <w:pPr>
              <w:spacing w:after="0"/>
              <w:rPr>
                <w:sz w:val="19"/>
                <w:szCs w:val="19"/>
                <w:color w:val="auto"/>
              </w:rPr>
            </w:pP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120" w:type="dxa"/>
            <w:vAlign w:val="bottom"/>
          </w:tcPr>
          <w:p>
            <w:pPr>
              <w:spacing w:after="0"/>
              <w:rPr>
                <w:sz w:val="19"/>
                <w:szCs w:val="19"/>
                <w:color w:val="auto"/>
              </w:rPr>
            </w:pPr>
          </w:p>
        </w:tc>
      </w:tr>
      <w:tr>
        <w:trPr>
          <w:trHeight w:val="229"/>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shd w:val="clear" w:color="auto" w:fill="CFF0FC"/>
          </w:tcPr>
          <w:p>
            <w:pPr>
              <w:spacing w:after="0"/>
              <w:rPr>
                <w:sz w:val="19"/>
                <w:szCs w:val="19"/>
                <w:color w:val="auto"/>
              </w:rPr>
            </w:pPr>
          </w:p>
        </w:tc>
      </w:tr>
      <w:tr>
        <w:trPr>
          <w:trHeight w:val="263"/>
        </w:trPr>
        <w:tc>
          <w:tcPr>
            <w:tcW w:w="736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359,894</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389,131</w:t>
            </w:r>
          </w:p>
        </w:tc>
        <w:tc>
          <w:tcPr>
            <w:tcW w:w="120" w:type="dxa"/>
            <w:vAlign w:val="bottom"/>
            <w:tcBorders>
              <w:bottom w:val="single" w:sz="8" w:color="CFF0FC"/>
            </w:tcBorders>
          </w:tcPr>
          <w:p>
            <w:pPr>
              <w:spacing w:after="0"/>
              <w:rPr>
                <w:sz w:val="22"/>
                <w:szCs w:val="22"/>
                <w:color w:val="auto"/>
              </w:rPr>
            </w:pPr>
          </w:p>
        </w:tc>
      </w:tr>
      <w:tr>
        <w:trPr>
          <w:trHeight w:val="210"/>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28,239</w:t>
            </w:r>
          </w:p>
        </w:tc>
        <w:tc>
          <w:tcPr>
            <w:tcW w:w="2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32,877</w:t>
            </w:r>
          </w:p>
        </w:tc>
        <w:tc>
          <w:tcPr>
            <w:tcW w:w="120" w:type="dxa"/>
            <w:vAlign w:val="bottom"/>
          </w:tcPr>
          <w:p>
            <w:pPr>
              <w:spacing w:after="0"/>
              <w:rPr>
                <w:sz w:val="19"/>
                <w:szCs w:val="19"/>
                <w:color w:val="auto"/>
              </w:rPr>
            </w:pPr>
          </w:p>
        </w:tc>
      </w:tr>
      <w:tr>
        <w:trPr>
          <w:trHeight w:val="229"/>
        </w:trPr>
        <w:tc>
          <w:tcPr>
            <w:tcW w:w="7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31,558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34,086</w:t>
            </w:r>
          </w:p>
        </w:tc>
        <w:tc>
          <w:tcPr>
            <w:tcW w:w="120" w:type="dxa"/>
            <w:vAlign w:val="bottom"/>
            <w:shd w:val="clear" w:color="auto" w:fill="CFF0FC"/>
          </w:tcPr>
          <w:p>
            <w:pPr>
              <w:spacing w:after="0"/>
              <w:rPr>
                <w:sz w:val="19"/>
                <w:szCs w:val="19"/>
                <w:color w:val="auto"/>
              </w:rPr>
            </w:pPr>
          </w:p>
        </w:tc>
      </w:tr>
      <w:tr>
        <w:trPr>
          <w:trHeight w:val="229"/>
        </w:trPr>
        <w:tc>
          <w:tcPr>
            <w:tcW w:w="7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12,247</w:t>
            </w:r>
          </w:p>
        </w:tc>
        <w:tc>
          <w:tcPr>
            <w:tcW w:w="120" w:type="dxa"/>
            <w:vAlign w:val="bottom"/>
          </w:tcPr>
          <w:p>
            <w:pPr>
              <w:spacing w:after="0"/>
              <w:rPr>
                <w:sz w:val="19"/>
                <w:szCs w:val="19"/>
                <w:color w:val="auto"/>
              </w:rPr>
            </w:pPr>
          </w:p>
        </w:tc>
      </w:tr>
      <w:tr>
        <w:trPr>
          <w:trHeight w:val="230"/>
        </w:trPr>
        <w:tc>
          <w:tcPr>
            <w:tcW w:w="7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20" w:type="dxa"/>
            <w:vAlign w:val="bottom"/>
            <w:shd w:val="clear" w:color="auto" w:fill="CFF0FC"/>
          </w:tcPr>
          <w:p>
            <w:pPr>
              <w:spacing w:after="0"/>
              <w:rPr>
                <w:sz w:val="19"/>
                <w:szCs w:val="19"/>
                <w:color w:val="auto"/>
              </w:rPr>
            </w:pPr>
          </w:p>
        </w:tc>
      </w:tr>
      <w:tr>
        <w:trPr>
          <w:trHeight w:val="229"/>
        </w:trPr>
        <w:tc>
          <w:tcPr>
            <w:tcW w:w="7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20" w:type="dxa"/>
            <w:vAlign w:val="bottom"/>
            <w:shd w:val="clear" w:color="auto" w:fill="CFF0FC"/>
          </w:tcPr>
          <w:p>
            <w:pPr>
              <w:spacing w:after="0"/>
              <w:rPr>
                <w:sz w:val="19"/>
                <w:szCs w:val="19"/>
                <w:color w:val="auto"/>
              </w:rPr>
            </w:pPr>
          </w:p>
        </w:tc>
      </w:tr>
      <w:tr>
        <w:trPr>
          <w:trHeight w:val="223"/>
        </w:trPr>
        <w:tc>
          <w:tcPr>
            <w:tcW w:w="7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70,723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83,058</w:t>
            </w:r>
          </w:p>
        </w:tc>
        <w:tc>
          <w:tcPr>
            <w:tcW w:w="120" w:type="dxa"/>
            <w:vAlign w:val="bottom"/>
          </w:tcPr>
          <w:p>
            <w:pPr>
              <w:spacing w:after="0"/>
              <w:rPr>
                <w:sz w:val="19"/>
                <w:szCs w:val="19"/>
                <w:color w:val="auto"/>
              </w:rPr>
            </w:pPr>
          </w:p>
        </w:tc>
      </w:tr>
      <w:tr>
        <w:trPr>
          <w:trHeight w:val="230"/>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20" w:type="dxa"/>
            <w:vAlign w:val="bottom"/>
            <w:shd w:val="clear" w:color="auto" w:fill="CFF0FC"/>
          </w:tcPr>
          <w:p>
            <w:pPr>
              <w:spacing w:after="0"/>
              <w:rPr>
                <w:sz w:val="19"/>
                <w:szCs w:val="19"/>
                <w:color w:val="auto"/>
              </w:rPr>
            </w:pP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 of deferred revenue</w:t>
            </w:r>
          </w:p>
        </w:tc>
        <w:tc>
          <w:tcPr>
            <w:tcW w:w="200" w:type="dxa"/>
            <w:vAlign w:val="bottom"/>
          </w:tcPr>
          <w:p>
            <w:pPr>
              <w:spacing w:after="0"/>
              <w:rPr>
                <w:sz w:val="19"/>
                <w:szCs w:val="19"/>
                <w:color w:val="auto"/>
              </w:rPr>
            </w:pP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120" w:type="dxa"/>
            <w:vAlign w:val="bottom"/>
          </w:tcPr>
          <w:p>
            <w:pPr>
              <w:spacing w:after="0"/>
              <w:rPr>
                <w:sz w:val="19"/>
                <w:szCs w:val="19"/>
                <w:color w:val="auto"/>
              </w:rPr>
            </w:pPr>
          </w:p>
        </w:tc>
      </w:tr>
      <w:tr>
        <w:trPr>
          <w:trHeight w:val="230"/>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portion of operating lease liabilities</w:t>
            </w: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19"/>
                <w:szCs w:val="19"/>
                <w:color w:val="auto"/>
              </w:rPr>
            </w:pP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Pr>
          <w:p>
            <w:pPr>
              <w:spacing w:after="0"/>
              <w:rPr>
                <w:sz w:val="19"/>
                <w:szCs w:val="19"/>
                <w:color w:val="auto"/>
              </w:rPr>
            </w:pPr>
          </w:p>
        </w:tc>
      </w:tr>
      <w:tr>
        <w:trPr>
          <w:trHeight w:val="223"/>
        </w:trPr>
        <w:tc>
          <w:tcPr>
            <w:tcW w:w="736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89,717</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106,557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$0.001 par value</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Authorized shares — 10,000,000</w:t>
            </w: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Issued and outstanding — none</w:t>
            </w:r>
          </w:p>
        </w:tc>
        <w:tc>
          <w:tcPr>
            <w:tcW w:w="200" w:type="dxa"/>
            <w:vAlign w:val="bottom"/>
          </w:tcPr>
          <w:p>
            <w:pPr>
              <w:spacing w:after="0"/>
              <w:rPr>
                <w:sz w:val="19"/>
                <w:szCs w:val="19"/>
                <w:color w:val="auto"/>
              </w:rPr>
            </w:pP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A common stock, $0.001 par value</w:t>
            </w: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Authorized shares — 450,000,000</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Issued — 14,393,501 and 13,920,868</w:t>
            </w: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Outstanding — 14,253,800 and 13,704,638</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r>
      <w:tr>
        <w:trPr>
          <w:trHeight w:val="229"/>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B common stock, $0.001 par value</w:t>
            </w: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Authorized shares — 150,000,000</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Issued and outstanding — 47,082,260 and 47,107,130</w:t>
            </w: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FF0FC"/>
          </w:tcPr>
          <w:p>
            <w:pPr>
              <w:spacing w:after="0"/>
              <w:rPr>
                <w:sz w:val="19"/>
                <w:szCs w:val="19"/>
                <w:color w:val="auto"/>
              </w:rPr>
            </w:pP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89,276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82,888</w:t>
            </w:r>
          </w:p>
        </w:tc>
        <w:tc>
          <w:tcPr>
            <w:tcW w:w="120" w:type="dxa"/>
            <w:vAlign w:val="bottom"/>
          </w:tcPr>
          <w:p>
            <w:pPr>
              <w:spacing w:after="0"/>
              <w:rPr>
                <w:sz w:val="19"/>
                <w:szCs w:val="19"/>
                <w:color w:val="auto"/>
              </w:rPr>
            </w:pPr>
          </w:p>
        </w:tc>
      </w:tr>
      <w:tr>
        <w:trPr>
          <w:trHeight w:val="229"/>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(29,380)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(20,139)</w:t>
            </w: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139,701 and 216,230 shares held</w:t>
            </w:r>
          </w:p>
        </w:tc>
        <w:tc>
          <w:tcPr>
            <w:tcW w:w="200" w:type="dxa"/>
            <w:vAlign w:val="bottom"/>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(2,648)</w:t>
            </w:r>
          </w:p>
        </w:tc>
      </w:tr>
      <w:tr>
        <w:trPr>
          <w:trHeight w:val="223"/>
        </w:trPr>
        <w:tc>
          <w:tcPr>
            <w:tcW w:w="736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stockholders’ equity attributable to Viant Technology Inc.</w:t>
            </w:r>
          </w:p>
        </w:tc>
        <w:tc>
          <w:tcPr>
            <w:tcW w:w="20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59,096</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60,162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211,081</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222,412</w:t>
            </w:r>
          </w:p>
        </w:tc>
        <w:tc>
          <w:tcPr>
            <w:tcW w:w="120" w:type="dxa"/>
            <w:vAlign w:val="bottom"/>
            <w:tcBorders>
              <w:bottom w:val="single" w:sz="8" w:color="CFF0FC"/>
            </w:tcBorders>
          </w:tcPr>
          <w:p>
            <w:pPr>
              <w:spacing w:after="0"/>
              <w:rPr>
                <w:sz w:val="19"/>
                <w:szCs w:val="19"/>
                <w:color w:val="auto"/>
              </w:rPr>
            </w:pPr>
          </w:p>
        </w:tc>
      </w:tr>
      <w:tr>
        <w:trPr>
          <w:trHeight w:val="223"/>
        </w:trPr>
        <w:tc>
          <w:tcPr>
            <w:tcW w:w="73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270,177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282,574</w:t>
            </w:r>
          </w:p>
        </w:tc>
        <w:tc>
          <w:tcPr>
            <w:tcW w:w="120" w:type="dxa"/>
            <w:vAlign w:val="bottom"/>
            <w:shd w:val="clear" w:color="auto" w:fill="CFF0FC"/>
          </w:tcPr>
          <w:p>
            <w:pPr>
              <w:spacing w:after="0"/>
              <w:rPr>
                <w:sz w:val="19"/>
                <w:szCs w:val="19"/>
                <w:color w:val="auto"/>
              </w:rPr>
            </w:pPr>
          </w:p>
        </w:tc>
      </w:tr>
      <w:tr>
        <w:trPr>
          <w:trHeight w:val="223"/>
        </w:trPr>
        <w:tc>
          <w:tcPr>
            <w:tcW w:w="73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359,894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389,131</w:t>
            </w:r>
          </w:p>
        </w:tc>
        <w:tc>
          <w:tcPr>
            <w:tcW w:w="12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CONVERTIBLE PREFERRED UNITS AND EQUITY</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6" w:lineRule="exact"/>
        <w:rPr>
          <w:sz w:val="20"/>
          <w:szCs w:val="20"/>
          <w:color w:val="auto"/>
        </w:rPr>
      </w:pPr>
    </w:p>
    <w:tbl>
      <w:tblPr>
        <w:tblLayout w:type="fixed"/>
        <w:tblInd w:w="1800" w:type="dxa"/>
        <w:tblCellMar>
          <w:top w:w="0" w:type="dxa"/>
          <w:left w:w="0" w:type="dxa"/>
          <w:bottom w:w="0" w:type="dxa"/>
          <w:right w:w="0" w:type="dxa"/>
        </w:tblCellMar>
      </w:tblPr>
      <w:tr>
        <w:trPr>
          <w:trHeight w:val="216"/>
        </w:trPr>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1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3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5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8"/>
        </w:trPr>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1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7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23"/>
        </w:trPr>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Amount</w:t>
            </w:r>
          </w:p>
        </w:tc>
        <w:tc>
          <w:tcPr>
            <w:tcW w:w="180" w:type="dxa"/>
            <w:vAlign w:val="bottom"/>
          </w:tcPr>
          <w:p>
            <w:pPr>
              <w:spacing w:after="0"/>
              <w:rPr>
                <w:sz w:val="19"/>
                <w:szCs w:val="19"/>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Amount</w:t>
            </w:r>
          </w:p>
        </w:tc>
        <w:tc>
          <w:tcPr>
            <w:tcW w:w="11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Shares  Amount</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7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300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tbl>
      <w:tblPr>
        <w:tblLayout w:type="fixed"/>
        <w:tblInd w:w="0" w:type="dxa"/>
        <w:tblCellMar>
          <w:top w:w="0" w:type="dxa"/>
          <w:left w:w="0" w:type="dxa"/>
          <w:bottom w:w="0" w:type="dxa"/>
          <w:right w:w="0" w:type="dxa"/>
        </w:tblCellMar>
      </w:tblPr>
      <w:tr>
        <w:trPr>
          <w:trHeight w:val="201"/>
        </w:trPr>
        <w:tc>
          <w:tcPr>
            <w:tcW w:w="18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6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13,921</w:t>
            </w:r>
          </w:p>
        </w:tc>
        <w:tc>
          <w:tcPr>
            <w:tcW w:w="18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47,107</w:t>
            </w:r>
          </w:p>
        </w:tc>
        <w:tc>
          <w:tcPr>
            <w:tcW w:w="18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Exchange of Class</w:t>
            </w: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80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 common stock</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 Class A</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Issuance of</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in</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connection with</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equity-based</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compensation plans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Reissuance of</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treasury stock in</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connection with</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equity-based</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compensation plans</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Allocation of</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 to</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noncontrolling</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interests</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member</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 distributions</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compensation</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8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Balance as of March</w:t>
            </w:r>
          </w:p>
        </w:tc>
        <w:tc>
          <w:tcPr>
            <w:tcW w:w="6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31, 2022</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14,072</w:t>
            </w:r>
          </w:p>
        </w:tc>
        <w:tc>
          <w:tcPr>
            <w:tcW w:w="18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47,082</w:t>
            </w:r>
          </w:p>
        </w:tc>
        <w:tc>
          <w:tcPr>
            <w:tcW w:w="18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Issuance of</w:t>
            </w: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80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in</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connection with</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equity-based</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compensation plans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Repurchase of</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treasury shares in</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connection with the</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taxes paid related</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 net share</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settlement of equity</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awards</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Allocation of</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 to</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noncontrolling</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interests</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member</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 distributions</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compensation</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8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Balance as of June</w:t>
            </w:r>
          </w:p>
        </w:tc>
        <w:tc>
          <w:tcPr>
            <w:tcW w:w="6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30, 2022</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14,394</w:t>
            </w:r>
          </w:p>
        </w:tc>
        <w:tc>
          <w:tcPr>
            <w:tcW w:w="18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47,082</w:t>
            </w:r>
          </w:p>
        </w:tc>
        <w:tc>
          <w:tcPr>
            <w:tcW w:w="18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6"/>
              </w:rPr>
              <w:t>82,888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(20,139)</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(2,648)</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222,412</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282,574</w:t>
            </w:r>
          </w:p>
        </w:tc>
        <w:tc>
          <w:tcPr>
            <w:tcW w:w="60" w:type="dxa"/>
            <w:vAlign w:val="bottom"/>
          </w:tcPr>
          <w:p>
            <w:pPr>
              <w:spacing w:after="0"/>
              <w:rPr>
                <w:sz w:val="20"/>
                <w:szCs w:val="20"/>
                <w:color w:val="auto"/>
              </w:rPr>
            </w:pPr>
          </w:p>
        </w:tc>
      </w:tr>
      <w:tr>
        <w:trPr>
          <w:trHeight w:val="20"/>
        </w:trPr>
        <w:tc>
          <w:tcPr>
            <w:tcW w:w="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58"/>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093"/>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093"/>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(2,648)</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878"/>
        </w:trPr>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(4,276)</w:t>
            </w:r>
          </w:p>
        </w:tc>
        <w:tc>
          <w:tcPr>
            <w:tcW w:w="2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446"/>
        </w:trPr>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41"/>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7,326</w:t>
            </w:r>
          </w:p>
        </w:tc>
        <w:tc>
          <w:tcPr>
            <w:tcW w:w="2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60" w:type="dxa"/>
            <w:vAlign w:val="bottom"/>
          </w:tcPr>
          <w:p>
            <w:pPr>
              <w:spacing w:after="0"/>
              <w:rPr>
                <w:sz w:val="24"/>
                <w:szCs w:val="24"/>
                <w:color w:val="auto"/>
              </w:rPr>
            </w:pPr>
          </w:p>
        </w:tc>
      </w:tr>
      <w:tr>
        <w:trPr>
          <w:trHeight w:val="234"/>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(3,192)</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(10,371)</w:t>
            </w: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(13,563)</w:t>
            </w:r>
          </w:p>
        </w:tc>
      </w:tr>
      <w:tr>
        <w:trPr>
          <w:trHeight w:val="20"/>
        </w:trPr>
        <w:tc>
          <w:tcPr>
            <w:tcW w:w="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6"/>
              </w:rPr>
              <w:t>85,926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(25,979)</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216,317</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276,325</w:t>
            </w:r>
          </w:p>
        </w:tc>
        <w:tc>
          <w:tcPr>
            <w:tcW w:w="6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74"/>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525"/>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(861)</w:t>
            </w:r>
          </w:p>
        </w:tc>
        <w:tc>
          <w:tcPr>
            <w:tcW w:w="34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878"/>
        </w:trPr>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(5,455)</w:t>
            </w:r>
          </w:p>
        </w:tc>
        <w:tc>
          <w:tcPr>
            <w:tcW w:w="2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445"/>
        </w:trPr>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41"/>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8,821</w:t>
            </w:r>
          </w:p>
        </w:tc>
        <w:tc>
          <w:tcPr>
            <w:tcW w:w="2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8,821</w:t>
            </w:r>
          </w:p>
        </w:tc>
        <w:tc>
          <w:tcPr>
            <w:tcW w:w="60" w:type="dxa"/>
            <w:vAlign w:val="bottom"/>
          </w:tcPr>
          <w:p>
            <w:pPr>
              <w:spacing w:after="0"/>
              <w:rPr>
                <w:sz w:val="24"/>
                <w:szCs w:val="24"/>
                <w:color w:val="auto"/>
              </w:rPr>
            </w:pPr>
          </w:p>
        </w:tc>
      </w:tr>
      <w:tr>
        <w:trPr>
          <w:trHeight w:val="234"/>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(3,401)</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(10,691)</w:t>
            </w: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(14,092)</w:t>
            </w:r>
          </w:p>
        </w:tc>
      </w:tr>
      <w:tr>
        <w:trPr>
          <w:trHeight w:val="20"/>
        </w:trPr>
        <w:tc>
          <w:tcPr>
            <w:tcW w:w="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6"/>
              </w:rPr>
              <w:t>89,276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(29,380)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211,081</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270,177</w:t>
            </w:r>
          </w:p>
        </w:tc>
        <w:tc>
          <w:tcPr>
            <w:tcW w:w="6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-6223000</wp:posOffset>
            </wp:positionV>
            <wp:extent cx="7132320" cy="694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9405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-4834255</wp:posOffset>
            </wp:positionV>
            <wp:extent cx="7132320" cy="557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5753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-3994150</wp:posOffset>
            </wp:positionV>
            <wp:extent cx="7132320" cy="282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-2553970</wp:posOffset>
            </wp:positionV>
            <wp:extent cx="7132320" cy="9683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96837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-1028065</wp:posOffset>
            </wp:positionV>
            <wp:extent cx="7132320" cy="282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-462280</wp:posOffset>
            </wp:positionV>
            <wp:extent cx="7132320" cy="462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6291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-3565525</wp:posOffset>
            </wp:positionV>
            <wp:extent cx="7132320" cy="317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17500"/>
                    </a:xfrm>
                    <a:prstGeom prst="rect">
                      <a:avLst/>
                    </a:prstGeom>
                    <a:noFill/>
                  </pic:spPr>
                </pic:pic>
              </a:graphicData>
            </a:graphic>
          </wp:anchor>
        </w:drawing>
        <w:drawing>
          <wp:anchor simplePos="0" relativeHeight="251657728" behindDoc="1" locked="0" layoutInCell="0" allowOverlap="1">
            <wp:simplePos x="0" y="0"/>
            <wp:positionH relativeFrom="column">
              <wp:posOffset>-264160</wp:posOffset>
            </wp:positionH>
            <wp:positionV relativeFrom="paragraph">
              <wp:posOffset>-6788785</wp:posOffset>
            </wp:positionV>
            <wp:extent cx="5918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18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320"/>
            <w:col w:w="5740"/>
          </w:cols>
          <w:pgMar w:left="320" w:top="549" w:right="379" w:bottom="1440" w:gutter="0" w:footer="0" w:header="0"/>
          <w:type w:val="continuous"/>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type w:val="continuous"/>
        </w:sectPr>
      </w:pPr>
    </w:p>
    <w:bookmarkStart w:id="5" w:name="page6"/>
    <w:bookmarkEnd w:id="5"/>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UNITS AND EQUITY – (continued)</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3"/>
                <w:szCs w:val="13"/>
                <w:color w:val="auto"/>
              </w:rPr>
            </w:pPr>
          </w:p>
        </w:tc>
        <w:tc>
          <w:tcPr>
            <w:tcW w:w="1200" w:type="dxa"/>
            <w:vAlign w:val="bottom"/>
            <w:tcBorders>
              <w:right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800" w:type="dxa"/>
            <w:vAlign w:val="bottom"/>
            <w:gridSpan w:val="3"/>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8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3"/>
                <w:szCs w:val="13"/>
                <w:color w:val="auto"/>
              </w:rPr>
            </w:pP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1200" w:type="dxa"/>
            <w:vAlign w:val="bottom"/>
            <w:tcBorders>
              <w:right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800" w:type="dxa"/>
            <w:vAlign w:val="bottom"/>
            <w:gridSpan w:val="3"/>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2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8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00" w:type="dxa"/>
            <w:vAlign w:val="bottom"/>
            <w:tcBorders>
              <w:top w:val="single" w:sz="8" w:color="auto"/>
            </w:tcBorders>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Units</w:t>
            </w:r>
          </w:p>
        </w:tc>
        <w:tc>
          <w:tcPr>
            <w:tcW w:w="50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Borders>
              <w:right w:val="single" w:sz="8" w:color="auto"/>
            </w:tcBorders>
          </w:tcPr>
          <w:p>
            <w:pPr>
              <w:spacing w:after="0"/>
              <w:rPr>
                <w:sz w:val="13"/>
                <w:szCs w:val="13"/>
                <w:color w:val="auto"/>
              </w:rPr>
            </w:pPr>
          </w:p>
        </w:tc>
        <w:tc>
          <w:tcPr>
            <w:tcW w:w="480" w:type="dxa"/>
            <w:vAlign w:val="bottom"/>
            <w:tcBorders>
              <w:top w:val="single" w:sz="8" w:color="auto"/>
            </w:tcBorders>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top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580" w:type="dxa"/>
            <w:vAlign w:val="bottom"/>
            <w:tcBorders>
              <w:top w:val="single" w:sz="8" w:color="auto"/>
            </w:tcBorders>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52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3"/>
                <w:szCs w:val="13"/>
                <w:color w:val="auto"/>
              </w:rPr>
            </w:pPr>
          </w:p>
        </w:tc>
        <w:tc>
          <w:tcPr>
            <w:tcW w:w="80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3"/>
                <w:szCs w:val="13"/>
                <w:color w:val="auto"/>
              </w:rPr>
            </w:pPr>
          </w:p>
        </w:tc>
        <w:tc>
          <w:tcPr>
            <w:tcW w:w="66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54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tcPr>
          <w:p>
            <w:pPr>
              <w:spacing w:after="0"/>
              <w:rPr>
                <w:sz w:val="13"/>
                <w:szCs w:val="13"/>
                <w:color w:val="auto"/>
              </w:rPr>
            </w:pPr>
          </w:p>
        </w:tc>
        <w:tc>
          <w:tcPr>
            <w:tcW w:w="58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31"/>
        </w:trPr>
        <w:tc>
          <w:tcPr>
            <w:tcW w:w="1200" w:type="dxa"/>
            <w:vAlign w:val="bottom"/>
            <w:tcBorders>
              <w:top w:val="single" w:sz="8" w:color="CFF0FC"/>
            </w:tcBorders>
            <w:shd w:val="clear" w:color="auto" w:fill="CFF0FC"/>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3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right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right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right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right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right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right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right w:val="single" w:sz="8" w:color="CFF0FC"/>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200" w:type="dxa"/>
            <w:vAlign w:val="bottom"/>
            <w:tcBorders>
              <w:right w:val="single" w:sz="8" w:color="auto"/>
            </w:tcBorders>
            <w:shd w:val="clear" w:color="auto" w:fill="CFF0FC"/>
          </w:tcPr>
          <w:p>
            <w:pPr>
              <w:spacing w:after="0"/>
              <w:rPr>
                <w:sz w:val="12"/>
                <w:szCs w:val="12"/>
                <w:color w:val="auto"/>
              </w:rPr>
            </w:pP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Borders>
              <w:right w:val="single" w:sz="8" w:color="CFF0FC"/>
            </w:tcBorders>
            <w:shd w:val="clear" w:color="auto" w:fill="CFF0FC"/>
          </w:tcPr>
          <w:p>
            <w:pPr>
              <w:spacing w:after="0"/>
              <w:rPr>
                <w:sz w:val="12"/>
                <w:szCs w:val="12"/>
                <w:color w:val="auto"/>
              </w:rPr>
            </w:pPr>
          </w:p>
        </w:tc>
        <w:tc>
          <w:tcPr>
            <w:tcW w:w="320" w:type="dxa"/>
            <w:vAlign w:val="bottom"/>
            <w:vMerge w:val="restart"/>
            <w:shd w:val="clear" w:color="auto" w:fill="CFF0FC"/>
          </w:tcPr>
          <w:p>
            <w:pPr>
              <w:jc w:val="center"/>
              <w:ind w:right="1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20,117</w:t>
            </w:r>
          </w:p>
        </w:tc>
        <w:tc>
          <w:tcPr>
            <w:tcW w:w="120" w:type="dxa"/>
            <w:vAlign w:val="bottom"/>
            <w:tcBorders>
              <w:right w:val="single" w:sz="8" w:color="CFF0FC"/>
            </w:tcBorders>
            <w:shd w:val="clear" w:color="auto" w:fill="CFF0FC"/>
          </w:tcPr>
          <w:p>
            <w:pPr>
              <w:spacing w:after="0"/>
              <w:rPr>
                <w:sz w:val="12"/>
                <w:szCs w:val="12"/>
                <w:color w:val="auto"/>
              </w:rPr>
            </w:pPr>
          </w:p>
        </w:tc>
        <w:tc>
          <w:tcPr>
            <w:tcW w:w="540" w:type="dxa"/>
            <w:vAlign w:val="bottom"/>
            <w:gridSpan w:val="2"/>
            <w:vMerge w:val="restart"/>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20,117</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vMerge w:val="continue"/>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400" w:type="dxa"/>
            <w:vAlign w:val="bottom"/>
            <w:vMerge w:val="continue"/>
            <w:shd w:val="clear" w:color="auto" w:fill="CFF0FC"/>
          </w:tcPr>
          <w:p>
            <w:pPr>
              <w:spacing w:after="0"/>
              <w:rPr>
                <w:sz w:val="15"/>
                <w:szCs w:val="15"/>
                <w:color w:val="auto"/>
              </w:rPr>
            </w:pPr>
          </w:p>
        </w:tc>
        <w:tc>
          <w:tcPr>
            <w:tcW w:w="200" w:type="dxa"/>
            <w:vAlign w:val="bottom"/>
            <w:tcBorders>
              <w:right w:val="single" w:sz="8" w:color="auto"/>
            </w:tcBorders>
            <w:shd w:val="clear" w:color="auto" w:fill="CFF0FC"/>
          </w:tcPr>
          <w:p>
            <w:pPr>
              <w:spacing w:after="0"/>
              <w:rPr>
                <w:sz w:val="15"/>
                <w:szCs w:val="15"/>
                <w:color w:val="auto"/>
              </w:rPr>
            </w:pPr>
          </w:p>
        </w:tc>
        <w:tc>
          <w:tcPr>
            <w:tcW w:w="360" w:type="dxa"/>
            <w:vAlign w:val="bottom"/>
            <w:vMerge w:val="continue"/>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320" w:type="dxa"/>
            <w:vAlign w:val="bottom"/>
            <w:vMerge w:val="continue"/>
            <w:shd w:val="clear" w:color="auto" w:fill="CFF0FC"/>
          </w:tcPr>
          <w:p>
            <w:pPr>
              <w:spacing w:after="0"/>
              <w:rPr>
                <w:sz w:val="15"/>
                <w:szCs w:val="15"/>
                <w:color w:val="auto"/>
              </w:rPr>
            </w:pPr>
          </w:p>
        </w:tc>
        <w:tc>
          <w:tcPr>
            <w:tcW w:w="300" w:type="dxa"/>
            <w:vAlign w:val="bottom"/>
            <w:gridSpan w:val="2"/>
            <w:vMerge w:val="continue"/>
            <w:shd w:val="clear" w:color="auto" w:fill="CFF0FC"/>
          </w:tcPr>
          <w:p>
            <w:pPr>
              <w:spacing w:after="0"/>
              <w:rPr>
                <w:sz w:val="15"/>
                <w:szCs w:val="15"/>
                <w:color w:val="auto"/>
              </w:rPr>
            </w:pPr>
          </w:p>
        </w:tc>
        <w:tc>
          <w:tcPr>
            <w:tcW w:w="840" w:type="dxa"/>
            <w:vAlign w:val="bottom"/>
            <w:gridSpan w:val="3"/>
            <w:vMerge w:val="continue"/>
            <w:shd w:val="clear" w:color="auto" w:fill="CFF0FC"/>
          </w:tcPr>
          <w:p>
            <w:pPr>
              <w:spacing w:after="0"/>
              <w:rPr>
                <w:sz w:val="15"/>
                <w:szCs w:val="15"/>
                <w:color w:val="auto"/>
              </w:rPr>
            </w:pPr>
          </w:p>
        </w:tc>
        <w:tc>
          <w:tcPr>
            <w:tcW w:w="360" w:type="dxa"/>
            <w:vAlign w:val="bottom"/>
            <w:gridSpan w:val="2"/>
            <w:vMerge w:val="continue"/>
            <w:shd w:val="clear" w:color="auto" w:fill="CFF0FC"/>
          </w:tcPr>
          <w:p>
            <w:pPr>
              <w:spacing w:after="0"/>
              <w:rPr>
                <w:sz w:val="15"/>
                <w:szCs w:val="15"/>
                <w:color w:val="auto"/>
              </w:rPr>
            </w:pPr>
          </w:p>
        </w:tc>
        <w:tc>
          <w:tcPr>
            <w:tcW w:w="580" w:type="dxa"/>
            <w:vAlign w:val="bottom"/>
            <w:tcBorders>
              <w:right w:val="single" w:sz="8" w:color="CFF0FC"/>
            </w:tcBorders>
            <w:gridSpan w:val="2"/>
            <w:vMerge w:val="continue"/>
            <w:shd w:val="clear" w:color="auto" w:fill="CFF0FC"/>
          </w:tcPr>
          <w:p>
            <w:pPr>
              <w:spacing w:after="0"/>
              <w:rPr>
                <w:sz w:val="15"/>
                <w:szCs w:val="15"/>
                <w:color w:val="auto"/>
              </w:rPr>
            </w:pPr>
          </w:p>
        </w:tc>
        <w:tc>
          <w:tcPr>
            <w:tcW w:w="280" w:type="dxa"/>
            <w:vAlign w:val="bottom"/>
            <w:vMerge w:val="continue"/>
            <w:shd w:val="clear" w:color="auto" w:fill="CFF0FC"/>
          </w:tcPr>
          <w:p>
            <w:pPr>
              <w:spacing w:after="0"/>
              <w:rPr>
                <w:sz w:val="15"/>
                <w:szCs w:val="15"/>
                <w:color w:val="auto"/>
              </w:rPr>
            </w:pPr>
          </w:p>
        </w:tc>
        <w:tc>
          <w:tcPr>
            <w:tcW w:w="360" w:type="dxa"/>
            <w:vAlign w:val="bottom"/>
            <w:gridSpan w:val="2"/>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720" w:type="dxa"/>
            <w:vAlign w:val="bottom"/>
            <w:tcBorders>
              <w:right w:val="single" w:sz="8" w:color="CFF0FC"/>
            </w:tcBorders>
            <w:gridSpan w:val="2"/>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800" w:type="dxa"/>
            <w:vAlign w:val="bottom"/>
            <w:tcBorders>
              <w:right w:val="single" w:sz="8" w:color="CFF0FC"/>
            </w:tcBorders>
            <w:gridSpan w:val="2"/>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540" w:type="dxa"/>
            <w:vAlign w:val="bottom"/>
            <w:vMerge w:val="continue"/>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540" w:type="dxa"/>
            <w:vAlign w:val="bottom"/>
            <w:gridSpan w:val="2"/>
            <w:vMerge w:val="continue"/>
            <w:shd w:val="clear" w:color="auto" w:fill="CFF0FC"/>
          </w:tcPr>
          <w:p>
            <w:pPr>
              <w:spacing w:after="0"/>
              <w:rPr>
                <w:sz w:val="15"/>
                <w:szCs w:val="15"/>
                <w:color w:val="auto"/>
              </w:rPr>
            </w:pPr>
          </w:p>
        </w:tc>
        <w:tc>
          <w:tcPr>
            <w:tcW w:w="300" w:type="dxa"/>
            <w:vAlign w:val="bottom"/>
            <w:vMerge w:val="continue"/>
            <w:shd w:val="clear" w:color="auto" w:fill="CFF0FC"/>
          </w:tcPr>
          <w:p>
            <w:pPr>
              <w:spacing w:after="0"/>
              <w:rPr>
                <w:sz w:val="15"/>
                <w:szCs w:val="15"/>
                <w:color w:val="auto"/>
              </w:rPr>
            </w:pPr>
          </w:p>
        </w:tc>
        <w:tc>
          <w:tcPr>
            <w:tcW w:w="440" w:type="dxa"/>
            <w:vAlign w:val="bottom"/>
            <w:gridSpan w:val="3"/>
            <w:vMerge w:val="continue"/>
            <w:shd w:val="clear" w:color="auto" w:fill="CFF0FC"/>
          </w:tcPr>
          <w:p>
            <w:pPr>
              <w:spacing w:after="0"/>
              <w:rPr>
                <w:sz w:val="15"/>
                <w:szCs w:val="15"/>
                <w:color w:val="auto"/>
              </w:rPr>
            </w:pPr>
          </w:p>
        </w:tc>
        <w:tc>
          <w:tcPr>
            <w:tcW w:w="920" w:type="dxa"/>
            <w:vAlign w:val="bottom"/>
            <w:gridSpan w:val="2"/>
            <w:vMerge w:val="continue"/>
            <w:shd w:val="clear" w:color="auto" w:fill="CFF0FC"/>
          </w:tcPr>
          <w:p>
            <w:pPr>
              <w:spacing w:after="0"/>
              <w:rPr>
                <w:sz w:val="15"/>
                <w:szCs w:val="15"/>
                <w:color w:val="auto"/>
              </w:rPr>
            </w:pPr>
          </w:p>
        </w:tc>
        <w:tc>
          <w:tcPr>
            <w:tcW w:w="80" w:type="dxa"/>
            <w:vAlign w:val="bottom"/>
            <w:vMerge w:val="continue"/>
            <w:shd w:val="clear" w:color="auto" w:fill="CFF0FC"/>
          </w:tcPr>
          <w:p>
            <w:pPr>
              <w:spacing w:after="0"/>
              <w:rPr>
                <w:sz w:val="15"/>
                <w:szCs w:val="15"/>
                <w:color w:val="auto"/>
              </w:rPr>
            </w:pPr>
          </w:p>
        </w:tc>
        <w:tc>
          <w:tcPr>
            <w:tcW w:w="50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FF0FC"/>
              <w:bottom w:val="single" w:sz="8" w:color="CFF0FC"/>
            </w:tcBorders>
            <w:vMerge w:val="restart"/>
          </w:tcPr>
          <w:p>
            <w:pPr>
              <w:ind w:left="260"/>
              <w:spacing w:after="0" w:line="160" w:lineRule="exact"/>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right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2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prior to</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Reorganization</w:t>
            </w: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120" w:type="dxa"/>
            <w:vAlign w:val="bottom"/>
          </w:tcPr>
          <w:p>
            <w:pPr>
              <w:spacing w:after="0"/>
              <w:rPr>
                <w:sz w:val="12"/>
                <w:szCs w:val="12"/>
                <w:color w:val="auto"/>
              </w:rPr>
            </w:pPr>
          </w:p>
        </w:tc>
        <w:tc>
          <w:tcPr>
            <w:tcW w:w="5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Transactions</w:t>
            </w: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20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Effect of</w:t>
            </w:r>
          </w:p>
        </w:tc>
        <w:tc>
          <w:tcPr>
            <w:tcW w:w="38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Reorganization</w:t>
            </w:r>
          </w:p>
        </w:tc>
        <w:tc>
          <w:tcPr>
            <w:tcW w:w="500" w:type="dxa"/>
            <w:vAlign w:val="bottom"/>
            <w:tcBorders>
              <w:right w:val="single" w:sz="8" w:color="CFF0FC"/>
            </w:tcBorders>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shd w:val="clear" w:color="auto" w:fill="CFF0FC"/>
          </w:tcPr>
          <w:p>
            <w:pPr>
              <w:spacing w:after="0"/>
              <w:rPr>
                <w:sz w:val="12"/>
                <w:szCs w:val="12"/>
                <w:color w:val="auto"/>
              </w:rPr>
            </w:pPr>
          </w:p>
        </w:tc>
        <w:tc>
          <w:tcPr>
            <w:tcW w:w="600" w:type="dxa"/>
            <w:vAlign w:val="bottom"/>
            <w:tcBorders>
              <w:right w:val="single" w:sz="8" w:color="auto"/>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(7,500)</w:t>
            </w:r>
          </w:p>
        </w:tc>
        <w:tc>
          <w:tcPr>
            <w:tcW w:w="480" w:type="dxa"/>
            <w:vAlign w:val="bottom"/>
            <w:tcBorders>
              <w:right w:val="single" w:sz="8" w:color="CFF0FC"/>
            </w:tcBorders>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(400)</w:t>
            </w:r>
          </w:p>
        </w:tc>
        <w:tc>
          <w:tcPr>
            <w:tcW w:w="320" w:type="dxa"/>
            <w:vAlign w:val="bottom"/>
            <w:shd w:val="clear" w:color="auto" w:fill="CFF0FC"/>
          </w:tcPr>
          <w:p>
            <w:pPr>
              <w:spacing w:after="0"/>
              <w:rPr>
                <w:sz w:val="12"/>
                <w:szCs w:val="12"/>
                <w:color w:val="auto"/>
              </w:rPr>
            </w:pPr>
          </w:p>
        </w:tc>
        <w:tc>
          <w:tcPr>
            <w:tcW w:w="30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48,936</w:t>
            </w:r>
          </w:p>
        </w:tc>
        <w:tc>
          <w:tcPr>
            <w:tcW w:w="120" w:type="dxa"/>
            <w:vAlign w:val="bottom"/>
            <w:tcBorders>
              <w:right w:val="single" w:sz="8" w:color="CFF0FC"/>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28,237</w:t>
            </w: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60" w:type="dxa"/>
            <w:vAlign w:val="bottom"/>
            <w:tcBorders>
              <w:right w:val="single" w:sz="8" w:color="CFF0FC"/>
            </w:tcBorders>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(20,786)</w:t>
            </w:r>
          </w:p>
        </w:tc>
        <w:tc>
          <w:tcPr>
            <w:tcW w:w="540" w:type="dxa"/>
            <w:vAlign w:val="bottom"/>
            <w:gridSpan w:val="2"/>
            <w:vMerge w:val="restart"/>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32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Transactions</w:t>
            </w:r>
          </w:p>
        </w:tc>
        <w:tc>
          <w:tcPr>
            <w:tcW w:w="50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tcBorders>
              <w:right w:val="single" w:sz="8" w:color="auto"/>
            </w:tcBorders>
            <w:gridSpan w:val="2"/>
            <w:vMerge w:val="continue"/>
            <w:shd w:val="clear" w:color="auto" w:fill="CFF0FC"/>
          </w:tcPr>
          <w:p>
            <w:pPr>
              <w:spacing w:after="0"/>
              <w:rPr>
                <w:sz w:val="14"/>
                <w:szCs w:val="14"/>
                <w:color w:val="auto"/>
              </w:rPr>
            </w:pPr>
          </w:p>
        </w:tc>
        <w:tc>
          <w:tcPr>
            <w:tcW w:w="480" w:type="dxa"/>
            <w:vAlign w:val="bottom"/>
            <w:tcBorders>
              <w:right w:val="single" w:sz="8" w:color="CFF0FC"/>
            </w:tcBorders>
            <w:gridSpan w:val="2"/>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gridSpan w:val="2"/>
            <w:vMerge w:val="continue"/>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tcBorders>
              <w:right w:val="single" w:sz="8" w:color="CFF0FC"/>
            </w:tcBorders>
            <w:gridSpan w:val="2"/>
            <w:vMerge w:val="continue"/>
            <w:shd w:val="clear" w:color="auto" w:fill="CFF0FC"/>
          </w:tcPr>
          <w:p>
            <w:pPr>
              <w:spacing w:after="0"/>
              <w:rPr>
                <w:sz w:val="14"/>
                <w:szCs w:val="14"/>
                <w:color w:val="auto"/>
              </w:rPr>
            </w:pPr>
          </w:p>
        </w:tc>
        <w:tc>
          <w:tcPr>
            <w:tcW w:w="540" w:type="dxa"/>
            <w:vAlign w:val="bottom"/>
            <w:gridSpan w:val="2"/>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20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Issuance of</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Class A</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in initial public</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offering, net of</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underwriting</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and offering</w:t>
            </w: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tcBorders>
              <w:right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11,500</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2"/>
                <w:szCs w:val="12"/>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(1,500)</w:t>
            </w:r>
          </w:p>
        </w:tc>
        <w:tc>
          <w:tcPr>
            <w:tcW w:w="280" w:type="dxa"/>
            <w:vAlign w:val="bottom"/>
          </w:tcPr>
          <w:p>
            <w:pPr>
              <w:spacing w:after="0"/>
              <w:rPr>
                <w:sz w:val="12"/>
                <w:szCs w:val="12"/>
                <w:color w:val="auto"/>
              </w:rPr>
            </w:pPr>
          </w:p>
        </w:tc>
        <w:tc>
          <w:tcPr>
            <w:tcW w:w="3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228,175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228,185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costs</w:t>
            </w: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right w:val="single" w:sz="8" w:color="auto"/>
            </w:tcBorders>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20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Allocation of</w:t>
            </w:r>
          </w:p>
        </w:tc>
        <w:tc>
          <w:tcPr>
            <w:tcW w:w="38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equity to</w:t>
            </w:r>
          </w:p>
        </w:tc>
        <w:tc>
          <w:tcPr>
            <w:tcW w:w="38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50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00" w:type="dxa"/>
            <w:vAlign w:val="bottom"/>
            <w:tcBorders>
              <w:right w:val="single" w:sz="8" w:color="auto"/>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30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3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20" w:type="dxa"/>
            <w:vAlign w:val="bottom"/>
            <w:tcBorders>
              <w:right w:val="single" w:sz="8" w:color="CFF0FC"/>
            </w:tcBorders>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(208,587)</w:t>
            </w:r>
          </w:p>
        </w:tc>
        <w:tc>
          <w:tcPr>
            <w:tcW w:w="140" w:type="dxa"/>
            <w:vAlign w:val="bottom"/>
            <w:shd w:val="clear" w:color="auto" w:fill="CFF0FC"/>
          </w:tcPr>
          <w:p>
            <w:pPr>
              <w:spacing w:after="0"/>
              <w:rPr>
                <w:sz w:val="12"/>
                <w:szCs w:val="12"/>
                <w:color w:val="auto"/>
              </w:rPr>
            </w:pPr>
          </w:p>
        </w:tc>
        <w:tc>
          <w:tcPr>
            <w:tcW w:w="80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32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208,587</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interests</w:t>
            </w:r>
          </w:p>
        </w:tc>
        <w:tc>
          <w:tcPr>
            <w:tcW w:w="50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tcBorders>
              <w:right w:val="single" w:sz="8" w:color="auto"/>
            </w:tcBorders>
            <w:gridSpan w:val="2"/>
            <w:vMerge w:val="continue"/>
            <w:shd w:val="clear" w:color="auto" w:fill="CFF0FC"/>
          </w:tcPr>
          <w:p>
            <w:pPr>
              <w:spacing w:after="0"/>
              <w:rPr>
                <w:sz w:val="14"/>
                <w:szCs w:val="14"/>
                <w:color w:val="auto"/>
              </w:rPr>
            </w:pPr>
          </w:p>
        </w:tc>
        <w:tc>
          <w:tcPr>
            <w:tcW w:w="480" w:type="dxa"/>
            <w:vAlign w:val="bottom"/>
            <w:tcBorders>
              <w:right w:val="single" w:sz="8" w:color="CFF0FC"/>
            </w:tcBorders>
            <w:gridSpan w:val="2"/>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gridSpan w:val="2"/>
            <w:vMerge w:val="continue"/>
            <w:shd w:val="clear" w:color="auto" w:fill="CFF0FC"/>
          </w:tcPr>
          <w:p>
            <w:pPr>
              <w:spacing w:after="0"/>
              <w:rPr>
                <w:sz w:val="14"/>
                <w:szCs w:val="14"/>
                <w:color w:val="auto"/>
              </w:rPr>
            </w:pPr>
          </w:p>
        </w:tc>
        <w:tc>
          <w:tcPr>
            <w:tcW w:w="580" w:type="dxa"/>
            <w:vAlign w:val="bottom"/>
            <w:tcBorders>
              <w:right w:val="single" w:sz="8" w:color="CFF0FC"/>
            </w:tcBorders>
            <w:gridSpan w:val="2"/>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tcBorders>
              <w:right w:val="single" w:sz="8" w:color="CFF0FC"/>
            </w:tcBorders>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tcBorders>
              <w:right w:val="single" w:sz="8" w:color="CFF0FC"/>
            </w:tcBorders>
            <w:gridSpan w:val="2"/>
            <w:vMerge w:val="continue"/>
            <w:shd w:val="clear" w:color="auto" w:fill="CFF0FC"/>
          </w:tcPr>
          <w:p>
            <w:pPr>
              <w:spacing w:after="0"/>
              <w:rPr>
                <w:sz w:val="14"/>
                <w:szCs w:val="14"/>
                <w:color w:val="auto"/>
              </w:rPr>
            </w:pPr>
          </w:p>
        </w:tc>
        <w:tc>
          <w:tcPr>
            <w:tcW w:w="540" w:type="dxa"/>
            <w:vAlign w:val="bottom"/>
            <w:gridSpan w:val="2"/>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20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Accrued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member tax</w:t>
            </w: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tcBorders>
              <w:right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distributions</w:t>
            </w: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right w:val="single" w:sz="8" w:color="auto"/>
            </w:tcBorders>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20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Stock-based</w:t>
            </w:r>
          </w:p>
        </w:tc>
        <w:tc>
          <w:tcPr>
            <w:tcW w:w="50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00" w:type="dxa"/>
            <w:vAlign w:val="bottom"/>
            <w:tcBorders>
              <w:right w:val="single" w:sz="8" w:color="auto"/>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30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3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19,756</w:t>
            </w: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32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19,756</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compensation</w:t>
            </w:r>
          </w:p>
        </w:tc>
        <w:tc>
          <w:tcPr>
            <w:tcW w:w="50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tcBorders>
              <w:right w:val="single" w:sz="8" w:color="auto"/>
            </w:tcBorders>
            <w:gridSpan w:val="2"/>
            <w:vMerge w:val="continue"/>
            <w:shd w:val="clear" w:color="auto" w:fill="CFF0FC"/>
          </w:tcPr>
          <w:p>
            <w:pPr>
              <w:spacing w:after="0"/>
              <w:rPr>
                <w:sz w:val="14"/>
                <w:szCs w:val="14"/>
                <w:color w:val="auto"/>
              </w:rPr>
            </w:pPr>
          </w:p>
        </w:tc>
        <w:tc>
          <w:tcPr>
            <w:tcW w:w="480" w:type="dxa"/>
            <w:vAlign w:val="bottom"/>
            <w:tcBorders>
              <w:right w:val="single" w:sz="8" w:color="CFF0FC"/>
            </w:tcBorders>
            <w:gridSpan w:val="2"/>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gridSpan w:val="2"/>
            <w:vMerge w:val="continue"/>
            <w:shd w:val="clear" w:color="auto" w:fill="CFF0FC"/>
          </w:tcPr>
          <w:p>
            <w:pPr>
              <w:spacing w:after="0"/>
              <w:rPr>
                <w:sz w:val="14"/>
                <w:szCs w:val="14"/>
                <w:color w:val="auto"/>
              </w:rPr>
            </w:pPr>
          </w:p>
        </w:tc>
        <w:tc>
          <w:tcPr>
            <w:tcW w:w="580" w:type="dxa"/>
            <w:vAlign w:val="bottom"/>
            <w:tcBorders>
              <w:right w:val="single" w:sz="8" w:color="CFF0FC"/>
            </w:tcBorders>
            <w:gridSpan w:val="2"/>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tcBorders>
              <w:right w:val="single" w:sz="8" w:color="CFF0FC"/>
            </w:tcBorders>
            <w:gridSpan w:val="2"/>
            <w:vMerge w:val="continue"/>
            <w:shd w:val="clear" w:color="auto" w:fill="CFF0FC"/>
          </w:tcPr>
          <w:p>
            <w:pPr>
              <w:spacing w:after="0"/>
              <w:rPr>
                <w:sz w:val="14"/>
                <w:szCs w:val="14"/>
                <w:color w:val="auto"/>
              </w:rPr>
            </w:pPr>
          </w:p>
        </w:tc>
        <w:tc>
          <w:tcPr>
            <w:tcW w:w="540" w:type="dxa"/>
            <w:vAlign w:val="bottom"/>
            <w:gridSpan w:val="2"/>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20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Net loss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subsequent to</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Reorganization</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auto"/>
            </w:tcBorders>
            <w:vMerge w:val="restart"/>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vMerge w:val="restart"/>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(3,104)</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(12,435)</w:t>
            </w:r>
          </w:p>
        </w:tc>
        <w:tc>
          <w:tcPr>
            <w:tcW w:w="80" w:type="dxa"/>
            <w:vAlign w:val="bottom"/>
          </w:tcPr>
          <w:p>
            <w:pPr>
              <w:spacing w:after="0"/>
              <w:rPr>
                <w:sz w:val="12"/>
                <w:szCs w:val="12"/>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(15,539)</w:t>
            </w:r>
          </w:p>
        </w:tc>
        <w:tc>
          <w:tcPr>
            <w:tcW w:w="0" w:type="dxa"/>
            <w:vAlign w:val="bottom"/>
          </w:tcPr>
          <w:p>
            <w:pPr>
              <w:spacing w:after="0"/>
              <w:rPr>
                <w:sz w:val="1"/>
                <w:szCs w:val="1"/>
                <w:color w:val="auto"/>
              </w:rPr>
            </w:pPr>
          </w:p>
        </w:tc>
      </w:tr>
      <w:tr>
        <w:trPr>
          <w:trHeight w:val="171"/>
        </w:trPr>
        <w:tc>
          <w:tcPr>
            <w:tcW w:w="1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Transactions</w:t>
            </w:r>
          </w:p>
        </w:tc>
        <w:tc>
          <w:tcPr>
            <w:tcW w:w="38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00" w:type="dxa"/>
            <w:vAlign w:val="bottom"/>
            <w:tcBorders>
              <w:right w:val="single" w:sz="8" w:color="auto"/>
            </w:tcBorders>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vMerge w:val="restart"/>
            <w:shd w:val="clear" w:color="auto" w:fill="CFF0FC"/>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38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200" w:type="dxa"/>
            <w:vAlign w:val="bottom"/>
            <w:vMerge w:val="continue"/>
            <w:shd w:val="clear" w:color="auto" w:fill="CFF0FC"/>
          </w:tcPr>
          <w:p>
            <w:pPr>
              <w:spacing w:after="0"/>
              <w:rPr>
                <w:sz w:val="11"/>
                <w:szCs w:val="11"/>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FF0FC"/>
            </w:tcBorders>
            <w:vMerge w:val="restart"/>
            <w:shd w:val="clear" w:color="auto" w:fill="CFF0FC"/>
          </w:tcPr>
          <w:p>
            <w:pPr>
              <w:spacing w:after="0"/>
              <w:rPr>
                <w:sz w:val="11"/>
                <w:szCs w:val="11"/>
                <w:color w:val="auto"/>
              </w:rPr>
            </w:pPr>
          </w:p>
        </w:tc>
        <w:tc>
          <w:tcPr>
            <w:tcW w:w="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right w:val="single" w:sz="8" w:color="auto"/>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FF0FC"/>
          </w:tcPr>
          <w:p>
            <w:pPr>
              <w:jc w:val="center"/>
              <w:ind w:right="1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11,500</w:t>
            </w:r>
          </w:p>
        </w:tc>
        <w:tc>
          <w:tcPr>
            <w:tcW w:w="3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FF0FC"/>
          </w:tcPr>
          <w:p>
            <w:pPr>
              <w:spacing w:after="0"/>
              <w:rPr>
                <w:sz w:val="11"/>
                <w:szCs w:val="11"/>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47,436</w:t>
            </w:r>
          </w:p>
        </w:tc>
        <w:tc>
          <w:tcPr>
            <w:tcW w:w="120" w:type="dxa"/>
            <w:vAlign w:val="bottom"/>
            <w:tcBorders>
              <w:right w:val="single" w:sz="8" w:color="CFF0FC"/>
            </w:tcBorders>
            <w:shd w:val="clear" w:color="auto" w:fill="CFF0FC"/>
          </w:tcPr>
          <w:p>
            <w:pPr>
              <w:spacing w:after="0"/>
              <w:rPr>
                <w:sz w:val="11"/>
                <w:szCs w:val="11"/>
                <w:color w:val="auto"/>
              </w:rPr>
            </w:pPr>
          </w:p>
        </w:tc>
        <w:tc>
          <w:tcPr>
            <w:tcW w:w="2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67,656</w:t>
            </w:r>
          </w:p>
        </w:tc>
        <w:tc>
          <w:tcPr>
            <w:tcW w:w="120" w:type="dxa"/>
            <w:vAlign w:val="bottom"/>
            <w:tcBorders>
              <w:right w:val="single" w:sz="8" w:color="CFF0FC"/>
            </w:tcBorders>
            <w:shd w:val="clear" w:color="auto" w:fill="CFF0FC"/>
          </w:tcPr>
          <w:p>
            <w:pPr>
              <w:spacing w:after="0"/>
              <w:rPr>
                <w:sz w:val="11"/>
                <w:szCs w:val="11"/>
                <w:color w:val="auto"/>
              </w:rPr>
            </w:pPr>
          </w:p>
        </w:tc>
        <w:tc>
          <w:tcPr>
            <w:tcW w:w="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CFF0FC"/>
            </w:tcBorders>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(3,104)</w:t>
            </w: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196,152</w:t>
            </w:r>
          </w:p>
        </w:tc>
        <w:tc>
          <w:tcPr>
            <w:tcW w:w="120" w:type="dxa"/>
            <w:vAlign w:val="bottom"/>
            <w:shd w:val="clear" w:color="auto" w:fill="CFF0FC"/>
          </w:tcPr>
          <w:p>
            <w:pPr>
              <w:spacing w:after="0"/>
              <w:rPr>
                <w:sz w:val="11"/>
                <w:szCs w:val="11"/>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260,763</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380" w:type="dxa"/>
            <w:vAlign w:val="bottom"/>
            <w:vMerge w:val="continue"/>
            <w:shd w:val="clear" w:color="auto" w:fill="CFF0FC"/>
          </w:tcPr>
          <w:p>
            <w:pPr>
              <w:spacing w:after="0"/>
              <w:rPr>
                <w:sz w:val="15"/>
                <w:szCs w:val="15"/>
                <w:color w:val="auto"/>
              </w:rPr>
            </w:pPr>
          </w:p>
        </w:tc>
        <w:tc>
          <w:tcPr>
            <w:tcW w:w="120" w:type="dxa"/>
            <w:vAlign w:val="bottom"/>
            <w:tcBorders>
              <w:right w:val="single" w:sz="8" w:color="CFF0FC"/>
            </w:tcBorders>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600" w:type="dxa"/>
            <w:vAlign w:val="bottom"/>
            <w:tcBorders>
              <w:right w:val="single" w:sz="8" w:color="auto"/>
            </w:tcBorders>
            <w:gridSpan w:val="2"/>
            <w:vMerge w:val="continue"/>
            <w:shd w:val="clear" w:color="auto" w:fill="CFF0FC"/>
          </w:tcPr>
          <w:p>
            <w:pPr>
              <w:spacing w:after="0"/>
              <w:rPr>
                <w:sz w:val="15"/>
                <w:szCs w:val="15"/>
                <w:color w:val="auto"/>
              </w:rPr>
            </w:pPr>
          </w:p>
        </w:tc>
        <w:tc>
          <w:tcPr>
            <w:tcW w:w="480" w:type="dxa"/>
            <w:vAlign w:val="bottom"/>
            <w:tcBorders>
              <w:right w:val="single" w:sz="8" w:color="CFF0FC"/>
            </w:tcBorders>
            <w:gridSpan w:val="2"/>
            <w:vMerge w:val="continue"/>
            <w:shd w:val="clear" w:color="auto" w:fill="CFF0FC"/>
          </w:tcPr>
          <w:p>
            <w:pPr>
              <w:spacing w:after="0"/>
              <w:rPr>
                <w:sz w:val="15"/>
                <w:szCs w:val="15"/>
                <w:color w:val="auto"/>
              </w:rPr>
            </w:pPr>
          </w:p>
        </w:tc>
        <w:tc>
          <w:tcPr>
            <w:tcW w:w="320" w:type="dxa"/>
            <w:vAlign w:val="bottom"/>
            <w:vMerge w:val="continue"/>
            <w:shd w:val="clear" w:color="auto" w:fill="CFF0FC"/>
          </w:tcPr>
          <w:p>
            <w:pPr>
              <w:spacing w:after="0"/>
              <w:rPr>
                <w:sz w:val="15"/>
                <w:szCs w:val="15"/>
                <w:color w:val="auto"/>
              </w:rPr>
            </w:pPr>
          </w:p>
        </w:tc>
        <w:tc>
          <w:tcPr>
            <w:tcW w:w="300" w:type="dxa"/>
            <w:vAlign w:val="bottom"/>
            <w:gridSpan w:val="2"/>
            <w:vMerge w:val="continue"/>
            <w:shd w:val="clear" w:color="auto" w:fill="CFF0FC"/>
          </w:tcPr>
          <w:p>
            <w:pPr>
              <w:spacing w:after="0"/>
              <w:rPr>
                <w:sz w:val="15"/>
                <w:szCs w:val="15"/>
                <w:color w:val="auto"/>
              </w:rPr>
            </w:pPr>
          </w:p>
        </w:tc>
        <w:tc>
          <w:tcPr>
            <w:tcW w:w="460" w:type="dxa"/>
            <w:vAlign w:val="bottom"/>
            <w:vMerge w:val="continue"/>
            <w:shd w:val="clear" w:color="auto" w:fill="CFF0FC"/>
          </w:tcPr>
          <w:p>
            <w:pPr>
              <w:spacing w:after="0"/>
              <w:rPr>
                <w:sz w:val="15"/>
                <w:szCs w:val="15"/>
                <w:color w:val="auto"/>
              </w:rPr>
            </w:pPr>
          </w:p>
        </w:tc>
        <w:tc>
          <w:tcPr>
            <w:tcW w:w="380" w:type="dxa"/>
            <w:vAlign w:val="bottom"/>
            <w:gridSpan w:val="2"/>
            <w:vMerge w:val="continue"/>
            <w:shd w:val="clear" w:color="auto" w:fill="CFF0FC"/>
          </w:tcPr>
          <w:p>
            <w:pPr>
              <w:spacing w:after="0"/>
              <w:rPr>
                <w:sz w:val="15"/>
                <w:szCs w:val="15"/>
                <w:color w:val="auto"/>
              </w:rPr>
            </w:pPr>
          </w:p>
        </w:tc>
        <w:tc>
          <w:tcPr>
            <w:tcW w:w="24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vMerge w:val="continue"/>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80" w:type="dxa"/>
            <w:vAlign w:val="bottom"/>
            <w:vMerge w:val="continue"/>
            <w:shd w:val="clear" w:color="auto" w:fill="CFF0FC"/>
          </w:tcPr>
          <w:p>
            <w:pPr>
              <w:spacing w:after="0"/>
              <w:rPr>
                <w:sz w:val="15"/>
                <w:szCs w:val="15"/>
                <w:color w:val="auto"/>
              </w:rPr>
            </w:pPr>
          </w:p>
        </w:tc>
        <w:tc>
          <w:tcPr>
            <w:tcW w:w="24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800" w:type="dxa"/>
            <w:vAlign w:val="bottom"/>
            <w:tcBorders>
              <w:right w:val="single" w:sz="8" w:color="CFF0FC"/>
            </w:tcBorders>
            <w:gridSpan w:val="2"/>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660" w:type="dxa"/>
            <w:vAlign w:val="bottom"/>
            <w:tcBorders>
              <w:right w:val="single" w:sz="8" w:color="CFF0FC"/>
            </w:tcBorders>
            <w:gridSpan w:val="2"/>
            <w:vMerge w:val="continue"/>
            <w:shd w:val="clear" w:color="auto" w:fill="CFF0FC"/>
          </w:tcPr>
          <w:p>
            <w:pPr>
              <w:spacing w:after="0"/>
              <w:rPr>
                <w:sz w:val="15"/>
                <w:szCs w:val="15"/>
                <w:color w:val="auto"/>
              </w:rPr>
            </w:pPr>
          </w:p>
        </w:tc>
        <w:tc>
          <w:tcPr>
            <w:tcW w:w="540" w:type="dxa"/>
            <w:vAlign w:val="bottom"/>
            <w:gridSpan w:val="2"/>
            <w:vMerge w:val="continue"/>
            <w:shd w:val="clear" w:color="auto" w:fill="CFF0FC"/>
          </w:tcPr>
          <w:p>
            <w:pPr>
              <w:spacing w:after="0"/>
              <w:rPr>
                <w:sz w:val="15"/>
                <w:szCs w:val="15"/>
                <w:color w:val="auto"/>
              </w:rPr>
            </w:pPr>
          </w:p>
        </w:tc>
        <w:tc>
          <w:tcPr>
            <w:tcW w:w="300" w:type="dxa"/>
            <w:vAlign w:val="bottom"/>
            <w:vMerge w:val="continue"/>
            <w:shd w:val="clear" w:color="auto" w:fill="CFF0FC"/>
          </w:tcPr>
          <w:p>
            <w:pPr>
              <w:spacing w:after="0"/>
              <w:rPr>
                <w:sz w:val="15"/>
                <w:szCs w:val="15"/>
                <w:color w:val="auto"/>
              </w:rPr>
            </w:pPr>
          </w:p>
        </w:tc>
        <w:tc>
          <w:tcPr>
            <w:tcW w:w="320" w:type="dxa"/>
            <w:vAlign w:val="bottom"/>
            <w:gridSpan w:val="2"/>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80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vMerge w:val="continue"/>
            <w:shd w:val="clear" w:color="auto" w:fill="CFF0FC"/>
          </w:tcPr>
          <w:p>
            <w:pPr>
              <w:spacing w:after="0"/>
              <w:rPr>
                <w:sz w:val="15"/>
                <w:szCs w:val="15"/>
                <w:color w:val="auto"/>
              </w:rPr>
            </w:pPr>
          </w:p>
        </w:tc>
        <w:tc>
          <w:tcPr>
            <w:tcW w:w="50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FF0FC"/>
              <w:bottom w:val="single" w:sz="8" w:color="CFF0FC"/>
            </w:tcBorders>
            <w:vMerge w:val="restart"/>
          </w:tcPr>
          <w:p>
            <w:pPr>
              <w:ind w:left="260"/>
              <w:spacing w:after="0" w:line="160" w:lineRule="exact"/>
              <w:rPr>
                <w:sz w:val="20"/>
                <w:szCs w:val="20"/>
                <w:color w:val="auto"/>
              </w:rPr>
            </w:pPr>
            <w:r>
              <w:rPr>
                <w:rFonts w:ascii="Times New Roman" w:cs="Times New Roman" w:eastAsia="Times New Roman" w:hAnsi="Times New Roman"/>
                <w:sz w:val="14"/>
                <w:szCs w:val="14"/>
                <w:color w:val="auto"/>
              </w:rPr>
              <w:t>Accrued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right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2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member tax</w:t>
            </w: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tcBorders>
              <w:right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(192)</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71"/>
        </w:trPr>
        <w:tc>
          <w:tcPr>
            <w:tcW w:w="1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distributions</w:t>
            </w: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right w:val="single" w:sz="8" w:color="auto"/>
            </w:tcBorders>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20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Stock-based</w:t>
            </w:r>
          </w:p>
        </w:tc>
        <w:tc>
          <w:tcPr>
            <w:tcW w:w="50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00" w:type="dxa"/>
            <w:vAlign w:val="bottom"/>
            <w:tcBorders>
              <w:right w:val="single" w:sz="8" w:color="auto"/>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30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3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34,576</w:t>
            </w: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32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34,576</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compensation</w:t>
            </w:r>
          </w:p>
        </w:tc>
        <w:tc>
          <w:tcPr>
            <w:tcW w:w="50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tcBorders>
              <w:right w:val="single" w:sz="8" w:color="auto"/>
            </w:tcBorders>
            <w:gridSpan w:val="2"/>
            <w:vMerge w:val="continue"/>
            <w:shd w:val="clear" w:color="auto" w:fill="CFF0FC"/>
          </w:tcPr>
          <w:p>
            <w:pPr>
              <w:spacing w:after="0"/>
              <w:rPr>
                <w:sz w:val="14"/>
                <w:szCs w:val="14"/>
                <w:color w:val="auto"/>
              </w:rPr>
            </w:pPr>
          </w:p>
        </w:tc>
        <w:tc>
          <w:tcPr>
            <w:tcW w:w="480" w:type="dxa"/>
            <w:vAlign w:val="bottom"/>
            <w:tcBorders>
              <w:right w:val="single" w:sz="8" w:color="CFF0FC"/>
            </w:tcBorders>
            <w:gridSpan w:val="2"/>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gridSpan w:val="2"/>
            <w:vMerge w:val="continue"/>
            <w:shd w:val="clear" w:color="auto" w:fill="CFF0FC"/>
          </w:tcPr>
          <w:p>
            <w:pPr>
              <w:spacing w:after="0"/>
              <w:rPr>
                <w:sz w:val="14"/>
                <w:szCs w:val="14"/>
                <w:color w:val="auto"/>
              </w:rPr>
            </w:pPr>
          </w:p>
        </w:tc>
        <w:tc>
          <w:tcPr>
            <w:tcW w:w="580" w:type="dxa"/>
            <w:vAlign w:val="bottom"/>
            <w:tcBorders>
              <w:right w:val="single" w:sz="8" w:color="CFF0FC"/>
            </w:tcBorders>
            <w:gridSpan w:val="2"/>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tcBorders>
              <w:right w:val="single" w:sz="8" w:color="CFF0FC"/>
            </w:tcBorders>
            <w:gridSpan w:val="2"/>
            <w:vMerge w:val="continue"/>
            <w:shd w:val="clear" w:color="auto" w:fill="CFF0FC"/>
          </w:tcPr>
          <w:p>
            <w:pPr>
              <w:spacing w:after="0"/>
              <w:rPr>
                <w:sz w:val="14"/>
                <w:szCs w:val="14"/>
                <w:color w:val="auto"/>
              </w:rPr>
            </w:pPr>
          </w:p>
        </w:tc>
        <w:tc>
          <w:tcPr>
            <w:tcW w:w="540" w:type="dxa"/>
            <w:vAlign w:val="bottom"/>
            <w:gridSpan w:val="2"/>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auto"/>
            </w:tcBorders>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(3,655)</w:t>
            </w: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(14,440)</w:t>
            </w:r>
          </w:p>
        </w:tc>
        <w:tc>
          <w:tcPr>
            <w:tcW w:w="8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(18,095)</w:t>
            </w:r>
          </w:p>
        </w:tc>
        <w:tc>
          <w:tcPr>
            <w:tcW w:w="0" w:type="dxa"/>
            <w:vAlign w:val="bottom"/>
          </w:tcPr>
          <w:p>
            <w:pPr>
              <w:spacing w:after="0"/>
              <w:rPr>
                <w:sz w:val="1"/>
                <w:szCs w:val="1"/>
                <w:color w:val="auto"/>
              </w:rPr>
            </w:pPr>
          </w:p>
        </w:tc>
      </w:tr>
      <w:tr>
        <w:trPr>
          <w:trHeight w:val="20"/>
        </w:trPr>
        <w:tc>
          <w:tcPr>
            <w:tcW w:w="1200" w:type="dxa"/>
            <w:vAlign w:val="bottom"/>
            <w:vMerge w:val="restart"/>
            <w:shd w:val="clear" w:color="auto" w:fill="CFF0FC"/>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38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200" w:type="dxa"/>
            <w:vAlign w:val="bottom"/>
            <w:vMerge w:val="continue"/>
            <w:shd w:val="clear" w:color="auto" w:fill="CFF0FC"/>
          </w:tcPr>
          <w:p>
            <w:pPr>
              <w:spacing w:after="0"/>
              <w:rPr>
                <w:sz w:val="11"/>
                <w:szCs w:val="11"/>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FF0FC"/>
            </w:tcBorders>
            <w:vMerge w:val="restart"/>
            <w:shd w:val="clear" w:color="auto" w:fill="CFF0FC"/>
          </w:tcPr>
          <w:p>
            <w:pPr>
              <w:spacing w:after="0"/>
              <w:rPr>
                <w:sz w:val="11"/>
                <w:szCs w:val="11"/>
                <w:color w:val="auto"/>
              </w:rPr>
            </w:pPr>
          </w:p>
        </w:tc>
        <w:tc>
          <w:tcPr>
            <w:tcW w:w="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right w:val="single" w:sz="8" w:color="auto"/>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FF0FC"/>
          </w:tcPr>
          <w:p>
            <w:pPr>
              <w:jc w:val="center"/>
              <w:ind w:right="1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11,500</w:t>
            </w:r>
          </w:p>
        </w:tc>
        <w:tc>
          <w:tcPr>
            <w:tcW w:w="3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FF0FC"/>
          </w:tcPr>
          <w:p>
            <w:pPr>
              <w:spacing w:after="0"/>
              <w:rPr>
                <w:sz w:val="11"/>
                <w:szCs w:val="11"/>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47,436</w:t>
            </w:r>
          </w:p>
        </w:tc>
        <w:tc>
          <w:tcPr>
            <w:tcW w:w="120" w:type="dxa"/>
            <w:vAlign w:val="bottom"/>
            <w:tcBorders>
              <w:right w:val="single" w:sz="8" w:color="CFF0FC"/>
            </w:tcBorders>
            <w:shd w:val="clear" w:color="auto" w:fill="CFF0FC"/>
          </w:tcPr>
          <w:p>
            <w:pPr>
              <w:spacing w:after="0"/>
              <w:rPr>
                <w:sz w:val="11"/>
                <w:szCs w:val="11"/>
                <w:color w:val="auto"/>
              </w:rPr>
            </w:pPr>
          </w:p>
        </w:tc>
        <w:tc>
          <w:tcPr>
            <w:tcW w:w="2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102,040</w:t>
            </w:r>
          </w:p>
        </w:tc>
        <w:tc>
          <w:tcPr>
            <w:tcW w:w="120" w:type="dxa"/>
            <w:vAlign w:val="bottom"/>
            <w:tcBorders>
              <w:right w:val="single" w:sz="8" w:color="CFF0FC"/>
            </w:tcBorders>
            <w:shd w:val="clear" w:color="auto" w:fill="CFF0FC"/>
          </w:tcPr>
          <w:p>
            <w:pPr>
              <w:spacing w:after="0"/>
              <w:rPr>
                <w:sz w:val="11"/>
                <w:szCs w:val="11"/>
                <w:color w:val="auto"/>
              </w:rPr>
            </w:pPr>
          </w:p>
        </w:tc>
        <w:tc>
          <w:tcPr>
            <w:tcW w:w="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CFF0FC"/>
            </w:tcBorders>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(6,759)</w:t>
            </w: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181,712</w:t>
            </w:r>
          </w:p>
        </w:tc>
        <w:tc>
          <w:tcPr>
            <w:tcW w:w="120" w:type="dxa"/>
            <w:vAlign w:val="bottom"/>
            <w:shd w:val="clear" w:color="auto" w:fill="CFF0FC"/>
          </w:tcPr>
          <w:p>
            <w:pPr>
              <w:spacing w:after="0"/>
              <w:rPr>
                <w:sz w:val="11"/>
                <w:szCs w:val="11"/>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277,052</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380" w:type="dxa"/>
            <w:vAlign w:val="bottom"/>
            <w:vMerge w:val="continue"/>
            <w:shd w:val="clear" w:color="auto" w:fill="CFF0FC"/>
          </w:tcPr>
          <w:p>
            <w:pPr>
              <w:spacing w:after="0"/>
              <w:rPr>
                <w:sz w:val="15"/>
                <w:szCs w:val="15"/>
                <w:color w:val="auto"/>
              </w:rPr>
            </w:pPr>
          </w:p>
        </w:tc>
        <w:tc>
          <w:tcPr>
            <w:tcW w:w="120" w:type="dxa"/>
            <w:vAlign w:val="bottom"/>
            <w:tcBorders>
              <w:right w:val="single" w:sz="8" w:color="CFF0FC"/>
            </w:tcBorders>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600" w:type="dxa"/>
            <w:vAlign w:val="bottom"/>
            <w:tcBorders>
              <w:right w:val="single" w:sz="8" w:color="auto"/>
            </w:tcBorders>
            <w:gridSpan w:val="2"/>
            <w:vMerge w:val="continue"/>
            <w:shd w:val="clear" w:color="auto" w:fill="CFF0FC"/>
          </w:tcPr>
          <w:p>
            <w:pPr>
              <w:spacing w:after="0"/>
              <w:rPr>
                <w:sz w:val="15"/>
                <w:szCs w:val="15"/>
                <w:color w:val="auto"/>
              </w:rPr>
            </w:pPr>
          </w:p>
        </w:tc>
        <w:tc>
          <w:tcPr>
            <w:tcW w:w="480" w:type="dxa"/>
            <w:vAlign w:val="bottom"/>
            <w:tcBorders>
              <w:right w:val="single" w:sz="8" w:color="CFF0FC"/>
            </w:tcBorders>
            <w:gridSpan w:val="2"/>
            <w:vMerge w:val="continue"/>
            <w:shd w:val="clear" w:color="auto" w:fill="CFF0FC"/>
          </w:tcPr>
          <w:p>
            <w:pPr>
              <w:spacing w:after="0"/>
              <w:rPr>
                <w:sz w:val="15"/>
                <w:szCs w:val="15"/>
                <w:color w:val="auto"/>
              </w:rPr>
            </w:pPr>
          </w:p>
        </w:tc>
        <w:tc>
          <w:tcPr>
            <w:tcW w:w="320" w:type="dxa"/>
            <w:vAlign w:val="bottom"/>
            <w:vMerge w:val="continue"/>
            <w:shd w:val="clear" w:color="auto" w:fill="CFF0FC"/>
          </w:tcPr>
          <w:p>
            <w:pPr>
              <w:spacing w:after="0"/>
              <w:rPr>
                <w:sz w:val="15"/>
                <w:szCs w:val="15"/>
                <w:color w:val="auto"/>
              </w:rPr>
            </w:pPr>
          </w:p>
        </w:tc>
        <w:tc>
          <w:tcPr>
            <w:tcW w:w="300" w:type="dxa"/>
            <w:vAlign w:val="bottom"/>
            <w:gridSpan w:val="2"/>
            <w:vMerge w:val="continue"/>
            <w:shd w:val="clear" w:color="auto" w:fill="CFF0FC"/>
          </w:tcPr>
          <w:p>
            <w:pPr>
              <w:spacing w:after="0"/>
              <w:rPr>
                <w:sz w:val="15"/>
                <w:szCs w:val="15"/>
                <w:color w:val="auto"/>
              </w:rPr>
            </w:pPr>
          </w:p>
        </w:tc>
        <w:tc>
          <w:tcPr>
            <w:tcW w:w="460" w:type="dxa"/>
            <w:vAlign w:val="bottom"/>
            <w:vMerge w:val="continue"/>
            <w:shd w:val="clear" w:color="auto" w:fill="CFF0FC"/>
          </w:tcPr>
          <w:p>
            <w:pPr>
              <w:spacing w:after="0"/>
              <w:rPr>
                <w:sz w:val="15"/>
                <w:szCs w:val="15"/>
                <w:color w:val="auto"/>
              </w:rPr>
            </w:pPr>
          </w:p>
        </w:tc>
        <w:tc>
          <w:tcPr>
            <w:tcW w:w="380" w:type="dxa"/>
            <w:vAlign w:val="bottom"/>
            <w:gridSpan w:val="2"/>
            <w:vMerge w:val="continue"/>
            <w:shd w:val="clear" w:color="auto" w:fill="CFF0FC"/>
          </w:tcPr>
          <w:p>
            <w:pPr>
              <w:spacing w:after="0"/>
              <w:rPr>
                <w:sz w:val="15"/>
                <w:szCs w:val="15"/>
                <w:color w:val="auto"/>
              </w:rPr>
            </w:pPr>
          </w:p>
        </w:tc>
        <w:tc>
          <w:tcPr>
            <w:tcW w:w="24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vMerge w:val="continue"/>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80" w:type="dxa"/>
            <w:vAlign w:val="bottom"/>
            <w:vMerge w:val="continue"/>
            <w:shd w:val="clear" w:color="auto" w:fill="CFF0FC"/>
          </w:tcPr>
          <w:p>
            <w:pPr>
              <w:spacing w:after="0"/>
              <w:rPr>
                <w:sz w:val="15"/>
                <w:szCs w:val="15"/>
                <w:color w:val="auto"/>
              </w:rPr>
            </w:pPr>
          </w:p>
        </w:tc>
        <w:tc>
          <w:tcPr>
            <w:tcW w:w="24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800" w:type="dxa"/>
            <w:vAlign w:val="bottom"/>
            <w:tcBorders>
              <w:right w:val="single" w:sz="8" w:color="CFF0FC"/>
            </w:tcBorders>
            <w:gridSpan w:val="2"/>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660" w:type="dxa"/>
            <w:vAlign w:val="bottom"/>
            <w:tcBorders>
              <w:right w:val="single" w:sz="8" w:color="CFF0FC"/>
            </w:tcBorders>
            <w:gridSpan w:val="2"/>
            <w:vMerge w:val="continue"/>
            <w:shd w:val="clear" w:color="auto" w:fill="CFF0FC"/>
          </w:tcPr>
          <w:p>
            <w:pPr>
              <w:spacing w:after="0"/>
              <w:rPr>
                <w:sz w:val="15"/>
                <w:szCs w:val="15"/>
                <w:color w:val="auto"/>
              </w:rPr>
            </w:pPr>
          </w:p>
        </w:tc>
        <w:tc>
          <w:tcPr>
            <w:tcW w:w="540" w:type="dxa"/>
            <w:vAlign w:val="bottom"/>
            <w:gridSpan w:val="2"/>
            <w:vMerge w:val="continue"/>
            <w:shd w:val="clear" w:color="auto" w:fill="CFF0FC"/>
          </w:tcPr>
          <w:p>
            <w:pPr>
              <w:spacing w:after="0"/>
              <w:rPr>
                <w:sz w:val="15"/>
                <w:szCs w:val="15"/>
                <w:color w:val="auto"/>
              </w:rPr>
            </w:pPr>
          </w:p>
        </w:tc>
        <w:tc>
          <w:tcPr>
            <w:tcW w:w="300" w:type="dxa"/>
            <w:vAlign w:val="bottom"/>
            <w:vMerge w:val="continue"/>
            <w:shd w:val="clear" w:color="auto" w:fill="CFF0FC"/>
          </w:tcPr>
          <w:p>
            <w:pPr>
              <w:spacing w:after="0"/>
              <w:rPr>
                <w:sz w:val="15"/>
                <w:szCs w:val="15"/>
                <w:color w:val="auto"/>
              </w:rPr>
            </w:pPr>
          </w:p>
        </w:tc>
        <w:tc>
          <w:tcPr>
            <w:tcW w:w="320" w:type="dxa"/>
            <w:vAlign w:val="bottom"/>
            <w:gridSpan w:val="2"/>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80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vMerge w:val="continue"/>
            <w:shd w:val="clear" w:color="auto" w:fill="CFF0FC"/>
          </w:tcPr>
          <w:p>
            <w:pPr>
              <w:spacing w:after="0"/>
              <w:rPr>
                <w:sz w:val="15"/>
                <w:szCs w:val="15"/>
                <w:color w:val="auto"/>
              </w:rPr>
            </w:pPr>
          </w:p>
        </w:tc>
        <w:tc>
          <w:tcPr>
            <w:tcW w:w="50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right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49" w:right="2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8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(27,655)</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(32,966)</w:t>
            </w:r>
          </w:p>
        </w:tc>
        <w:tc>
          <w:tcPr>
            <w:tcW w:w="0" w:type="dxa"/>
            <w:vAlign w:val="bottom"/>
          </w:tcPr>
          <w:p>
            <w:pPr>
              <w:spacing w:after="0"/>
              <w:rPr>
                <w:sz w:val="1"/>
                <w:szCs w:val="1"/>
                <w:color w:val="auto"/>
              </w:rPr>
            </w:pPr>
          </w:p>
        </w:tc>
      </w:tr>
      <w:tr>
        <w:trPr>
          <w:trHeight w:val="229"/>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for (recovery of) doubtful accounts</w:t>
            </w: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(6,110)</w:t>
            </w:r>
          </w:p>
        </w:tc>
        <w:tc>
          <w:tcPr>
            <w:tcW w:w="0" w:type="dxa"/>
            <w:vAlign w:val="bottom"/>
          </w:tcPr>
          <w:p>
            <w:pPr>
              <w:spacing w:after="0"/>
              <w:rPr>
                <w:sz w:val="1"/>
                <w:szCs w:val="1"/>
                <w:color w:val="auto"/>
              </w:rPr>
            </w:pPr>
          </w:p>
        </w:tc>
      </w:tr>
      <w:tr>
        <w:trPr>
          <w:trHeight w:val="229"/>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operating lease assets</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(1,753)</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(4,652)</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(5,126)</w:t>
            </w:r>
          </w:p>
        </w:tc>
        <w:tc>
          <w:tcPr>
            <w:tcW w:w="0" w:type="dxa"/>
            <w:vAlign w:val="bottom"/>
          </w:tcPr>
          <w:p>
            <w:pPr>
              <w:spacing w:after="0"/>
              <w:rPr>
                <w:sz w:val="1"/>
                <w:szCs w:val="1"/>
                <w:color w:val="auto"/>
              </w:rPr>
            </w:pPr>
          </w:p>
        </w:tc>
      </w:tr>
      <w:tr>
        <w:trPr>
          <w:trHeight w:val="229"/>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(2,528)</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(4,939)</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compensation</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(4,607)</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(1,831)</w:t>
            </w:r>
          </w:p>
        </w:tc>
        <w:tc>
          <w:tcPr>
            <w:tcW w:w="0" w:type="dxa"/>
            <w:vAlign w:val="bottom"/>
          </w:tcPr>
          <w:p>
            <w:pPr>
              <w:spacing w:after="0"/>
              <w:rPr>
                <w:sz w:val="1"/>
                <w:szCs w:val="1"/>
                <w:color w:val="auto"/>
              </w:rPr>
            </w:pPr>
          </w:p>
        </w:tc>
      </w:tr>
      <w:tr>
        <w:trPr>
          <w:trHeight w:val="229"/>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(6,486)</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29"/>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(957)</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(1,096)</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6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2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(397)</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29"/>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(3,941)</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(3,750)</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2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issuance of common stock, net of underwriting discounts</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(861)</w:t>
            </w:r>
          </w:p>
        </w:tc>
        <w:tc>
          <w:tcPr>
            <w:tcW w:w="5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 of member tax distributions</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(6,805)</w:t>
            </w: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(2,608)</w:t>
            </w:r>
          </w:p>
        </w:tc>
        <w:tc>
          <w:tcPr>
            <w:tcW w:w="0" w:type="dxa"/>
            <w:vAlign w:val="bottom"/>
          </w:tcPr>
          <w:p>
            <w:pPr>
              <w:spacing w:after="0"/>
              <w:rPr>
                <w:sz w:val="1"/>
                <w:szCs w:val="1"/>
                <w:color w:val="auto"/>
              </w:rPr>
            </w:pPr>
          </w:p>
        </w:tc>
      </w:tr>
      <w:tr>
        <w:trPr>
          <w:trHeight w:val="229"/>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Repayment of revolving credit facility</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(17,500)</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66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(18,375)</w:t>
            </w:r>
          </w:p>
        </w:tc>
        <w:tc>
          <w:tcPr>
            <w:tcW w:w="280" w:type="dxa"/>
            <w:vAlign w:val="bottom"/>
            <w:tcBorders>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223,087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(31,232)</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at beginning of period</w:t>
            </w:r>
          </w:p>
        </w:tc>
        <w:tc>
          <w:tcPr>
            <w:tcW w:w="6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238,480</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at end of period</w:t>
            </w:r>
          </w:p>
        </w:tc>
        <w:tc>
          <w:tcPr>
            <w:tcW w:w="6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207,248</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252,271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paid for interest</w:t>
            </w:r>
          </w:p>
        </w:tc>
        <w:tc>
          <w:tcPr>
            <w:tcW w:w="160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 included in capitalized software development costs</w:t>
            </w:r>
          </w:p>
        </w:tc>
        <w:tc>
          <w:tcPr>
            <w:tcW w:w="160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member tax distributions</w:t>
            </w:r>
          </w:p>
        </w:tc>
        <w:tc>
          <w:tcPr>
            <w:tcW w:w="16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Capitalized assets financed by accounts payable and accrued liabilities</w:t>
            </w:r>
          </w:p>
        </w:tc>
        <w:tc>
          <w:tcPr>
            <w:tcW w:w="160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Noncash gain on extinguishment of debt related to Paycheck Protection Program loan</w:t>
            </w:r>
          </w:p>
        </w:tc>
        <w:tc>
          <w:tcPr>
            <w:tcW w:w="16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tabular dollars in thousands, except for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Note 1</w:t>
            </w:r>
          </w:p>
        </w:tc>
        <w:tc>
          <w:tcPr>
            <w:tcW w:w="978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rPr>
              <w:t>Nature of Operations</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960" w:type="dxa"/>
            <w:vAlign w:val="bottom"/>
            <w:vMerge w:val="continue"/>
          </w:tcPr>
          <w:p>
            <w:pPr>
              <w:spacing w:after="0"/>
              <w:rPr>
                <w:sz w:val="15"/>
                <w:szCs w:val="15"/>
                <w:color w:val="auto"/>
              </w:rPr>
            </w:pPr>
          </w:p>
        </w:tc>
        <w:tc>
          <w:tcPr>
            <w:tcW w:w="9780" w:type="dxa"/>
            <w:vAlign w:val="bottom"/>
            <w:gridSpan w:val="14"/>
            <w:vMerge w:val="continue"/>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Note 2</w:t>
            </w:r>
          </w:p>
        </w:tc>
        <w:tc>
          <w:tcPr>
            <w:tcW w:w="97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Basis of Presentation and Summary of Significant Accounting Policies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Note 3</w:t>
            </w:r>
          </w:p>
        </w:tc>
        <w:tc>
          <w:tcPr>
            <w:tcW w:w="6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Revenue</w:t>
            </w:r>
          </w:p>
        </w:tc>
        <w:tc>
          <w:tcPr>
            <w:tcW w:w="4460" w:type="dxa"/>
            <w:vAlign w:val="bottom"/>
            <w:tcBorders>
              <w:top w:val="single" w:sz="8" w:color="0000EE"/>
            </w:tcBorders>
            <w:gridSpan w:val="11"/>
          </w:tcPr>
          <w:p>
            <w:pPr>
              <w:spacing w:after="0"/>
              <w:rPr>
                <w:sz w:val="18"/>
                <w:szCs w:val="18"/>
                <w:color w:val="auto"/>
              </w:rPr>
            </w:pPr>
          </w:p>
        </w:tc>
        <w:tc>
          <w:tcPr>
            <w:tcW w:w="46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Note 4</w:t>
            </w:r>
          </w:p>
        </w:tc>
        <w:tc>
          <w:tcPr>
            <w:tcW w:w="97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Property, Equipment, and Software, Net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Note 5</w:t>
            </w:r>
          </w:p>
        </w:tc>
        <w:tc>
          <w:tcPr>
            <w:tcW w:w="5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Leases</w:t>
            </w:r>
          </w:p>
        </w:tc>
        <w:tc>
          <w:tcPr>
            <w:tcW w:w="2380" w:type="dxa"/>
            <w:vAlign w:val="bottom"/>
            <w:tcBorders>
              <w:top w:val="single" w:sz="8" w:color="0000EE"/>
            </w:tcBorders>
            <w:gridSpan w:val="9"/>
          </w:tcPr>
          <w:p>
            <w:pPr>
              <w:spacing w:after="0"/>
              <w:rPr>
                <w:sz w:val="18"/>
                <w:szCs w:val="18"/>
                <w:color w:val="auto"/>
              </w:rPr>
            </w:pPr>
          </w:p>
        </w:tc>
        <w:tc>
          <w:tcPr>
            <w:tcW w:w="6900" w:type="dxa"/>
            <w:vAlign w:val="bottom"/>
            <w:gridSpan w:val="4"/>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Note 6</w:t>
            </w:r>
          </w:p>
        </w:tc>
        <w:tc>
          <w:tcPr>
            <w:tcW w:w="97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Intangible Assets, Net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Note 7</w:t>
            </w:r>
          </w:p>
        </w:tc>
        <w:tc>
          <w:tcPr>
            <w:tcW w:w="14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Accrued Liabilities</w:t>
            </w:r>
          </w:p>
        </w:tc>
        <w:tc>
          <w:tcPr>
            <w:tcW w:w="200" w:type="dxa"/>
            <w:vAlign w:val="bottom"/>
            <w:tcBorders>
              <w:top w:val="single" w:sz="8" w:color="0000EE"/>
            </w:tcBorders>
            <w:gridSpan w:val="2"/>
          </w:tcPr>
          <w:p>
            <w:pPr>
              <w:spacing w:after="0"/>
              <w:rPr>
                <w:sz w:val="18"/>
                <w:szCs w:val="18"/>
                <w:color w:val="auto"/>
              </w:rPr>
            </w:pPr>
          </w:p>
        </w:tc>
        <w:tc>
          <w:tcPr>
            <w:tcW w:w="8180" w:type="dxa"/>
            <w:vAlign w:val="bottom"/>
            <w:gridSpan w:val="8"/>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Note 8</w:t>
            </w:r>
          </w:p>
        </w:tc>
        <w:tc>
          <w:tcPr>
            <w:tcW w:w="29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Revolving Credit Facility and PPP Loan</w:t>
            </w:r>
          </w:p>
        </w:tc>
        <w:tc>
          <w:tcPr>
            <w:tcW w:w="6860" w:type="dxa"/>
            <w:vAlign w:val="bottom"/>
            <w:gridSpan w:val="3"/>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Note 9</w:t>
            </w:r>
          </w:p>
        </w:tc>
        <w:tc>
          <w:tcPr>
            <w:tcW w:w="97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Stock-Based Compensation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Note 10</w:t>
            </w:r>
          </w:p>
        </w:tc>
        <w:tc>
          <w:tcPr>
            <w:tcW w:w="33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Income Taxes and Tax Receivable Agreement</w:t>
            </w:r>
          </w:p>
        </w:tc>
        <w:tc>
          <w:tcPr>
            <w:tcW w:w="6460" w:type="dxa"/>
            <w:vAlign w:val="bottom"/>
            <w:gridSpan w:val="2"/>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Note 11</w:t>
            </w:r>
          </w:p>
        </w:tc>
        <w:tc>
          <w:tcPr>
            <w:tcW w:w="97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Loss Per Share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3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Note 12</w:t>
            </w:r>
          </w:p>
        </w:tc>
        <w:tc>
          <w:tcPr>
            <w:tcW w:w="97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Noncontrolling Interests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3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Note 13</w:t>
            </w:r>
          </w:p>
        </w:tc>
        <w:tc>
          <w:tcPr>
            <w:tcW w:w="97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Commitments and Contingencies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Nature of Operations</w:t>
      </w:r>
    </w:p>
    <w:p>
      <w:pPr>
        <w:spacing w:after="0" w:line="113"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231F20"/>
        </w:rPr>
        <w:t xml:space="preserve">Viant Technology Inc. (the “Company,” “we,” “us,” “our” or “Viant”) was incorporated in the State of Delaware on October 9, 2020 </w:t>
      </w:r>
      <w:r>
        <w:rPr>
          <w:rFonts w:ascii="Times New Roman" w:cs="Times New Roman" w:eastAsia="Times New Roman" w:hAnsi="Times New Roman"/>
          <w:sz w:val="18"/>
          <w:szCs w:val="18"/>
          <w:color w:val="000000"/>
        </w:rPr>
        <w:t>for the purpose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of facilitating an initial public offering (“IPO”) and other related transactions. </w:t>
      </w:r>
      <w:r>
        <w:rPr>
          <w:rFonts w:ascii="Times New Roman" w:cs="Times New Roman" w:eastAsia="Times New Roman" w:hAnsi="Times New Roman"/>
          <w:sz w:val="18"/>
          <w:szCs w:val="18"/>
          <w:color w:val="231F20"/>
        </w:rPr>
        <w:t>The Company operates a demand side platform (“DSP”), Adelphic, an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enterprise software platform that is used by marketers and their advertising agencies to centralize the planning, buying and measurement of their advertising across channels, including desktop, mobile, connected TV, linear TV, in-game, streaming audio and digital billboards.</w:t>
      </w:r>
    </w:p>
    <w:p>
      <w:pPr>
        <w:spacing w:after="0" w:line="72"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231F20"/>
        </w:rPr>
        <w:t>On February 9, 2021, the Securities and Exchange Commission (“SEC”) declared effective the Company’s Form S-1 related to the IPO of its Class A common stock. The closing date of the IPO was February 12, 2021, and in connection with the closing and the corporate reorganization (the “Reorganization Transactions”), the following actions were taken:</w:t>
      </w:r>
    </w:p>
    <w:p>
      <w:pPr>
        <w:spacing w:after="0" w:line="68" w:lineRule="exact"/>
        <w:rPr>
          <w:sz w:val="20"/>
          <w:szCs w:val="20"/>
          <w:color w:val="auto"/>
        </w:rPr>
      </w:pPr>
    </w:p>
    <w:p>
      <w:pPr>
        <w:ind w:left="1000" w:right="20" w:hanging="493"/>
        <w:spacing w:after="0" w:line="282" w:lineRule="auto"/>
        <w:tabs>
          <w:tab w:leader="none" w:pos="10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amended and restated its certificate of incorporation, under which the Company is authorized to issue up to 450,000,000 shares of Class A common stock, up to 150,000,000 shares of Class B common stock, and up to 10,000,000 shares of preferred stock;</w:t>
      </w:r>
    </w:p>
    <w:p>
      <w:pPr>
        <w:spacing w:after="0" w:line="53" w:lineRule="exact"/>
        <w:rPr>
          <w:rFonts w:ascii="Times New Roman" w:cs="Times New Roman" w:eastAsia="Times New Roman" w:hAnsi="Times New Roman"/>
          <w:sz w:val="18"/>
          <w:szCs w:val="18"/>
          <w:color w:val="231F20"/>
        </w:rPr>
      </w:pPr>
    </w:p>
    <w:p>
      <w:pPr>
        <w:ind w:left="1000" w:right="480" w:hanging="493"/>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liability company agreement of Viant Technology LLC was amended and restated (as amended and restated, the “Viant Technology LLC Agreement”) to, among other things, provide for Class A units and Class B units and appoint the Company as the sole managing member of Viant Technology LLC;</w:t>
      </w:r>
    </w:p>
    <w:p>
      <w:pPr>
        <w:spacing w:after="0" w:line="67" w:lineRule="exact"/>
        <w:rPr>
          <w:rFonts w:ascii="Times New Roman" w:cs="Times New Roman" w:eastAsia="Times New Roman" w:hAnsi="Times New Roman"/>
          <w:sz w:val="18"/>
          <w:szCs w:val="18"/>
          <w:color w:val="auto"/>
        </w:rPr>
      </w:pPr>
    </w:p>
    <w:p>
      <w:pPr>
        <w:ind w:left="1000" w:hanging="493"/>
        <w:spacing w:after="0" w:line="274" w:lineRule="auto"/>
        <w:tabs>
          <w:tab w:leader="none" w:pos="10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Viant Technology LLC Agreement classified the interests acquired by the Company as Class A units, reclassified the interests held by the continuing members of Viant Technology LLC as Class B units, and permits the continuing members of Viant Technology LLC to exchange Class B units for shares of Class A common stock of Viant Technology Inc. on a one-for-one basis or, at the election of Viant Technology Inc., for cash at the current fair value on the date of the exchange. Immediately following such reclassification, the continuing members held 48,935,559 Class B units. For each membership unit of Viant Technology LLC that was reclassified as a Class B unit, the Company issued one corresponding share of our Class B common stock to the continuing members, or 48,935,559 shares of Class B common stock in total;</w:t>
      </w:r>
    </w:p>
    <w:p>
      <w:pPr>
        <w:spacing w:after="0" w:line="64" w:lineRule="exact"/>
        <w:rPr>
          <w:rFonts w:ascii="Times New Roman" w:cs="Times New Roman" w:eastAsia="Times New Roman" w:hAnsi="Times New Roman"/>
          <w:sz w:val="17"/>
          <w:szCs w:val="17"/>
          <w:color w:val="auto"/>
        </w:rPr>
      </w:pPr>
    </w:p>
    <w:p>
      <w:pPr>
        <w:ind w:left="1000" w:right="340" w:hanging="493"/>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and sold 10,000,000 shares of its Class A common stock to the underwriters at an IPO price of $25.00 per share, for gross proceeds of $250.0 million before deducting underwriting discounts and commissions of $17.5 million;</w:t>
      </w:r>
    </w:p>
    <w:p>
      <w:pPr>
        <w:spacing w:after="0" w:line="53" w:lineRule="exact"/>
        <w:rPr>
          <w:rFonts w:ascii="Times New Roman" w:cs="Times New Roman" w:eastAsia="Times New Roman" w:hAnsi="Times New Roman"/>
          <w:sz w:val="18"/>
          <w:szCs w:val="18"/>
          <w:color w:val="auto"/>
        </w:rPr>
      </w:pPr>
    </w:p>
    <w:p>
      <w:pPr>
        <w:ind w:left="1000" w:right="200" w:hanging="493"/>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the net proceeds of $232.5 million to acquire 10,000,000 newly issued Class A units of Viant Technology LLC at a per-unit price equal to the per-share price paid by the underwriters for shares of our Class A common stock;</w:t>
      </w:r>
    </w:p>
    <w:p>
      <w:pPr>
        <w:spacing w:after="0" w:line="53" w:lineRule="exact"/>
        <w:rPr>
          <w:rFonts w:ascii="Times New Roman" w:cs="Times New Roman" w:eastAsia="Times New Roman" w:hAnsi="Times New Roman"/>
          <w:sz w:val="18"/>
          <w:szCs w:val="18"/>
          <w:color w:val="auto"/>
        </w:rPr>
      </w:pPr>
    </w:p>
    <w:p>
      <w:pPr>
        <w:ind w:left="1000" w:hanging="493"/>
        <w:spacing w:after="0" w:line="261"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exercised their option to purchase 1,500,000 additional shares of Class A common stock from the selling stockholders in the IPO. The Company did not receive any proceeds from the sale of shares by the selling stockholders. Pursuant to such exercise, the selling stockholders exchanged the corresponding number of Class B units for the shares of Class A common stock, the corresponding number of shares of Class B common stock were automatically retired, and 1,500,000 Class A units were issued to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 tabular dollars in thousands, except for per share data)</w:t>
      </w:r>
    </w:p>
    <w:p>
      <w:pPr>
        <w:spacing w:after="0" w:line="315" w:lineRule="exact"/>
        <w:rPr>
          <w:sz w:val="20"/>
          <w:szCs w:val="20"/>
          <w:color w:val="auto"/>
        </w:rPr>
      </w:pPr>
    </w:p>
    <w:p>
      <w:pPr>
        <w:ind w:left="1000" w:right="60" w:hanging="493"/>
        <w:spacing w:after="0" w:line="26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stockholders and Class A stockholders initially had 80.5% and 19.5%, respectively, of the combined voting power of the Company’s common stock. The Class A common stock outstanding represents 100% of the rights of the holders of all classes of the Company’s outstanding common stock to share in distributions from the Company, except for the right of Class B stockholders to receive the par value of the Class B common stock upon our liquidation, dissolution or winding up or an exchange of Class B units;</w:t>
      </w:r>
    </w:p>
    <w:p>
      <w:pPr>
        <w:spacing w:after="0" w:line="71" w:lineRule="exact"/>
        <w:rPr>
          <w:rFonts w:ascii="Times New Roman" w:cs="Times New Roman" w:eastAsia="Times New Roman" w:hAnsi="Times New Roman"/>
          <w:sz w:val="18"/>
          <w:szCs w:val="18"/>
          <w:color w:val="auto"/>
        </w:rPr>
      </w:pPr>
    </w:p>
    <w:p>
      <w:pPr>
        <w:ind w:left="1000" w:right="140" w:hanging="493"/>
        <w:spacing w:after="0" w:line="282" w:lineRule="auto"/>
        <w:tabs>
          <w:tab w:leader="none" w:pos="100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entered into a Registration Rights Agreement with the Class B stockholders to provide for certain rights and restrictions after the IPO; and</w:t>
      </w:r>
    </w:p>
    <w:p>
      <w:pPr>
        <w:spacing w:after="0" w:line="53" w:lineRule="exact"/>
        <w:rPr>
          <w:rFonts w:ascii="Times New Roman" w:cs="Times New Roman" w:eastAsia="Times New Roman" w:hAnsi="Times New Roman"/>
          <w:sz w:val="18"/>
          <w:szCs w:val="18"/>
          <w:color w:val="231F20"/>
        </w:rPr>
      </w:pPr>
    </w:p>
    <w:p>
      <w:pPr>
        <w:ind w:left="1000" w:right="160" w:hanging="493"/>
        <w:spacing w:after="0" w:line="282" w:lineRule="auto"/>
        <w:tabs>
          <w:tab w:leader="none" w:pos="100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Viant Technology LLC’s 2020 Equity Based Incentive Compensation Plan (the “Phantom Unit Plan”) was terminated and replaced with the Company’s 2021 Long Term Incentive Plan (the “LTIP”).</w:t>
      </w:r>
    </w:p>
    <w:p>
      <w:pPr>
        <w:spacing w:after="0" w:line="162"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Immediately following the closing of the IPO, Viant Technology LLC is the predecessor of the Company for financial reporting purposes. Viant Technology Inc. is a holding company, and its sole material asset is its equity interest in Viant Technology LLC. As the sole managing member of Viant Technology LLC, the Company operates and controls all of the business and affairs of Viant Technology LLC. The Reorganization Transactions are accounted for as a reorganization of entities under common control. As a result, the condensed consolidated financial statements of the Company recognize the assets and liabilities received in the Reorganization Transactions at their historical carrying amounts, as reflected in the historical consolidated financial statements of Viant Technology LLC. The Company consolidates Viant Technology LLC in its condensed consolidated financial statements and records a noncontrolling interest related to the Class B units held by the Class B stockholders on its condensed consolidated balance sheets and statements of operations.</w:t>
      </w:r>
    </w:p>
    <w:p>
      <w:pPr>
        <w:spacing w:after="0" w:line="284"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Basis of Presentation and Summary of Significant Accounting Policies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right="180" w:firstLine="510"/>
        <w:spacing w:after="0" w:line="277" w:lineRule="auto"/>
        <w:rPr>
          <w:sz w:val="20"/>
          <w:szCs w:val="20"/>
          <w:color w:val="auto"/>
        </w:rPr>
      </w:pPr>
      <w:r>
        <w:rPr>
          <w:rFonts w:ascii="Times New Roman" w:cs="Times New Roman" w:eastAsia="Times New Roman" w:hAnsi="Times New Roman"/>
          <w:sz w:val="17"/>
          <w:szCs w:val="17"/>
          <w:color w:val="231F20"/>
        </w:rPr>
        <w:t xml:space="preserve">The </w:t>
      </w:r>
      <w:r>
        <w:rPr>
          <w:rFonts w:ascii="Times New Roman" w:cs="Times New Roman" w:eastAsia="Times New Roman" w:hAnsi="Times New Roman"/>
          <w:sz w:val="17"/>
          <w:szCs w:val="17"/>
          <w:color w:val="000000"/>
        </w:rPr>
        <w:t>accompanying condensed consolidated financial statements are prepared in accordance with accounting principles generally accepted in the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United States of America (“GAAP”) for interim financial information which are unaudited and include the operations of the Company, Viant Technology LLC and its wholly owned subsidiaries. Viant Technology LLC is considered a variable interest entity. The Company is the primary beneficiary and sole managing member of Viant Technology LLC and has decision making authority that significantly affects the economic performance of the entity. As a result, the Company consolidates Viant Technology LLC. All intercompany balances and transactions have been eliminated in consolidation.</w:t>
      </w:r>
    </w:p>
    <w:p>
      <w:pPr>
        <w:spacing w:after="0" w:line="60"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231F20"/>
        </w:rPr>
        <w:t xml:space="preserve">Viant </w:t>
      </w:r>
      <w:r>
        <w:rPr>
          <w:rFonts w:ascii="Times New Roman" w:cs="Times New Roman" w:eastAsia="Times New Roman" w:hAnsi="Times New Roman"/>
          <w:sz w:val="18"/>
          <w:szCs w:val="18"/>
          <w:color w:val="000000"/>
        </w:rPr>
        <w:t>Technology LLC has been determined to be the predecessor for accounting purposes and, accordingly, the condensed consolidated financial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statements for periods prior to the IPO and the related Reorganization Transactions have been adjusted to combine the previously separate entities for presentation purposes. Amounts for the period from January 1, 2021 through February 11, 2021 presented in the condensed consolidated financial statements and notes to condensed consolidated financial statements herein represent the historical operations of Viant Technology LLC. The amounts as of June 30, 2022 and December 31, 2021 and the operations since February 12, 2021 reflect the consolidated operations of the Company.</w:t>
      </w:r>
    </w:p>
    <w:p>
      <w:pPr>
        <w:spacing w:after="0" w:line="75"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231F20"/>
        </w:rPr>
        <w:t xml:space="preserve">Management </w:t>
      </w:r>
      <w:r>
        <w:rPr>
          <w:rFonts w:ascii="Times New Roman" w:cs="Times New Roman" w:eastAsia="Times New Roman" w:hAnsi="Times New Roman"/>
          <w:sz w:val="18"/>
          <w:szCs w:val="18"/>
          <w:color w:val="000000"/>
        </w:rPr>
        <w:t>believes that the accompanying condensed consolidated financial statements reflect the adjustments necessary for the fair statement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its condensed consolidated balance sheets as of June 30, 2022 and December 31, 2021, results of operations for the three and six months ended June 30, 2022 and 2021, and cash flows for the six months ended June 30, 2022 and 2021. The condensed consolidated balance sheet as of December 31, 2021 was derived from the audited annual financial statements but does not contain all of the footnote disclosures from the annual financial statements. Certain information and disclosures normally included in consolidated financial statements prepared in accordance with GAAP have been omitted. Accordingly, these condensed consolidated financial statements should be read in conjunction with the Company’s audited consolidated financial statements and related notes included in its Annual Report on Form 10-K for the year ended December 31, 2021.</w:t>
      </w:r>
    </w:p>
    <w:p>
      <w:pPr>
        <w:spacing w:after="0" w:line="81"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The condensed consolidated results of operations for the three and six months ended June 30, 2022 are not necessarily indicative of the results to be expected for the year ending December 31, 2022 (“fiscal 2022”), or for any other future annual or interim period.</w:t>
      </w:r>
    </w:p>
    <w:p>
      <w:pPr>
        <w:spacing w:after="0" w:line="54" w:lineRule="exact"/>
        <w:rPr>
          <w:sz w:val="20"/>
          <w:szCs w:val="20"/>
          <w:color w:val="auto"/>
        </w:rPr>
      </w:pPr>
    </w:p>
    <w:p>
      <w:pPr>
        <w:ind w:right="580" w:firstLine="510"/>
        <w:spacing w:after="0" w:line="282" w:lineRule="auto"/>
        <w:rPr>
          <w:sz w:val="20"/>
          <w:szCs w:val="20"/>
          <w:color w:val="auto"/>
        </w:rPr>
      </w:pPr>
      <w:r>
        <w:rPr>
          <w:rFonts w:ascii="Times New Roman" w:cs="Times New Roman" w:eastAsia="Times New Roman" w:hAnsi="Times New Roman"/>
          <w:sz w:val="18"/>
          <w:szCs w:val="18"/>
          <w:color w:val="231F20"/>
        </w:rPr>
        <w:t xml:space="preserve">Certain </w:t>
      </w:r>
      <w:r>
        <w:rPr>
          <w:rFonts w:ascii="Times New Roman" w:cs="Times New Roman" w:eastAsia="Times New Roman" w:hAnsi="Times New Roman"/>
          <w:sz w:val="18"/>
          <w:szCs w:val="18"/>
          <w:color w:val="000000"/>
        </w:rPr>
        <w:t>reclassifications have been made within the condensed consolidated financial statements for the prior period to conform with current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presentation.</w:t>
      </w:r>
    </w:p>
    <w:p>
      <w:pPr>
        <w:spacing w:after="0" w:line="54" w:lineRule="exact"/>
        <w:rPr>
          <w:sz w:val="20"/>
          <w:szCs w:val="20"/>
          <w:color w:val="auto"/>
        </w:rPr>
      </w:pPr>
    </w:p>
    <w:p>
      <w:pPr>
        <w:ind w:right="380" w:firstLine="51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as described in our Annual Report on Form 10-K for the year ended December 31, 2021.</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 tabular dollars in thousands, except for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231F20"/>
        </w:rPr>
        <w:t xml:space="preserve">The preparation of our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 and expenses during the reporting period. </w:t>
      </w:r>
      <w:r>
        <w:rPr>
          <w:rFonts w:ascii="Times New Roman" w:cs="Times New Roman" w:eastAsia="Times New Roman" w:hAnsi="Times New Roman"/>
          <w:sz w:val="18"/>
          <w:szCs w:val="18"/>
          <w:color w:val="000000"/>
        </w:rPr>
        <w:t>On an ongoing basis, management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evaluates its estimates, primarily those related to revenue recognition, operating lease assets and liabilities, stock-based compensation, income taxes, allowances for doubtful accounts, the useful lives of capitalized software development costs and other property, equipment and software and assumptions used in the impairment analyses of long-lived assets and goodwill. These estimates are based on historical data and experience, as well as various other factors that management believes to be reasonable under the circumstances, the results of which form the basis for making judgments about the carrying amount of assets and liabilities that are not readily apparent from other sources. Actual results may differ from these estimates under different assumptions or conditions.</w:t>
      </w:r>
    </w:p>
    <w:p>
      <w:pPr>
        <w:spacing w:after="0" w:line="80"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As of June 30, 2022, the impact of the COVID-19 pandemic on our business continues to evolve. As a result, many of our estimates and assumptions consider macro-economic factors in the market, which require increased judgment and carry a higher degree of variability and volatility. As events continue to evolve and additional information becomes available, our estimates may change materially in future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periods presented, net loss is equal to comprehensive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of Allowances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changes in the allowance for doubtful accounts for the three and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85725</wp:posOffset>
            </wp:positionV>
            <wp:extent cx="14147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140" w:lineRule="exact"/>
        <w:rPr>
          <w:sz w:val="20"/>
          <w:szCs w:val="20"/>
          <w:color w:val="auto"/>
        </w:rPr>
      </w:pPr>
    </w:p>
    <w:tbl>
      <w:tblPr>
        <w:tblLayout w:type="fixed"/>
        <w:tblInd w:w="1700" w:type="dxa"/>
        <w:tblCellMar>
          <w:top w:w="0" w:type="dxa"/>
          <w:left w:w="0" w:type="dxa"/>
          <w:bottom w:w="0" w:type="dxa"/>
          <w:right w:w="0" w:type="dxa"/>
        </w:tblCellMar>
      </w:tblPr>
      <w:tr>
        <w:trPr>
          <w:trHeight w:val="215"/>
        </w:trPr>
        <w:tc>
          <w:tcPr>
            <w:tcW w:w="5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26"/>
        </w:trPr>
        <w:tc>
          <w:tcPr>
            <w:tcW w:w="5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r>
      <w:tr>
        <w:trPr>
          <w:trHeight w:val="230"/>
        </w:trPr>
        <w:tc>
          <w:tcPr>
            <w:tcW w:w="5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36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w:t>
            </w: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r>
      <w:tr>
        <w:trPr>
          <w:trHeight w:val="230"/>
        </w:trPr>
        <w:tc>
          <w:tcPr>
            <w:tcW w:w="5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6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r>
      <w:tr>
        <w:trPr>
          <w:trHeight w:val="23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360" w:type="dxa"/>
            <w:vAlign w:val="bottom"/>
          </w:tcPr>
          <w:p>
            <w:pPr>
              <w:spacing w:after="0"/>
              <w:rPr>
                <w:sz w:val="19"/>
                <w:szCs w:val="19"/>
                <w:color w:val="auto"/>
              </w:rPr>
            </w:pP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June 30</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21" w:lineRule="exact"/>
        <w:rPr>
          <w:sz w:val="20"/>
          <w:szCs w:val="20"/>
          <w:color w:val="auto"/>
        </w:rPr>
      </w:pPr>
    </w:p>
    <w:p>
      <w:pPr>
        <w:ind w:right="340" w:firstLine="51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risk consist principally of cash and accounts receivable. The Company maintains its cash with financial institutions and its cash levels exceed the Federal Deposit Insurance Corporation’s federally insured limits. Accounts receivable include amounts due from customers with principal operations primarily in the United States.</w:t>
      </w:r>
    </w:p>
    <w:p>
      <w:pPr>
        <w:spacing w:after="0" w:line="68"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231F20"/>
        </w:rPr>
        <w:t>June</w:t>
      </w:r>
      <w:r>
        <w:rPr>
          <w:rFonts w:ascii="Times New Roman" w:cs="Times New Roman" w:eastAsia="Times New Roman" w:hAnsi="Times New Roman"/>
          <w:sz w:val="18"/>
          <w:szCs w:val="18"/>
          <w:color w:val="auto"/>
        </w:rPr>
        <w:t xml:space="preserve"> 30, 2022, one individual customer accounted for 12.0% of consolidated accounts receivable. As of December 31, 2021, two individual customers accounted for 13.2% and 12.3% of consolidated accounts receivable.</w:t>
      </w:r>
    </w:p>
    <w:p>
      <w:pPr>
        <w:spacing w:after="0" w:line="54"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As of June 30, 2022, one individual supplier accounted for 19.9% of consolidated accounts payable and accrued liabilities. As of December 31, 2021, one individual supplier accounted for 16.8% of consolidated accounts payable and accrued liabilities.</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 tabular dollars in thousands, except for per share data)</w:t>
      </w:r>
    </w:p>
    <w:p>
      <w:pPr>
        <w:spacing w:after="0" w:line="207"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Company’s concentrations of risk with respect to individual customers and advertising agency holding companies as a percentage of the Company’s total revenues:</w:t>
      </w:r>
    </w:p>
    <w:p>
      <w:pPr>
        <w:spacing w:after="0" w:line="6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2620" w:type="dxa"/>
            <w:vAlign w:val="bottom"/>
            <w:gridSpan w:val="4"/>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34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40" w:type="dxa"/>
            <w:vAlign w:val="bottom"/>
            <w:tcBorders>
              <w:bottom w:val="single" w:sz="8" w:color="auto"/>
            </w:tcBorders>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3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9"/>
                <w:szCs w:val="19"/>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Individual Customer</w:t>
            </w:r>
          </w:p>
        </w:tc>
        <w:tc>
          <w:tcPr>
            <w:tcW w:w="9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&lt;10.0%</w:t>
            </w:r>
          </w:p>
        </w:tc>
        <w:tc>
          <w:tcPr>
            <w:tcW w:w="9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&lt;10.0%</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&lt;10.0%</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Advertising Agency Holding Company</w:t>
            </w:r>
          </w:p>
        </w:tc>
        <w:tc>
          <w:tcPr>
            <w:tcW w:w="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&lt;10.0%</w:t>
            </w:r>
          </w:p>
        </w:tc>
        <w:tc>
          <w:tcPr>
            <w:tcW w:w="9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&lt;10.0%</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w:t>
            </w: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&lt;10.0%</w:t>
            </w:r>
          </w:p>
        </w:tc>
        <w:tc>
          <w:tcPr>
            <w:tcW w:w="9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&lt;10.0%</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&lt;10.0%</w:t>
            </w:r>
          </w:p>
        </w:tc>
      </w:tr>
      <w:tr>
        <w:trPr>
          <w:trHeight w:val="23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w:t>
            </w:r>
          </w:p>
        </w:tc>
        <w:tc>
          <w:tcPr>
            <w:tcW w:w="9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&lt;10.0%</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&lt;10.0%</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 xml:space="preserve">See </w:t>
      </w:r>
      <w:r>
        <w:rPr>
          <w:rFonts w:ascii="Times New Roman" w:cs="Times New Roman" w:eastAsia="Times New Roman" w:hAnsi="Times New Roman"/>
          <w:sz w:val="18"/>
          <w:szCs w:val="18"/>
          <w:color w:val="000000"/>
        </w:rPr>
        <w:t>Note 5—Leases.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JOBS Act Election as an Emerging Growth Company</w:t>
      </w:r>
    </w:p>
    <w:p>
      <w:pPr>
        <w:spacing w:after="0" w:line="119"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 xml:space="preserve">On April 5, 2012, the Jumpstart Our Business Startups Act (the “JOBS Act”) was signed into law. The JOBS Act contains provisions that, among other things, reduce certain reporting requirements for qualifying public companies. As an “emerging growth company,” the </w:t>
      </w:r>
      <w:r>
        <w:rPr>
          <w:rFonts w:ascii="Times New Roman" w:cs="Times New Roman" w:eastAsia="Times New Roman" w:hAnsi="Times New Roman"/>
          <w:sz w:val="18"/>
          <w:szCs w:val="18"/>
          <w:color w:val="231F20"/>
        </w:rPr>
        <w:t>Company</w:t>
      </w:r>
      <w:r>
        <w:rPr>
          <w:rFonts w:ascii="Times New Roman" w:cs="Times New Roman" w:eastAsia="Times New Roman" w:hAnsi="Times New Roman"/>
          <w:sz w:val="18"/>
          <w:szCs w:val="18"/>
          <w:color w:val="auto"/>
        </w:rPr>
        <w:t xml:space="preserve"> may, under Section 7(a)(2)(B) of the Securities Act of 1933, as amended (the “Securities Act”), delay adoption of new or revised accounting standards applicable to public companies until such standards would otherwise apply to private companies. An “emerging growth company” is one with less than $1.07 billion in annual sales, has less than $700 million in market value of its shares of common stock held by non-affiliates and issues less than $1 billion of non-convertible debt over a three-year period. The Company may take advantage of this extended transition period until the first to occur of the date that it (i) is no longer an “emerging growth company” or (ii) affirmatively and irrevocably opts out of this extended transition period.</w:t>
      </w:r>
    </w:p>
    <w:p>
      <w:pPr>
        <w:spacing w:after="0" w:line="81"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The Company has elected to take advantage of the benefits of this extended transition period. Until the date that the Company is no longer an “emerging growth company” or affirmatively and irrevocably opts out of the exemption provided by Securities Act Section 7(a)(2)(B), upon issuance of a new or revised accounting standard that applies to its condensed consolidated financial statements and that has a different effective date for public and private companies, the Company will disclose the date on which it will adopt the recently issued accounting standard.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Credit Losses on Financial Instruments</w:t>
      </w:r>
    </w:p>
    <w:p>
      <w:pPr>
        <w:spacing w:after="0" w:line="117" w:lineRule="exact"/>
        <w:rPr>
          <w:sz w:val="20"/>
          <w:szCs w:val="20"/>
          <w:color w:val="auto"/>
        </w:rPr>
      </w:pPr>
    </w:p>
    <w:p>
      <w:pPr>
        <w:ind w:right="160" w:firstLine="510"/>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Accounting Standards Update (“ASU”) No. 2016-13, </w:t>
      </w:r>
      <w:r>
        <w:rPr>
          <w:rFonts w:ascii="Times New Roman" w:cs="Times New Roman" w:eastAsia="Times New Roman" w:hAnsi="Times New Roman"/>
          <w:sz w:val="18"/>
          <w:szCs w:val="18"/>
          <w:i w:val="1"/>
          <w:iCs w:val="1"/>
          <w:color w:val="auto"/>
        </w:rPr>
        <w:t>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 on Financial Instruments</w:t>
      </w:r>
      <w:r>
        <w:rPr>
          <w:rFonts w:ascii="Times New Roman" w:cs="Times New Roman" w:eastAsia="Times New Roman" w:hAnsi="Times New Roman"/>
          <w:sz w:val="18"/>
          <w:szCs w:val="18"/>
          <w:color w:val="auto"/>
        </w:rPr>
        <w:t>. The ASU revises the impairment model to utilize an expected loss methodology in place of the currently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loss methodology, which will result in more timely recognition of losses on financial instruments, including, but not limited to, available for sale debt securities and accounts receivable. The guidance is effective for the Company’s annual reporting period beginning after December 15, 2022 and interim reporting periods within that annual reporting period. The Company does not expect the adoption of this ASU to have a material impact on its condensed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Codification Improvements</w:t>
      </w:r>
    </w:p>
    <w:p>
      <w:pPr>
        <w:spacing w:after="0" w:line="117"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 xml:space="preserve">In October 2020, the FASB issued ASU No. 2020-10,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which updates various codification topics by clarifying disclosure requirements to align with the SEC’s regulations. The guidance is effective for the Company’s annual reporting period beginning after December 15, 2021 and interim reporting periods within the annual period beginning after December 15, 2022. The Company is currently assessing the impact this guidance will have on its condensed consolidated financial statements.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tabular dollars in thousands, except for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7" w:lineRule="exact"/>
        <w:rPr>
          <w:sz w:val="20"/>
          <w:szCs w:val="20"/>
          <w:color w:val="auto"/>
        </w:rPr>
      </w:pPr>
    </w:p>
    <w:p>
      <w:pPr>
        <w:ind w:right="40" w:firstLine="510"/>
        <w:spacing w:after="0" w:line="267"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requires an entity to recognize operating lease assets and lease liabilities on its balance sheet and disclose key information about leasing arrangements. We adopted this standard at the beginning of fiscal 2022. See Note 5—Leases for additional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Issuer’s Accounting for Certain Modifications or Exchanges of Freestanding Equity-Classified Written Call Options</w:t>
      </w:r>
    </w:p>
    <w:p>
      <w:pPr>
        <w:spacing w:after="0" w:line="117"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 xml:space="preserve">In May 2021, the FASB issued ASU No. 2021-04, </w:t>
      </w:r>
      <w:r>
        <w:rPr>
          <w:rFonts w:ascii="Times New Roman" w:cs="Times New Roman" w:eastAsia="Times New Roman" w:hAnsi="Times New Roman"/>
          <w:sz w:val="18"/>
          <w:szCs w:val="18"/>
          <w:i w:val="1"/>
          <w:iCs w:val="1"/>
          <w:color w:val="auto"/>
        </w:rPr>
        <w:t>Issuer’s Accounting for Certain Modifications or Exchanges of Freestanding Equity-Classified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Written Call Options</w:t>
      </w:r>
      <w:r>
        <w:rPr>
          <w:rFonts w:ascii="Times New Roman" w:cs="Times New Roman" w:eastAsia="Times New Roman" w:hAnsi="Times New Roman"/>
          <w:sz w:val="18"/>
          <w:szCs w:val="18"/>
          <w:color w:val="auto"/>
        </w:rPr>
        <w:t>, which clarifies an issuer’s accounting for modifications or exchanges of freestanding equity-classified written call options that remain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classified after modifications or exchanges. The ASU requires issuers to account for the modifications or exchanges based on the economic substance of the modification or exchange and whether the transaction was done to issue equity, to issue or modify debt, or for other reasons. We adopted this standard prospectively on January 1, 2022. The adoption did not have an impact on our condensed consolidated financial statements.</w:t>
      </w:r>
    </w:p>
    <w:p>
      <w:pPr>
        <w:spacing w:after="0" w:line="278" w:lineRule="exact"/>
        <w:rPr>
          <w:sz w:val="20"/>
          <w:szCs w:val="20"/>
          <w:color w:val="auto"/>
        </w:rPr>
      </w:pPr>
    </w:p>
    <w:p>
      <w:pPr>
        <w:ind w:left="220" w:hanging="212"/>
        <w:spacing w:after="0"/>
        <w:tabs>
          <w:tab w:leader="none" w:pos="220" w:val="left"/>
        </w:tabs>
        <w:numPr>
          <w:ilvl w:val="0"/>
          <w:numId w:val="7"/>
        </w:numPr>
        <w:rPr>
          <w:rFonts w:ascii="Times New Roman" w:cs="Times New Roman" w:eastAsia="Times New Roman" w:hAnsi="Times New Roman"/>
          <w:sz w:val="22"/>
          <w:szCs w:val="22"/>
          <w:b w:val="1"/>
          <w:bCs w:val="1"/>
          <w:color w:val="231F20"/>
        </w:rPr>
      </w:pPr>
      <w:r>
        <w:rPr>
          <w:rFonts w:ascii="Times New Roman" w:cs="Times New Roman" w:eastAsia="Times New Roman" w:hAnsi="Times New Roman"/>
          <w:sz w:val="22"/>
          <w:szCs w:val="22"/>
          <w:b w:val="1"/>
          <w:bCs w:val="1"/>
          <w:i w:val="1"/>
          <w:iCs w:val="1"/>
          <w:color w:val="231F20"/>
        </w:rPr>
        <w:t>Revenue</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The disaggregation of revenue was as follows:</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30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25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5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r>
      <w:tr>
        <w:trPr>
          <w:trHeight w:val="223"/>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Over-time revenue</w:t>
            </w:r>
          </w:p>
        </w:tc>
        <w:tc>
          <w:tcPr>
            <w:tcW w:w="1080" w:type="dxa"/>
            <w:vAlign w:val="bottom"/>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20" w:type="dxa"/>
            <w:vAlign w:val="bottom"/>
            <w:shd w:val="clear" w:color="auto" w:fill="CFF0FC"/>
          </w:tcPr>
          <w:p>
            <w:pPr>
              <w:spacing w:after="0"/>
              <w:rPr>
                <w:sz w:val="19"/>
                <w:szCs w:val="19"/>
                <w:color w:val="auto"/>
              </w:rPr>
            </w:pPr>
          </w:p>
        </w:tc>
      </w:tr>
      <w:tr>
        <w:trPr>
          <w:trHeight w:val="229"/>
        </w:trPr>
        <w:tc>
          <w:tcPr>
            <w:tcW w:w="2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Point-in-time revenue</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51,027</w:t>
            </w:r>
          </w:p>
        </w:tc>
        <w:tc>
          <w:tcPr>
            <w:tcW w:w="26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49,306</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93,468</w:t>
            </w:r>
          </w:p>
        </w:tc>
        <w:tc>
          <w:tcPr>
            <w:tcW w:w="28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88,346</w:t>
            </w:r>
          </w:p>
        </w:tc>
        <w:tc>
          <w:tcPr>
            <w:tcW w:w="120" w:type="dxa"/>
            <w:vAlign w:val="bottom"/>
            <w:tcBorders>
              <w:bottom w:val="single" w:sz="8" w:color="CFF0FC"/>
            </w:tcBorders>
          </w:tcPr>
          <w:p>
            <w:pPr>
              <w:spacing w:after="0"/>
              <w:rPr>
                <w:sz w:val="19"/>
                <w:szCs w:val="19"/>
                <w:color w:val="auto"/>
              </w:rPr>
            </w:pPr>
          </w:p>
        </w:tc>
      </w:tr>
      <w:tr>
        <w:trPr>
          <w:trHeight w:val="223"/>
        </w:trPr>
        <w:tc>
          <w:tcPr>
            <w:tcW w:w="2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51,200</w:t>
            </w:r>
          </w:p>
        </w:tc>
        <w:tc>
          <w:tcPr>
            <w:tcW w:w="2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50,411</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93,829</w:t>
            </w:r>
          </w:p>
        </w:tc>
        <w:tc>
          <w:tcPr>
            <w:tcW w:w="2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90,555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5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510"/>
        <w:spacing w:after="0" w:line="256" w:lineRule="auto"/>
        <w:rPr>
          <w:sz w:val="20"/>
          <w:szCs w:val="20"/>
          <w:color w:val="auto"/>
        </w:rPr>
      </w:pPr>
      <w:r>
        <w:rPr>
          <w:rFonts w:ascii="Times New Roman" w:cs="Times New Roman" w:eastAsia="Times New Roman" w:hAnsi="Times New Roman"/>
          <w:sz w:val="18"/>
          <w:szCs w:val="18"/>
          <w:color w:val="231F20"/>
        </w:rPr>
        <w:t>Revenue for unsatisfied performance obligations expected to be recognized in the future for contracts with an original expected duration of greater than one year was de minimis as of June 30, 2022 and $6.6 million as of December 31, 2021. These amounts do not include contracts with an original expected duration of less than one year, which is the majority of the Company’s contracts. The decrease from the prior-year end was primarily due to an agreement modification whereby the Company agreed to a $</w:t>
      </w:r>
      <w:r>
        <w:rPr>
          <w:rFonts w:ascii="Times New Roman" w:cs="Times New Roman" w:eastAsia="Times New Roman" w:hAnsi="Times New Roman"/>
          <w:sz w:val="18"/>
          <w:szCs w:val="18"/>
          <w:color w:val="000000"/>
        </w:rPr>
        <w:t>6.2</w:t>
      </w:r>
      <w:r>
        <w:rPr>
          <w:rFonts w:ascii="Times New Roman" w:cs="Times New Roman" w:eastAsia="Times New Roman" w:hAnsi="Times New Roman"/>
          <w:sz w:val="18"/>
          <w:szCs w:val="18"/>
          <w:color w:val="231F20"/>
        </w:rPr>
        <w:t xml:space="preserve"> million cash settlement with one of its customers in exchange for the full, final and immediate termination of certain deferred revenue liabilities. The remaining decrease was due to the recognition of revenue during the normal course of business.</w:t>
      </w:r>
    </w:p>
    <w:p>
      <w:pPr>
        <w:spacing w:after="0" w:line="7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231F20"/>
        </w:rPr>
        <w:t>Remaining deferred revenue that is anticipated to be recognized during the succeeding 12-month period is recorded in the current portion of deferred revenue within the condensed consolidated balance sheets.</w:t>
      </w:r>
    </w:p>
    <w:p>
      <w:pPr>
        <w:spacing w:after="0" w:line="254" w:lineRule="exact"/>
        <w:rPr>
          <w:sz w:val="20"/>
          <w:szCs w:val="20"/>
          <w:color w:val="auto"/>
        </w:rPr>
      </w:pPr>
    </w:p>
    <w:p>
      <w:pPr>
        <w:ind w:left="220" w:hanging="212"/>
        <w:spacing w:after="0"/>
        <w:tabs>
          <w:tab w:leader="none" w:pos="220" w:val="left"/>
        </w:tabs>
        <w:numPr>
          <w:ilvl w:val="0"/>
          <w:numId w:val="8"/>
        </w:numPr>
        <w:rPr>
          <w:rFonts w:ascii="Times New Roman" w:cs="Times New Roman" w:eastAsia="Times New Roman" w:hAnsi="Times New Roman"/>
          <w:sz w:val="22"/>
          <w:szCs w:val="22"/>
          <w:b w:val="1"/>
          <w:bCs w:val="1"/>
          <w:color w:val="231F20"/>
        </w:rPr>
      </w:pPr>
      <w:r>
        <w:rPr>
          <w:rFonts w:ascii="Times New Roman" w:cs="Times New Roman" w:eastAsia="Times New Roman" w:hAnsi="Times New Roman"/>
          <w:sz w:val="22"/>
          <w:szCs w:val="22"/>
          <w:b w:val="1"/>
          <w:bCs w:val="1"/>
          <w:i w:val="1"/>
          <w:iCs w:val="1"/>
          <w:color w:val="231F20"/>
        </w:rPr>
        <w:t>Property, Equipment and Software, Net</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Major classes of property, equipment and software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6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66,890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61,490</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Total property, equipment and software</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(49,102)</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(44,351)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Total property, equipment and software, net</w:t>
            </w:r>
          </w:p>
        </w:tc>
        <w:tc>
          <w:tcPr>
            <w:tcW w:w="10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tabular dollars in thousands, except for per share data)</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Depreciation recorded in the condensed consolidated statements of operations was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4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39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r>
      <w:tr>
        <w:trPr>
          <w:trHeight w:val="22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860" w:type="dxa"/>
            <w:vAlign w:val="bottom"/>
            <w:shd w:val="clear" w:color="auto" w:fill="CFF0FC"/>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00" w:type="dxa"/>
            <w:vAlign w:val="bottom"/>
            <w:shd w:val="clear" w:color="auto" w:fill="CFF0FC"/>
          </w:tcPr>
          <w:p>
            <w:pPr>
              <w:spacing w:after="0"/>
              <w:rPr>
                <w:sz w:val="19"/>
                <w:szCs w:val="19"/>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shd w:val="clear" w:color="auto" w:fill="CFF0FC"/>
          </w:tcPr>
          <w:p>
            <w:pPr>
              <w:spacing w:after="0"/>
              <w:rPr>
                <w:sz w:val="19"/>
                <w:szCs w:val="19"/>
                <w:color w:val="auto"/>
              </w:rPr>
            </w:pPr>
          </w:p>
        </w:tc>
      </w:tr>
      <w:tr>
        <w:trPr>
          <w:trHeight w:val="230"/>
        </w:trPr>
        <w:tc>
          <w:tcPr>
            <w:tcW w:w="3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FF0FC"/>
            </w:tcBorders>
          </w:tcPr>
          <w:p>
            <w:pPr>
              <w:spacing w:after="0"/>
              <w:rPr>
                <w:sz w:val="19"/>
                <w:szCs w:val="19"/>
                <w:color w:val="auto"/>
              </w:rPr>
            </w:pPr>
          </w:p>
        </w:tc>
      </w:tr>
      <w:tr>
        <w:trPr>
          <w:trHeight w:val="223"/>
        </w:trPr>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FF0FC"/>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total interest cost incurred was de minimis. For the three months ended June 30, 2021, total interest cost incurred was $0.2 million. For the six months ended June 30, 2022 and 2021, total interest cost incurred was $0.2 million and $0.5 million, respectively. Interest costs capitalized during the three and six months ended June 30, 2022 and 2021 were de minimis.</w:t>
      </w:r>
    </w:p>
    <w:p>
      <w:pPr>
        <w:spacing w:after="0" w:line="309" w:lineRule="exact"/>
        <w:rPr>
          <w:sz w:val="20"/>
          <w:szCs w:val="20"/>
          <w:color w:val="auto"/>
        </w:rPr>
      </w:pPr>
    </w:p>
    <w:p>
      <w:pPr>
        <w:ind w:left="220" w:hanging="212"/>
        <w:spacing w:after="0"/>
        <w:tabs>
          <w:tab w:leader="none" w:pos="22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Leases</w:t>
      </w:r>
    </w:p>
    <w:p>
      <w:pPr>
        <w:spacing w:after="0" w:line="113" w:lineRule="exact"/>
        <w:rPr>
          <w:sz w:val="20"/>
          <w:szCs w:val="20"/>
          <w:color w:val="auto"/>
        </w:rPr>
      </w:pPr>
    </w:p>
    <w:p>
      <w:pPr>
        <w:ind w:right="300" w:firstLine="510"/>
        <w:spacing w:after="0" w:line="266" w:lineRule="auto"/>
        <w:rPr>
          <w:sz w:val="20"/>
          <w:szCs w:val="20"/>
          <w:color w:val="auto"/>
        </w:rPr>
      </w:pPr>
      <w:r>
        <w:rPr>
          <w:rFonts w:ascii="Times New Roman" w:cs="Times New Roman" w:eastAsia="Times New Roman" w:hAnsi="Times New Roman"/>
          <w:sz w:val="18"/>
          <w:szCs w:val="18"/>
          <w:color w:val="auto"/>
        </w:rPr>
        <w:t>At the beginning of fiscal 2022, the Company adopted new lease accounting guidance issued by the FASB. The most significant change requires lessees to record the present value of operating lease payments as operating lease assets and lease liabilities on its balance sheet and disclose key information about leasing arrangements.</w:t>
      </w:r>
    </w:p>
    <w:p>
      <w:pPr>
        <w:spacing w:after="0" w:line="68"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We adopted the new guidance using the modified retrospective method at the beginning of fiscal 2022. As such, the condensed consolidated balance sheets for prior periods are not comparable to our fiscal 2022 periods. The Company adopted the new guidance by applying the package of practical expedients permitted under the transition guidance, which allowed the Company to carry forward its original assessment of whether:</w:t>
      </w:r>
    </w:p>
    <w:p>
      <w:pPr>
        <w:spacing w:after="0" w:line="68" w:lineRule="exact"/>
        <w:rPr>
          <w:sz w:val="20"/>
          <w:szCs w:val="20"/>
          <w:color w:val="auto"/>
        </w:rPr>
      </w:pPr>
    </w:p>
    <w:p>
      <w:pPr>
        <w:ind w:left="1260" w:hanging="375"/>
        <w:spacing w:after="0"/>
        <w:tabs>
          <w:tab w:leader="none" w:pos="1260" w:val="left"/>
        </w:tabs>
        <w:numPr>
          <w:ilvl w:val="0"/>
          <w:numId w:val="10"/>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auto"/>
        </w:rPr>
        <w:t>our existing arrangements are or contain leases;</w:t>
      </w:r>
    </w:p>
    <w:p>
      <w:pPr>
        <w:spacing w:after="0" w:line="27" w:lineRule="exact"/>
        <w:rPr>
          <w:rFonts w:ascii="Times New Roman" w:cs="Times New Roman" w:eastAsia="Times New Roman" w:hAnsi="Times New Roman"/>
          <w:sz w:val="18"/>
          <w:szCs w:val="18"/>
          <w:color w:val="252525"/>
        </w:rPr>
      </w:pPr>
    </w:p>
    <w:p>
      <w:pPr>
        <w:ind w:left="1260" w:hanging="375"/>
        <w:spacing w:after="0"/>
        <w:tabs>
          <w:tab w:leader="none" w:pos="1260" w:val="left"/>
        </w:tabs>
        <w:numPr>
          <w:ilvl w:val="0"/>
          <w:numId w:val="10"/>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auto"/>
        </w:rPr>
        <w:t>our existing arrangements are operating or finance leases; and</w:t>
      </w:r>
    </w:p>
    <w:p>
      <w:pPr>
        <w:spacing w:after="0" w:line="9" w:lineRule="exact"/>
        <w:rPr>
          <w:rFonts w:ascii="Times New Roman" w:cs="Times New Roman" w:eastAsia="Times New Roman" w:hAnsi="Times New Roman"/>
          <w:sz w:val="18"/>
          <w:szCs w:val="18"/>
          <w:color w:val="252525"/>
        </w:rPr>
      </w:pPr>
    </w:p>
    <w:p>
      <w:pPr>
        <w:ind w:left="1260" w:hanging="375"/>
        <w:spacing w:after="0"/>
        <w:tabs>
          <w:tab w:leader="none" w:pos="1260" w:val="left"/>
        </w:tabs>
        <w:numPr>
          <w:ilvl w:val="0"/>
          <w:numId w:val="10"/>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auto"/>
        </w:rPr>
        <w:t>to capitalize initial direct costs.</w:t>
      </w:r>
    </w:p>
    <w:p>
      <w:pPr>
        <w:spacing w:after="0" w:line="9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 xml:space="preserve">The adoption of the new guidance resulted in the recognition of operating lease assets of approximately $21.0 million and operating lease liabilities of approximately $22.0 million, which were measured by the present value of the remaining minimum lease payments. In accordance with the guidance, the Company elected the practical expedient to exclude from the measurement of the operating lease assets and lease liabilities leases with a remaining term less than one year. The Company also elected the practical expedient that allows lessees the option to account for lease and non-lease components together as a single component for all real estate classes of underlying assets. At adoption, in the condensed consolidated balance sheet, we also reclassified deferred rent of approximately $1.0 million for operating leases at the end of the fiscal year ended December 31, 2021 from other current liabilities (current portion) and other long-term liabilities (non-current portion) to current portion of operating lease liabilities and long-term portion of operating lease liabilities, respectively. </w:t>
      </w:r>
      <w:r>
        <w:rPr>
          <w:rFonts w:ascii="Times New Roman" w:cs="Times New Roman" w:eastAsia="Times New Roman" w:hAnsi="Times New Roman"/>
          <w:sz w:val="18"/>
          <w:szCs w:val="18"/>
          <w:color w:val="252525"/>
        </w:rPr>
        <w:t>The impact on the Company’s condensed consolidated statements of income and cash flows was not material.</w:t>
      </w:r>
    </w:p>
    <w:p>
      <w:pPr>
        <w:spacing w:after="0" w:line="84"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252525"/>
        </w:rPr>
        <w:t>The present value of the lease payments was calculated using the Company’s incremental borrowing rate applicable to the lease, which is determined by estimating what it would cost the Company to borrow a collateralized amount equal to the total lease payments over the lease term based on the contractual terms of the lease and the location of the leased asset.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Arrangements</w:t>
      </w:r>
    </w:p>
    <w:p>
      <w:pPr>
        <w:spacing w:after="0" w:line="119"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its office space, which have remaining lease terms of up to nine years. The Company does not have finance leases. The Company did not enter into any leases during the three and six months ended June 30, 2022.</w:t>
      </w:r>
    </w:p>
    <w:p>
      <w:pPr>
        <w:spacing w:after="0" w:line="54"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8"/>
          <w:szCs w:val="18"/>
          <w:color w:val="auto"/>
        </w:rPr>
        <w:t>We determine whether an arrangement is a lease at the contract inception date. Our leases may require us to make fixed rental payments or variable lease payments, which are based on a variety of factors including property values, tax and utility rates, property services fees, and other factors. Since these costs are variable in nature, they are excluded from the measurement of the reported operating lease assets and liabilities and are expensed as incurred. The Company records rent expense for operating leases, some of which have escalating rent payments, on a straight-line basis over the lease term.</w:t>
      </w:r>
    </w:p>
    <w:p>
      <w:pPr>
        <w:spacing w:after="0" w:line="72"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Some of our leases include renewal options to extend the leases for up to five years and/or termination options to terminate the leases within one year. If it is reasonably certain that a renewal or termination option will be exercised, the exercise of the option is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tabular dollars in thousands, except for per share data)</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considered in calculating the term of the lease. As of June 30, 2022, our operating leases had a weighted-average remaining lease term of approximately eight years and a weighted-average incremental borrowing rate of 2.9%.</w:t>
      </w:r>
    </w:p>
    <w:p>
      <w:pPr>
        <w:spacing w:after="0" w:line="54"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As of June 30, 2022, the Company had entered into an operating lease with total estimated future lease payments of $3.6 million that had not yet commenced and therefore is not included in the measurement of the operating right-of-use asset and operating lease liability on the condensed consolidated balance sheet. The lease commenced in the third quarter of fiscal 2022.</w:t>
      </w:r>
    </w:p>
    <w:p>
      <w:pPr>
        <w:spacing w:after="0" w:line="68"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operating lease liabilities was $0.7 million and $1.3 million for the three and six months ended June 30, 2022, respectively.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8"/>
                <w:szCs w:val="18"/>
                <w:color w:val="auto"/>
              </w:rPr>
            </w:pP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00" w:type="dxa"/>
            <w:vAlign w:val="bottom"/>
          </w:tcPr>
          <w:p>
            <w:pPr>
              <w:spacing w:after="0"/>
              <w:rPr>
                <w:sz w:val="20"/>
                <w:szCs w:val="20"/>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23"/>
        </w:trPr>
        <w:tc>
          <w:tcPr>
            <w:tcW w:w="33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94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920" w:type="dxa"/>
            <w:vAlign w:val="bottom"/>
            <w:tcBorders>
              <w:top w:val="single" w:sz="8" w:color="auto"/>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0" w:type="dxa"/>
            <w:vAlign w:val="bottom"/>
            <w:tcBorders>
              <w:bottom w:val="single" w:sz="8" w:color="CFF0FC"/>
            </w:tcBorders>
          </w:tcPr>
          <w:p>
            <w:pPr>
              <w:spacing w:after="0"/>
              <w:rPr>
                <w:sz w:val="19"/>
                <w:szCs w:val="19"/>
                <w:color w:val="auto"/>
              </w:rPr>
            </w:pPr>
          </w:p>
        </w:tc>
      </w:tr>
      <w:tr>
        <w:trPr>
          <w:trHeight w:val="223"/>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80" w:type="dxa"/>
            <w:vAlign w:val="bottom"/>
            <w:shd w:val="clear" w:color="auto" w:fill="CFF0FC"/>
          </w:tcPr>
          <w:p>
            <w:pPr>
              <w:spacing w:after="0"/>
              <w:rPr>
                <w:sz w:val="19"/>
                <w:szCs w:val="19"/>
                <w:color w:val="auto"/>
              </w:rPr>
            </w:pPr>
          </w:p>
        </w:tc>
      </w:tr>
      <w:tr>
        <w:trPr>
          <w:trHeight w:val="23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tcPr>
          <w:p>
            <w:pPr>
              <w:spacing w:after="0"/>
              <w:rPr>
                <w:sz w:val="19"/>
                <w:szCs w:val="19"/>
                <w:color w:val="auto"/>
              </w:rPr>
            </w:pPr>
          </w:p>
        </w:tc>
      </w:tr>
      <w:tr>
        <w:trPr>
          <w:trHeight w:val="229"/>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60" w:type="dxa"/>
            <w:vAlign w:val="bottom"/>
            <w:tcBorders>
              <w:bottom w:val="single" w:sz="8" w:color="auto"/>
            </w:tcBorders>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FF0FC"/>
          </w:tcPr>
          <w:p>
            <w:pPr>
              <w:spacing w:after="0"/>
              <w:rPr>
                <w:sz w:val="19"/>
                <w:szCs w:val="19"/>
                <w:color w:val="auto"/>
              </w:rPr>
            </w:pPr>
          </w:p>
        </w:tc>
      </w:tr>
      <w:tr>
        <w:trPr>
          <w:trHeight w:val="22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80" w:type="dxa"/>
            <w:vAlign w:val="bottom"/>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Rent expense on operating leases was $1.0 million and $2.0 million for the three and six months ended June 30, 2021, respectively.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as of June 30, 2022 were as follows:</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As of June 30,</w:t>
            </w:r>
          </w:p>
        </w:tc>
      </w:tr>
      <w:tr>
        <w:trPr>
          <w:trHeight w:val="223"/>
        </w:trPr>
        <w:tc>
          <w:tcPr>
            <w:tcW w:w="5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8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FF0FC"/>
            </w:tcBorders>
          </w:tcPr>
          <w:p>
            <w:pPr>
              <w:spacing w:after="0"/>
              <w:rPr>
                <w:sz w:val="19"/>
                <w:szCs w:val="19"/>
                <w:color w:val="auto"/>
              </w:rPr>
            </w:pPr>
          </w:p>
        </w:tc>
      </w:tr>
      <w:tr>
        <w:trPr>
          <w:trHeight w:val="223"/>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FF0FC"/>
          </w:tcPr>
          <w:p>
            <w:pPr>
              <w:spacing w:after="0"/>
              <w:rPr>
                <w:sz w:val="19"/>
                <w:szCs w:val="19"/>
                <w:color w:val="auto"/>
              </w:rPr>
            </w:pP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80" w:type="dxa"/>
            <w:vAlign w:val="bottom"/>
          </w:tcPr>
          <w:p>
            <w:pPr>
              <w:spacing w:after="0"/>
              <w:rPr>
                <w:sz w:val="19"/>
                <w:szCs w:val="19"/>
                <w:color w:val="auto"/>
              </w:rPr>
            </w:pPr>
          </w:p>
        </w:tc>
      </w:tr>
      <w:tr>
        <w:trPr>
          <w:trHeight w:val="23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80" w:type="dxa"/>
            <w:vAlign w:val="bottom"/>
            <w:shd w:val="clear" w:color="auto" w:fill="CFF0FC"/>
          </w:tcPr>
          <w:p>
            <w:pPr>
              <w:spacing w:after="0"/>
              <w:rPr>
                <w:sz w:val="19"/>
                <w:szCs w:val="19"/>
                <w:color w:val="auto"/>
              </w:rPr>
            </w:pP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80" w:type="dxa"/>
            <w:vAlign w:val="bottom"/>
          </w:tcPr>
          <w:p>
            <w:pPr>
              <w:spacing w:after="0"/>
              <w:rPr>
                <w:sz w:val="19"/>
                <w:szCs w:val="19"/>
                <w:color w:val="auto"/>
              </w:rPr>
            </w:pPr>
          </w:p>
        </w:tc>
      </w:tr>
      <w:tr>
        <w:trPr>
          <w:trHeight w:val="23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80" w:type="dxa"/>
            <w:vAlign w:val="bottom"/>
            <w:shd w:val="clear" w:color="auto" w:fill="CFF0FC"/>
          </w:tcPr>
          <w:p>
            <w:pPr>
              <w:spacing w:after="0"/>
              <w:rPr>
                <w:sz w:val="19"/>
                <w:szCs w:val="19"/>
                <w:color w:val="auto"/>
              </w:rPr>
            </w:pPr>
          </w:p>
        </w:tc>
      </w:tr>
      <w:tr>
        <w:trPr>
          <w:trHeight w:val="230"/>
        </w:trPr>
        <w:tc>
          <w:tcPr>
            <w:tcW w:w="5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13,739</w:t>
            </w:r>
          </w:p>
        </w:tc>
        <w:tc>
          <w:tcPr>
            <w:tcW w:w="80" w:type="dxa"/>
            <w:vAlign w:val="bottom"/>
            <w:tcBorders>
              <w:bottom w:val="single" w:sz="8" w:color="CFF0FC"/>
            </w:tcBorders>
          </w:tcPr>
          <w:p>
            <w:pPr>
              <w:spacing w:after="0"/>
              <w:rPr>
                <w:sz w:val="19"/>
                <w:szCs w:val="19"/>
                <w:color w:val="auto"/>
              </w:rPr>
            </w:pPr>
          </w:p>
        </w:tc>
      </w:tr>
      <w:tr>
        <w:trPr>
          <w:trHeight w:val="223"/>
        </w:trPr>
        <w:tc>
          <w:tcPr>
            <w:tcW w:w="5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undiscounted future lease payments</w:t>
            </w:r>
          </w:p>
        </w:tc>
        <w:tc>
          <w:tcPr>
            <w:tcW w:w="2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27,479</w:t>
            </w:r>
          </w:p>
        </w:tc>
        <w:tc>
          <w:tcPr>
            <w:tcW w:w="80" w:type="dxa"/>
            <w:vAlign w:val="bottom"/>
            <w:shd w:val="clear" w:color="auto" w:fill="CFF0FC"/>
          </w:tcPr>
          <w:p>
            <w:pPr>
              <w:spacing w:after="0"/>
              <w:rPr>
                <w:sz w:val="19"/>
                <w:szCs w:val="19"/>
                <w:color w:val="auto"/>
              </w:rPr>
            </w:pP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Less: Commitments for leases not yet commenced</w:t>
            </w: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80" w:type="dxa"/>
            <w:vAlign w:val="bottom"/>
          </w:tcPr>
          <w:p>
            <w:pPr>
              <w:spacing w:after="0"/>
              <w:rPr>
                <w:sz w:val="19"/>
                <w:szCs w:val="19"/>
                <w:color w:val="auto"/>
              </w:rPr>
            </w:pPr>
          </w:p>
        </w:tc>
      </w:tr>
      <w:tr>
        <w:trPr>
          <w:trHeight w:val="23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80" w:type="dxa"/>
            <w:vAlign w:val="bottom"/>
            <w:shd w:val="clear" w:color="auto" w:fill="CFF0FC"/>
          </w:tcPr>
          <w:p>
            <w:pPr>
              <w:spacing w:after="0"/>
              <w:rPr>
                <w:sz w:val="19"/>
                <w:szCs w:val="19"/>
                <w:color w:val="auto"/>
              </w:rPr>
            </w:pPr>
          </w:p>
        </w:tc>
      </w:tr>
      <w:tr>
        <w:trPr>
          <w:trHeight w:val="223"/>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21,008</w:t>
            </w:r>
          </w:p>
        </w:tc>
        <w:tc>
          <w:tcPr>
            <w:tcW w:w="80" w:type="dxa"/>
            <w:vAlign w:val="bottom"/>
          </w:tcPr>
          <w:p>
            <w:pPr>
              <w:spacing w:after="0"/>
              <w:rPr>
                <w:sz w:val="19"/>
                <w:szCs w:val="19"/>
                <w:color w:val="auto"/>
              </w:rPr>
            </w:pPr>
          </w:p>
        </w:tc>
      </w:tr>
      <w:tr>
        <w:trPr>
          <w:trHeight w:val="22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Operating lease liabilities, current</w:t>
            </w:r>
          </w:p>
        </w:tc>
        <w:tc>
          <w:tcPr>
            <w:tcW w:w="28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shd w:val="clear" w:color="auto" w:fill="CFF0FC"/>
          </w:tcPr>
          <w:p>
            <w:pPr>
              <w:spacing w:after="0"/>
              <w:rPr>
                <w:sz w:val="19"/>
                <w:szCs w:val="19"/>
                <w:color w:val="auto"/>
              </w:rPr>
            </w:pPr>
          </w:p>
        </w:tc>
      </w:tr>
      <w:tr>
        <w:trPr>
          <w:trHeight w:val="223"/>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18,994</w:t>
            </w:r>
          </w:p>
        </w:tc>
        <w:tc>
          <w:tcPr>
            <w:tcW w:w="8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Disclosures related to periods prior to the adoption of ASC 842</w:t>
      </w:r>
    </w:p>
    <w:p>
      <w:pPr>
        <w:spacing w:after="0" w:line="121"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Future minimum payments under the Company’s non-cancelable operating leases, primarily related to office space, as of December 31, 2021 are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4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24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13,739</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payments</w:t>
            </w:r>
          </w:p>
        </w:tc>
        <w:tc>
          <w:tcPr>
            <w:tcW w:w="24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29,756</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80" w:type="dxa"/>
            <w:vAlign w:val="bottom"/>
            <w:vMerge w:val="restart"/>
          </w:tcPr>
          <w:p>
            <w:pPr>
              <w:jc w:val="right"/>
              <w:ind w:right="1210"/>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tabular dollars in thousands, except for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hanging="212"/>
        <w:spacing w:after="0"/>
        <w:tabs>
          <w:tab w:leader="none" w:pos="220" w:val="left"/>
        </w:tabs>
        <w:numPr>
          <w:ilvl w:val="0"/>
          <w:numId w:val="11"/>
        </w:numPr>
        <w:rPr>
          <w:rFonts w:ascii="Times New Roman" w:cs="Times New Roman" w:eastAsia="Times New Roman" w:hAnsi="Times New Roman"/>
          <w:sz w:val="22"/>
          <w:szCs w:val="22"/>
          <w:b w:val="1"/>
          <w:bCs w:val="1"/>
          <w:color w:val="231F20"/>
        </w:rPr>
      </w:pPr>
      <w:r>
        <w:rPr>
          <w:rFonts w:ascii="Times New Roman" w:cs="Times New Roman" w:eastAsia="Times New Roman" w:hAnsi="Times New Roman"/>
          <w:sz w:val="22"/>
          <w:szCs w:val="22"/>
          <w:b w:val="1"/>
          <w:bCs w:val="1"/>
          <w:i w:val="1"/>
          <w:iCs w:val="1"/>
          <w:color w:val="231F20"/>
        </w:rPr>
        <w:t>Intangible Assets, Net</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balances of intangible assets and accumulated amortization are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June 30, 2022</w:t>
            </w:r>
          </w:p>
        </w:tc>
        <w:tc>
          <w:tcPr>
            <w:tcW w:w="1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1"/>
        </w:trPr>
        <w:tc>
          <w:tcPr>
            <w:tcW w:w="2620" w:type="dxa"/>
            <w:vAlign w:val="bottom"/>
          </w:tcPr>
          <w:p>
            <w:pPr>
              <w:spacing w:after="0"/>
              <w:rPr>
                <w:sz w:val="17"/>
                <w:szCs w:val="17"/>
                <w:color w:val="auto"/>
              </w:rPr>
            </w:pPr>
          </w:p>
        </w:tc>
        <w:tc>
          <w:tcPr>
            <w:tcW w:w="2360" w:type="dxa"/>
            <w:vAlign w:val="bottom"/>
          </w:tcPr>
          <w:p>
            <w:pPr>
              <w:jc w:val="right"/>
              <w:ind w:right="330"/>
              <w:spacing w:after="0" w:line="201" w:lineRule="exact"/>
              <w:rPr>
                <w:sz w:val="20"/>
                <w:szCs w:val="20"/>
                <w:color w:val="auto"/>
              </w:rPr>
            </w:pPr>
            <w:r>
              <w:rPr>
                <w:rFonts w:ascii="Times New Roman" w:cs="Times New Roman" w:eastAsia="Times New Roman" w:hAnsi="Times New Roman"/>
                <w:sz w:val="18"/>
                <w:szCs w:val="18"/>
                <w:b w:val="1"/>
                <w:bCs w:val="1"/>
                <w:color w:val="auto"/>
              </w:rPr>
              <w:t>Remaining Weighted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70"/>
              <w:spacing w:after="0" w:line="201" w:lineRule="exact"/>
              <w:rPr>
                <w:sz w:val="20"/>
                <w:szCs w:val="20"/>
                <w:color w:val="auto"/>
              </w:rPr>
            </w:pPr>
            <w:r>
              <w:rPr>
                <w:rFonts w:ascii="Times New Roman" w:cs="Times New Roman" w:eastAsia="Times New Roman" w:hAnsi="Times New Roman"/>
                <w:sz w:val="18"/>
                <w:szCs w:val="18"/>
                <w:b w:val="1"/>
                <w:bCs w:val="1"/>
                <w:color w:val="auto"/>
                <w:w w:val="99"/>
              </w:rPr>
              <w:t>Net Carrying</w:t>
            </w:r>
          </w:p>
        </w:tc>
        <w:tc>
          <w:tcPr>
            <w:tcW w:w="120" w:type="dxa"/>
            <w:vAlign w:val="bottom"/>
          </w:tcPr>
          <w:p>
            <w:pPr>
              <w:spacing w:after="0"/>
              <w:rPr>
                <w:sz w:val="17"/>
                <w:szCs w:val="17"/>
                <w:color w:val="auto"/>
              </w:rPr>
            </w:pPr>
          </w:p>
        </w:tc>
      </w:tr>
      <w:tr>
        <w:trPr>
          <w:trHeight w:val="238"/>
        </w:trPr>
        <w:tc>
          <w:tcPr>
            <w:tcW w:w="2620" w:type="dxa"/>
            <w:vAlign w:val="bottom"/>
          </w:tcPr>
          <w:p>
            <w:pPr>
              <w:spacing w:after="0"/>
              <w:rPr>
                <w:sz w:val="20"/>
                <w:szCs w:val="20"/>
                <w:color w:val="auto"/>
              </w:rPr>
            </w:pPr>
          </w:p>
        </w:tc>
        <w:tc>
          <w:tcPr>
            <w:tcW w:w="2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Average Useful Life (years)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2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360" w:type="dxa"/>
            <w:vAlign w:val="bottom"/>
            <w:tcBorders>
              <w:top w:val="single" w:sz="8" w:color="auto"/>
            </w:tcBorders>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87"/>
              </w:rPr>
              <w:t>(4,518)</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36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(1,780)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Pr>
          <w:p>
            <w:pPr>
              <w:spacing w:after="0"/>
              <w:rPr>
                <w:sz w:val="19"/>
                <w:szCs w:val="19"/>
                <w:color w:val="auto"/>
              </w:rPr>
            </w:pPr>
          </w:p>
        </w:tc>
      </w:tr>
      <w:tr>
        <w:trPr>
          <w:trHeight w:val="229"/>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Trademarks/tradenames</w:t>
            </w:r>
          </w:p>
        </w:tc>
        <w:tc>
          <w:tcPr>
            <w:tcW w:w="2360" w:type="dxa"/>
            <w:vAlign w:val="bottom"/>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(1,107)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shd w:val="clear" w:color="auto" w:fill="CFF0FC"/>
          </w:tcPr>
          <w:p>
            <w:pPr>
              <w:spacing w:after="0"/>
              <w:rPr>
                <w:sz w:val="19"/>
                <w:szCs w:val="19"/>
                <w:color w:val="auto"/>
              </w:rPr>
            </w:pPr>
          </w:p>
        </w:tc>
      </w:tr>
      <w:tr>
        <w:trPr>
          <w:trHeight w:val="22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87"/>
              </w:rPr>
              <w:t>(7,405)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20" w:type="dxa"/>
            <w:vAlign w:val="bottom"/>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1"/>
        </w:trPr>
        <w:tc>
          <w:tcPr>
            <w:tcW w:w="2620" w:type="dxa"/>
            <w:vAlign w:val="bottom"/>
          </w:tcPr>
          <w:p>
            <w:pPr>
              <w:spacing w:after="0"/>
              <w:rPr>
                <w:sz w:val="17"/>
                <w:szCs w:val="17"/>
                <w:color w:val="auto"/>
              </w:rPr>
            </w:pPr>
          </w:p>
        </w:tc>
        <w:tc>
          <w:tcPr>
            <w:tcW w:w="2260" w:type="dxa"/>
            <w:vAlign w:val="bottom"/>
          </w:tcPr>
          <w:p>
            <w:pPr>
              <w:jc w:val="right"/>
              <w:ind w:right="230"/>
              <w:spacing w:after="0" w:line="201" w:lineRule="exact"/>
              <w:rPr>
                <w:sz w:val="20"/>
                <w:szCs w:val="20"/>
                <w:color w:val="auto"/>
              </w:rPr>
            </w:pPr>
            <w:r>
              <w:rPr>
                <w:rFonts w:ascii="Times New Roman" w:cs="Times New Roman" w:eastAsia="Times New Roman" w:hAnsi="Times New Roman"/>
                <w:sz w:val="18"/>
                <w:szCs w:val="18"/>
                <w:b w:val="1"/>
                <w:bCs w:val="1"/>
                <w:color w:val="auto"/>
              </w:rPr>
              <w:t>Remaining Weighted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70"/>
              <w:spacing w:after="0" w:line="201" w:lineRule="exact"/>
              <w:rPr>
                <w:sz w:val="20"/>
                <w:szCs w:val="20"/>
                <w:color w:val="auto"/>
              </w:rPr>
            </w:pPr>
            <w:r>
              <w:rPr>
                <w:rFonts w:ascii="Times New Roman" w:cs="Times New Roman" w:eastAsia="Times New Roman" w:hAnsi="Times New Roman"/>
                <w:sz w:val="18"/>
                <w:szCs w:val="18"/>
                <w:b w:val="1"/>
                <w:bCs w:val="1"/>
                <w:color w:val="auto"/>
                <w:w w:val="99"/>
              </w:rPr>
              <w:t>Net Carrying</w:t>
            </w:r>
          </w:p>
        </w:tc>
        <w:tc>
          <w:tcPr>
            <w:tcW w:w="120" w:type="dxa"/>
            <w:vAlign w:val="bottom"/>
          </w:tcPr>
          <w:p>
            <w:pPr>
              <w:spacing w:after="0"/>
              <w:rPr>
                <w:sz w:val="17"/>
                <w:szCs w:val="17"/>
                <w:color w:val="auto"/>
              </w:rPr>
            </w:pPr>
          </w:p>
        </w:tc>
      </w:tr>
      <w:tr>
        <w:trPr>
          <w:trHeight w:val="238"/>
        </w:trPr>
        <w:tc>
          <w:tcPr>
            <w:tcW w:w="262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Average Useful Life (years)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2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260" w:type="dxa"/>
            <w:vAlign w:val="bottom"/>
            <w:tcBorders>
              <w:top w:val="single" w:sz="8" w:color="auto"/>
            </w:tcBorders>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87"/>
              </w:rPr>
              <w:t>(4,169)</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26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(1,615)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Pr>
          <w:p>
            <w:pPr>
              <w:spacing w:after="0"/>
              <w:rPr>
                <w:sz w:val="19"/>
                <w:szCs w:val="19"/>
                <w:color w:val="auto"/>
              </w:rPr>
            </w:pPr>
          </w:p>
        </w:tc>
      </w:tr>
      <w:tr>
        <w:trPr>
          <w:trHeight w:val="230"/>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Trademarks/tradenames</w:t>
            </w:r>
          </w:p>
        </w:tc>
        <w:tc>
          <w:tcPr>
            <w:tcW w:w="2260" w:type="dxa"/>
            <w:vAlign w:val="bottom"/>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(1,057)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FF0FC"/>
          </w:tcPr>
          <w:p>
            <w:pPr>
              <w:spacing w:after="0"/>
              <w:rPr>
                <w:sz w:val="19"/>
                <w:szCs w:val="19"/>
                <w:color w:val="auto"/>
              </w:rPr>
            </w:pPr>
          </w:p>
        </w:tc>
      </w:tr>
      <w:tr>
        <w:trPr>
          <w:trHeight w:val="22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87"/>
              </w:rPr>
              <w:t>(6,841)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20" w:type="dxa"/>
            <w:vAlign w:val="bottom"/>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of intangible assets recorded in the condensed consolidated statements of operations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60" w:type="dxa"/>
            <w:vAlign w:val="bottom"/>
            <w:gridSpan w:val="4"/>
          </w:tcPr>
          <w:p>
            <w:pPr>
              <w:jc w:val="right"/>
              <w:ind w:right="316"/>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Pr>
          <w:p>
            <w:pPr>
              <w:spacing w:after="0"/>
              <w:rPr>
                <w:sz w:val="19"/>
                <w:szCs w:val="19"/>
                <w:color w:val="auto"/>
              </w:rPr>
            </w:pPr>
          </w:p>
        </w:tc>
        <w:tc>
          <w:tcPr>
            <w:tcW w:w="1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0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0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8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20" w:type="dxa"/>
            <w:vAlign w:val="bottom"/>
            <w:tcBorders>
              <w:bottom w:val="single" w:sz="8" w:color="CFF0FC"/>
              <w:right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gridSpan w:val="6"/>
          </w:tcPr>
          <w:p>
            <w:pPr>
              <w:jc w:val="right"/>
              <w:ind w:right="30"/>
              <w:spacing w:after="0"/>
              <w:rPr>
                <w:sz w:val="20"/>
                <w:szCs w:val="20"/>
                <w:color w:val="auto"/>
              </w:rPr>
            </w:pPr>
            <w:r>
              <w:rPr>
                <w:rFonts w:ascii="Times New Roman" w:cs="Times New Roman" w:eastAsia="Times New Roman" w:hAnsi="Times New Roman"/>
                <w:sz w:val="18"/>
                <w:szCs w:val="18"/>
                <w:color w:val="231F20"/>
              </w:rPr>
              <w:t xml:space="preserve">Estimated future </w:t>
            </w:r>
            <w:r>
              <w:rPr>
                <w:rFonts w:ascii="Times New Roman" w:cs="Times New Roman" w:eastAsia="Times New Roman" w:hAnsi="Times New Roman"/>
                <w:sz w:val="18"/>
                <w:szCs w:val="18"/>
                <w:color w:val="000000"/>
              </w:rPr>
              <w:t>amortization</w:t>
            </w:r>
            <w:r>
              <w:rPr>
                <w:rFonts w:ascii="Times New Roman" w:cs="Times New Roman" w:eastAsia="Times New Roman" w:hAnsi="Times New Roman"/>
                <w:sz w:val="18"/>
                <w:szCs w:val="18"/>
                <w:color w:val="231F20"/>
              </w:rPr>
              <w:t xml:space="preserve"> of intangible assets is as follows: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08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Remainder of 2022</w:t>
            </w:r>
          </w:p>
        </w:tc>
        <w:tc>
          <w:tcPr>
            <w:tcW w:w="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555</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spacing w:after="0"/>
              <w:rPr>
                <w:sz w:val="19"/>
                <w:szCs w:val="19"/>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467</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spacing w:after="0"/>
              <w:rPr>
                <w:sz w:val="19"/>
                <w:szCs w:val="19"/>
                <w:color w:val="auto"/>
              </w:rPr>
            </w:pPr>
          </w:p>
        </w:tc>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gridSpan w:val="2"/>
          </w:tcPr>
          <w:p>
            <w:pPr>
              <w:spacing w:after="0"/>
              <w:rPr>
                <w:sz w:val="19"/>
                <w:szCs w:val="19"/>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spacing w:after="0"/>
              <w:rPr>
                <w:sz w:val="19"/>
                <w:szCs w:val="19"/>
                <w:color w:val="auto"/>
              </w:rPr>
            </w:pPr>
          </w:p>
        </w:tc>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1,222</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gridSpan w:val="2"/>
            <w:vMerge w:val="restart"/>
          </w:tcPr>
          <w:p>
            <w:pPr>
              <w:jc w:val="right"/>
              <w:ind w:right="756"/>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tabular dollars in thousands, except for per share data)</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 xml:space="preserve">7. </w:t>
      </w:r>
      <w:r>
        <w:rPr>
          <w:rFonts w:ascii="Times New Roman" w:cs="Times New Roman" w:eastAsia="Times New Roman" w:hAnsi="Times New Roman"/>
          <w:sz w:val="22"/>
          <w:szCs w:val="22"/>
          <w:b w:val="1"/>
          <w:bCs w:val="1"/>
          <w:i w:val="1"/>
          <w:iCs w:val="1"/>
          <w:color w:val="231F20"/>
        </w:rPr>
        <w:t>Accrued Liabilities</w:t>
      </w:r>
    </w:p>
    <w:p>
      <w:pPr>
        <w:spacing w:after="0" w:line="113"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The Company’s accrued liabilities consisted of the following:</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1"/>
        </w:trPr>
        <w:tc>
          <w:tcPr>
            <w:tcW w:w="6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620" w:type="dxa"/>
            <w:vAlign w:val="bottom"/>
          </w:tcPr>
          <w:p>
            <w:pPr>
              <w:spacing w:after="0"/>
              <w:rPr>
                <w:sz w:val="19"/>
                <w:szCs w:val="19"/>
                <w:color w:val="auto"/>
              </w:rPr>
            </w:pPr>
          </w:p>
        </w:tc>
        <w:tc>
          <w:tcPr>
            <w:tcW w:w="46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traffic acquisition costs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30,942</w:t>
            </w:r>
          </w:p>
        </w:tc>
        <w:tc>
          <w:tcPr>
            <w:tcW w:w="100" w:type="dxa"/>
            <w:vAlign w:val="bottom"/>
            <w:shd w:val="clear" w:color="auto" w:fill="CFF0FC"/>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4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00" w:type="dxa"/>
            <w:vAlign w:val="bottom"/>
            <w:tcBorders>
              <w:bottom w:val="single" w:sz="8" w:color="CFF0FC"/>
            </w:tcBorders>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4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31,558</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34,086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510"/>
        <w:spacing w:after="0" w:line="289" w:lineRule="auto"/>
        <w:rPr>
          <w:sz w:val="20"/>
          <w:szCs w:val="20"/>
          <w:color w:val="auto"/>
        </w:rPr>
      </w:pPr>
      <w:r>
        <w:rPr>
          <w:rFonts w:ascii="Times New Roman" w:cs="Times New Roman" w:eastAsia="Times New Roman" w:hAnsi="Times New Roman"/>
          <w:sz w:val="17"/>
          <w:szCs w:val="17"/>
          <w:color w:val="auto"/>
        </w:rPr>
        <w:t>As of June 30, 2022 and December 31, 2021, the Company had a balance of $0.8 million and $0.3 million, respectively, payable to related parties for expenses they incurred on our behalf. This balance is recorded within accrued liabilities in the condensed consolidated balance sheets. The related expense incurred by the Company was $0.4 million for the three and six months ended June 30, 2022 and de minimis for the same periods in the prior year.</w:t>
      </w:r>
    </w:p>
    <w:p>
      <w:pPr>
        <w:spacing w:after="0" w:line="251" w:lineRule="exact"/>
        <w:rPr>
          <w:sz w:val="20"/>
          <w:szCs w:val="20"/>
          <w:color w:val="auto"/>
        </w:rPr>
      </w:pPr>
    </w:p>
    <w:p>
      <w:pPr>
        <w:ind w:left="220" w:hanging="212"/>
        <w:spacing w:after="0"/>
        <w:tabs>
          <w:tab w:leader="none" w:pos="220" w:val="left"/>
        </w:tabs>
        <w:numPr>
          <w:ilvl w:val="0"/>
          <w:numId w:val="12"/>
        </w:numPr>
        <w:rPr>
          <w:rFonts w:ascii="Times New Roman" w:cs="Times New Roman" w:eastAsia="Times New Roman" w:hAnsi="Times New Roman"/>
          <w:sz w:val="22"/>
          <w:szCs w:val="22"/>
          <w:b w:val="1"/>
          <w:bCs w:val="1"/>
          <w:color w:val="231F20"/>
        </w:rPr>
      </w:pPr>
      <w:r>
        <w:rPr>
          <w:rFonts w:ascii="Times New Roman" w:cs="Times New Roman" w:eastAsia="Times New Roman" w:hAnsi="Times New Roman"/>
          <w:sz w:val="22"/>
          <w:szCs w:val="22"/>
          <w:b w:val="1"/>
          <w:bCs w:val="1"/>
          <w:i w:val="1"/>
          <w:iCs w:val="1"/>
          <w:color w:val="231F20"/>
        </w:rPr>
        <w:t>Revolving Credit Facility and PPP Loan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231F20"/>
        </w:rPr>
        <w:t>On October 31, 2019, we entered into an asset-based revolving credit and security agreement (the “Loan Agreement”) with PNC Bank, National Association (“PNC Bank”). The Loan Agreement provides a senior secured revolving credit facility of up to $40.0 million with a maturity date of October 31, 2024. The Loan Agreement is collateralized by security interests in substantially all of our assets.</w:t>
      </w:r>
    </w:p>
    <w:p>
      <w:pPr>
        <w:spacing w:after="0" w:line="68" w:lineRule="exact"/>
        <w:rPr>
          <w:sz w:val="20"/>
          <w:szCs w:val="20"/>
          <w:color w:val="auto"/>
        </w:rPr>
      </w:pPr>
    </w:p>
    <w:p>
      <w:pPr>
        <w:ind w:right="260" w:firstLine="510"/>
        <w:spacing w:after="0" w:line="254" w:lineRule="auto"/>
        <w:rPr>
          <w:sz w:val="20"/>
          <w:szCs w:val="20"/>
          <w:color w:val="auto"/>
        </w:rPr>
      </w:pPr>
      <w:r>
        <w:rPr>
          <w:rFonts w:ascii="Times New Roman" w:cs="Times New Roman" w:eastAsia="Times New Roman" w:hAnsi="Times New Roman"/>
          <w:sz w:val="18"/>
          <w:szCs w:val="18"/>
          <w:color w:val="231F20"/>
        </w:rPr>
        <w:t>Advances under the Loan Agreement bear interest through maturity at a variable rate based upon our selection of either a Domestic Rate or a LIBOR Rate, plus an applicable margin (“Domestic Rate Loans” and “LIBOR Rate Loans”). The Domestic Rate is defined as a fluctuating interest rate equal to the greater of (1) the base commercial lending rate of PNC Bank, (2) the overnight federal funds rate plus 0.50% and (3) the Daily LIBOR Rate plus 1.00%. The effective weighted average interest rate for the three and six months ended June 30, 2022 was 2.33% and 2.01%, respectively. The applicable margin as of June 30, 2022 was equal to 0.75% for Domestic Rate Loans and 1.75% for LIBOR Rate Loans. The applicable margin that commenced October 15, 2021 is between 0.75% to 1.25% for Domestic Rate Loans and between 1.75% and 2.25% for LIBOR Rate Loans based on maintaining certain undrawn availability ratios. The facility fee for undrawn amounts under the Loan Agreement is 0.375% per annum. We will also be required to pay customary letter of credit fees, as necessary.</w:t>
      </w:r>
    </w:p>
    <w:p>
      <w:pPr>
        <w:spacing w:after="0" w:line="84"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231F20"/>
        </w:rPr>
        <w:t>The Loan Agreement contains customary conditions to borrowings, events of default and covenants, including covenants that restrict our ability to sell assets, make changes to the nature of the business, engage in mergers or acquisitions, incur, assume or permit to exist additional indebtedness and guarantees, create or permit to exist liens, pay dividends, issue equity instruments, make distributions or redeem or repurchase capital stock or make other investments, and engage in transactions with affiliates. The Loan Agreement also requires that we maintain compliance with a minimum Fixed Charge Coverage Ratio (as defined in the Loan Agreement) of 1.40 to 1.00 at any time undrawn availability under the Loan Agreement is less than 25%. As of June 30, 2022, we were in compliance with all covenants.</w:t>
      </w:r>
    </w:p>
    <w:p>
      <w:pPr>
        <w:spacing w:after="0" w:line="79"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On May 6, 2022, the Company fully paid off the outstanding balance of advances under the revolving credit facility, and the carrying value as of June 30, 2022 was zero.</w:t>
      </w:r>
    </w:p>
    <w:p>
      <w:pPr>
        <w:spacing w:after="0" w:line="54"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231F20"/>
        </w:rPr>
        <w:t xml:space="preserve">The carrying value as of December 31, 2021 was $17.5 million, which was recorded in “Long-term debt” on the condensed consolidated balance sheet and approximated its fair value </w:t>
      </w:r>
      <w:r>
        <w:rPr>
          <w:rFonts w:ascii="Times New Roman" w:cs="Times New Roman" w:eastAsia="Times New Roman" w:hAnsi="Times New Roman"/>
          <w:sz w:val="18"/>
          <w:szCs w:val="18"/>
          <w:color w:val="000000"/>
        </w:rPr>
        <w:t>as the interest rate is variable and approximates prevailing market interest rates for similar debt arrangements. The fair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value of debt was estimated using primarily level 2 inputs including quoted market prices or discounted cash flow analyses, based on estimated incremental borrowing rates for similar types of borrowing arrangements.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PPP Loan</w:t>
      </w:r>
    </w:p>
    <w:p>
      <w:pPr>
        <w:spacing w:after="0" w:line="119" w:lineRule="exact"/>
        <w:rPr>
          <w:sz w:val="20"/>
          <w:szCs w:val="20"/>
          <w:color w:val="auto"/>
        </w:rPr>
      </w:pPr>
    </w:p>
    <w:p>
      <w:pPr>
        <w:ind w:right="260" w:firstLine="510"/>
        <w:spacing w:after="0" w:line="258" w:lineRule="auto"/>
        <w:rPr>
          <w:sz w:val="20"/>
          <w:szCs w:val="20"/>
          <w:color w:val="auto"/>
        </w:rPr>
      </w:pPr>
      <w:r>
        <w:rPr>
          <w:rFonts w:ascii="Times New Roman" w:cs="Times New Roman" w:eastAsia="Times New Roman" w:hAnsi="Times New Roman"/>
          <w:sz w:val="18"/>
          <w:szCs w:val="18"/>
          <w:color w:val="231F20"/>
        </w:rPr>
        <w:t xml:space="preserve">On April 14, 2020, the Company received proceeds from a </w:t>
      </w:r>
      <w:r>
        <w:rPr>
          <w:rFonts w:ascii="Times New Roman" w:cs="Times New Roman" w:eastAsia="Times New Roman" w:hAnsi="Times New Roman"/>
          <w:sz w:val="18"/>
          <w:szCs w:val="18"/>
          <w:color w:val="000000"/>
        </w:rPr>
        <w:t>Paycheck Protection Program Loan (the “</w:t>
      </w:r>
      <w:r>
        <w:rPr>
          <w:rFonts w:ascii="Times New Roman" w:cs="Times New Roman" w:eastAsia="Times New Roman" w:hAnsi="Times New Roman"/>
          <w:sz w:val="18"/>
          <w:szCs w:val="18"/>
          <w:color w:val="231F20"/>
        </w:rPr>
        <w:t xml:space="preserve">PPP Loan”) in the amount of approximately $6.0 million from PNC Bank, as lender, pursuant to the </w:t>
      </w:r>
      <w:r>
        <w:rPr>
          <w:rFonts w:ascii="Times New Roman" w:cs="Times New Roman" w:eastAsia="Times New Roman" w:hAnsi="Times New Roman"/>
          <w:sz w:val="18"/>
          <w:szCs w:val="18"/>
          <w:color w:val="000000"/>
        </w:rPr>
        <w:t>Paycheck Protection Program</w:t>
      </w:r>
      <w:r>
        <w:rPr>
          <w:rFonts w:ascii="Times New Roman" w:cs="Times New Roman" w:eastAsia="Times New Roman" w:hAnsi="Times New Roman"/>
          <w:sz w:val="18"/>
          <w:szCs w:val="18"/>
          <w:color w:val="231F20"/>
        </w:rPr>
        <w:t xml:space="preserve"> of the Coronavirus Aid, Relief, and Economic Security Act (“CARES Act”). The PPP Loan, which was evidenced by a note dated April 11, 2020, bore interest at an annual rate of 1.0% and matured on April 11, 2022. No interest or principal was due during the first fifteen months after April 11, 2020, although interest continued to accrue over this fifteen-month deferral period.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 tabular dollars in thousands, except for per share data)</w:t>
      </w:r>
    </w:p>
    <w:p>
      <w:pPr>
        <w:spacing w:after="0" w:line="207"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231F20"/>
        </w:rPr>
        <w:t xml:space="preserve">Proceeds from loans granted under the CARES Act were to be used for payroll, costs to continue employee group health care benefits, rent, utilities and certain other qualified costs (collectively, “qualifying expenses”). The Company used the PPP Loan proceeds for qualifying expenses. In June 2021, </w:t>
      </w:r>
      <w:r>
        <w:rPr>
          <w:rFonts w:ascii="Times New Roman" w:cs="Times New Roman" w:eastAsia="Times New Roman" w:hAnsi="Times New Roman"/>
          <w:sz w:val="18"/>
          <w:szCs w:val="18"/>
          <w:color w:val="000000"/>
        </w:rPr>
        <w:t>the Company received notice of forgiveness of the PPP Loan in whole, including all accrued unpaid interest. The Company recorded the forgiveness of approximately $6.0 million of principal and $0.1 million of accrued interest in “Gain on extinguishment of debt” in the condensed consolidated statements of operations for the three and six months ended June 30, 2021.</w:t>
      </w:r>
    </w:p>
    <w:p>
      <w:pPr>
        <w:spacing w:after="0" w:line="276" w:lineRule="exact"/>
        <w:rPr>
          <w:sz w:val="20"/>
          <w:szCs w:val="20"/>
          <w:color w:val="auto"/>
        </w:rPr>
      </w:pPr>
    </w:p>
    <w:p>
      <w:pPr>
        <w:ind w:left="220" w:hanging="212"/>
        <w:spacing w:after="0"/>
        <w:tabs>
          <w:tab w:leader="none" w:pos="220" w:val="left"/>
        </w:tabs>
        <w:numPr>
          <w:ilvl w:val="0"/>
          <w:numId w:val="13"/>
        </w:numPr>
        <w:rPr>
          <w:rFonts w:ascii="Times New Roman" w:cs="Times New Roman" w:eastAsia="Times New Roman" w:hAnsi="Times New Roman"/>
          <w:sz w:val="22"/>
          <w:szCs w:val="22"/>
          <w:b w:val="1"/>
          <w:bCs w:val="1"/>
          <w:color w:val="231F20"/>
        </w:rPr>
      </w:pPr>
      <w:r>
        <w:rPr>
          <w:rFonts w:ascii="Times New Roman" w:cs="Times New Roman" w:eastAsia="Times New Roman" w:hAnsi="Times New Roman"/>
          <w:sz w:val="22"/>
          <w:szCs w:val="22"/>
          <w:b w:val="1"/>
          <w:bCs w:val="1"/>
          <w:i w:val="1"/>
          <w:iCs w:val="1"/>
          <w:color w:val="231F20"/>
        </w:rPr>
        <w:t>Stock-Based Compensation</w:t>
      </w:r>
    </w:p>
    <w:p>
      <w:pPr>
        <w:spacing w:after="0" w:line="113"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231F20"/>
        </w:rPr>
        <w:t xml:space="preserve">In connection with the IPO, which occurred on February 12, 2021, the Phantom Unit Plan was replaced by the LTIP. On February 12, 2021, 6.2 million restricted stock units (“RSUs”) were granted under the LTIP. The Company is authorized to grant RSUs, incentive stock options, nonqualified stock options, stock appreciation rights, restricted stock awards, and performance stock awards under its LTIP. As of June 30, 2022, the Company had only granted RSUs and nonqualified stock options under the LTIP. Under the LTIP, </w:t>
      </w:r>
      <w:r>
        <w:rPr>
          <w:rFonts w:ascii="Times New Roman" w:cs="Times New Roman" w:eastAsia="Times New Roman" w:hAnsi="Times New Roman"/>
          <w:sz w:val="18"/>
          <w:szCs w:val="18"/>
          <w:color w:val="000000"/>
        </w:rPr>
        <w:t>3.7</w:t>
      </w:r>
      <w:r>
        <w:rPr>
          <w:rFonts w:ascii="Times New Roman" w:cs="Times New Roman" w:eastAsia="Times New Roman" w:hAnsi="Times New Roman"/>
          <w:sz w:val="18"/>
          <w:szCs w:val="18"/>
          <w:color w:val="231F20"/>
        </w:rPr>
        <w:t xml:space="preserve"> million shares remained available for grant as of June 30, 2022.</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Stock-based compensation recorded in the condensed consolidated statements of operations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00" w:type="dxa"/>
            <w:vAlign w:val="bottom"/>
            <w:gridSpan w:val="5"/>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Pr>
          <w:p>
            <w:pPr>
              <w:spacing w:after="0"/>
              <w:rPr>
                <w:sz w:val="19"/>
                <w:szCs w:val="19"/>
                <w:color w:val="auto"/>
              </w:rPr>
            </w:pPr>
          </w:p>
        </w:tc>
        <w:tc>
          <w:tcPr>
            <w:tcW w:w="110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4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2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29,686</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14,144</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46,777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231F20"/>
              </w:rPr>
              <w:t>RSUs</w:t>
            </w:r>
          </w:p>
        </w:tc>
        <w:tc>
          <w:tcPr>
            <w:tcW w:w="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86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231F20"/>
              </w:rPr>
              <w:t>The following summarizes RSU activity:</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Grant Date Fair Value</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8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outstanding as of December 31, 2021</w:t>
            </w:r>
          </w:p>
        </w:tc>
        <w:tc>
          <w:tcPr>
            <w:tcW w:w="4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80" w:type="dxa"/>
            <w:vAlign w:val="bottom"/>
            <w:tcBorders>
              <w:top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Canceled/forfeited</w:t>
            </w: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8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outstanding as of March 31, 2022</w:t>
            </w:r>
          </w:p>
        </w:tc>
        <w:tc>
          <w:tcPr>
            <w:tcW w:w="4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80" w:type="dxa"/>
            <w:vAlign w:val="bottom"/>
            <w:tcBorders>
              <w:top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Canceled/forfeited</w:t>
            </w: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8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outstanding as of June 30, 2022</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As of June 30, 2022, the Company had unrecognized stock-based compensation relating to RSUs of approximately $60.3 million, which is expected to be recognized over a weighted-average period of 2.8 years.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tabular dollars in thousands, except for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summarizes nonqualified stock option activity: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7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Aggregate Intrinsic</w:t>
            </w:r>
          </w:p>
        </w:tc>
      </w:tr>
      <w:tr>
        <w:trPr>
          <w:trHeight w:val="216"/>
        </w:trPr>
        <w:tc>
          <w:tcPr>
            <w:tcW w:w="3820" w:type="dxa"/>
            <w:vAlign w:val="bottom"/>
          </w:tcPr>
          <w:p>
            <w:pPr>
              <w:spacing w:after="0"/>
              <w:rPr>
                <w:sz w:val="18"/>
                <w:szCs w:val="18"/>
                <w:color w:val="auto"/>
              </w:rPr>
            </w:pPr>
          </w:p>
        </w:tc>
        <w:tc>
          <w:tcPr>
            <w:tcW w:w="1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100" w:type="dxa"/>
            <w:vAlign w:val="bottom"/>
          </w:tcPr>
          <w:p>
            <w:pPr>
              <w:spacing w:after="0"/>
              <w:rPr>
                <w:sz w:val="18"/>
                <w:szCs w:val="18"/>
                <w:color w:val="auto"/>
              </w:rPr>
            </w:pPr>
          </w:p>
        </w:tc>
        <w:tc>
          <w:tcPr>
            <w:tcW w:w="18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18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8"/>
        </w:trPr>
        <w:tc>
          <w:tcPr>
            <w:tcW w:w="3820" w:type="dxa"/>
            <w:vAlign w:val="bottom"/>
          </w:tcPr>
          <w:p>
            <w:pPr>
              <w:spacing w:after="0"/>
              <w:rPr>
                <w:sz w:val="20"/>
                <w:szCs w:val="20"/>
                <w:color w:val="auto"/>
              </w:rPr>
            </w:pPr>
          </w:p>
        </w:tc>
        <w:tc>
          <w:tcPr>
            <w:tcW w:w="18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18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80" w:type="dxa"/>
            <w:vAlign w:val="bottom"/>
          </w:tcPr>
          <w:p>
            <w:pPr>
              <w:spacing w:after="0"/>
              <w:rPr>
                <w:sz w:val="20"/>
                <w:szCs w:val="20"/>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26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Expired</w:t>
            </w:r>
          </w:p>
        </w:tc>
        <w:tc>
          <w:tcPr>
            <w:tcW w:w="1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March 31, 2022</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20" w:type="dxa"/>
            <w:vAlign w:val="bottom"/>
          </w:tcPr>
          <w:p>
            <w:pPr>
              <w:spacing w:after="0"/>
              <w:rPr>
                <w:sz w:val="19"/>
                <w:szCs w:val="19"/>
                <w:color w:val="auto"/>
              </w:rPr>
            </w:pPr>
          </w:p>
        </w:tc>
      </w:tr>
      <w:tr>
        <w:trPr>
          <w:trHeight w:val="23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Canceled</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June 30, 2022</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6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82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10"/>
        </w:trPr>
        <w:tc>
          <w:tcPr>
            <w:tcW w:w="3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82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firstLine="510"/>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the nonqualified stock options granted during the three and six months ended June 30, 2022 was $3.59 and $3.55, respectively. The Company had unrecognized stock-based compensation relating to unvested nonqualified stock options of approximately $13.6 million, which is expected to be recognized over a weighted-average period of 3.7 years, as of June 30, 2022.</w:t>
      </w:r>
    </w:p>
    <w:p>
      <w:pPr>
        <w:spacing w:after="0" w:line="68"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231F20"/>
        </w:rPr>
        <w:t>The following table presents the assumptions used in the Black-Scholes model to determine the fair value of nonqualified stock options for the three and six months ended June 30, 2022 and 2021.</w:t>
      </w:r>
    </w:p>
    <w:p>
      <w:pPr>
        <w:sectPr>
          <w:pgSz w:w="11900" w:h="16838" w:orient="portrait"/>
          <w:cols w:equalWidth="0" w:num="1">
            <w:col w:w="11240"/>
          </w:cols>
          <w:pgMar w:left="320" w:top="117" w:right="339" w:bottom="1440" w:gutter="0" w:footer="0" w:header="0"/>
        </w:sectPr>
      </w:pPr>
    </w:p>
    <w:p>
      <w:pPr>
        <w:spacing w:after="0" w:line="63"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7"/>
          <w:szCs w:val="17"/>
          <w:b w:val="1"/>
          <w:bCs w:val="1"/>
          <w:color w:val="auto"/>
        </w:rPr>
        <w:t>Three and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27305</wp:posOffset>
            </wp:positionV>
            <wp:extent cx="20059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8"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u w:val="single" w:color="auto"/>
          <w:color w:val="auto"/>
        </w:rPr>
        <w:t>Three and Six Months Ended June 30,</w:t>
      </w:r>
    </w:p>
    <w:p>
      <w:pPr>
        <w:spacing w:after="0" w:line="4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31" w:lineRule="exact"/>
        <w:rPr>
          <w:sz w:val="20"/>
          <w:szCs w:val="20"/>
          <w:color w:val="auto"/>
        </w:rPr>
      </w:pPr>
    </w:p>
    <w:p>
      <w:pPr>
        <w:sectPr>
          <w:pgSz w:w="11900" w:h="16838" w:orient="portrait"/>
          <w:cols w:equalWidth="0" w:num="2">
            <w:col w:w="7360" w:space="340"/>
            <w:col w:w="3540"/>
          </w:cols>
          <w:pgMar w:left="320" w:top="117" w:right="339" w:bottom="1440" w:gutter="0" w:footer="0" w:header="0"/>
          <w:type w:val="continuous"/>
        </w:sectPr>
      </w:pPr>
    </w:p>
    <w:tbl>
      <w:tblPr>
        <w:tblLayout w:type="fixed"/>
        <w:tblInd w:w="580" w:type="dxa"/>
        <w:tblCellMar>
          <w:top w:w="0" w:type="dxa"/>
          <w:left w:w="0" w:type="dxa"/>
          <w:bottom w:w="0" w:type="dxa"/>
          <w:right w:w="0" w:type="dxa"/>
        </w:tblCellMar>
      </w:tblP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- 2.0%</w:t>
            </w:r>
          </w:p>
        </w:tc>
        <w:tc>
          <w:tcPr>
            <w:tcW w:w="200" w:type="dxa"/>
            <w:vAlign w:val="bottom"/>
            <w:tcBorders>
              <w:top w:val="single" w:sz="8" w:color="CFF0FC"/>
            </w:tcBorders>
            <w:shd w:val="clear" w:color="auto" w:fill="CFF0FC"/>
          </w:tcPr>
          <w:p>
            <w:pPr>
              <w:spacing w:after="0"/>
              <w:rPr>
                <w:sz w:val="19"/>
                <w:szCs w:val="19"/>
                <w:color w:val="auto"/>
              </w:rPr>
            </w:pPr>
          </w:p>
        </w:tc>
        <w:tc>
          <w:tcPr>
            <w:tcW w:w="30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- 62.7%</w:t>
            </w:r>
          </w:p>
        </w:tc>
        <w:tc>
          <w:tcPr>
            <w:tcW w:w="20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61.1%</w:t>
            </w:r>
          </w:p>
        </w:tc>
      </w:tr>
      <w:tr>
        <w:trPr>
          <w:trHeight w:val="22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- 6.0</w:t>
            </w:r>
          </w:p>
        </w:tc>
        <w:tc>
          <w:tcPr>
            <w:tcW w:w="200" w:type="dxa"/>
            <w:vAlign w:val="bottom"/>
            <w:shd w:val="clear" w:color="auto" w:fill="CFF0FC"/>
          </w:tcPr>
          <w:p>
            <w:pPr>
              <w:spacing w:after="0"/>
              <w:rPr>
                <w:sz w:val="19"/>
                <w:szCs w:val="19"/>
                <w:color w:val="auto"/>
              </w:rPr>
            </w:pPr>
          </w:p>
        </w:tc>
        <w:tc>
          <w:tcPr>
            <w:tcW w:w="3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5.9</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160" w:type="dxa"/>
            <w:vAlign w:val="bottom"/>
            <w:gridSpan w:val="2"/>
          </w:tcPr>
          <w:p>
            <w:pPr>
              <w:jc w:val="right"/>
              <w:ind w:right="1310"/>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w:t>
            </w:r>
          </w:p>
        </w:tc>
      </w:tr>
    </w:tbl>
    <w:p>
      <w:pPr>
        <w:spacing w:after="0" w:line="191" w:lineRule="exact"/>
        <w:rPr>
          <w:sz w:val="20"/>
          <w:szCs w:val="20"/>
          <w:color w:val="auto"/>
        </w:rPr>
      </w:pPr>
    </w:p>
    <w:p>
      <w:pPr>
        <w:ind w:right="280" w:firstLine="510"/>
        <w:spacing w:after="0" w:line="284" w:lineRule="auto"/>
        <w:rPr>
          <w:sz w:val="20"/>
          <w:szCs w:val="20"/>
          <w:color w:val="auto"/>
        </w:rPr>
      </w:pPr>
      <w:r>
        <w:rPr>
          <w:rFonts w:ascii="Times New Roman" w:cs="Times New Roman" w:eastAsia="Times New Roman" w:hAnsi="Times New Roman"/>
          <w:sz w:val="18"/>
          <w:szCs w:val="18"/>
          <w:i w:val="1"/>
          <w:iCs w:val="1"/>
          <w:color w:val="231F20"/>
        </w:rPr>
        <w:t xml:space="preserve">Risk-Free Interest Rate. </w:t>
      </w:r>
      <w:r>
        <w:rPr>
          <w:rFonts w:ascii="Times New Roman" w:cs="Times New Roman" w:eastAsia="Times New Roman" w:hAnsi="Times New Roman"/>
          <w:sz w:val="18"/>
          <w:szCs w:val="18"/>
          <w:color w:val="231F20"/>
        </w:rPr>
        <w:t>The Company bases the risk-free interest rate assumption for equity awards on the rates for U.S. Treasury securities with</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maturities similar to those of the expected term of the award being valued.</w:t>
      </w:r>
    </w:p>
    <w:p>
      <w:pPr>
        <w:spacing w:after="0" w:line="50" w:lineRule="exact"/>
        <w:rPr>
          <w:sz w:val="20"/>
          <w:szCs w:val="20"/>
          <w:color w:val="auto"/>
        </w:rPr>
      </w:pPr>
    </w:p>
    <w:p>
      <w:pPr>
        <w:ind w:right="460" w:firstLine="510"/>
        <w:spacing w:after="0" w:line="267" w:lineRule="auto"/>
        <w:rPr>
          <w:sz w:val="20"/>
          <w:szCs w:val="20"/>
          <w:color w:val="auto"/>
        </w:rPr>
      </w:pPr>
      <w:r>
        <w:rPr>
          <w:rFonts w:ascii="Times New Roman" w:cs="Times New Roman" w:eastAsia="Times New Roman" w:hAnsi="Times New Roman"/>
          <w:sz w:val="18"/>
          <w:szCs w:val="18"/>
          <w:i w:val="1"/>
          <w:iCs w:val="1"/>
          <w:color w:val="231F20"/>
        </w:rPr>
        <w:t xml:space="preserve">Expected Volatility. </w:t>
      </w:r>
      <w:r>
        <w:rPr>
          <w:rFonts w:ascii="Times New Roman" w:cs="Times New Roman" w:eastAsia="Times New Roman" w:hAnsi="Times New Roman"/>
          <w:sz w:val="18"/>
          <w:szCs w:val="18"/>
          <w:color w:val="231F20"/>
        </w:rPr>
        <w:t>Due to the limited trading history of the Company’s Class A common stock, the expected volatility assumption is based on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volatilities of a peer group of similar companies whose share prices are publicly available. The Company will continue to apply this process until a sufficient amount of historical information regarding the volatility of the Company’s own stock price becomes available.</w:t>
      </w:r>
    </w:p>
    <w:p>
      <w:pPr>
        <w:spacing w:after="0" w:line="65" w:lineRule="exact"/>
        <w:rPr>
          <w:sz w:val="20"/>
          <w:szCs w:val="20"/>
          <w:color w:val="auto"/>
        </w:rPr>
      </w:pPr>
    </w:p>
    <w:p>
      <w:pPr>
        <w:ind w:right="100" w:firstLine="510"/>
        <w:spacing w:after="0" w:line="267" w:lineRule="auto"/>
        <w:rPr>
          <w:sz w:val="20"/>
          <w:szCs w:val="20"/>
          <w:color w:val="auto"/>
        </w:rPr>
      </w:pPr>
      <w:r>
        <w:rPr>
          <w:rFonts w:ascii="Times New Roman" w:cs="Times New Roman" w:eastAsia="Times New Roman" w:hAnsi="Times New Roman"/>
          <w:sz w:val="18"/>
          <w:szCs w:val="18"/>
          <w:i w:val="1"/>
          <w:iCs w:val="1"/>
          <w:color w:val="231F20"/>
        </w:rPr>
        <w:t xml:space="preserve">Expected Term. </w:t>
      </w:r>
      <w:r>
        <w:rPr>
          <w:rFonts w:ascii="Times New Roman" w:cs="Times New Roman" w:eastAsia="Times New Roman" w:hAnsi="Times New Roman"/>
          <w:sz w:val="18"/>
          <w:szCs w:val="18"/>
          <w:color w:val="231F20"/>
        </w:rPr>
        <w:t>Given the insufficient historical data relating to nonqualified stock option exercises, the expected term assumption is based on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expected terms of a peer group of similar companies whose expected terms are publicly available. The Company will continue to apply this process until a sufficient amount of historical information regarding the Company’s nonqualified stock option exercises becomes available.</w:t>
      </w:r>
    </w:p>
    <w:p>
      <w:pPr>
        <w:spacing w:after="0" w:line="65" w:lineRule="exact"/>
        <w:rPr>
          <w:sz w:val="20"/>
          <w:szCs w:val="20"/>
          <w:color w:val="auto"/>
        </w:rPr>
      </w:pPr>
    </w:p>
    <w:p>
      <w:pPr>
        <w:ind w:right="160" w:firstLine="510"/>
        <w:spacing w:after="0" w:line="284" w:lineRule="auto"/>
        <w:rPr>
          <w:sz w:val="20"/>
          <w:szCs w:val="20"/>
          <w:color w:val="auto"/>
        </w:rPr>
      </w:pPr>
      <w:r>
        <w:rPr>
          <w:rFonts w:ascii="Times New Roman" w:cs="Times New Roman" w:eastAsia="Times New Roman" w:hAnsi="Times New Roman"/>
          <w:sz w:val="18"/>
          <w:szCs w:val="18"/>
          <w:i w:val="1"/>
          <w:iCs w:val="1"/>
          <w:color w:val="231F20"/>
        </w:rPr>
        <w:t xml:space="preserve">Expected Dividend Yield. </w:t>
      </w:r>
      <w:r>
        <w:rPr>
          <w:rFonts w:ascii="Times New Roman" w:cs="Times New Roman" w:eastAsia="Times New Roman" w:hAnsi="Times New Roman"/>
          <w:sz w:val="18"/>
          <w:szCs w:val="18"/>
          <w:color w:val="231F20"/>
        </w:rPr>
        <w:t>The Company’s expected dividend yield assumption is zero as it has never paid dividends and has no present intention to</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do so in the future.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tabular dollars in thousands, except for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Shares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Upon vesting of shares under the LTIP, we will issue treasury stock. If treasury stock is not available, Class A common stock will be issued.</w:t>
      </w:r>
    </w:p>
    <w:p>
      <w:pPr>
        <w:spacing w:after="0" w:line="200" w:lineRule="exact"/>
        <w:rPr>
          <w:sz w:val="20"/>
          <w:szCs w:val="20"/>
          <w:color w:val="auto"/>
        </w:rPr>
      </w:pPr>
    </w:p>
    <w:p>
      <w:pPr>
        <w:spacing w:after="0" w:line="334"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22"/>
          <w:szCs w:val="22"/>
          <w:b w:val="1"/>
          <w:bCs w:val="1"/>
          <w:color w:val="231F20"/>
        </w:rPr>
      </w:pPr>
      <w:r>
        <w:rPr>
          <w:rFonts w:ascii="Times New Roman" w:cs="Times New Roman" w:eastAsia="Times New Roman" w:hAnsi="Times New Roman"/>
          <w:sz w:val="22"/>
          <w:szCs w:val="22"/>
          <w:b w:val="1"/>
          <w:bCs w:val="1"/>
          <w:i w:val="1"/>
          <w:iCs w:val="1"/>
          <w:color w:val="231F20"/>
        </w:rPr>
        <w:t>Income Taxes and Tax Receivable Agreement</w:t>
      </w:r>
    </w:p>
    <w:p>
      <w:pPr>
        <w:spacing w:after="0" w:line="113"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The provision for income taxes differs from the amount of income tax computed by applying the applicable U.S. statutory federal income tax rate of 21% to income before provision of income taxes due to Viant Technology LLC’s pass-through structure for U.S. income tax purposes and the valuation allowance against the deferred tax asset in the current and prior-year periods, as well as a pass-through permanent difference related to the forgiveness of the PPP Loan in the prior-year periods. The Company did not recognize an income tax benefit (expense) on its share of pre-tax book income (loss), exclusive of the noncontrolling interest of 76.8% due to the full valuation allowance against its deferred tax assets, resulting in an effective tax rate of 0.0% for each of the three and six months ended June 30, 2022 and 2021.</w:t>
      </w:r>
    </w:p>
    <w:p>
      <w:pPr>
        <w:spacing w:after="0" w:line="79" w:lineRule="exact"/>
        <w:rPr>
          <w:sz w:val="20"/>
          <w:szCs w:val="20"/>
          <w:color w:val="auto"/>
        </w:rPr>
      </w:pPr>
    </w:p>
    <w:p>
      <w:pPr>
        <w:ind w:right="80" w:firstLine="510"/>
        <w:spacing w:after="0" w:line="277" w:lineRule="auto"/>
        <w:rPr>
          <w:sz w:val="20"/>
          <w:szCs w:val="20"/>
          <w:color w:val="auto"/>
        </w:rPr>
      </w:pPr>
      <w:r>
        <w:rPr>
          <w:rFonts w:ascii="Times New Roman" w:cs="Times New Roman" w:eastAsia="Times New Roman" w:hAnsi="Times New Roman"/>
          <w:sz w:val="17"/>
          <w:szCs w:val="17"/>
          <w:color w:val="auto"/>
        </w:rPr>
        <w:t>As of June 30, 2022, management determined based on applicable accounting standards and the weight of all available evidence, it was not more likely than not (“MLTN”) that the Company will generate sufficient taxable income to realize our deferred tax assets including the difference in our tax basis in excess of the financial reporting value for our investment in Viant Technology LLC. Consequently, we have established a full valuation allowance against our deferred tax assets as of June 30, 2022. In the event that management subsequently determines that it is MLTN that we will realize our deferred tax assets in the future over the recorded amount, a decrease to the valuation allowance will be made, which will reduce the provision for income taxes.</w:t>
      </w:r>
    </w:p>
    <w:p>
      <w:pPr>
        <w:spacing w:after="0" w:line="73"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Company has concluded based on applicable accounting standards and the weight of all available evidence, that it was MLTN that its deferred tax assets subject to the Tax Receivable Agreement (“TRA”) would not be realized as of June 30, 2022. Therefore, the Company has not recorded a liability related to the remaining tax savings it may realize from utilization of such deferred tax assets after concluding it was not probable that such TRA liability would be paid based on its estimates of future taxable income. As of the June 30, 2022, the total unrecorded TRA liability is approximately $10.3 million. If utilization of the deferred tax assets subject to the TRA becomes MLTN in the future, the Company will record a liability related to the TRA, to the extent probable at that time, which will be recognized as an expense within its condensed consolidated statements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tabular dollars in thousands, except for per share data)</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w:t>
      </w:r>
      <w:r>
        <w:rPr>
          <w:rFonts w:ascii="Times New Roman" w:cs="Times New Roman" w:eastAsia="Times New Roman" w:hAnsi="Times New Roman"/>
          <w:sz w:val="22"/>
          <w:szCs w:val="22"/>
          <w:b w:val="1"/>
          <w:bCs w:val="1"/>
          <w:color w:val="231F20"/>
        </w:rPr>
        <w:t>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231F20"/>
        </w:rPr>
        <w:t>Loss Per Share</w:t>
      </w:r>
    </w:p>
    <w:p>
      <w:pPr>
        <w:spacing w:after="0" w:line="113"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231F20"/>
        </w:rPr>
        <w:t xml:space="preserve">For the three and six months ended June 30, 2022 and 2021, basic net loss per share has been calculated by dividing net loss attributable to Class A common stockholders by the weighted-average number of shares of Class A common stock outstanding for the same period. </w:t>
      </w:r>
      <w:r>
        <w:rPr>
          <w:rFonts w:ascii="Times New Roman" w:cs="Times New Roman" w:eastAsia="Times New Roman" w:hAnsi="Times New Roman"/>
          <w:sz w:val="19"/>
          <w:szCs w:val="19"/>
          <w:color w:val="231F20"/>
        </w:rPr>
        <w:t>Shares</w:t>
      </w:r>
      <w:r>
        <w:rPr>
          <w:rFonts w:ascii="Times New Roman" w:cs="Times New Roman" w:eastAsia="Times New Roman" w:hAnsi="Times New Roman"/>
          <w:sz w:val="18"/>
          <w:szCs w:val="18"/>
          <w:color w:val="231F20"/>
        </w:rPr>
        <w:t xml:space="preserve"> of Class A common stock are weighted for the portion of the period in which the shares were outstanding. Diluted net loss per share has been calculated in a manner consistent with that of basic net loss per share while considering all potentially dilutive shares of Class A common stock outstanding during the period.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9"/>
          <w:szCs w:val="19"/>
          <w:color w:val="231F20"/>
        </w:rPr>
        <w:t>following</w:t>
      </w:r>
      <w:r>
        <w:rPr>
          <w:rFonts w:ascii="Times New Roman" w:cs="Times New Roman" w:eastAsia="Times New Roman" w:hAnsi="Times New Roman"/>
          <w:sz w:val="18"/>
          <w:szCs w:val="18"/>
          <w:color w:val="231F20"/>
        </w:rPr>
        <w:t xml:space="preserve"> table presents the calculation of basic and diluted net loss per share for the three and six months ended June 30, 2022 and 2021.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10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6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(14,092)</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(18,095)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(27,655)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(32,966)</w:t>
            </w:r>
          </w:p>
        </w:tc>
        <w:tc>
          <w:tcPr>
            <w:tcW w:w="0" w:type="dxa"/>
            <w:vAlign w:val="bottom"/>
          </w:tcPr>
          <w:p>
            <w:pPr>
              <w:spacing w:after="0"/>
              <w:rPr>
                <w:sz w:val="1"/>
                <w:szCs w:val="1"/>
                <w:color w:val="auto"/>
              </w:rPr>
            </w:pPr>
          </w:p>
        </w:tc>
      </w:tr>
      <w:tr>
        <w:trPr>
          <w:trHeight w:val="229"/>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(10,691)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(14,440)</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(21,062)</w:t>
            </w: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(26,206)</w:t>
            </w:r>
          </w:p>
        </w:tc>
        <w:tc>
          <w:tcPr>
            <w:tcW w:w="0" w:type="dxa"/>
            <w:vAlign w:val="bottom"/>
          </w:tcPr>
          <w:p>
            <w:pPr>
              <w:spacing w:after="0"/>
              <w:rPr>
                <w:sz w:val="1"/>
                <w:szCs w:val="1"/>
                <w:color w:val="auto"/>
              </w:rPr>
            </w:pPr>
          </w:p>
        </w:tc>
      </w:tr>
      <w:tr>
        <w:trPr>
          <w:trHeight w:val="263"/>
        </w:trPr>
        <w:tc>
          <w:tcPr>
            <w:tcW w:w="6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attributable to Viant Technology Inc.</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2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26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outstanding—basic and diluted</w:t>
            </w: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14,114</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2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13,962</w:t>
            </w:r>
          </w:p>
        </w:tc>
        <w:tc>
          <w:tcPr>
            <w:tcW w:w="2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of Class A common stock—basic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10"/>
        </w:trPr>
        <w:tc>
          <w:tcPr>
            <w:tcW w:w="65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per share of Class A common stock—diluted</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Anti-dilutive shares excluded from loss per share of Class A common stock—diluted:</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47,436</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47,082</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47,436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shares excluded from loss per share of Class A common stock—diluted</w:t>
            </w:r>
          </w:p>
        </w:tc>
        <w:tc>
          <w:tcPr>
            <w:tcW w:w="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55,761</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53,687</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55,761</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53,687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5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tabular dollars in thousands, except for per share data)</w:t>
      </w:r>
    </w:p>
    <w:p>
      <w:pPr>
        <w:spacing w:after="0" w:line="200" w:lineRule="exact"/>
        <w:rPr>
          <w:sz w:val="20"/>
          <w:szCs w:val="20"/>
          <w:color w:val="auto"/>
        </w:rPr>
      </w:pPr>
    </w:p>
    <w:p>
      <w:pPr>
        <w:spacing w:after="0" w:line="356"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22"/>
          <w:szCs w:val="22"/>
          <w:b w:val="1"/>
          <w:bCs w:val="1"/>
          <w:color w:val="231F20"/>
        </w:rPr>
      </w:pPr>
      <w:r>
        <w:rPr>
          <w:rFonts w:ascii="Times New Roman" w:cs="Times New Roman" w:eastAsia="Times New Roman" w:hAnsi="Times New Roman"/>
          <w:sz w:val="22"/>
          <w:szCs w:val="22"/>
          <w:b w:val="1"/>
          <w:bCs w:val="1"/>
          <w:i w:val="1"/>
          <w:iCs w:val="1"/>
          <w:color w:val="231F20"/>
        </w:rPr>
        <w:t>Noncontrolling Interests</w:t>
      </w:r>
    </w:p>
    <w:p>
      <w:pPr>
        <w:spacing w:after="0" w:line="113"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231F20"/>
        </w:rPr>
        <w:t xml:space="preserve">We are the sole managing member of Viant Technology LLC and, as a result, consolidate the financial results of Viant Technology LLC. We report noncontrolling interests representing the economic interests in Viant Technology LLC held by the other members of Viant Technology LLC. </w:t>
      </w:r>
      <w:r>
        <w:rPr>
          <w:rFonts w:ascii="Times New Roman" w:cs="Times New Roman" w:eastAsia="Times New Roman" w:hAnsi="Times New Roman"/>
          <w:sz w:val="18"/>
          <w:szCs w:val="18"/>
          <w:color w:val="000000"/>
        </w:rPr>
        <w:t>The Viant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Technology LLC Agreement classifies the interests acquired by the Company as Class A units, reclassified the interests held by the continuing members of Viant Technology LLC as Class B units and permits the continuing members of Viant Technology LLC to exchange Class B units for shares of Class A common stock on a one-for-one basis or, at the election of Viant Technology Inc., for cash at the current fair value on the date of the exchange. </w:t>
      </w:r>
      <w:r>
        <w:rPr>
          <w:rFonts w:ascii="Times New Roman" w:cs="Times New Roman" w:eastAsia="Times New Roman" w:hAnsi="Times New Roman"/>
          <w:sz w:val="18"/>
          <w:szCs w:val="18"/>
          <w:color w:val="231F20"/>
        </w:rPr>
        <w:t>Changes in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the Company’s ownership interest in Viant Technology LLC while retaining control of Viant Technology LLC will be accounted for as equity transactions. As such, future redemptions or direct exchanges of Class B units in Viant Technology LLC by the other members and future issuances of Class A common stock under the LTIP will result in a change in ownership, where the Company will rebalance the noncontrolling interest, offset by a change in additional-paid-in-capital.</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ownership of Viant Technology LLC:</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4220" w:type="dxa"/>
            <w:vAlign w:val="bottom"/>
            <w:gridSpan w:val="4"/>
          </w:tcPr>
          <w:p>
            <w:pPr>
              <w:jc w:val="right"/>
              <w:ind w:right="1560"/>
              <w:spacing w:after="0"/>
              <w:rPr>
                <w:sz w:val="20"/>
                <w:szCs w:val="20"/>
                <w:color w:val="auto"/>
              </w:rPr>
            </w:pPr>
            <w:r>
              <w:rPr>
                <w:rFonts w:ascii="Times New Roman" w:cs="Times New Roman" w:eastAsia="Times New Roman" w:hAnsi="Times New Roman"/>
                <w:sz w:val="18"/>
                <w:szCs w:val="18"/>
                <w:b w:val="1"/>
                <w:bCs w:val="1"/>
                <w:color w:val="auto"/>
              </w:rPr>
              <w:t>As of June 30, 2022</w:t>
            </w:r>
          </w:p>
        </w:tc>
        <w:tc>
          <w:tcPr>
            <w:tcW w:w="4060" w:type="dxa"/>
            <w:vAlign w:val="bottom"/>
            <w:gridSpan w:val="4"/>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0" w:type="dxa"/>
            <w:vAlign w:val="bottom"/>
          </w:tcPr>
          <w:p>
            <w:pPr>
              <w:spacing w:after="0"/>
              <w:rPr>
                <w:sz w:val="1"/>
                <w:szCs w:val="1"/>
                <w:color w:val="auto"/>
              </w:rPr>
            </w:pPr>
          </w:p>
        </w:tc>
      </w:tr>
      <w:tr>
        <w:trPr>
          <w:trHeight w:val="223"/>
        </w:trPr>
        <w:tc>
          <w:tcPr>
            <w:tcW w:w="2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Owner</w:t>
            </w:r>
          </w:p>
        </w:tc>
        <w:tc>
          <w:tcPr>
            <w:tcW w:w="17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Units Owned</w:t>
            </w:r>
          </w:p>
        </w:tc>
        <w:tc>
          <w:tcPr>
            <w:tcW w:w="300" w:type="dxa"/>
            <w:vAlign w:val="bottom"/>
            <w:tcBorders>
              <w:top w:val="single" w:sz="8" w:color="auto"/>
              <w:bottom w:val="single" w:sz="8" w:color="CFF0FC"/>
            </w:tcBorders>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Ownership Percentage</w:t>
            </w:r>
          </w:p>
        </w:tc>
        <w:tc>
          <w:tcPr>
            <w:tcW w:w="360" w:type="dxa"/>
            <w:vAlign w:val="bottom"/>
            <w:tcBorders>
              <w:bottom w:val="single" w:sz="8" w:color="CFF0FC"/>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Units Owned</w:t>
            </w:r>
          </w:p>
        </w:tc>
        <w:tc>
          <w:tcPr>
            <w:tcW w:w="300" w:type="dxa"/>
            <w:vAlign w:val="bottom"/>
            <w:tcBorders>
              <w:top w:val="single" w:sz="8" w:color="auto"/>
              <w:bottom w:val="single" w:sz="8" w:color="CFF0FC"/>
            </w:tcBorders>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Ownership Percentage</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Viant Technology Inc.</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14,253,800</w:t>
            </w:r>
          </w:p>
        </w:tc>
        <w:tc>
          <w:tcPr>
            <w:tcW w:w="300" w:type="dxa"/>
            <w:vAlign w:val="bottom"/>
            <w:shd w:val="clear" w:color="auto" w:fill="CFF0FC"/>
          </w:tcPr>
          <w:p>
            <w:pPr>
              <w:spacing w:after="0"/>
              <w:rPr>
                <w:sz w:val="19"/>
                <w:szCs w:val="19"/>
                <w:color w:val="auto"/>
              </w:rPr>
            </w:pPr>
          </w:p>
        </w:tc>
        <w:tc>
          <w:tcPr>
            <w:tcW w:w="2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13,704,638</w:t>
            </w:r>
          </w:p>
        </w:tc>
        <w:tc>
          <w:tcPr>
            <w:tcW w:w="30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9"/>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47,082,260</w:t>
            </w:r>
          </w:p>
        </w:tc>
        <w:tc>
          <w:tcPr>
            <w:tcW w:w="300" w:type="dxa"/>
            <w:vAlign w:val="bottom"/>
          </w:tcPr>
          <w:p>
            <w:pPr>
              <w:spacing w:after="0"/>
              <w:rPr>
                <w:sz w:val="19"/>
                <w:szCs w:val="19"/>
                <w:color w:val="auto"/>
              </w:rPr>
            </w:pPr>
          </w:p>
        </w:tc>
        <w:tc>
          <w:tcPr>
            <w:tcW w:w="2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76.8%</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47,107,130</w:t>
            </w:r>
          </w:p>
        </w:tc>
        <w:tc>
          <w:tcPr>
            <w:tcW w:w="300" w:type="dxa"/>
            <w:vAlign w:val="bottom"/>
          </w:tcPr>
          <w:p>
            <w:pPr>
              <w:spacing w:after="0"/>
              <w:rPr>
                <w:sz w:val="19"/>
                <w:szCs w:val="19"/>
                <w:color w:val="auto"/>
              </w:rPr>
            </w:pPr>
          </w:p>
        </w:tc>
        <w:tc>
          <w:tcPr>
            <w:tcW w:w="1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0"/>
        </w:trPr>
        <w:tc>
          <w:tcPr>
            <w:tcW w:w="29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60" w:type="dxa"/>
            <w:vAlign w:val="bottom"/>
            <w:vMerge w:val="continue"/>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61,336,060</w:t>
            </w:r>
          </w:p>
        </w:tc>
        <w:tc>
          <w:tcPr>
            <w:tcW w:w="300" w:type="dxa"/>
            <w:vAlign w:val="bottom"/>
            <w:shd w:val="clear" w:color="auto" w:fill="CFF0FC"/>
          </w:tcPr>
          <w:p>
            <w:pPr>
              <w:spacing w:after="0"/>
              <w:rPr>
                <w:sz w:val="19"/>
                <w:szCs w:val="19"/>
                <w:color w:val="auto"/>
              </w:rPr>
            </w:pPr>
          </w:p>
        </w:tc>
        <w:tc>
          <w:tcPr>
            <w:tcW w:w="2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60,811,768</w:t>
            </w:r>
          </w:p>
        </w:tc>
        <w:tc>
          <w:tcPr>
            <w:tcW w:w="30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960" w:type="dxa"/>
            <w:vAlign w:val="bottom"/>
            <w:tcBorders>
              <w:top w:val="single" w:sz="8" w:color="CFF0FC"/>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510"/>
        <w:spacing w:after="0" w:line="270" w:lineRule="auto"/>
        <w:rPr>
          <w:sz w:val="20"/>
          <w:szCs w:val="20"/>
          <w:color w:val="auto"/>
        </w:rPr>
      </w:pPr>
      <w:r>
        <w:rPr>
          <w:rFonts w:ascii="Times New Roman" w:cs="Times New Roman" w:eastAsia="Times New Roman" w:hAnsi="Times New Roman"/>
          <w:sz w:val="18"/>
          <w:szCs w:val="18"/>
          <w:color w:val="231F20"/>
        </w:rPr>
        <w:t xml:space="preserve">During the six months ended June 30, 2022, noncontrolling interests exchanged 24,870 Class B units of Viant Technology LLC for 24,870 shares of </w:t>
      </w:r>
      <w:r>
        <w:rPr>
          <w:rFonts w:ascii="Times New Roman" w:cs="Times New Roman" w:eastAsia="Times New Roman" w:hAnsi="Times New Roman"/>
          <w:sz w:val="19"/>
          <w:szCs w:val="19"/>
          <w:color w:val="231F20"/>
        </w:rPr>
        <w:t xml:space="preserve">the </w:t>
      </w:r>
      <w:r>
        <w:rPr>
          <w:rFonts w:ascii="Times New Roman" w:cs="Times New Roman" w:eastAsia="Times New Roman" w:hAnsi="Times New Roman"/>
          <w:sz w:val="17"/>
          <w:szCs w:val="17"/>
          <w:color w:val="231F20"/>
        </w:rPr>
        <w:t>Company’s Class A common stock, which also resulted in the cancellation of 24,870 shares of the Company’s Class B common stock that was</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7"/>
          <w:szCs w:val="17"/>
          <w:color w:val="231F20"/>
        </w:rPr>
        <w:t>previously held by noncontrolling interests with no additional consideration provided. There were no exchanges of Class B units of Viant Technology LLC for shares of the Company’s Class A common stock during the three months ended June 30, 2022.</w:t>
      </w:r>
    </w:p>
    <w:p>
      <w:pPr>
        <w:spacing w:after="0" w:line="67" w:lineRule="exact"/>
        <w:rPr>
          <w:sz w:val="20"/>
          <w:szCs w:val="20"/>
          <w:color w:val="auto"/>
        </w:rPr>
      </w:pPr>
    </w:p>
    <w:p>
      <w:pPr>
        <w:ind w:right="180" w:firstLine="51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effect of changes in the Company’s ownership interest in Viant Technology LLC on the Company’s equity for the periods indicated. The effect of changes has not been presented for the prior-year three- and six-month periods as there were no changes in ownership interest from the date of the IPO through June 30,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18"/>
                <w:szCs w:val="18"/>
                <w:color w:val="auto"/>
              </w:rPr>
            </w:pPr>
          </w:p>
        </w:tc>
        <w:tc>
          <w:tcPr>
            <w:tcW w:w="1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180" w:type="dxa"/>
            <w:vAlign w:val="bottom"/>
          </w:tcPr>
          <w:p>
            <w:pPr>
              <w:spacing w:after="0"/>
              <w:rPr>
                <w:sz w:val="20"/>
                <w:szCs w:val="20"/>
                <w:color w:val="auto"/>
              </w:rPr>
            </w:pPr>
          </w:p>
        </w:tc>
        <w:tc>
          <w:tcPr>
            <w:tcW w:w="18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Viant Technology Inc.</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FF0FC"/>
          </w:tcPr>
          <w:p>
            <w:pPr>
              <w:ind w:left="1320"/>
              <w:spacing w:after="0"/>
              <w:rPr>
                <w:sz w:val="20"/>
                <w:szCs w:val="20"/>
                <w:color w:val="auto"/>
              </w:rPr>
            </w:pPr>
            <w:r>
              <w:rPr>
                <w:rFonts w:ascii="Times New Roman" w:cs="Times New Roman" w:eastAsia="Times New Roman" w:hAnsi="Times New Roman"/>
                <w:sz w:val="18"/>
                <w:szCs w:val="18"/>
                <w:color w:val="auto"/>
                <w:w w:val="87"/>
              </w:rPr>
              <w:t>(3,401)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Transfers to noncontrolling interests:</w:t>
            </w: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 the additional-paid-in-capital of Viant Technology Inc. resulting</w:t>
            </w:r>
          </w:p>
        </w:tc>
        <w:tc>
          <w:tcPr>
            <w:tcW w:w="12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from ownership changes in Viant Technology LLC</w:t>
            </w:r>
          </w:p>
        </w:tc>
        <w:tc>
          <w:tcPr>
            <w:tcW w:w="120" w:type="dxa"/>
            <w:vAlign w:val="bottom"/>
            <w:shd w:val="clear" w:color="auto" w:fill="CFF0FC"/>
          </w:tcPr>
          <w:p>
            <w:pPr>
              <w:spacing w:after="0"/>
              <w:rPr>
                <w:sz w:val="20"/>
                <w:szCs w:val="20"/>
                <w:color w:val="auto"/>
              </w:rPr>
            </w:pPr>
          </w:p>
        </w:tc>
        <w:tc>
          <w:tcPr>
            <w:tcW w:w="2040" w:type="dxa"/>
            <w:vAlign w:val="bottom"/>
            <w:gridSpan w:val="2"/>
            <w:shd w:val="clear" w:color="auto" w:fill="CFF0FC"/>
          </w:tcPr>
          <w:p>
            <w:pPr>
              <w:ind w:left="1320"/>
              <w:spacing w:after="0"/>
              <w:rPr>
                <w:sz w:val="20"/>
                <w:szCs w:val="20"/>
                <w:color w:val="auto"/>
              </w:rPr>
            </w:pPr>
            <w:r>
              <w:rPr>
                <w:rFonts w:ascii="Times New Roman" w:cs="Times New Roman" w:eastAsia="Times New Roman" w:hAnsi="Times New Roman"/>
                <w:sz w:val="18"/>
                <w:szCs w:val="18"/>
                <w:color w:val="auto"/>
              </w:rPr>
              <w:t>(5,455)</w:t>
            </w:r>
          </w:p>
        </w:tc>
        <w:tc>
          <w:tcPr>
            <w:tcW w:w="180" w:type="dxa"/>
            <w:vAlign w:val="bottom"/>
            <w:shd w:val="clear" w:color="auto" w:fill="CFF0FC"/>
          </w:tcPr>
          <w:p>
            <w:pPr>
              <w:spacing w:after="0"/>
              <w:rPr>
                <w:sz w:val="20"/>
                <w:szCs w:val="20"/>
                <w:color w:val="auto"/>
              </w:rPr>
            </w:pPr>
          </w:p>
        </w:tc>
        <w:tc>
          <w:tcPr>
            <w:tcW w:w="1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(9,731)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59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decrease in equity of Viant Technology Inc. due to equity interest</w:t>
            </w:r>
          </w:p>
        </w:tc>
        <w:tc>
          <w:tcPr>
            <w:tcW w:w="1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transactions with noncontrolling interests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(8,856)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(16,324)</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900" w:type="dxa"/>
            <w:vAlign w:val="bottom"/>
            <w:vMerge w:val="restart"/>
          </w:tcPr>
          <w:p>
            <w:pPr>
              <w:ind w:left="496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(unaudited; tabular dollars in thousands, except for per share data)</w:t>
      </w:r>
    </w:p>
    <w:p>
      <w:pPr>
        <w:spacing w:after="0" w:line="200" w:lineRule="exact"/>
        <w:rPr>
          <w:sz w:val="20"/>
          <w:szCs w:val="20"/>
          <w:color w:val="auto"/>
        </w:rPr>
      </w:pPr>
    </w:p>
    <w:p>
      <w:pPr>
        <w:spacing w:after="0" w:line="356"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22"/>
          <w:szCs w:val="22"/>
          <w:b w:val="1"/>
          <w:bCs w:val="1"/>
          <w:color w:val="231F20"/>
        </w:rPr>
      </w:pPr>
      <w:r>
        <w:rPr>
          <w:rFonts w:ascii="Times New Roman" w:cs="Times New Roman" w:eastAsia="Times New Roman" w:hAnsi="Times New Roman"/>
          <w:sz w:val="22"/>
          <w:szCs w:val="22"/>
          <w:b w:val="1"/>
          <w:bCs w:val="1"/>
          <w:i w:val="1"/>
          <w:iCs w:val="1"/>
          <w:color w:val="231F20"/>
        </w:rPr>
        <w:t>Commitments and Contingencies</w:t>
      </w:r>
    </w:p>
    <w:p>
      <w:pPr>
        <w:spacing w:after="0" w:line="113"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As of June 30, 2022, the Company had non-cancelable operating lease commitments for office space that have been recorded as operating lease liabilities. Refer to Note 5—Leases for additional information regarding lease commitments.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231F20"/>
        </w:rPr>
        <w:t>From time to time, the Company is subject to various legal proceedings and claims, either asserted or unasserted, that arise in the ordinary course of business. Although the outcome of the various legal proceedings and claims cannot be predicted with certainty, management does not believe that any of these proceedings or other claims will have a material effect on the Company’s business, financial condition, results of operations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Indemnities</w:t>
      </w:r>
    </w:p>
    <w:p>
      <w:pPr>
        <w:spacing w:after="0" w:line="121"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made no significant contractual guarantees for the benefit of third parties. However, in the ordinary course of business, the Company </w:t>
      </w:r>
      <w:r>
        <w:rPr>
          <w:rFonts w:ascii="Times New Roman" w:cs="Times New Roman" w:eastAsia="Times New Roman" w:hAnsi="Times New Roman"/>
          <w:sz w:val="19"/>
          <w:szCs w:val="19"/>
          <w:color w:val="auto"/>
        </w:rPr>
        <w:t>may</w:t>
      </w:r>
      <w:r>
        <w:rPr>
          <w:rFonts w:ascii="Times New Roman" w:cs="Times New Roman" w:eastAsia="Times New Roman" w:hAnsi="Times New Roman"/>
          <w:sz w:val="18"/>
          <w:szCs w:val="18"/>
          <w:color w:val="auto"/>
        </w:rPr>
        <w:t xml:space="preserve"> provide indemnifications of varying scope and terms to customers, vendors, lessors, business partners and other parties with respect to certain matters, including, but not limited to, losses arising out of breach of such agreements, services to be provided by the Company or from intellectual property infringement claims made by third parties.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The Company is not aware of indemnification claims that could have a material effect on the Company’s condensed consolidated financial statements. Accordingly, no amounts for any obligation have been recorded as of June 30, 2022.</w:t>
      </w:r>
    </w:p>
    <w:p>
      <w:pPr>
        <w:spacing w:after="0" w:line="200" w:lineRule="exact"/>
        <w:rPr>
          <w:sz w:val="20"/>
          <w:szCs w:val="20"/>
          <w:color w:val="auto"/>
        </w:rPr>
      </w:pPr>
    </w:p>
    <w:p>
      <w:pPr>
        <w:spacing w:after="0" w:line="3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2" w:name="page23"/>
    <w:bookmarkEnd w:id="22"/>
    <w:p>
      <w:pPr>
        <w:jc w:val="center"/>
        <w:ind w:left="360" w:right="26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(unaudited; tabular dollars in thousands, except for percentages and per share data)</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510"/>
        <w:spacing w:after="0" w:line="257" w:lineRule="auto"/>
        <w:rPr>
          <w:sz w:val="20"/>
          <w:szCs w:val="20"/>
          <w:color w:val="auto"/>
        </w:rPr>
      </w:pPr>
      <w:r>
        <w:rPr>
          <w:rFonts w:ascii="Times New Roman" w:cs="Times New Roman" w:eastAsia="Times New Roman" w:hAnsi="Times New Roman"/>
          <w:sz w:val="18"/>
          <w:szCs w:val="18"/>
          <w:i w:val="1"/>
          <w:iCs w:val="1"/>
          <w:color w:val="231F20"/>
        </w:rPr>
        <w:t>The following Management’s Discussion and Analysis of Financial Condition and Results of Operations of Viant Technology Inc. and its subsidiaries (“Viant,” “we,” “us,” “our” or the “Company”) should be read in conjunction with, and is qualified in its entirety by reference to, our unaudited condensed consolidated financial statements and the related notes thereto and other financial information appearing elsewhere in this Quarterly Report on Form 10-Q and our audited consolidated financial statements and notes thereto and the related Management’s Discussion and Analysis of Financial Condition and Results of Operations included in our Annual Report on Form 10-K for the year ended December 31, 2021, which was filed with the Securities and Exchange Commission (“SEC”) on March 10,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Forward-Looking Statements</w:t>
      </w:r>
    </w:p>
    <w:p>
      <w:pPr>
        <w:spacing w:after="0" w:line="119"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i w:val="1"/>
          <w:iCs w:val="1"/>
          <w:color w:val="231F20"/>
        </w:rPr>
        <w:t>This Quarterly Report on Form 10-Q contains forward-looking statements within the meaning of Section 27A of the Securities Act of 1933, as amended, and Section 21E of the Securities Exchange Act of 1934, as amended (the “Exchange Act”). Forward-looking statements generally relate to future events or our future financial or operating performance and may include statements concerning, among other things, our business strategy (including anticipated trends and developments in, and management plans for, our business and the markets in which we operate), financial results, the sufficiency of our cash and cash provided by sales of our products and services to meet our liquidity needs, the impact of the ongoing COVID-19 pandemic on our business, operations, and the markets and communities in which we, our clients, and partners operate, results of operations, revenues, operating expenses, capital expenditures, sales and marketing initiatives and competition.</w:t>
      </w:r>
    </w:p>
    <w:p>
      <w:pPr>
        <w:spacing w:after="0" w:line="75"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i w:val="1"/>
          <w:iCs w:val="1"/>
          <w:color w:val="231F20"/>
        </w:rPr>
        <w:t>In some cases, you can identify forward-looking statements by words such as “may,” “will,” “could,” “intend,” “consider,” “expect,” “plan,” “anticipate,” “believe,” “estimate,” “predict” or “continue” or the negative or plural of these words or other similar terms or expressions. All statements other than statements of historical fact are forward-looking statements, which speak only as of the date they are made, are not guarantees of future performance. All of our forward-looking statements are subject to a number of risks, uncertainties and other factors, including but not limited to our ability to add new customers, our ability to realize the expected benefits of an industry shift away from cookie-based consumer tracking, the ongoing impact of the COVID-19 pandemic, the development of the market for programmatic advertising, our access to advertising inventory and people-based data, and changes in the technology industry. This is not a complete list of factors or events that could cause actual results to differ from our expectations and we cannot predict all of them. All written and oral forward-looking statements attributable to us are qualified in their entirety by the cautionary statements disclosed under the section titled “Risk Factors” appearing in our Annual Report on Form 10-K for the year ended December 31, 2021, as such disclosures may be amended, supplemented or superseded from time to time by other reports filed with the SEC. Except as required by law, we do not intend to update or revise any forward-looking statements as a result of new information, future events or otherwise.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121"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231F20"/>
        </w:rPr>
        <w:t>We are an advertising software company. Our software enables the programmatic purchase of advertising, which is the electronification of the advertising buying process. Programmatic advertising is rapidly taking market share from traditional ad sales channels, which require more staffing, offer less transparency and involve higher costs to buyers.</w:t>
      </w:r>
    </w:p>
    <w:p>
      <w:pPr>
        <w:spacing w:after="0" w:line="68"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231F20"/>
        </w:rPr>
        <w:t>Our demand side platform (“DSP”), Adelphic, is an enterprise software platform that is used by marketers and their advertising agencies to centralize the planning, buying and measurement of their advertising media across most channels. Through our technology, a marketer can easily buy ads on desktop, mobile, connected TV, linear TV, in-game, streaming audio and digital billboards.</w:t>
      </w:r>
    </w:p>
    <w:p>
      <w:pPr>
        <w:spacing w:after="0" w:line="68" w:lineRule="exact"/>
        <w:rPr>
          <w:sz w:val="20"/>
          <w:szCs w:val="20"/>
          <w:color w:val="auto"/>
        </w:rPr>
      </w:pPr>
    </w:p>
    <w:p>
      <w:pPr>
        <w:ind w:right="60" w:firstLine="510"/>
        <w:spacing w:after="0" w:line="277" w:lineRule="auto"/>
        <w:rPr>
          <w:sz w:val="20"/>
          <w:szCs w:val="20"/>
          <w:color w:val="auto"/>
        </w:rPr>
      </w:pPr>
      <w:r>
        <w:rPr>
          <w:rFonts w:ascii="Times New Roman" w:cs="Times New Roman" w:eastAsia="Times New Roman" w:hAnsi="Times New Roman"/>
          <w:sz w:val="17"/>
          <w:szCs w:val="17"/>
          <w:color w:val="231F20"/>
        </w:rPr>
        <w:t>We serve marketers and their advertising agencies by enabling them to plan, buy and measure programmatic campaigns. We provide an easy-to-use self-service programmatic platform that delivers transparency and control. Our platform offers customers unique visibility across a variety of advertising channels with the ability to create customized audience segments leveraging our people-based and strategic partner data to reach target audiences at scale. Our people-based approach is in contrast to the inefficient approach of cookie-based tracking. People-based data enables marketers to use first-party data for both the targeting and measurement of their ad campaigns in a manner that we believe is more accurate than utilizing a cookie-based approach.</w:t>
      </w:r>
    </w:p>
    <w:p>
      <w:pPr>
        <w:spacing w:after="0" w:line="60"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231F20"/>
        </w:rPr>
        <w:t xml:space="preserve">We generate revenue by charging </w:t>
      </w:r>
      <w:r>
        <w:rPr>
          <w:rFonts w:ascii="Times New Roman" w:cs="Times New Roman" w:eastAsia="Times New Roman" w:hAnsi="Times New Roman"/>
          <w:sz w:val="18"/>
          <w:szCs w:val="18"/>
          <w:color w:val="000000"/>
        </w:rPr>
        <w:t>platform fees and service fees pursuant to agreements that enable a wide variety of marketers and their agencies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select the mix of pricing and service options that suits their unique business and </w:t>
      </w:r>
      <w:r>
        <w:rPr>
          <w:rFonts w:ascii="Times New Roman" w:cs="Times New Roman" w:eastAsia="Times New Roman" w:hAnsi="Times New Roman"/>
          <w:sz w:val="18"/>
          <w:szCs w:val="18"/>
          <w:color w:val="231F20"/>
        </w:rPr>
        <w:t>advertising budget</w:t>
      </w:r>
      <w:r>
        <w:rPr>
          <w:rFonts w:ascii="Times New Roman" w:cs="Times New Roman" w:eastAsia="Times New Roman" w:hAnsi="Times New Roman"/>
          <w:sz w:val="18"/>
          <w:szCs w:val="18"/>
          <w:color w:val="000000"/>
        </w:rPr>
        <w:t>.</w:t>
      </w:r>
    </w:p>
    <w:p>
      <w:pPr>
        <w:spacing w:after="0" w:line="54" w:lineRule="exact"/>
        <w:rPr>
          <w:sz w:val="20"/>
          <w:szCs w:val="20"/>
          <w:color w:val="auto"/>
        </w:rPr>
      </w:pPr>
    </w:p>
    <w:p>
      <w:pPr>
        <w:jc w:val="both"/>
        <w:ind w:right="160" w:firstLine="510"/>
        <w:spacing w:after="0" w:line="266" w:lineRule="auto"/>
        <w:rPr>
          <w:sz w:val="20"/>
          <w:szCs w:val="20"/>
          <w:color w:val="auto"/>
        </w:rPr>
      </w:pPr>
      <w:r>
        <w:rPr>
          <w:rFonts w:ascii="Times New Roman" w:cs="Times New Roman" w:eastAsia="Times New Roman" w:hAnsi="Times New Roman"/>
          <w:sz w:val="18"/>
          <w:szCs w:val="18"/>
          <w:color w:val="231F20"/>
        </w:rPr>
        <w:t>These options consist of a percentage of spend pricing option, a monthly subscription pricing option, and a fixed CPM pricing option. Customers who prefer to use our platform on a self-service basis to execute their advertising campaigns enter into master service agreements (“MSAs”) with us, and we generate revenue under these arrangements by charging a platform fee that is either a</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(unaudited; tabular dollars in thousands, except for percentages and per share data)</w:t>
      </w:r>
    </w:p>
    <w:p>
      <w:pPr>
        <w:spacing w:after="0" w:line="20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percentage of spend or a flat monthly subscription fee. Customers who prefer to use our fixed CPM pricing option enter into insertion order (“IO”) arrangements with us, </w:t>
      </w:r>
      <w:r>
        <w:rPr>
          <w:rFonts w:ascii="Times New Roman" w:cs="Times New Roman" w:eastAsia="Times New Roman" w:hAnsi="Times New Roman"/>
          <w:sz w:val="18"/>
          <w:szCs w:val="18"/>
          <w:color w:val="231F20"/>
        </w:rPr>
        <w:t>and we generate revenue by charging these customers a platform fee at a price for every 1,000 impressions an ad receives. We also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offer different service options to our customers accessing our platform under an MSA or an IO to enable them to use our services to aid them in data management, media execution and advanced reporting. When customers utilize our services, we generate revenue by charging a service fee separate from the platform fee consisting of (1) a fee that represents a percentage of spend; (2) a flat monthly fee covering services in connection with data management and advanced reporting; or (3) a fixed CPM that is inclusive of media, other direct costs and services.</w:t>
      </w:r>
    </w:p>
    <w:p>
      <w:pPr>
        <w:spacing w:after="0" w:line="79"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231F20"/>
        </w:rPr>
        <w:t>We believe that offering a mix of pricing and service options provides greater flexibility and access to our platform for marketers and their advertising agencies seeking to plan, buy, and measure programmatic campaigns. Some of our pricing and service options are relatively new to the market and are not yet material to our business from a financial perspective.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Our financial results for the three months ended June 30, 2022 and 2021, respectively, include:</w:t>
      </w:r>
    </w:p>
    <w:p>
      <w:pPr>
        <w:spacing w:after="0" w:line="117" w:lineRule="exact"/>
        <w:rPr>
          <w:sz w:val="20"/>
          <w:szCs w:val="20"/>
          <w:color w:val="auto"/>
        </w:rPr>
      </w:pPr>
    </w:p>
    <w:p>
      <w:pPr>
        <w:ind w:left="1120" w:hanging="370"/>
        <w:spacing w:after="0"/>
        <w:tabs>
          <w:tab w:leader="none" w:pos="11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Revenue of $51.2 million and $50.4 million, representing an increase of 1.6%;</w:t>
      </w:r>
    </w:p>
    <w:p>
      <w:pPr>
        <w:spacing w:after="0" w:line="117" w:lineRule="exact"/>
        <w:rPr>
          <w:rFonts w:ascii="Times New Roman" w:cs="Times New Roman" w:eastAsia="Times New Roman" w:hAnsi="Times New Roman"/>
          <w:sz w:val="18"/>
          <w:szCs w:val="18"/>
          <w:color w:val="231F20"/>
        </w:rPr>
      </w:pPr>
    </w:p>
    <w:p>
      <w:pPr>
        <w:ind w:left="1120" w:hanging="370"/>
        <w:spacing w:after="0"/>
        <w:tabs>
          <w:tab w:leader="none" w:pos="11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Gross profit of $20.3 million and $18.7 million, representing an increase of 8.3%;</w:t>
      </w:r>
    </w:p>
    <w:p>
      <w:pPr>
        <w:spacing w:after="0" w:line="117" w:lineRule="exact"/>
        <w:rPr>
          <w:rFonts w:ascii="Times New Roman" w:cs="Times New Roman" w:eastAsia="Times New Roman" w:hAnsi="Times New Roman"/>
          <w:sz w:val="18"/>
          <w:szCs w:val="18"/>
          <w:color w:val="231F20"/>
        </w:rPr>
      </w:pPr>
    </w:p>
    <w:p>
      <w:pPr>
        <w:ind w:left="1120" w:hanging="370"/>
        <w:spacing w:after="0"/>
        <w:tabs>
          <w:tab w:leader="none" w:pos="11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Contribution ex-TAC* of $31.7 million and $32.2 million, representing a decrease of 1.4%;</w:t>
      </w:r>
    </w:p>
    <w:p>
      <w:pPr>
        <w:spacing w:after="0" w:line="117" w:lineRule="exact"/>
        <w:rPr>
          <w:rFonts w:ascii="Times New Roman" w:cs="Times New Roman" w:eastAsia="Times New Roman" w:hAnsi="Times New Roman"/>
          <w:sz w:val="18"/>
          <w:szCs w:val="18"/>
          <w:color w:val="231F20"/>
        </w:rPr>
      </w:pPr>
    </w:p>
    <w:p>
      <w:pPr>
        <w:ind w:left="1120" w:hanging="370"/>
        <w:spacing w:after="0"/>
        <w:tabs>
          <w:tab w:leader="none" w:pos="11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Net loss of $14.1 million and $18.1 million, representing a net improvement of 22.1%;</w:t>
      </w:r>
    </w:p>
    <w:p>
      <w:pPr>
        <w:spacing w:after="0" w:line="117" w:lineRule="exact"/>
        <w:rPr>
          <w:rFonts w:ascii="Times New Roman" w:cs="Times New Roman" w:eastAsia="Times New Roman" w:hAnsi="Times New Roman"/>
          <w:sz w:val="18"/>
          <w:szCs w:val="18"/>
          <w:color w:val="231F20"/>
        </w:rPr>
      </w:pPr>
    </w:p>
    <w:p>
      <w:pPr>
        <w:ind w:left="1120" w:hanging="370"/>
        <w:spacing w:after="0"/>
        <w:tabs>
          <w:tab w:leader="none" w:pos="11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Non-GAAP net income (loss)* of $(5.9) million and $5.2 million, representing a decrease of 213.5%; and</w:t>
      </w:r>
    </w:p>
    <w:p>
      <w:pPr>
        <w:spacing w:after="0" w:line="117" w:lineRule="exact"/>
        <w:rPr>
          <w:rFonts w:ascii="Times New Roman" w:cs="Times New Roman" w:eastAsia="Times New Roman" w:hAnsi="Times New Roman"/>
          <w:sz w:val="18"/>
          <w:szCs w:val="18"/>
          <w:color w:val="231F20"/>
        </w:rPr>
      </w:pPr>
    </w:p>
    <w:p>
      <w:pPr>
        <w:ind w:left="1120" w:hanging="370"/>
        <w:spacing w:after="0"/>
        <w:tabs>
          <w:tab w:leader="none" w:pos="11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Adjusted EBITDA* of $(3.1) million and $8.3 million, representing a decrease of 136.9%.</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Our financial results for the six months ended June 30, 2022 and 2021, respectively, include:</w:t>
      </w:r>
    </w:p>
    <w:p>
      <w:pPr>
        <w:spacing w:after="0" w:line="117" w:lineRule="exact"/>
        <w:rPr>
          <w:sz w:val="20"/>
          <w:szCs w:val="20"/>
          <w:color w:val="auto"/>
        </w:rPr>
      </w:pPr>
    </w:p>
    <w:p>
      <w:pPr>
        <w:ind w:left="1120" w:hanging="370"/>
        <w:spacing w:after="0"/>
        <w:tabs>
          <w:tab w:leader="none" w:pos="1120" w:val="left"/>
        </w:tabs>
        <w:numPr>
          <w:ilvl w:val="1"/>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Revenue of $93.8 million and $90.6 million, representing an increase of 3.6%;</w:t>
      </w:r>
    </w:p>
    <w:p>
      <w:pPr>
        <w:spacing w:after="0" w:line="117" w:lineRule="exact"/>
        <w:rPr>
          <w:rFonts w:ascii="Times New Roman" w:cs="Times New Roman" w:eastAsia="Times New Roman" w:hAnsi="Times New Roman"/>
          <w:sz w:val="18"/>
          <w:szCs w:val="18"/>
          <w:color w:val="231F20"/>
        </w:rPr>
      </w:pPr>
    </w:p>
    <w:p>
      <w:pPr>
        <w:ind w:left="1120" w:hanging="370"/>
        <w:spacing w:after="0"/>
        <w:tabs>
          <w:tab w:leader="none" w:pos="1120" w:val="left"/>
        </w:tabs>
        <w:numPr>
          <w:ilvl w:val="1"/>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Gross profit of $36.7 million and $34.5 million, representing an increase of 6.3%;</w:t>
      </w:r>
    </w:p>
    <w:p>
      <w:pPr>
        <w:spacing w:after="0" w:line="117" w:lineRule="exact"/>
        <w:rPr>
          <w:rFonts w:ascii="Times New Roman" w:cs="Times New Roman" w:eastAsia="Times New Roman" w:hAnsi="Times New Roman"/>
          <w:sz w:val="18"/>
          <w:szCs w:val="18"/>
          <w:color w:val="231F20"/>
        </w:rPr>
      </w:pPr>
    </w:p>
    <w:p>
      <w:pPr>
        <w:ind w:left="1120" w:hanging="370"/>
        <w:spacing w:after="0"/>
        <w:tabs>
          <w:tab w:leader="none" w:pos="1120" w:val="left"/>
        </w:tabs>
        <w:numPr>
          <w:ilvl w:val="1"/>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Contribution ex-TAC* of $59.3 million and $58.9 million, representing an increase of 0.6%;</w:t>
      </w:r>
    </w:p>
    <w:p>
      <w:pPr>
        <w:spacing w:after="0" w:line="117" w:lineRule="exact"/>
        <w:rPr>
          <w:rFonts w:ascii="Times New Roman" w:cs="Times New Roman" w:eastAsia="Times New Roman" w:hAnsi="Times New Roman"/>
          <w:sz w:val="18"/>
          <w:szCs w:val="18"/>
          <w:color w:val="231F20"/>
        </w:rPr>
      </w:pPr>
    </w:p>
    <w:p>
      <w:pPr>
        <w:ind w:left="1120" w:hanging="370"/>
        <w:spacing w:after="0"/>
        <w:tabs>
          <w:tab w:leader="none" w:pos="1120" w:val="left"/>
        </w:tabs>
        <w:numPr>
          <w:ilvl w:val="1"/>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Net loss of $27.7 million and $33.0 million, representing a net improvement of 16.1%;</w:t>
      </w:r>
    </w:p>
    <w:p>
      <w:pPr>
        <w:spacing w:after="0" w:line="117" w:lineRule="exact"/>
        <w:rPr>
          <w:rFonts w:ascii="Times New Roman" w:cs="Times New Roman" w:eastAsia="Times New Roman" w:hAnsi="Times New Roman"/>
          <w:sz w:val="18"/>
          <w:szCs w:val="18"/>
          <w:color w:val="231F20"/>
        </w:rPr>
      </w:pPr>
    </w:p>
    <w:p>
      <w:pPr>
        <w:ind w:left="1120" w:hanging="370"/>
        <w:spacing w:after="0"/>
        <w:tabs>
          <w:tab w:leader="none" w:pos="1120" w:val="left"/>
        </w:tabs>
        <w:numPr>
          <w:ilvl w:val="1"/>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Non-GAAP net income (loss)* of $(12.7) million and $7.4 million, representing a decrease of 272.1%; and</w:t>
      </w:r>
    </w:p>
    <w:p>
      <w:pPr>
        <w:spacing w:after="0" w:line="117" w:lineRule="exact"/>
        <w:rPr>
          <w:rFonts w:ascii="Times New Roman" w:cs="Times New Roman" w:eastAsia="Times New Roman" w:hAnsi="Times New Roman"/>
          <w:sz w:val="18"/>
          <w:szCs w:val="18"/>
          <w:color w:val="231F20"/>
        </w:rPr>
      </w:pPr>
    </w:p>
    <w:p>
      <w:pPr>
        <w:ind w:left="1120" w:hanging="370"/>
        <w:spacing w:after="0"/>
        <w:tabs>
          <w:tab w:leader="none" w:pos="1120" w:val="left"/>
        </w:tabs>
        <w:numPr>
          <w:ilvl w:val="1"/>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Adjusted EBITDA* of $(7.0) million and $13.2 million, representing a decrease of 152.6%.</w:t>
      </w:r>
    </w:p>
    <w:p>
      <w:pPr>
        <w:spacing w:after="0" w:line="117" w:lineRule="exact"/>
        <w:rPr>
          <w:rFonts w:ascii="Times New Roman" w:cs="Times New Roman" w:eastAsia="Times New Roman" w:hAnsi="Times New Roman"/>
          <w:sz w:val="18"/>
          <w:szCs w:val="18"/>
          <w:color w:val="231F20"/>
        </w:rPr>
      </w:pPr>
    </w:p>
    <w:p>
      <w:pPr>
        <w:ind w:left="520" w:right="20"/>
        <w:spacing w:after="0" w:line="257"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 Contribution ex-TAC, non-GAAP net income (loss) and adjusted EBITDA are non-GAAP financial measures. For a detailed discussion of our key operating and financial performance measures and a reconciliation of contribution ex-TAC, non-GAAP net income (loss) and adjusted EBITDA to the most directly comparable financial measures calculated in accordance with generally accepted </w:t>
      </w:r>
      <w:r>
        <w:rPr>
          <w:rFonts w:ascii="Times New Roman" w:cs="Times New Roman" w:eastAsia="Times New Roman" w:hAnsi="Times New Roman"/>
          <w:sz w:val="18"/>
          <w:szCs w:val="18"/>
          <w:color w:val="000000"/>
        </w:rPr>
        <w:t>accounting</w:t>
      </w:r>
    </w:p>
    <w:p>
      <w:pPr>
        <w:spacing w:after="0" w:line="1" w:lineRule="exact"/>
        <w:rPr>
          <w:rFonts w:ascii="Times New Roman" w:cs="Times New Roman" w:eastAsia="Times New Roman" w:hAnsi="Times New Roman"/>
          <w:sz w:val="18"/>
          <w:szCs w:val="18"/>
          <w:color w:val="231F20"/>
        </w:rPr>
      </w:pPr>
    </w:p>
    <w:p>
      <w:pPr>
        <w:ind w:left="520" w:right="200"/>
        <w:spacing w:after="0" w:line="260"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principles in the United States of America </w:t>
      </w:r>
      <w:r>
        <w:rPr>
          <w:rFonts w:ascii="Times New Roman" w:cs="Times New Roman" w:eastAsia="Times New Roman" w:hAnsi="Times New Roman"/>
          <w:sz w:val="18"/>
          <w:szCs w:val="18"/>
          <w:color w:val="231F20"/>
        </w:rPr>
        <w:t>(“GAAP”), see “—Key Operating and Financial Performance Measures—Use of Non-GAAP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Measures.”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Factors Affecting Our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Attract, Retain and Grow our Customer Base</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231F20"/>
        </w:rPr>
        <w:t>Our recent growth has been driven by expanding the usage of our platform by our existing customers as well as adding new customers. We believe that our customers value our solutions as our number of active customers for the twelve months ended June 30, 2022 was 336, increasing by 48 active customers, or 16.7%, from the twelve months ended June 30, 2021. We further evaluate our customer’s usage of our platform and assess our market penetration and scale based on the percentage change in advertiser spend. We define advertiser spend as the total amount billed to our customers for activity on our platform inclusive of the costs of advertising media, third-party data, other add-on features and our platform fee we charge clients. Advertiser spend increased 31.9% for the three months ended June 30, 2022 from the three months ended June 30, 2021 and 37.1% for the six months ended June 30, 2022 from the six months ended June 30, 2021. The percentage change in advertiser spend is a key measure used by our management and our board of directors to evaluate the demand for our products and to assess whether we are increasing market share. Our management uses this key metric to develop short- and long-term operational plans and make strategic decisions regarding future enhancements to our software. We believe the percentage change in advertiser spend across our platform is a useful metric for investors because it allows investors to evaluate our operational performance in the same manner as our management and board of directors. For a detailed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(unaudited; tabular dollars in thousands, except for percentages and per share data)</w:t>
      </w:r>
    </w:p>
    <w:p>
      <w:pPr>
        <w:spacing w:after="0" w:line="205"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231F20"/>
        </w:rPr>
        <w:t xml:space="preserve">discussion of our key operating measures including the definition of active customers, see </w:t>
      </w:r>
      <w:r>
        <w:rPr>
          <w:rFonts w:ascii="Times New Roman" w:cs="Times New Roman" w:eastAsia="Times New Roman" w:hAnsi="Times New Roman"/>
          <w:sz w:val="18"/>
          <w:szCs w:val="18"/>
          <w:i w:val="1"/>
          <w:iCs w:val="1"/>
          <w:color w:val="231F20"/>
        </w:rPr>
        <w:t>“—Key Operating and Financial Performance Measures—Use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of Non-GAAP Financial Measures.”</w:t>
      </w:r>
    </w:p>
    <w:p>
      <w:pPr>
        <w:spacing w:after="0" w:line="52"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231F20"/>
        </w:rPr>
        <w:t>We continue to add functionality to our software to encourage our customers to increase their usage of our platform. We believe many advertisers are in the early stages of moving a greater percentage of their advertising budgets to programmatic channels. By providing solutions for the planning, buying and measuring of their media spend across channels, we believe that we are well positioned to capture more of our customers’ programmatic budgets. Further, we intend to continue to grow our sales and marketing efforts to increase awareness of our DSP, Adelphic, and highlight the advantages of our people-based framework as cookie-based options become increasingly limited. As a result, future revenue growth depends upon our ability to retain our existing customers and increase their usage of our platform as well as add new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Investment in Growth</w:t>
      </w:r>
    </w:p>
    <w:p>
      <w:pPr>
        <w:spacing w:after="0" w:line="12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231F20"/>
        </w:rPr>
        <w:t>We believe that the advertising market is in the early stages of a shift toward programmatic advertising. We plan to invest for long-term growth. We anticipate that our operating expenses will continue to increase in the foreseeable future as we invest in platform operations, technology and development to enhance our product capabilities including identity resolution and the integration of new advertising channels, and in sales and marketing to acquire new customers and increase our customers’ usage of our platform. We believe that these investments will contribute to our long-term growth, although they may have a negative impact on our profitability in the near-term.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COVID-19</w:t>
      </w:r>
    </w:p>
    <w:p>
      <w:pPr>
        <w:spacing w:after="0" w:line="121" w:lineRule="exact"/>
        <w:rPr>
          <w:sz w:val="20"/>
          <w:szCs w:val="20"/>
          <w:color w:val="auto"/>
        </w:rPr>
      </w:pPr>
    </w:p>
    <w:p>
      <w:pPr>
        <w:ind w:right="60" w:firstLine="510"/>
        <w:spacing w:after="0" w:line="271" w:lineRule="auto"/>
        <w:rPr>
          <w:sz w:val="20"/>
          <w:szCs w:val="20"/>
          <w:color w:val="auto"/>
        </w:rPr>
      </w:pPr>
      <w:r>
        <w:rPr>
          <w:rFonts w:ascii="Times New Roman" w:cs="Times New Roman" w:eastAsia="Times New Roman" w:hAnsi="Times New Roman"/>
          <w:sz w:val="17"/>
          <w:szCs w:val="17"/>
          <w:color w:val="231F20"/>
        </w:rPr>
        <w:t>The worldwide spread of the COVID-19 pandemic has resulted, and may continue to result, in a global slowdown of economic activity, which may decrease demand for a broad variety of goods and services, including those provided by our clients, while also disrupting supply channels, sales channels and advertising and marketing activities for an unknown period of time until the COVID-19 pandemic is contained, or economic activity normalizes. With the current uncertainty in economic activity, the impact on our revenue and our results of operations is likely to continue, the size and duration of which we are currently unable to accurately predict. The extent of the impact of the COVID-19 pandemic on our operational and financial performance will depend on a variety of factors, including the duration and spread of the COVID-19 pandemic and its impact on our clients, partners, industry, and employees, all of which are uncertain at this time and cannot be accurately predicted. The ultimate impact of the ongoing COVID-19 pandemic on our results of operations, financial condition and cash flows is dependent on future developments, including the duration of the pandemic, emerging variant strains of the virus with varying degrees of vaccine resistance, and the related length of its impact on the global economy, which are uncertain and cannot be predicted at this time.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Growth of the Digital Advertising Market and Macroeconomics Factors</w:t>
      </w:r>
    </w:p>
    <w:p>
      <w:pPr>
        <w:spacing w:after="0" w:line="121"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231F20"/>
        </w:rPr>
        <w:t>We expect to continue to benefit from overall adoption of programmatic advertising by marketers and their agencies. Any material change in the growth rate of digital advertising or the rate of adoption of programmatic advertising, including expansion of new programmatic channels, could affect our performance. Recent years have shown that advertising spend is closely tied to advertisers’ financial performance, and a downturn, either generally or in one or more of the industries in which our customers operate, could adversely impact the digital advertising market and our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Seasonality</w:t>
      </w:r>
    </w:p>
    <w:p>
      <w:pPr>
        <w:spacing w:after="0" w:line="12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231F20"/>
        </w:rPr>
        <w:t>In the advertising industry, companies commonly experience seasonal fluctuations in revenue, as many marketers allocate the largest portion of their budgets to the fourth quarter of the calendar year in order to coincide with increased holiday purchasing. Historically, the fourth quarter has reflected our highest level of advertising activity for the year. We generally expect the subsequent first quarter to reflect lower activity levels, but this trend may be masked due to the continued growth of our business. In addition, historical seasonality may not be predictive of future results given the potential for changes in advertising buying patterns and consumer activity due to COVID-19. Periods that experience an increase in COVID-19 cases and resulting governmentally-imposed restrictions could cause our revenue to decrease. Political advertising could also cause our revenue to increase during election cycles and decrease during other periods, making it difficult to predict our revenue, cash flow, and operating results, all of which could fall below our expectations. We expect our revenue to continue to fluctuate based on seasonal factors that affect the advertising industry as a whole.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(unaudited; tabular dollars in thousands, except for percentages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121"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231F20"/>
        </w:rPr>
        <w:t>The following tables present our condensed consolidated results of operations, our condensed consolidated results of operations as a percentage of revenue, and the impact of stock-based compensation, depreciation and amortization on each operating expense line item for the three and six months ended June 30, 2022 and 2021:</w:t>
      </w:r>
    </w:p>
    <w:p>
      <w:pPr>
        <w:spacing w:after="0" w:line="7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38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r>
      <w:tr>
        <w:trPr>
          <w:trHeight w:val="223"/>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8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51,200</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50,411</w:t>
            </w:r>
          </w:p>
        </w:tc>
        <w:tc>
          <w:tcPr>
            <w:tcW w:w="160" w:type="dxa"/>
            <w:vAlign w:val="bottom"/>
          </w:tcPr>
          <w:p>
            <w:pPr>
              <w:spacing w:after="0"/>
              <w:rPr>
                <w:sz w:val="19"/>
                <w:szCs w:val="19"/>
                <w:color w:val="auto"/>
              </w:rPr>
            </w:pP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93,829</w:t>
            </w:r>
          </w:p>
        </w:tc>
        <w:tc>
          <w:tcPr>
            <w:tcW w:w="160" w:type="dxa"/>
            <w:vAlign w:val="bottom"/>
          </w:tcPr>
          <w:p>
            <w:pPr>
              <w:spacing w:after="0"/>
              <w:rPr>
                <w:sz w:val="19"/>
                <w:szCs w:val="19"/>
                <w:color w:val="auto"/>
              </w:rPr>
            </w:pP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90,555</w:t>
            </w:r>
          </w:p>
        </w:tc>
        <w:tc>
          <w:tcPr>
            <w:tcW w:w="120" w:type="dxa"/>
            <w:vAlign w:val="bottom"/>
          </w:tcPr>
          <w:p>
            <w:pPr>
              <w:spacing w:after="0"/>
              <w:rPr>
                <w:sz w:val="19"/>
                <w:szCs w:val="19"/>
                <w:color w:val="auto"/>
              </w:rPr>
            </w:pPr>
          </w:p>
        </w:tc>
      </w:tr>
      <w:tr>
        <w:trPr>
          <w:trHeight w:val="22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Platform operations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56,059</w:t>
            </w:r>
          </w:p>
        </w:tc>
        <w:tc>
          <w:tcPr>
            <w:tcW w:w="120" w:type="dxa"/>
            <w:vAlign w:val="bottom"/>
          </w:tcPr>
          <w:p>
            <w:pPr>
              <w:spacing w:after="0"/>
              <w:rPr>
                <w:sz w:val="19"/>
                <w:szCs w:val="19"/>
                <w:color w:val="auto"/>
              </w:rPr>
            </w:pPr>
          </w:p>
        </w:tc>
      </w:tr>
      <w:tr>
        <w:trPr>
          <w:trHeight w:val="230"/>
        </w:trPr>
        <w:tc>
          <w:tcPr>
            <w:tcW w:w="4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31,042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34,738</w:t>
            </w:r>
          </w:p>
        </w:tc>
        <w:tc>
          <w:tcPr>
            <w:tcW w:w="120" w:type="dxa"/>
            <w:vAlign w:val="bottom"/>
            <w:shd w:val="clear" w:color="auto" w:fill="CFF0FC"/>
          </w:tcPr>
          <w:p>
            <w:pPr>
              <w:spacing w:after="0"/>
              <w:rPr>
                <w:sz w:val="19"/>
                <w:szCs w:val="19"/>
                <w:color w:val="auto"/>
              </w:rPr>
            </w:pPr>
          </w:p>
        </w:tc>
      </w:tr>
      <w:tr>
        <w:trPr>
          <w:trHeight w:val="229"/>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120" w:type="dxa"/>
            <w:vAlign w:val="bottom"/>
          </w:tcPr>
          <w:p>
            <w:pPr>
              <w:spacing w:after="0"/>
              <w:rPr>
                <w:sz w:val="19"/>
                <w:szCs w:val="19"/>
                <w:color w:val="auto"/>
              </w:rPr>
            </w:pPr>
          </w:p>
        </w:tc>
      </w:tr>
      <w:tr>
        <w:trPr>
          <w:trHeight w:val="229"/>
        </w:trPr>
        <w:tc>
          <w:tcPr>
            <w:tcW w:w="4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11,725</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24,495</w:t>
            </w:r>
          </w:p>
        </w:tc>
        <w:tc>
          <w:tcPr>
            <w:tcW w:w="120" w:type="dxa"/>
            <w:vAlign w:val="bottom"/>
            <w:shd w:val="clear" w:color="auto" w:fill="CFF0FC"/>
          </w:tcPr>
          <w:p>
            <w:pPr>
              <w:spacing w:after="0"/>
              <w:rPr>
                <w:sz w:val="19"/>
                <w:szCs w:val="19"/>
                <w:color w:val="auto"/>
              </w:rPr>
            </w:pPr>
          </w:p>
        </w:tc>
      </w:tr>
      <w:tr>
        <w:trPr>
          <w:trHeight w:val="223"/>
        </w:trPr>
        <w:tc>
          <w:tcPr>
            <w:tcW w:w="4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64,972</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74,374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121,008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129,223</w:t>
            </w:r>
          </w:p>
        </w:tc>
        <w:tc>
          <w:tcPr>
            <w:tcW w:w="120" w:type="dxa"/>
            <w:vAlign w:val="bottom"/>
            <w:tcBorders>
              <w:bottom w:val="single" w:sz="8" w:color="CFF0FC"/>
            </w:tcBorders>
          </w:tcPr>
          <w:p>
            <w:pPr>
              <w:spacing w:after="0"/>
              <w:rPr>
                <w:sz w:val="19"/>
                <w:szCs w:val="19"/>
                <w:color w:val="auto"/>
              </w:rPr>
            </w:pPr>
          </w:p>
        </w:tc>
      </w:tr>
      <w:tr>
        <w:trPr>
          <w:trHeight w:val="223"/>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(27,179)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(38,668)</w:t>
            </w:r>
          </w:p>
        </w:tc>
        <w:tc>
          <w:tcPr>
            <w:tcW w:w="120" w:type="dxa"/>
            <w:vAlign w:val="bottom"/>
            <w:shd w:val="clear" w:color="auto" w:fill="CFF0FC"/>
          </w:tcPr>
          <w:p>
            <w:pPr>
              <w:spacing w:after="0"/>
              <w:rPr>
                <w:sz w:val="19"/>
                <w:szCs w:val="19"/>
                <w:color w:val="auto"/>
              </w:rPr>
            </w:pPr>
          </w:p>
        </w:tc>
      </w:t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(5,702)</w:t>
            </w: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6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(14,092)</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(32,966)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(10,691)</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(26,206)</w:t>
            </w:r>
          </w:p>
        </w:tc>
      </w:tr>
      <w:tr>
        <w:trPr>
          <w:trHeight w:val="223"/>
        </w:trPr>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Viant Technology Inc.</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78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8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4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100%</w:t>
            </w:r>
          </w:p>
        </w:tc>
        <w:tc>
          <w:tcPr>
            <w:tcW w:w="2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4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Platform operations</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41%</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470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127%</w:t>
            </w:r>
          </w:p>
        </w:tc>
        <w:tc>
          <w:tcPr>
            <w:tcW w:w="2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148%</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0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4700" w:type="dxa"/>
            <w:vAlign w:val="bottom"/>
            <w:gridSpan w:val="2"/>
            <w:vMerge w:val="continue"/>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70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0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4700" w:type="dxa"/>
            <w:vAlign w:val="bottom"/>
            <w:gridSpan w:val="2"/>
            <w:vMerge w:val="continue"/>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7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0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Viant Technology Inc.</w:t>
            </w: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4700" w:type="dxa"/>
            <w:vAlign w:val="bottom"/>
            <w:gridSpan w:val="2"/>
            <w:vMerge w:val="continue"/>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5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0" w:type="dxa"/>
            <w:vAlign w:val="bottom"/>
            <w:gridSpan w:val="2"/>
          </w:tcPr>
          <w:p>
            <w:pPr>
              <w:jc w:val="right"/>
              <w:ind w:right="30"/>
              <w:spacing w:after="0"/>
              <w:rPr>
                <w:sz w:val="20"/>
                <w:szCs w:val="20"/>
                <w:color w:val="auto"/>
              </w:rPr>
            </w:pPr>
            <w:r>
              <w:rPr>
                <w:rFonts w:ascii="Times New Roman" w:cs="Times New Roman" w:eastAsia="Times New Roman" w:hAnsi="Times New Roman"/>
                <w:sz w:val="17"/>
                <w:szCs w:val="17"/>
                <w:color w:val="231F20"/>
                <w:w w:val="70"/>
              </w:rPr>
              <w:t>*</w:t>
            </w:r>
          </w:p>
        </w:tc>
        <w:tc>
          <w:tcPr>
            <w:tcW w:w="52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231F20"/>
              </w:rPr>
              <w:t>Percentages may not sum due to rounding</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00"/>
        <w:spacing w:after="0"/>
        <w:tabs>
          <w:tab w:leader="none" w:pos="860" w:val="left"/>
        </w:tabs>
        <w:rPr>
          <w:sz w:val="20"/>
          <w:szCs w:val="20"/>
          <w:color w:val="auto"/>
        </w:rPr>
      </w:pPr>
      <w:r>
        <w:rPr>
          <w:rFonts w:ascii="Times New Roman" w:cs="Times New Roman" w:eastAsia="Times New Roman" w:hAnsi="Times New Roman"/>
          <w:sz w:val="18"/>
          <w:szCs w:val="18"/>
          <w:color w:val="231F20"/>
        </w:rPr>
        <w:t>(1)</w:t>
      </w:r>
      <w:r>
        <w:rPr>
          <w:sz w:val="20"/>
          <w:szCs w:val="20"/>
          <w:color w:val="auto"/>
        </w:rPr>
        <w:tab/>
      </w:r>
      <w:r>
        <w:rPr>
          <w:rFonts w:ascii="Times New Roman" w:cs="Times New Roman" w:eastAsia="Times New Roman" w:hAnsi="Times New Roman"/>
          <w:sz w:val="17"/>
          <w:szCs w:val="17"/>
          <w:color w:val="231F20"/>
        </w:rPr>
        <w:t>Stock-based compensation, depreciation, and amortization included in operating expenses are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20" w:type="dxa"/>
            <w:vAlign w:val="bottom"/>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278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3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06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r>
      <w:tr>
        <w:trPr>
          <w:trHeight w:val="223"/>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1620" w:type="dxa"/>
            <w:vAlign w:val="bottom"/>
            <w:gridSpan w:val="2"/>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3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3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3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100" w:type="dxa"/>
            <w:vAlign w:val="bottom"/>
          </w:tcPr>
          <w:p>
            <w:pPr>
              <w:spacing w:after="0"/>
              <w:rPr>
                <w:sz w:val="19"/>
                <w:szCs w:val="19"/>
                <w:color w:val="auto"/>
              </w:rPr>
            </w:pPr>
          </w:p>
        </w:tc>
      </w:tr>
      <w:tr>
        <w:trPr>
          <w:trHeight w:val="230"/>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18,727</w:t>
            </w:r>
          </w:p>
        </w:tc>
        <w:tc>
          <w:tcPr>
            <w:tcW w:w="100" w:type="dxa"/>
            <w:vAlign w:val="bottom"/>
            <w:shd w:val="clear" w:color="auto" w:fill="CFF0FC"/>
          </w:tcPr>
          <w:p>
            <w:pPr>
              <w:spacing w:after="0"/>
              <w:rPr>
                <w:sz w:val="19"/>
                <w:szCs w:val="19"/>
                <w:color w:val="auto"/>
              </w:rPr>
            </w:pPr>
          </w:p>
        </w:tc>
      </w:tr>
      <w:tr>
        <w:trPr>
          <w:trHeight w:val="229"/>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100" w:type="dxa"/>
            <w:vAlign w:val="bottom"/>
          </w:tcPr>
          <w:p>
            <w:pPr>
              <w:spacing w:after="0"/>
              <w:rPr>
                <w:sz w:val="19"/>
                <w:szCs w:val="19"/>
                <w:color w:val="auto"/>
              </w:rPr>
            </w:pPr>
          </w:p>
        </w:tc>
      </w:tr>
      <w:tr>
        <w:trPr>
          <w:trHeight w:val="230"/>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7,203</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11,381</w:t>
            </w:r>
          </w:p>
        </w:tc>
        <w:tc>
          <w:tcPr>
            <w:tcW w:w="100" w:type="dxa"/>
            <w:vAlign w:val="bottom"/>
            <w:shd w:val="clear" w:color="auto" w:fill="CFF0FC"/>
          </w:tcPr>
          <w:p>
            <w:pPr>
              <w:spacing w:after="0"/>
              <w:rPr>
                <w:sz w:val="19"/>
                <w:szCs w:val="19"/>
                <w:color w:val="auto"/>
              </w:rPr>
            </w:pPr>
          </w:p>
        </w:tc>
      </w:tr>
      <w:tr>
        <w:trPr>
          <w:trHeight w:val="22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760" w:type="dxa"/>
            <w:vAlign w:val="bottom"/>
          </w:tcPr>
          <w:p>
            <w:pPr>
              <w:spacing w:after="0"/>
              <w:rPr>
                <w:sz w:val="19"/>
                <w:szCs w:val="19"/>
                <w:color w:val="auto"/>
              </w:rPr>
            </w:pPr>
          </w:p>
        </w:tc>
        <w:tc>
          <w:tcPr>
            <w:tcW w:w="86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3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29,686</w:t>
            </w:r>
          </w:p>
        </w:tc>
        <w:tc>
          <w:tcPr>
            <w:tcW w:w="3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14,144</w:t>
            </w:r>
          </w:p>
        </w:tc>
        <w:tc>
          <w:tcPr>
            <w:tcW w:w="3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46,777</w:t>
            </w:r>
          </w:p>
        </w:tc>
        <w:tc>
          <w:tcPr>
            <w:tcW w:w="100" w:type="dxa"/>
            <w:vAlign w:val="bottom"/>
          </w:tcPr>
          <w:p>
            <w:pPr>
              <w:spacing w:after="0"/>
              <w:rPr>
                <w:sz w:val="19"/>
                <w:szCs w:val="19"/>
                <w:color w:val="auto"/>
              </w:rPr>
            </w:pPr>
          </w:p>
        </w:tc>
      </w:tr>
      <w:tr>
        <w:trPr>
          <w:trHeight w:val="20"/>
        </w:trPr>
        <w:tc>
          <w:tcPr>
            <w:tcW w:w="3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060"/>
          </w:cols>
          <w:pgMar w:left="320" w:top="117" w:right="519" w:bottom="1440" w:gutter="0" w:footer="0" w:header="0"/>
        </w:sectPr>
      </w:pPr>
    </w:p>
    <w:p>
      <w:pPr>
        <w:jc w:val="center"/>
        <w:ind w:right="-1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(unaudited; tabular dollars in thousands, except for percentages and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80" w:type="dxa"/>
            <w:vAlign w:val="bottom"/>
            <w:gridSpan w:val="4"/>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2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61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84"/>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r>
      <w:tr>
        <w:trPr>
          <w:trHeight w:val="223"/>
        </w:trPr>
        <w:tc>
          <w:tcPr>
            <w:tcW w:w="2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8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1720" w:type="dxa"/>
            <w:vAlign w:val="bottom"/>
            <w:gridSpan w:val="2"/>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180" w:type="dxa"/>
            <w:vAlign w:val="bottom"/>
            <w:gridSpan w:val="2"/>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6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320" w:type="dxa"/>
            <w:vAlign w:val="bottom"/>
          </w:tcPr>
          <w:p>
            <w:pPr>
              <w:spacing w:after="0"/>
              <w:rPr>
                <w:sz w:val="19"/>
                <w:szCs w:val="19"/>
                <w:color w:val="auto"/>
              </w:rPr>
            </w:pPr>
          </w:p>
        </w:tc>
        <w:tc>
          <w:tcPr>
            <w:tcW w:w="300" w:type="dxa"/>
            <w:vAlign w:val="bottom"/>
            <w:gridSpan w:val="2"/>
          </w:tcPr>
          <w:p>
            <w:pPr>
              <w:jc w:val="right"/>
              <w:ind w:right="16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20" w:type="dxa"/>
            <w:vAlign w:val="bottom"/>
          </w:tcPr>
          <w:p>
            <w:pPr>
              <w:spacing w:after="0"/>
              <w:rPr>
                <w:sz w:val="19"/>
                <w:szCs w:val="19"/>
                <w:color w:val="auto"/>
              </w:rPr>
            </w:pPr>
          </w:p>
        </w:tc>
      </w:tr>
      <w:tr>
        <w:trPr>
          <w:trHeight w:val="229"/>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tcPr>
          <w:p>
            <w:pPr>
              <w:spacing w:after="0"/>
              <w:rPr>
                <w:sz w:val="19"/>
                <w:szCs w:val="19"/>
                <w:color w:val="auto"/>
              </w:rPr>
            </w:pPr>
          </w:p>
        </w:tc>
      </w:tr>
      <w:tr>
        <w:trPr>
          <w:trHeight w:val="229"/>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2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shd w:val="clear" w:color="auto" w:fill="CFF0FC"/>
          </w:tcPr>
          <w:p>
            <w:pPr>
              <w:spacing w:after="0"/>
              <w:rPr>
                <w:sz w:val="19"/>
                <w:szCs w:val="19"/>
                <w:color w:val="auto"/>
              </w:rPr>
            </w:pPr>
          </w:p>
        </w:tc>
      </w:tr>
      <w:tr>
        <w:trPr>
          <w:trHeight w:val="22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Total depreciation</w:t>
            </w:r>
          </w:p>
        </w:tc>
        <w:tc>
          <w:tcPr>
            <w:tcW w:w="860" w:type="dxa"/>
            <w:vAlign w:val="bottom"/>
          </w:tcPr>
          <w:p>
            <w:pPr>
              <w:spacing w:after="0"/>
              <w:rPr>
                <w:sz w:val="19"/>
                <w:szCs w:val="19"/>
                <w:color w:val="auto"/>
              </w:rPr>
            </w:pPr>
          </w:p>
        </w:tc>
        <w:tc>
          <w:tcPr>
            <w:tcW w:w="86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320" w:type="dxa"/>
            <w:vAlign w:val="bottom"/>
          </w:tcPr>
          <w:p>
            <w:pPr>
              <w:spacing w:after="0"/>
              <w:rPr>
                <w:sz w:val="19"/>
                <w:szCs w:val="19"/>
                <w:color w:val="auto"/>
              </w:rPr>
            </w:pPr>
          </w:p>
        </w:tc>
        <w:tc>
          <w:tcPr>
            <w:tcW w:w="86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320" w:type="dxa"/>
            <w:vAlign w:val="bottom"/>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20" w:type="dxa"/>
            <w:vAlign w:val="bottom"/>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40" w:type="dxa"/>
            <w:vAlign w:val="bottom"/>
            <w:gridSpan w:val="4"/>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2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84"/>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Pr>
          <w:p>
            <w:pPr>
              <w:spacing w:after="0"/>
              <w:rPr>
                <w:sz w:val="19"/>
                <w:szCs w:val="19"/>
                <w:color w:val="auto"/>
              </w:rPr>
            </w:pPr>
          </w:p>
        </w:tc>
        <w:tc>
          <w:tcPr>
            <w:tcW w:w="12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r>
      <w:tr>
        <w:trPr>
          <w:trHeight w:val="223"/>
        </w:trPr>
        <w:tc>
          <w:tcPr>
            <w:tcW w:w="2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1780" w:type="dxa"/>
            <w:vAlign w:val="bottom"/>
            <w:gridSpan w:val="2"/>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40" w:type="dxa"/>
            <w:vAlign w:val="bottom"/>
            <w:gridSpan w:val="2"/>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6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20" w:type="dxa"/>
            <w:vAlign w:val="bottom"/>
          </w:tcPr>
          <w:p>
            <w:pPr>
              <w:spacing w:after="0"/>
              <w:rPr>
                <w:sz w:val="19"/>
                <w:szCs w:val="19"/>
                <w:color w:val="auto"/>
              </w:rPr>
            </w:pPr>
          </w:p>
        </w:tc>
        <w:tc>
          <w:tcPr>
            <w:tcW w:w="300" w:type="dxa"/>
            <w:vAlign w:val="bottom"/>
            <w:gridSpan w:val="2"/>
          </w:tcPr>
          <w:p>
            <w:pPr>
              <w:jc w:val="right"/>
              <w:ind w:right="16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19"/>
                <w:szCs w:val="19"/>
                <w:color w:val="auto"/>
              </w:rPr>
            </w:pPr>
          </w:p>
        </w:tc>
      </w:tr>
      <w:tr>
        <w:trPr>
          <w:trHeight w:val="229"/>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FF0FC"/>
          </w:tcPr>
          <w:p>
            <w:pPr>
              <w:spacing w:after="0"/>
              <w:rPr>
                <w:sz w:val="19"/>
                <w:szCs w:val="19"/>
                <w:color w:val="auto"/>
              </w:rPr>
            </w:pPr>
          </w:p>
        </w:tc>
      </w:tr>
      <w:tr>
        <w:trPr>
          <w:trHeight w:val="22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Total amortization</w:t>
            </w:r>
          </w:p>
        </w:tc>
        <w:tc>
          <w:tcPr>
            <w:tcW w:w="860" w:type="dxa"/>
            <w:vAlign w:val="bottom"/>
          </w:tcPr>
          <w:p>
            <w:pPr>
              <w:spacing w:after="0"/>
              <w:rPr>
                <w:sz w:val="19"/>
                <w:szCs w:val="19"/>
                <w:color w:val="auto"/>
              </w:rPr>
            </w:pPr>
          </w:p>
        </w:tc>
        <w:tc>
          <w:tcPr>
            <w:tcW w:w="92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20" w:type="dxa"/>
            <w:vAlign w:val="bottom"/>
          </w:tcPr>
          <w:p>
            <w:pPr>
              <w:spacing w:after="0"/>
              <w:rPr>
                <w:sz w:val="19"/>
                <w:szCs w:val="19"/>
                <w:color w:val="auto"/>
              </w:rPr>
            </w:pPr>
          </w:p>
        </w:tc>
        <w:tc>
          <w:tcPr>
            <w:tcW w:w="92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320" w:type="dxa"/>
            <w:vAlign w:val="bottom"/>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Comparison of the Three Months Ended June 30, 2022 and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231F20"/>
              </w:rPr>
              <w:t>Revenue</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38"/>
        </w:trPr>
        <w:tc>
          <w:tcPr>
            <w:tcW w:w="5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44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51,200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50,411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bl>
    <w:p>
      <w:pPr>
        <w:spacing w:after="0" w:line="198" w:lineRule="exact"/>
        <w:rPr>
          <w:sz w:val="20"/>
          <w:szCs w:val="20"/>
          <w:color w:val="auto"/>
        </w:rPr>
      </w:pPr>
    </w:p>
    <w:p>
      <w:pPr>
        <w:ind w:right="160" w:firstLine="510"/>
        <w:spacing w:after="0" w:line="253" w:lineRule="auto"/>
        <w:rPr>
          <w:sz w:val="20"/>
          <w:szCs w:val="20"/>
          <w:color w:val="auto"/>
        </w:rPr>
      </w:pPr>
      <w:r>
        <w:rPr>
          <w:rFonts w:ascii="Times New Roman" w:cs="Times New Roman" w:eastAsia="Times New Roman" w:hAnsi="Times New Roman"/>
          <w:sz w:val="18"/>
          <w:szCs w:val="18"/>
          <w:color w:val="231F20"/>
        </w:rPr>
        <w:t>Revenue increased by $0.8 million, or 2%, during the three months ended June 30, 2022 compared to the three months ended June 30, 2021. Our revenue growth was due to a 24% increase in revenue from the prior-year period from certain marketers in industry verticals other than automotive and consumer products. This increase in revenue was partially offset by the impact of certain marketers in the automotive and consumer products industry verticals decreasing or pausing their advertising spend due to the ongoing adverse effects of the COVID-19 pandemic and the impact of inflation, rising interest rates, the tightening of credit markets and other adverse macroeconomic and geopolitical developments potentially indicative of an economic slowdown or recession. This resulted in revenue decreasing across these industry verticals by a combined 41% from the prior-year period. Despite the uncertainty that comes with such an environment, we have continued to experience increased demand for our people-based advertising products and services, as evidenced by the continued growth of several of our industry verticals, including retail, and an increase in our active customers to 336 for the twelve months ended June 30, 2022 compared to 288 for the twelve months ended June 30, 2021. Additionally, approximately 85% of our revenue for the three months ended June 30, 2022 came from customers that had been customers in the three months ended June 30,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Platform Operations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Traffic acquisition costs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19,465</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18,212</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Other platform operations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11,485</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13,503</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(2,018)</w:t>
            </w: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platform operations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30,950</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31,715</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Platform operations as a percentage of revenue</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80" w:type="dxa"/>
            <w:vAlign w:val="bottom"/>
          </w:tcPr>
          <w:p>
            <w:pPr>
              <w:spacing w:after="0"/>
              <w:rPr>
                <w:sz w:val="18"/>
                <w:szCs w:val="18"/>
                <w:color w:val="auto"/>
              </w:rPr>
            </w:pPr>
          </w:p>
        </w:tc>
        <w:tc>
          <w:tcPr>
            <w:tcW w:w="42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3"/>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(unaudited; tabular dollars in thousands, except for percentages and per share data)</w:t>
      </w:r>
    </w:p>
    <w:p>
      <w:pPr>
        <w:spacing w:after="0" w:line="200" w:lineRule="exact"/>
        <w:rPr>
          <w:sz w:val="20"/>
          <w:szCs w:val="20"/>
          <w:color w:val="auto"/>
        </w:rPr>
      </w:pPr>
    </w:p>
    <w:p>
      <w:pPr>
        <w:spacing w:after="0" w:line="223" w:lineRule="exact"/>
        <w:rPr>
          <w:sz w:val="20"/>
          <w:szCs w:val="20"/>
          <w:color w:val="auto"/>
        </w:rPr>
      </w:pPr>
    </w:p>
    <w:p>
      <w:pPr>
        <w:ind w:right="60" w:firstLine="510"/>
        <w:spacing w:after="0" w:line="272" w:lineRule="auto"/>
        <w:rPr>
          <w:sz w:val="20"/>
          <w:szCs w:val="20"/>
          <w:color w:val="auto"/>
        </w:rPr>
      </w:pPr>
      <w:r>
        <w:rPr>
          <w:rFonts w:ascii="Times New Roman" w:cs="Times New Roman" w:eastAsia="Times New Roman" w:hAnsi="Times New Roman"/>
          <w:sz w:val="17"/>
          <w:szCs w:val="17"/>
          <w:color w:val="231F20"/>
        </w:rPr>
        <w:t>Platform operations expense decreased by $0.8 million, or 2%, during the three months ended June 30, 2022 compared to the three months ended June 30, 2021. Traffic acquisition costs (“TAC”) are amounts incurred and payable to suppliers for the cost of advertising media, third-party data and other add-on features related to our fixed CPM pricing option and certain arrangements in our percentage of spend pricing option. The change in platform operations expense for the second quarter of 2022 was primarily driven by a decrease in other platform operations expense due to a decline of $4.2 million in stock-based compensation expense related to our 2021 Long-Term Incentive Plan (the “LTIP”). This decrease was the result of RSUs granted in connection with our initial public offering in February 2021 (the “IPO”), a portion of which became fully vested during the previous year. This decrease was partially offset by a $1.3 million increase in TAC, a variable function of revenue, a $1.0 million increase in cloud costs due to continued enhancements to our cloud infrastructure, a $0.8 million increase in depreciation, and a $0.4 million increase in third-party costs in support of our Adelphic platform.</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Sales and Marketing</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38"/>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4"/>
                <w:szCs w:val="24"/>
                <w:color w:val="auto"/>
              </w:rPr>
            </w:pPr>
          </w:p>
        </w:tc>
        <w:tc>
          <w:tcPr>
            <w:tcW w:w="142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42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17,286</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20,553</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14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93"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231F20"/>
        </w:rPr>
        <w:t xml:space="preserve">Sales and marketing expense decreased by $3.3 million, or 16%, during the three months ended June 30, 2022 compared to the three months ended June 30, 2021. This decrease was primarily due to a $9.5 million decrease in stock-based compensation, partially offset by a $2.5 million </w:t>
      </w:r>
      <w:r>
        <w:rPr>
          <w:rFonts w:ascii="Times New Roman" w:cs="Times New Roman" w:eastAsia="Times New Roman" w:hAnsi="Times New Roman"/>
          <w:sz w:val="18"/>
          <w:szCs w:val="18"/>
          <w:color w:val="221F1F"/>
        </w:rPr>
        <w:t>increase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221F1F"/>
        </w:rPr>
        <w:t xml:space="preserve">personnel costs due to increased sales and marketing headcount, a $2.5 million </w:t>
      </w:r>
      <w:r>
        <w:rPr>
          <w:rFonts w:ascii="Times New Roman" w:cs="Times New Roman" w:eastAsia="Times New Roman" w:hAnsi="Times New Roman"/>
          <w:sz w:val="18"/>
          <w:szCs w:val="18"/>
          <w:color w:val="231F20"/>
        </w:rPr>
        <w:t>increase in advertising expense, and a $0.9 million increase in travel and</w:t>
      </w:r>
      <w:r>
        <w:rPr>
          <w:rFonts w:ascii="Times New Roman" w:cs="Times New Roman" w:eastAsia="Times New Roman" w:hAnsi="Times New Roman"/>
          <w:sz w:val="18"/>
          <w:szCs w:val="18"/>
          <w:color w:val="221F1F"/>
        </w:rPr>
        <w:t xml:space="preserve"> </w:t>
      </w:r>
      <w:r>
        <w:rPr>
          <w:rFonts w:ascii="Times New Roman" w:cs="Times New Roman" w:eastAsia="Times New Roman" w:hAnsi="Times New Roman"/>
          <w:sz w:val="18"/>
          <w:szCs w:val="18"/>
          <w:color w:val="231F20"/>
        </w:rPr>
        <w:t>entertainment expenses.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Technology and Development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15"/>
        </w:trPr>
        <w:tc>
          <w:tcPr>
            <w:tcW w:w="5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8"/>
        </w:trPr>
        <w:tc>
          <w:tcPr>
            <w:tcW w:w="58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8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2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93"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231F20"/>
        </w:rPr>
        <w:t>Technology and development expense decreased by $3.0 million, or 38%, during the three months ended June 30, 2022 compared to the three months ended June 30, 2021. This decrease was primarily attributable to a $3.6 million decrease in stock-based compensation, which was partially offset by an increase of $0.5 million in cloud infrastructure costs and an increase of $0.2 million in depreciation.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General and Administrative</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37"/>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4"/>
                <w:szCs w:val="24"/>
                <w:color w:val="auto"/>
              </w:rPr>
            </w:pPr>
          </w:p>
        </w:tc>
        <w:tc>
          <w:tcPr>
            <w:tcW w:w="142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42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11,725</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14,075</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14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93"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231F20"/>
        </w:rPr>
        <w:t>General and administrative expense decreased by $2.4 million, or 17%, during the three months ended June 30, 2022 compared to the three months ended June 30, 2021. This decrease was primarily attributable to a $4.6 million decrease in stock-based compensation, partially offset by a $0.9 million increase in insurance, legal, and consulting expenses associated with general corporate and compliance matters, a $0.8 million increase in travel and entertainment expenses, and a $0.4 million increase in personnel costs due to increase in headcount.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(unaudited; tabular dollars in thousands, except for percentages and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Total Other Expense (Income), Net</w:t>
            </w: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38"/>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8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4"/>
                <w:szCs w:val="24"/>
                <w:color w:val="auto"/>
              </w:rPr>
            </w:pPr>
          </w:p>
        </w:tc>
        <w:tc>
          <w:tcPr>
            <w:tcW w:w="142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4280" w:type="dxa"/>
            <w:vAlign w:val="bottom"/>
            <w:tcBorders>
              <w:bottom w:val="single" w:sz="8" w:color="CFF0FC"/>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r>
      <w:tr>
        <w:trPr>
          <w:trHeight w:val="234"/>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8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93"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231F20"/>
        </w:rPr>
        <w:t>Total other expense (income), net increased by $6.2 million, or 105%, during the three months ended June 30, 2022 compared to the three months ended June 30, 2021. This decrease was primarily due to a $6.1 million gain on extinguishment of debt in the prior-year quarter</w:t>
      </w:r>
      <w:r>
        <w:rPr>
          <w:rFonts w:ascii="Times New Roman" w:cs="Times New Roman" w:eastAsia="Times New Roman" w:hAnsi="Times New Roman"/>
          <w:sz w:val="18"/>
          <w:szCs w:val="18"/>
          <w:color w:val="000000"/>
        </w:rPr>
        <w:t>. The gain resulted from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forgiveness of our Paycheck Protection Program Loan (the “PPP Loan”) and related accrued interest. There was no comparable gain during the three months ended June 30, 2022. For additional information regarding forgiveness of our PPP Loan, see Note 8—Revolving Credit Facility and PPP Loan to our condensed consolidated financial statements.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Comparison of the Six Months Ended June 30, 2022 and 2021</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24"/>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231F20"/>
              </w:rPr>
              <w:t>Revenue</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5"/>
        </w:trPr>
        <w:tc>
          <w:tcPr>
            <w:tcW w:w="5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8"/>
        </w:trPr>
        <w:tc>
          <w:tcPr>
            <w:tcW w:w="5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4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93,829</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90,555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bl>
    <w:p>
      <w:pPr>
        <w:spacing w:after="0" w:line="198"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231F20"/>
        </w:rPr>
        <w:t xml:space="preserve">Revenue increased by $3.3 million, or 4%, during the six months ended June 30, 2022 compared to the six months ended June 30, 2021. Our revenue growth was due to a 28% increase in revenue from the prior-year period from certain marketers in industry verticals other than automotive and consumer products. This increase in revenue was partially offset by the impact of certain marketers in the automotive and consumer products industry verticals decreasing or pausing their advertising spend due to the ongoing adverse effects of the COVID-19 pandemic and the impact of inflation, rising interest rates, the tightening of credit markets and other </w:t>
      </w:r>
      <w:r>
        <w:rPr>
          <w:rFonts w:ascii="Times New Roman" w:cs="Times New Roman" w:eastAsia="Times New Roman" w:hAnsi="Times New Roman"/>
          <w:sz w:val="18"/>
          <w:szCs w:val="18"/>
          <w:color w:val="000000"/>
        </w:rPr>
        <w:t>adverse macroeconomic and geopolitical developments potentially indicative of an</w:t>
      </w:r>
      <w:r>
        <w:rPr>
          <w:rFonts w:ascii="Times New Roman" w:cs="Times New Roman" w:eastAsia="Times New Roman" w:hAnsi="Times New Roman"/>
          <w:sz w:val="18"/>
          <w:szCs w:val="18"/>
          <w:color w:val="231F20"/>
        </w:rPr>
        <w:t xml:space="preserve"> economic slowdown or recession. This resulted in revenue decreasing across these industry verticals by approximately 39% from the prior-year period. Additionally, approximately 88% of our revenue for the six months ended June 30, 2022 came from customers that had been customers in the six months ended June 30, 2021.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Platform Operations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Traffic acquisition costs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34,550</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31,615</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Other platform operations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22,594</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24,444</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(1,850)</w:t>
            </w: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platform operations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57,144</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56,059</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Platform operations as a percentage of revenue</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80" w:type="dxa"/>
            <w:vAlign w:val="bottom"/>
          </w:tcPr>
          <w:p>
            <w:pPr>
              <w:spacing w:after="0"/>
              <w:rPr>
                <w:sz w:val="18"/>
                <w:szCs w:val="18"/>
                <w:color w:val="auto"/>
              </w:rPr>
            </w:pPr>
          </w:p>
        </w:tc>
        <w:tc>
          <w:tcPr>
            <w:tcW w:w="42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231F20"/>
        </w:rPr>
        <w:t>Platform operations expense increased by $1.1 million, or 2%, during the six months ended June 30, 2022 compared to the six months ended June 30, 2021. This increase was primarily driven by a $2.9 million increase in TAC, a variable function of revenue related to our fixed CPM pricing option and certain arrangements related to our percentage of spend pricing option, a $1.9 million increase in cloud costs due to continued enhancements to our cloud infrastructure, a $1.4 million increase in depreciation, and a $1.2 million increase in third-party costs in support of our Adelphic platform, partially offset by a $6.3 million decrease in stock-based compensation expense related to the LTIP due to the RSUs that were granted in connection with the IPO, a portion of which became fully vested during the previous year.</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(unaudited; tabular dollars in thousands, except for percentages and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Sales and Marketing</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15"/>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8"/>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31,042</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34,738</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2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93"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231F20"/>
        </w:rPr>
        <w:t>Sales and marketing expense decreased by $3.7 million, or 11%, during the six months ended June 30, 2022 compared to the six months ended June 30, 2021. This decrease was primarily due to a $14.1 million decrease in stock-based compensation related to the LTIP, partially offset by a $5.5 million increase in personnel costs as a result of increased sales and marketing headcount, a $3.0 million increase in advertising expense, a $1.3 million increase in travel and entertainment expenses, a $0.3 million increase in facilities expense, and a $0.2 million increase in software license expenses.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Technology and Development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15"/>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8"/>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2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93"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231F20"/>
        </w:rPr>
        <w:t>Technology and development expense decreased by $3.9 million, or 28%, during the six months ended June 30, 2022 compared to the six months ended June 30, 2021. This decrease was primarily attributable to a $5.4 million decrease in stock-based compensation related to the LTIP, partially offset by a $0.6 million increase in cloud infrastructure costs, a $0.5 million increase in personnel costs as a result of an increase in headcount to support our continued investment in developed technology, a $0.1 million increase in facilities expense, and a $0.1 million increase in depreciation.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General and Administrative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15"/>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8"/>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22,808</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24,495</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2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93"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231F20"/>
        </w:rPr>
        <w:t>General and administrative expense decreased by $1.7 million, or 7%, during the six months ended June 30, 2022 compared to the six months ended June 30, 2021. This decrease was primarily attributable to a $6.8 million decrease in stock-based compensation related to the LTIP, partially offset by a $1.5 million increase in business insurance and tax, legal, and consulting expenses associated with general corporate and compliance matters, a $1.5 million increase in personnel costs due to increase in headcount, a $0.8 million increase in travel and entertainment expenses, a $0.7 million increase in recruiting expenses, and a $0.1 million increase in facilities expense.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Total Other Expense (Income), Net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15"/>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8"/>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0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r>
      <w:tr>
        <w:trPr>
          <w:trHeight w:val="234"/>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24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93" w:lineRule="exact"/>
        <w:rPr>
          <w:sz w:val="20"/>
          <w:szCs w:val="20"/>
          <w:color w:val="auto"/>
        </w:rPr>
      </w:pPr>
    </w:p>
    <w:p>
      <w:pPr>
        <w:ind w:right="40" w:firstLine="510"/>
        <w:spacing w:after="0" w:line="276" w:lineRule="auto"/>
        <w:rPr>
          <w:sz w:val="20"/>
          <w:szCs w:val="20"/>
          <w:color w:val="auto"/>
        </w:rPr>
      </w:pPr>
      <w:r>
        <w:rPr>
          <w:rFonts w:ascii="Times New Roman" w:cs="Times New Roman" w:eastAsia="Times New Roman" w:hAnsi="Times New Roman"/>
          <w:sz w:val="17"/>
          <w:szCs w:val="17"/>
          <w:color w:val="auto"/>
        </w:rPr>
        <w:t>Total other expense (income), net increased by $6.2 million, or 108%, during the six months ended June 30, 2022 compared to the six months ended June 30, 2021. This increase was primarily due to a $6.1 million gain on debt extinguishment in the prior-year quarter as a result of the forgiveness of our</w:t>
      </w:r>
    </w:p>
    <w:p>
      <w:pPr>
        <w:spacing w:after="0" w:line="1" w:lineRule="exact"/>
        <w:rPr>
          <w:sz w:val="20"/>
          <w:szCs w:val="20"/>
          <w:color w:val="auto"/>
        </w:rPr>
      </w:pPr>
    </w:p>
    <w:p>
      <w:pPr>
        <w:ind w:right="140" w:firstLine="8"/>
        <w:spacing w:after="0" w:line="260" w:lineRule="auto"/>
        <w:tabs>
          <w:tab w:leader="none" w:pos="3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and related accrued interest. For additional information regarding forgiveness of our PPP Loan, see Note 8—Revolving Credit Facility and PPP Loan to our condensed consolidated financial statements.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(unaudited; tabular dollars in thousands, except for percentages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Key Operating and Financial Performance Measures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Use of Non-GAAP Financial Measures</w:t>
      </w:r>
    </w:p>
    <w:p>
      <w:pPr>
        <w:spacing w:after="0" w:line="121" w:lineRule="exact"/>
        <w:rPr>
          <w:sz w:val="20"/>
          <w:szCs w:val="20"/>
          <w:color w:val="auto"/>
        </w:rPr>
      </w:pPr>
    </w:p>
    <w:p>
      <w:pPr>
        <w:ind w:right="160" w:firstLine="510"/>
        <w:spacing w:after="0" w:line="253" w:lineRule="auto"/>
        <w:rPr>
          <w:sz w:val="20"/>
          <w:szCs w:val="20"/>
          <w:color w:val="auto"/>
        </w:rPr>
      </w:pPr>
      <w:r>
        <w:rPr>
          <w:rFonts w:ascii="Times New Roman" w:cs="Times New Roman" w:eastAsia="Times New Roman" w:hAnsi="Times New Roman"/>
          <w:sz w:val="18"/>
          <w:szCs w:val="18"/>
          <w:color w:val="231F20"/>
        </w:rPr>
        <w:t xml:space="preserve">We monitor certain non-GAAP financial measures to help us evaluate growth trends, establish budgets, measure the effectiveness of our sales and marketing efforts and assess our operational efficiencies. </w:t>
      </w:r>
      <w:r>
        <w:rPr>
          <w:rFonts w:ascii="Times New Roman" w:cs="Times New Roman" w:eastAsia="Times New Roman" w:hAnsi="Times New Roman"/>
          <w:sz w:val="18"/>
          <w:szCs w:val="18"/>
          <w:color w:val="000000"/>
        </w:rPr>
        <w:t>We believe these measures enhance an overall understanding of our performance and investors’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ability to review our business from the same perspective as management and facilitate comparisons of this period’s results with prior periods on a consistent basis by excluding items that management does not believe are indicative of our ongoing operating performance. </w:t>
      </w:r>
      <w:r>
        <w:rPr>
          <w:rFonts w:ascii="Times New Roman" w:cs="Times New Roman" w:eastAsia="Times New Roman" w:hAnsi="Times New Roman"/>
          <w:sz w:val="18"/>
          <w:szCs w:val="18"/>
          <w:color w:val="231F20"/>
        </w:rPr>
        <w:t>These non-GAAP financial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measures include contribution ex-TAC, average contribution ex-TAC per active customer, adjusted EBITDA, adjusted EBITDA as a percentage of contribution ex-TAC, non-GAAP net income (loss), non-GAAP earnings (loss) per share of Class A common stock—basic and diluted, and non-GAAP operating expenses, each of which are discussed immediately following the table below, along with the operational performance measure of active customers. Reconciliations of these non-GAAP financial measures to the most directly comparable financial measures calculated and presented in accordance with GAAP are provided in the financial tables presented below. There are limitations in using non-GAAP financial measures which are not prepared in accordance with GAAP, as they may be different from non-GAAP financial measures used by other companies and may exclude certain items that may have a material impact upon our reported financial results. The presentation of this additional information is not meant to be considered in isolation or as a substitute for the directly comparable financial measures prepared in accordance with GAAP.</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4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1"/>
        </w:trPr>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2"/>
          </w:tcPr>
          <w:p>
            <w:pPr>
              <w:jc w:val="center"/>
              <w:ind w:right="300"/>
              <w:spacing w:after="0" w:line="201" w:lineRule="exact"/>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3"/>
          </w:tcPr>
          <w:p>
            <w:pPr>
              <w:jc w:val="center"/>
              <w:ind w:right="160"/>
              <w:spacing w:after="0" w:line="201" w:lineRule="exact"/>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238"/>
        </w:trPr>
        <w:tc>
          <w:tcPr>
            <w:tcW w:w="4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Pr>
          <w:p>
            <w:pPr>
              <w:spacing w:after="0"/>
              <w:rPr>
                <w:sz w:val="20"/>
                <w:szCs w:val="20"/>
                <w:color w:val="auto"/>
              </w:rPr>
            </w:pP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and Financial Performance Measures</w:t>
            </w: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20,250</w:t>
            </w:r>
          </w:p>
        </w:tc>
        <w:tc>
          <w:tcPr>
            <w:tcW w:w="3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18,696</w:t>
            </w:r>
          </w:p>
        </w:tc>
        <w:tc>
          <w:tcPr>
            <w:tcW w:w="3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36,685</w:t>
            </w:r>
          </w:p>
        </w:tc>
        <w:tc>
          <w:tcPr>
            <w:tcW w:w="30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34,496</w:t>
            </w:r>
          </w:p>
        </w:tc>
        <w:tc>
          <w:tcPr>
            <w:tcW w:w="30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Contribution ex-TAC</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31,735</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32,199</w:t>
            </w:r>
          </w:p>
        </w:tc>
        <w:tc>
          <w:tcPr>
            <w:tcW w:w="3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59,279</w:t>
            </w:r>
          </w:p>
        </w:tc>
        <w:tc>
          <w:tcPr>
            <w:tcW w:w="3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58,940</w:t>
            </w:r>
          </w:p>
        </w:tc>
        <w:tc>
          <w:tcPr>
            <w:tcW w:w="3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(14,092)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(18,095)</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(27,655)</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(32,966)</w:t>
            </w: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(3,077)</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8,346</w:t>
            </w:r>
          </w:p>
        </w:tc>
        <w:tc>
          <w:tcPr>
            <w:tcW w:w="3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(137)%</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(6,958)</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13,228</w:t>
            </w:r>
          </w:p>
        </w:tc>
        <w:tc>
          <w:tcPr>
            <w:tcW w:w="3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loss as a percentage of gross profit</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r>
      <w:tr>
        <w:trPr>
          <w:trHeight w:val="211"/>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as a percentage of contribution ex-</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4"/>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TAC</w:t>
            </w:r>
          </w:p>
        </w:tc>
        <w:tc>
          <w:tcPr>
            <w:tcW w:w="1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(5,934)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3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(12,702)</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30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(272)%</w:t>
            </w:r>
          </w:p>
        </w:tc>
      </w:tr>
      <w:tr>
        <w:trPr>
          <w:trHeight w:val="22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64,972</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74,374</w:t>
            </w:r>
          </w:p>
        </w:tc>
        <w:tc>
          <w:tcPr>
            <w:tcW w:w="3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121,008</w:t>
            </w:r>
          </w:p>
        </w:tc>
        <w:tc>
          <w:tcPr>
            <w:tcW w:w="3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129,223</w:t>
            </w:r>
          </w:p>
        </w:tc>
        <w:tc>
          <w:tcPr>
            <w:tcW w:w="3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34,812</w:t>
            </w:r>
          </w:p>
        </w:tc>
        <w:tc>
          <w:tcPr>
            <w:tcW w:w="3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23,853</w:t>
            </w:r>
          </w:p>
        </w:tc>
        <w:tc>
          <w:tcPr>
            <w:tcW w:w="3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66,237</w:t>
            </w:r>
          </w:p>
        </w:tc>
        <w:tc>
          <w:tcPr>
            <w:tcW w:w="30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45,712</w:t>
            </w:r>
          </w:p>
        </w:tc>
        <w:tc>
          <w:tcPr>
            <w:tcW w:w="30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per share—basic</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(0.24)</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(0.32)</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(0.47)</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(0.59)</w:t>
            </w:r>
          </w:p>
        </w:tc>
        <w:tc>
          <w:tcPr>
            <w:tcW w:w="9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(0.24)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(0.32)</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(0.47)</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(0.59)</w:t>
            </w: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earnings (loss) per share—basic</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(214)%</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(0.18)</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Non-GAAP earnings (loss) per share—diluted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(0.18)</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0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(325)%</w:t>
            </w: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Active customers</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3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3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Average gross profit per active customer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3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3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30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30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contribution ex-TAC per active customer</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3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3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3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Contribution ex-TAC</w:t>
      </w:r>
    </w:p>
    <w:p>
      <w:pPr>
        <w:spacing w:after="0" w:line="119"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231F20"/>
        </w:rPr>
        <w:t>Contribution ex-TAC is a non-GAAP financial measure. Gross profit is the most comparable GAAP financial measure, which is calculated as revenue less platform operations expense. In calculating contribution ex-TAC, we add back other platform operations expense to gross profit. Contribution ex-TAC is a key profitability measure used by our management and board of directors to understand and evaluate our operating performance and trends, develop short- and long-term operational plans and make strategic decisions regarding the allocation of capital. In particular, we believe that contribution ex-TAC can provide a measure of period-to-period comparisons for all pricing options within our business. Accordingly, we believe that this measure provides information to investors and the market in understanding and evaluating our operating results in the same manner as our management and board of directors.</w:t>
      </w:r>
    </w:p>
    <w:p>
      <w:pPr>
        <w:spacing w:after="0" w:line="8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231F20"/>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contribution ex-TAC differently, which may make comparisons difficult. Because of these and other limitations, you should consider our non-GAAP financial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(unaudited; tabular dollars in thousands, except for percentages and per share data)</w:t>
      </w:r>
    </w:p>
    <w:p>
      <w:pPr>
        <w:spacing w:after="0" w:line="20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231F20"/>
        </w:rPr>
        <w:t>measures only as supplemental to other GAAP-based financial performance measures, including revenue, gross profit, net income (loss) and cash flows. For a reconciliation of contribution ex-TAC to the most directly comparable financial measure calculated in accordance with GAAP, see “</w:t>
      </w:r>
      <w:r>
        <w:rPr>
          <w:rFonts w:ascii="Times New Roman" w:cs="Times New Roman" w:eastAsia="Times New Roman" w:hAnsi="Times New Roman"/>
          <w:sz w:val="18"/>
          <w:szCs w:val="18"/>
          <w:i w:val="1"/>
          <w:iCs w:val="1"/>
          <w:color w:val="231F20"/>
        </w:rPr>
        <w:t>—Average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contribution ex-TAC per active customer</w:t>
      </w:r>
      <w:r>
        <w:rPr>
          <w:rFonts w:ascii="Times New Roman" w:cs="Times New Roman" w:eastAsia="Times New Roman" w:hAnsi="Times New Roman"/>
          <w:sz w:val="18"/>
          <w:szCs w:val="18"/>
          <w:color w:val="231F20"/>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Active customers</w:t>
      </w:r>
    </w:p>
    <w:p>
      <w:pPr>
        <w:spacing w:after="0" w:line="11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231F20"/>
        </w:rPr>
        <w:t>We define an active customer as a customer that had total aggregate contribution ex-TAC of at least $5,000 through our platform during the previous twelve months. For purposes of this definition, a customer that operates under any of our pricing options that equals or exceeds the aforementioned contribution ex-TAC threshold is considered an active customer. Active customers is a key measure used by our management and board of directors to understand and evaluate our operating performance and trends, develop short- and long-term operational plans and make strategic decisions regarding future enhancements to our software. We believe active customers is a useful metric for investors because it allows investors to evaluate the Company’s operational performance in the same manner as our management and board of directors. Active customers is an operational metric calculated using contribution ex-TAC, a non-GAAP financial measure. For a reconciliation of contribution ex-TAC to the most directly comparable financial measure calculated in accordance with GAAP, see “</w:t>
      </w:r>
      <w:r>
        <w:rPr>
          <w:rFonts w:ascii="Times New Roman" w:cs="Times New Roman" w:eastAsia="Times New Roman" w:hAnsi="Times New Roman"/>
          <w:sz w:val="18"/>
          <w:szCs w:val="18"/>
          <w:i w:val="1"/>
          <w:iCs w:val="1"/>
          <w:color w:val="231F20"/>
        </w:rPr>
        <w:t>—Average contribution ex-TAC per active customer</w:t>
      </w:r>
      <w:r>
        <w:rPr>
          <w:rFonts w:ascii="Times New Roman" w:cs="Times New Roman" w:eastAsia="Times New Roman" w:hAnsi="Times New Roman"/>
          <w:sz w:val="18"/>
          <w:szCs w:val="18"/>
          <w:color w:val="231F20"/>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Average contribution ex-TAC per active customer</w:t>
      </w:r>
    </w:p>
    <w:p>
      <w:pPr>
        <w:spacing w:after="0" w:line="119" w:lineRule="exact"/>
        <w:rPr>
          <w:sz w:val="20"/>
          <w:szCs w:val="20"/>
          <w:color w:val="auto"/>
        </w:rPr>
      </w:pPr>
    </w:p>
    <w:p>
      <w:pPr>
        <w:ind w:right="180" w:firstLine="510"/>
        <w:spacing w:after="0" w:line="256" w:lineRule="auto"/>
        <w:rPr>
          <w:sz w:val="20"/>
          <w:szCs w:val="20"/>
          <w:color w:val="auto"/>
        </w:rPr>
      </w:pPr>
      <w:r>
        <w:rPr>
          <w:rFonts w:ascii="Times New Roman" w:cs="Times New Roman" w:eastAsia="Times New Roman" w:hAnsi="Times New Roman"/>
          <w:sz w:val="18"/>
          <w:szCs w:val="18"/>
          <w:color w:val="231F20"/>
        </w:rPr>
        <w:t>We define average contribution ex-TAC per active customer as contribution ex-TAC for the trailing 12-month period presented divided by active customers. Average gross profit per active customer is the most comparable GAAP measure, which we define as gross profit for the trailing 12-month period presented divided by active customers. We believe that the total number of active customers and average contribution ex-TAC per active customer are measures of our ability to increase profitability and the effectiveness of our sales force, although we expect these measures to fluctuate based on the seasonality in our business. Customers that generated less than $5,000 in contribution ex-TAC in the trailing 12-month period were not material in the aggregate in any period.</w:t>
      </w:r>
    </w:p>
    <w:p>
      <w:pPr>
        <w:spacing w:after="0" w:line="79"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231F20"/>
        </w:rPr>
        <w:t>The following table presents the calculation of gross profit, the reconciliation of gross profit to contribution ex-TAC, average gross profit per active customer and average contribution ex-TAC per active customer for the three and six months ended June 30, 2022 and 2021:</w:t>
      </w:r>
    </w:p>
    <w:p>
      <w:pPr>
        <w:spacing w:after="0" w:line="6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8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r>
      <w:tr>
        <w:trPr>
          <w:trHeight w:val="22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50,411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93,829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90,555</w:t>
            </w:r>
          </w:p>
        </w:tc>
        <w:tc>
          <w:tcPr>
            <w:tcW w:w="100" w:type="dxa"/>
            <w:vAlign w:val="bottom"/>
            <w:shd w:val="clear" w:color="auto" w:fill="CFF0FC"/>
          </w:tcPr>
          <w:p>
            <w:pPr>
              <w:spacing w:after="0"/>
              <w:rPr>
                <w:sz w:val="19"/>
                <w:szCs w:val="19"/>
                <w:color w:val="auto"/>
              </w:rPr>
            </w:pPr>
          </w:p>
        </w:tc>
      </w:tr>
      <w:tr>
        <w:trPr>
          <w:trHeight w:val="230"/>
        </w:trPr>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Platform operations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(57,144)</w:t>
            </w:r>
          </w:p>
        </w:tc>
        <w:tc>
          <w:tcPr>
            <w:tcW w:w="2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(56,059)</w:t>
            </w: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36,685</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34,496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4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Add back: Other platform operations</w:t>
            </w:r>
          </w:p>
        </w:tc>
        <w:tc>
          <w:tcPr>
            <w:tcW w:w="8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22,594</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24,444</w:t>
            </w:r>
          </w:p>
        </w:tc>
        <w:tc>
          <w:tcPr>
            <w:tcW w:w="100" w:type="dxa"/>
            <w:vAlign w:val="bottom"/>
            <w:tcBorders>
              <w:bottom w:val="single" w:sz="8" w:color="CFF0FC"/>
            </w:tcBorders>
          </w:tcPr>
          <w:p>
            <w:pPr>
              <w:spacing w:after="0"/>
              <w:rPr>
                <w:sz w:val="19"/>
                <w:szCs w:val="19"/>
                <w:color w:val="auto"/>
              </w:rPr>
            </w:pPr>
          </w:p>
        </w:tc>
      </w:tr>
      <w:tr>
        <w:trPr>
          <w:trHeight w:val="223"/>
        </w:trPr>
        <w:tc>
          <w:tcPr>
            <w:tcW w:w="4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Contribution ex-TAC</w:t>
            </w:r>
          </w:p>
        </w:tc>
        <w:tc>
          <w:tcPr>
            <w:tcW w:w="8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31,735</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32,199</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59,279</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58,940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Active customers</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FF0FC"/>
          </w:tcPr>
          <w:p>
            <w:pPr>
              <w:spacing w:after="0"/>
              <w:rPr>
                <w:sz w:val="19"/>
                <w:szCs w:val="19"/>
                <w:color w:val="auto"/>
              </w:rPr>
            </w:pPr>
          </w:p>
        </w:tc>
      </w:tr>
      <w:tr>
        <w:trPr>
          <w:trHeight w:val="22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Average gross profit per active customer</w:t>
            </w:r>
          </w:p>
        </w:tc>
        <w:tc>
          <w:tcPr>
            <w:tcW w:w="10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6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contribution ex-TAC per active customer</w:t>
            </w:r>
          </w:p>
        </w:tc>
        <w:tc>
          <w:tcPr>
            <w:tcW w:w="106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FF0FC"/>
          </w:tcPr>
          <w:p>
            <w:pPr>
              <w:spacing w:after="0"/>
              <w:rPr>
                <w:sz w:val="19"/>
                <w:szCs w:val="19"/>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Adjusted EBITDA and adjusted EBITDA as a percentage of contribution ex-TAC</w:t>
      </w:r>
    </w:p>
    <w:p>
      <w:pPr>
        <w:spacing w:after="0" w:line="119"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231F20"/>
        </w:rPr>
        <w:t>Adjusted EBITDA is a non-GAAP financial measure defined by us as net income (loss) before interest expense, net, income tax benefit (expense), depreciation, amortization, stock-based compensation and certain other items that are not related to our core operations, such as restructuring charges, transaction expenses and the extinguishment of debt. Net income (loss) is the most comparable GAAP financial measure. Adjusted EBITDA as a percentage of contribution ex-TAC is a non-GAAP financial measure we calculate by dividing adjusted EBITDA by contribution ex-TAC for the period or periods presented.</w:t>
      </w:r>
    </w:p>
    <w:p>
      <w:pPr>
        <w:spacing w:after="0" w:line="75"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231F20"/>
        </w:rPr>
        <w:t>Adjusted EBITDA and adjusted EBITDA as a percentage of contribution ex-TAC are used by our management and board of directors to understand and evaluate our core operating performance and trends, to prepare and approve our annual budget and to develop short- and long-term operational plans. In particular, we believe that the exclusion of the amounts eliminated in calculating adjusted EBITDA can provide a measure for period-to-period comparisons of our business. Adjusted EBITDA as a percentage of contribution ex-TAC, a non-GAAP financial measure, is used by our management and board of directors to evaluate adjusted EBITDA relative to our profitability after costs that are directly variable to revenues, which comprise TAC. Accordingly, we believe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(unaudited; tabular dollars in thousands, except for percentages and per share data)</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that adjusted EBITDA and adjusted EBITDA as a percentage of contribution ex-TAC provide information to investors and the market in understanding and evaluating our operating results in the same manner as our management and board of directors.</w:t>
      </w:r>
    </w:p>
    <w:p>
      <w:pPr>
        <w:spacing w:after="0" w:line="54"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231F20"/>
        </w:rPr>
        <w:t>Our use of adjusted EBITDA and adjusted EBITDA as a percentage of contribution ex-TAC has limitations as an analytical tool, and you should not consider these measures in isolation or as a substitute for analysis of our financial results as reported under GAAP. Some of these potential limitations include:</w:t>
      </w:r>
    </w:p>
    <w:p>
      <w:pPr>
        <w:spacing w:after="0" w:line="68" w:lineRule="exact"/>
        <w:rPr>
          <w:sz w:val="20"/>
          <w:szCs w:val="20"/>
          <w:color w:val="auto"/>
        </w:rPr>
      </w:pPr>
    </w:p>
    <w:p>
      <w:pPr>
        <w:ind w:left="1120" w:hanging="370"/>
        <w:spacing w:after="0" w:line="266" w:lineRule="auto"/>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other companies, including companies in our industry that have similar business arrangements, may report adjusted EBITDA or adjusted EBITDA as a percentage of contribution ex-TAC, or similarly titled measures, but calculate them differently, which reduces their usefulness as comparative measures;</w:t>
      </w:r>
    </w:p>
    <w:p>
      <w:pPr>
        <w:spacing w:after="0" w:line="67" w:lineRule="exact"/>
        <w:rPr>
          <w:rFonts w:ascii="Times New Roman" w:cs="Times New Roman" w:eastAsia="Times New Roman" w:hAnsi="Times New Roman"/>
          <w:sz w:val="18"/>
          <w:szCs w:val="18"/>
          <w:color w:val="auto"/>
        </w:rPr>
      </w:pPr>
    </w:p>
    <w:p>
      <w:pPr>
        <w:ind w:left="1120" w:right="200" w:hanging="370"/>
        <w:spacing w:after="0" w:line="266" w:lineRule="auto"/>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and</w:t>
      </w:r>
    </w:p>
    <w:p>
      <w:pPr>
        <w:spacing w:after="0" w:line="67" w:lineRule="exact"/>
        <w:rPr>
          <w:rFonts w:ascii="Times New Roman" w:cs="Times New Roman" w:eastAsia="Times New Roman" w:hAnsi="Times New Roman"/>
          <w:sz w:val="18"/>
          <w:szCs w:val="18"/>
          <w:color w:val="auto"/>
        </w:rPr>
      </w:pPr>
    </w:p>
    <w:p>
      <w:pPr>
        <w:ind w:left="1120" w:right="420" w:hanging="370"/>
        <w:spacing w:after="0" w:line="282" w:lineRule="auto"/>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adjusted EBITDA does not reflect changes in, or cash requirements for, our working capital needs or the potentially dilutive impact of stock-based compensation.</w:t>
      </w:r>
    </w:p>
    <w:p>
      <w:pPr>
        <w:spacing w:after="0" w:line="54"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231F20"/>
        </w:rPr>
        <w:t>Because of these and other limitations, you should consider our non-GAAP financial measures only as supplemental to other GAAP-based financial performance measures, including revenue, net income (loss) and cash flows.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The following table presents a reconciliation of net loss to adjusted EBITDA for the three and six months ended June 30, 2022 and 2021:</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3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(32,966)</w:t>
            </w:r>
          </w:p>
        </w:tc>
        <w:tc>
          <w:tcPr>
            <w:tcW w:w="10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Add back:</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10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29,686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46,777</w:t>
            </w:r>
          </w:p>
        </w:tc>
        <w:tc>
          <w:tcPr>
            <w:tcW w:w="10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(6,110)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(6,110)</w:t>
            </w: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(6,958)</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13,228</w:t>
            </w:r>
          </w:p>
        </w:tc>
        <w:tc>
          <w:tcPr>
            <w:tcW w:w="10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firstLine="510"/>
        <w:spacing w:after="0" w:line="282" w:lineRule="auto"/>
        <w:rPr>
          <w:sz w:val="20"/>
          <w:szCs w:val="20"/>
          <w:color w:val="auto"/>
        </w:rPr>
      </w:pPr>
      <w:r>
        <w:rPr>
          <w:rFonts w:ascii="Times New Roman" w:cs="Times New Roman" w:eastAsia="Times New Roman" w:hAnsi="Times New Roman"/>
          <w:sz w:val="18"/>
          <w:szCs w:val="18"/>
          <w:color w:val="231F20"/>
        </w:rPr>
        <w:t>The following table presents the calculation of net loss as a percentage of gross profit and the calculation of adjusted EBITDA as a percentage of contribution ex-TAC for the three and six months ended June 30, 2022 and 2021:</w:t>
      </w:r>
    </w:p>
    <w:p>
      <w:pPr>
        <w:spacing w:after="0" w:line="6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456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CFF0FC"/>
            </w:tcBorders>
          </w:tcPr>
          <w:p>
            <w:pPr>
              <w:spacing w:after="0"/>
              <w:rPr>
                <w:sz w:val="19"/>
                <w:szCs w:val="19"/>
                <w:color w:val="auto"/>
              </w:rPr>
            </w:pPr>
          </w:p>
        </w:tc>
      </w:tr>
      <w:tr>
        <w:trPr>
          <w:trHeight w:val="22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20,250</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18,696</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36,685</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34,496</w:t>
            </w:r>
          </w:p>
        </w:tc>
        <w:tc>
          <w:tcPr>
            <w:tcW w:w="240" w:type="dxa"/>
            <w:vAlign w:val="bottom"/>
            <w:shd w:val="clear" w:color="auto" w:fill="CFF0FC"/>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(14,092)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(18,095)</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(27,655)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(32,966)</w:t>
            </w:r>
          </w:p>
        </w:tc>
      </w:tr>
      <w:tr>
        <w:trPr>
          <w:trHeight w:val="22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as a percentage of gross profit</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ex-TAC</w:t>
            </w:r>
            <w:r>
              <w:rPr>
                <w:rFonts w:ascii="Times New Roman" w:cs="Times New Roman" w:eastAsia="Times New Roman" w:hAnsi="Times New Roman"/>
                <w:sz w:val="15"/>
                <w:szCs w:val="15"/>
                <w:color w:val="auto"/>
              </w:rPr>
              <w:t>(1)</w:t>
            </w:r>
          </w:p>
        </w:tc>
        <w:tc>
          <w:tcPr>
            <w:tcW w:w="5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31,735</w:t>
            </w:r>
          </w:p>
        </w:tc>
        <w:tc>
          <w:tcPr>
            <w:tcW w:w="38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32,199</w:t>
            </w:r>
          </w:p>
        </w:tc>
        <w:tc>
          <w:tcPr>
            <w:tcW w:w="280" w:type="dxa"/>
            <w:vAlign w:val="bottom"/>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59,279</w:t>
            </w:r>
          </w:p>
        </w:tc>
        <w:tc>
          <w:tcPr>
            <w:tcW w:w="3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58,940</w:t>
            </w:r>
          </w:p>
        </w:tc>
        <w:tc>
          <w:tcPr>
            <w:tcW w:w="240" w:type="dxa"/>
            <w:vAlign w:val="bottom"/>
          </w:tcPr>
          <w:p>
            <w:pPr>
              <w:spacing w:after="0"/>
              <w:rPr>
                <w:sz w:val="19"/>
                <w:szCs w:val="19"/>
                <w:color w:val="auto"/>
              </w:rPr>
            </w:pPr>
          </w:p>
        </w:tc>
      </w:tr>
      <w:tr>
        <w:trPr>
          <w:trHeight w:val="23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52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(3,077)</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8,346</w:t>
            </w:r>
          </w:p>
        </w:tc>
        <w:tc>
          <w:tcPr>
            <w:tcW w:w="2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(6,958)</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13,228</w:t>
            </w:r>
          </w:p>
        </w:tc>
        <w:tc>
          <w:tcPr>
            <w:tcW w:w="240" w:type="dxa"/>
            <w:vAlign w:val="bottom"/>
            <w:shd w:val="clear" w:color="auto" w:fill="CFF0FC"/>
          </w:tcPr>
          <w:p>
            <w:pPr>
              <w:spacing w:after="0"/>
              <w:rPr>
                <w:sz w:val="19"/>
                <w:szCs w:val="19"/>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as a percentage of contribution ex-TAC</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r>
    </w:tbl>
    <w:p>
      <w:pPr>
        <w:spacing w:after="0" w:line="85" w:lineRule="exact"/>
        <w:rPr>
          <w:sz w:val="20"/>
          <w:szCs w:val="20"/>
          <w:color w:val="auto"/>
        </w:rPr>
      </w:pPr>
    </w:p>
    <w:p>
      <w:pPr>
        <w:ind w:left="520" w:right="60" w:hanging="2"/>
        <w:spacing w:after="0" w:line="282" w:lineRule="auto"/>
        <w:tabs>
          <w:tab w:leader="none" w:pos="1346" w:val="left"/>
        </w:tabs>
        <w:numPr>
          <w:ilvl w:val="0"/>
          <w:numId w:val="21"/>
        </w:numPr>
        <w:rPr>
          <w:rFonts w:ascii="Times New Roman" w:cs="Times New Roman" w:eastAsia="Times New Roman" w:hAnsi="Times New Roman"/>
          <w:sz w:val="15"/>
          <w:szCs w:val="15"/>
          <w:color w:val="231F20"/>
        </w:rPr>
      </w:pPr>
      <w:r>
        <w:rPr>
          <w:rFonts w:ascii="Times New Roman" w:cs="Times New Roman" w:eastAsia="Times New Roman" w:hAnsi="Times New Roman"/>
          <w:sz w:val="18"/>
          <w:szCs w:val="18"/>
          <w:color w:val="231F20"/>
        </w:rPr>
        <w:t>For a reconciliation of contribution ex-TAC to the most directly comparable financial measure calculated in accordance with GAAP, see “</w:t>
      </w:r>
      <w:r>
        <w:rPr>
          <w:rFonts w:ascii="Times New Roman" w:cs="Times New Roman" w:eastAsia="Times New Roman" w:hAnsi="Times New Roman"/>
          <w:sz w:val="18"/>
          <w:szCs w:val="18"/>
          <w:i w:val="1"/>
          <w:iCs w:val="1"/>
          <w:color w:val="231F20"/>
        </w:rPr>
        <w:t>—Average contribution ex-TAC per active customer</w:t>
      </w:r>
      <w:r>
        <w:rPr>
          <w:rFonts w:ascii="Times New Roman" w:cs="Times New Roman" w:eastAsia="Times New Roman" w:hAnsi="Times New Roman"/>
          <w:sz w:val="18"/>
          <w:szCs w:val="18"/>
          <w:color w:val="231F20"/>
        </w:rPr>
        <w: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(unaudited; tabular dollars in thousands, except for percentages and per share data)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Non-GAAP net income (loss)</w:t>
      </w:r>
    </w:p>
    <w:p>
      <w:pPr>
        <w:spacing w:after="0" w:line="11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231F20"/>
        </w:rPr>
        <w:t>Non-GAAP net income (loss) is a non-GAAP financial measure defined by us as net income (loss) adjusted to eliminate the impact of stock-based compensation and certain other items that are not related to our core operations, such as restructuring charges, transaction expenses and the extinguishment of debt. Net income (loss) is the most comparable GAAP financial measure. Non-GAAP net income (loss) is a key measure used by our management and board of directors to evaluate operating performance, generate future operating plans and make strategic decisions regarding the allocation of capital. In particular, we believe that the elimination of stock-based compensation, gain on debt extinguishment, and certain other items that are not related to our core operations provides measures for period-to-period comparisons of our business and additional insight into our core controllable costs. Accordingly, we believe that non-GAAP net income (loss) provides information to investors and the market generally in understanding and evaluating our results of operations in the same manner as our management and board of directors.</w:t>
      </w:r>
    </w:p>
    <w:p>
      <w:pPr>
        <w:spacing w:after="0" w:line="84"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231F20"/>
        </w:rPr>
        <w:t>Our use of non-GAAP net income (loss)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non-GAAP net income (loss) differently, which may make comparisons difficult. Because of these and other limitations, you should consider our non-GAAP financial measures only as supplemental to other GAAP-based financial performance measures, including revenue, gross profit, net income (loss) and cash flows.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presents a reconciliation of net loss to non-GAAP net income (loss) for the </w:t>
      </w:r>
      <w:r>
        <w:rPr>
          <w:rFonts w:ascii="Times New Roman" w:cs="Times New Roman" w:eastAsia="Times New Roman" w:hAnsi="Times New Roman"/>
          <w:sz w:val="18"/>
          <w:szCs w:val="18"/>
          <w:color w:val="231F20"/>
        </w:rPr>
        <w:t>three and six months ended June 30, 2022 and 2021:</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(32,966)</w:t>
            </w:r>
          </w:p>
        </w:tc>
        <w:tc>
          <w:tcPr>
            <w:tcW w:w="100" w:type="dxa"/>
            <w:vAlign w:val="bottom"/>
            <w:shd w:val="clear" w:color="auto" w:fill="CFF0FC"/>
          </w:tcPr>
          <w:p>
            <w:pPr>
              <w:spacing w:after="0"/>
              <w:rPr>
                <w:sz w:val="19"/>
                <w:szCs w:val="19"/>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46,777</w:t>
            </w:r>
          </w:p>
        </w:tc>
        <w:tc>
          <w:tcPr>
            <w:tcW w:w="100" w:type="dxa"/>
            <w:vAlign w:val="bottom"/>
          </w:tcPr>
          <w:p>
            <w:pPr>
              <w:spacing w:after="0"/>
              <w:rPr>
                <w:sz w:val="19"/>
                <w:szCs w:val="19"/>
                <w:color w:val="auto"/>
              </w:rPr>
            </w:pPr>
          </w:p>
        </w:tc>
      </w:tr>
      <w:tr>
        <w:trPr>
          <w:trHeight w:val="229"/>
        </w:trPr>
        <w:tc>
          <w:tcPr>
            <w:tcW w:w="5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Gain on extinguishment of debt</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(6,110)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(6,110)</w:t>
            </w:r>
          </w:p>
        </w:tc>
      </w:tr>
      <w:tr>
        <w:trPr>
          <w:trHeight w:val="211"/>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benefit (expense) related to Viant Technology Inc.’s share</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of adjustments</w:t>
            </w:r>
            <w:r>
              <w:rPr>
                <w:rFonts w:ascii="Times New Roman" w:cs="Times New Roman" w:eastAsia="Times New Roman" w:hAnsi="Times New Roman"/>
                <w:sz w:val="15"/>
                <w:szCs w:val="15"/>
                <w:color w:val="auto"/>
              </w:rPr>
              <w:t>(1)</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w:t>
            </w: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net income (loss)</w:t>
            </w: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ind w:left="520" w:right="160" w:hanging="2"/>
        <w:spacing w:after="0" w:line="282" w:lineRule="auto"/>
        <w:tabs>
          <w:tab w:leader="none" w:pos="1346" w:val="left"/>
        </w:tabs>
        <w:numPr>
          <w:ilvl w:val="0"/>
          <w:numId w:val="22"/>
        </w:numPr>
        <w:rPr>
          <w:rFonts w:ascii="Times New Roman" w:cs="Times New Roman" w:eastAsia="Times New Roman" w:hAnsi="Times New Roman"/>
          <w:sz w:val="15"/>
          <w:szCs w:val="15"/>
          <w:color w:val="231F20"/>
        </w:rPr>
      </w:pPr>
      <w:r>
        <w:rPr>
          <w:rFonts w:ascii="Times New Roman" w:cs="Times New Roman" w:eastAsia="Times New Roman" w:hAnsi="Times New Roman"/>
          <w:sz w:val="18"/>
          <w:szCs w:val="18"/>
          <w:color w:val="231F20"/>
        </w:rPr>
        <w:t>The estimated income tax effect of our share of non-GAAP reconciling items are calculated using an assumed blended tax rate of 25%, which represents our expected corporate tax rate, excluding discrete and non-recurring tax items.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Non-GAAP earnings (loss) per share of Class A common stock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basic and diluted</w:t>
      </w:r>
    </w:p>
    <w:p>
      <w:pPr>
        <w:spacing w:after="0" w:line="11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231F20"/>
        </w:rPr>
        <w:t>Non-GAAP earnings (loss) per share of Class A common stock—basic and diluted is a non-GAAP financial measure defined by us as earnings (loss) per share of Class A common stock—basic and diluted, adjusted to eliminate the impact of stock-based compensation and certain other items that are not related to our core operations, such as restructuring charges, transaction expenses and the extinguishment of debt. Earnings (loss) per share of Class A common stock—basic and diluted is the most comparable GAAP financial measure. Non-GAAP earnings (loss) per share of Class A common stock—basic and diluted is used by our management and board of directors to evaluate operating performance, generate future operating plans and make strategic decisions regarding the allocation of capital. In particular, we believe that the elimination of stock-based compensation, gain on extinguishment of debt and certain other items that are not related to our core operations provides measures for period-to-period comparisons of our business and provides additional insight into our core controllable costs. Accordingly, we believe that non-GAAP earnings (loss) per share of Class A common stock—basic and diluted provides information to investors and the market generally in understanding and evaluating our results of operations in the same manner as our management and board of directors.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4" w:name="page35"/>
    <w:bookmarkEnd w:id="3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(unaudited; tabular dollars in thousands, except for percentages and per share data)</w:t>
      </w:r>
    </w:p>
    <w:p>
      <w:pPr>
        <w:spacing w:after="0" w:line="207"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231F20"/>
        </w:rPr>
        <w:t>Our use of non-GAAP earnings (loss) per share of Class A common stock—basic and diluted has limitations as an analytical tool, and you should not consider it in isolation or as a substitute for analysis of our financial results as reported under GAAP. Some of these potential limitations include:</w:t>
      </w:r>
    </w:p>
    <w:p>
      <w:pPr>
        <w:spacing w:after="0" w:line="54" w:lineRule="exact"/>
        <w:rPr>
          <w:sz w:val="20"/>
          <w:szCs w:val="20"/>
          <w:color w:val="auto"/>
        </w:rPr>
      </w:pPr>
    </w:p>
    <w:p>
      <w:pPr>
        <w:ind w:left="1120" w:right="180" w:hanging="370"/>
        <w:spacing w:after="0" w:line="266" w:lineRule="auto"/>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other companies, including companies in our industry that have similar business arrangements, may report non-GAAP earnings (loss) per share of Class A common stock—basic and diluted or similarly titled measures, but calculate them differently, which reduces their usefulness as comparative measures; and</w:t>
      </w:r>
    </w:p>
    <w:p>
      <w:pPr>
        <w:spacing w:after="0" w:line="67" w:lineRule="exact"/>
        <w:rPr>
          <w:rFonts w:ascii="Times New Roman" w:cs="Times New Roman" w:eastAsia="Times New Roman" w:hAnsi="Times New Roman"/>
          <w:sz w:val="18"/>
          <w:szCs w:val="18"/>
          <w:color w:val="auto"/>
        </w:rPr>
      </w:pPr>
    </w:p>
    <w:p>
      <w:pPr>
        <w:ind w:left="1120" w:right="140" w:hanging="370"/>
        <w:spacing w:after="0" w:line="282" w:lineRule="auto"/>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although the stock-based compensation related to the LTIP referred to above is non-cash in nature, non-GAAP earnings (loss) per share of Class A common stock—basic and diluted does not reflect its impact on net income (loss) attributable to all common stockholders.</w:t>
      </w:r>
    </w:p>
    <w:p>
      <w:pPr>
        <w:spacing w:after="0" w:line="54" w:lineRule="exact"/>
        <w:rPr>
          <w:sz w:val="20"/>
          <w:szCs w:val="20"/>
          <w:color w:val="auto"/>
        </w:rPr>
      </w:pPr>
    </w:p>
    <w:p>
      <w:pPr>
        <w:ind w:right="700" w:firstLine="510"/>
        <w:spacing w:after="0" w:line="282" w:lineRule="auto"/>
        <w:rPr>
          <w:sz w:val="20"/>
          <w:szCs w:val="20"/>
          <w:color w:val="auto"/>
        </w:rPr>
      </w:pPr>
      <w:r>
        <w:rPr>
          <w:rFonts w:ascii="Times New Roman" w:cs="Times New Roman" w:eastAsia="Times New Roman" w:hAnsi="Times New Roman"/>
          <w:sz w:val="18"/>
          <w:szCs w:val="18"/>
          <w:color w:val="231F20"/>
        </w:rPr>
        <w:t>Because of these and other limitations, you should consider our non-GAAP measures only as supplemental to other GAAP-based financial performance measures, including earnings (loss) per share of Class A common stock—basic and diluted.</w:t>
      </w:r>
    </w:p>
    <w:p>
      <w:pPr>
        <w:spacing w:after="0" w:line="54"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 xml:space="preserve">Basic non-GAAP earnings (loss) per share of Class A common stock is calculated by dividing the non-GAAP net income (loss) attributable to Class A common stockholders by the number of weighted-average shares of Class A common stock outstanding. </w:t>
      </w:r>
      <w:r>
        <w:rPr>
          <w:rFonts w:ascii="Times New Roman" w:cs="Times New Roman" w:eastAsia="Times New Roman" w:hAnsi="Times New Roman"/>
          <w:sz w:val="18"/>
          <w:szCs w:val="18"/>
          <w:color w:val="231F20"/>
        </w:rPr>
        <w:t>Shares of our Class B common stock do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share in our earnings or losses and are therefore not participating securities. As such, separate presentation of basic and diluted non-GAAP earnings (loss) of Class B common stock under the two-class method has not been presented.</w:t>
      </w:r>
    </w:p>
    <w:p>
      <w:pPr>
        <w:spacing w:after="0" w:line="72"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Diluted non-GAAP earnings (loss) per share of Class A common stock adjusts the basic non-GAAP earnings (loss) per share for the potential dilutive impact of common shares such as equity awards using the treasury-stock method and Class B common stock using the if-converted method. Diluted non-GAAP earnings (loss) per share of Class A common stock considers the impact of potentially dilutive securities except in periods in which there is a loss because the inclusion of the potential common shares would have an anti-dilutive effect. Shares of our Class B common stock, RSUs and nonqualified stock options are considered potentially dilutive shares of Class A common stock. For the three and six months ended June 30, 2022, Class B common stock and nonqualified stock options amounts have been excluded from the computation of diluted earnings (loss) per share of Class A common stock because the effect would have been anti-dilutive under the if-converted and treasury stock method, respectively.</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(unaudited; tabular dollars in thousands, except for percentages and per share data)</w:t>
      </w:r>
    </w:p>
    <w:p>
      <w:pPr>
        <w:spacing w:after="0" w:line="207" w:lineRule="exact"/>
        <w:rPr>
          <w:sz w:val="20"/>
          <w:szCs w:val="20"/>
          <w:color w:val="auto"/>
        </w:rPr>
      </w:pPr>
    </w:p>
    <w:p>
      <w:pPr>
        <w:ind w:right="360" w:firstLine="510"/>
        <w:spacing w:after="0" w:line="282" w:lineRule="auto"/>
        <w:rPr>
          <w:sz w:val="20"/>
          <w:szCs w:val="20"/>
          <w:color w:val="auto"/>
        </w:rPr>
      </w:pPr>
      <w:r>
        <w:rPr>
          <w:rFonts w:ascii="Times New Roman" w:cs="Times New Roman" w:eastAsia="Times New Roman" w:hAnsi="Times New Roman"/>
          <w:sz w:val="18"/>
          <w:szCs w:val="18"/>
          <w:color w:val="231F20"/>
        </w:rPr>
        <w:t>The following tables present the reconciliation of earnings (loss) per share of Class A common stock—basic and diluted to non-GAAP earnings (loss) per share of Class A common stock—basic and diluted for the three and six months ended June 30, 2022 and 2021: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17"/>
                <w:szCs w:val="17"/>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GAAP</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GAAP</w:t>
            </w:r>
          </w:p>
        </w:tc>
      </w:tr>
      <w:tr>
        <w:trPr>
          <w:trHeight w:val="216"/>
        </w:trPr>
        <w:tc>
          <w:tcPr>
            <w:tcW w:w="5080" w:type="dxa"/>
            <w:vAlign w:val="bottom"/>
          </w:tcPr>
          <w:p>
            <w:pPr>
              <w:spacing w:after="0"/>
              <w:rPr>
                <w:sz w:val="18"/>
                <w:szCs w:val="18"/>
                <w:color w:val="auto"/>
              </w:rPr>
            </w:pPr>
          </w:p>
        </w:tc>
        <w:tc>
          <w:tcPr>
            <w:tcW w:w="9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9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Earnings</w:t>
            </w: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7"/>
              </w:rPr>
              <w:t>(Loss)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(Loss)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7"/>
              </w:rPr>
              <w:t>(Loss)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(Loss)</w:t>
            </w: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per</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per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per</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w:t>
            </w:r>
          </w:p>
        </w:tc>
      </w:tr>
      <w:tr>
        <w:trPr>
          <w:trHeight w:val="238"/>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80" w:type="dxa"/>
            <w:vAlign w:val="bottom"/>
          </w:tcPr>
          <w:p>
            <w:pPr>
              <w:spacing w:after="0"/>
              <w:rPr>
                <w:sz w:val="20"/>
                <w:szCs w:val="20"/>
                <w:color w:val="auto"/>
              </w:rPr>
            </w:pPr>
          </w:p>
        </w:tc>
        <w:tc>
          <w:tcPr>
            <w:tcW w:w="76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00" w:type="dxa"/>
            <w:vAlign w:val="bottom"/>
          </w:tcPr>
          <w:p>
            <w:pPr>
              <w:spacing w:after="0"/>
              <w:rPr>
                <w:sz w:val="20"/>
                <w:szCs w:val="20"/>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w:t>
            </w: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(14,092)</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(14,092)</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(18,095)</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(18,095)</w:t>
            </w: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29,686</w:t>
            </w:r>
          </w:p>
        </w:tc>
        <w:tc>
          <w:tcPr>
            <w:tcW w:w="100" w:type="dxa"/>
            <w:vAlign w:val="bottom"/>
          </w:tcPr>
          <w:p>
            <w:pPr>
              <w:spacing w:after="0"/>
              <w:rPr>
                <w:sz w:val="19"/>
                <w:szCs w:val="19"/>
                <w:color w:val="auto"/>
              </w:rPr>
            </w:pPr>
          </w:p>
        </w:tc>
      </w:tr>
      <w:tr>
        <w:trPr>
          <w:trHeight w:val="229"/>
        </w:trPr>
        <w:tc>
          <w:tcPr>
            <w:tcW w:w="5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Gain on extinguishment of debt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(6,110)</w:t>
            </w: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(6,110)</w:t>
            </w:r>
          </w:p>
        </w:tc>
      </w:tr>
      <w:tr>
        <w:trPr>
          <w:trHeight w:val="211"/>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benefit (expense) related to Viant Technology Inc.'s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share of adjustments</w:t>
            </w:r>
            <w:r>
              <w:rPr>
                <w:rFonts w:ascii="Times New Roman" w:cs="Times New Roman" w:eastAsia="Times New Roman" w:hAnsi="Times New Roman"/>
                <w:sz w:val="15"/>
                <w:szCs w:val="15"/>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net income (loss)</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(14,092)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(18,095)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r>
              <w:rPr>
                <w:rFonts w:ascii="Times New Roman" w:cs="Times New Roman" w:eastAsia="Times New Roman" w:hAnsi="Times New Roman"/>
                <w:sz w:val="15"/>
                <w:szCs w:val="15"/>
                <w:color w:val="auto"/>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(10,691)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(4,739)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(14,440)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100" w:type="dxa"/>
            <w:vAlign w:val="bottom"/>
          </w:tcPr>
          <w:p>
            <w:pPr>
              <w:spacing w:after="0"/>
              <w:rPr>
                <w:sz w:val="19"/>
                <w:szCs w:val="19"/>
                <w:color w:val="auto"/>
              </w:rPr>
            </w:pP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attributable to Viant Technology Inc.—basic</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40" w:type="dxa"/>
            <w:vAlign w:val="bottom"/>
            <w:tcBorders>
              <w:top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Borders>
              <w:top w:val="single" w:sz="8" w:color="CFF0FC"/>
            </w:tcBorders>
            <w:shd w:val="clear" w:color="auto" w:fill="CFF0FC"/>
          </w:tcPr>
          <w:p>
            <w:pPr>
              <w:spacing w:after="0"/>
              <w:rPr>
                <w:sz w:val="19"/>
                <w:szCs w:val="19"/>
                <w:color w:val="auto"/>
              </w:rPr>
            </w:pPr>
          </w:p>
        </w:tc>
      </w:tr>
      <w:tr>
        <w:trPr>
          <w:trHeight w:val="205"/>
        </w:trPr>
        <w:tc>
          <w:tcPr>
            <w:tcW w:w="508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Add back: Reallocation of net loss attributable to noncontrolling</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from the assumed exchange of RSUs for Class A common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0"/>
                <w:szCs w:val="20"/>
                <w:color w:val="auto"/>
              </w:rPr>
            </w:pPr>
          </w:p>
        </w:tc>
      </w:tr>
      <w:tr>
        <w:trPr>
          <w:trHeight w:val="211"/>
        </w:trPr>
        <w:tc>
          <w:tcPr>
            <w:tcW w:w="5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benefit (expense) from the assumed exchange of RSUs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 Class A common stock</w:t>
            </w:r>
            <w:r>
              <w:rPr>
                <w:rFonts w:ascii="Times New Roman" w:cs="Times New Roman" w:eastAsia="Times New Roman" w:hAnsi="Times New Roman"/>
                <w:sz w:val="15"/>
                <w:szCs w:val="15"/>
                <w:color w:val="auto"/>
              </w:rPr>
              <w:t>(1)</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63"/>
        </w:trPr>
        <w:tc>
          <w:tcPr>
            <w:tcW w:w="5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 (loss) attributable to Viant Technology Inc.—diluted</w:t>
            </w:r>
          </w:p>
        </w:tc>
        <w:tc>
          <w:tcPr>
            <w:tcW w:w="1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40" w:type="dxa"/>
            <w:vAlign w:val="bottom"/>
            <w:tcBorders>
              <w:bottom w:val="single" w:sz="8" w:color="CFF0FC"/>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24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40" w:type="dxa"/>
            <w:vAlign w:val="bottom"/>
            <w:tcBorders>
              <w:bottom w:val="single" w:sz="8" w:color="CFF0FC"/>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140" w:type="dxa"/>
            <w:vAlign w:val="bottom"/>
            <w:tcBorders>
              <w:bottom w:val="single" w:sz="8" w:color="CFF0FC"/>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Borders>
              <w:bottom w:val="single" w:sz="8" w:color="CFF0FC"/>
            </w:tcBorders>
          </w:tcPr>
          <w:p>
            <w:pPr>
              <w:spacing w:after="0"/>
              <w:rPr>
                <w:sz w:val="22"/>
                <w:szCs w:val="22"/>
                <w:color w:val="auto"/>
              </w:rPr>
            </w:pP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1"/>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00" w:type="dxa"/>
            <w:vAlign w:val="bottom"/>
          </w:tcPr>
          <w:p>
            <w:pPr>
              <w:spacing w:after="0"/>
              <w:rPr>
                <w:sz w:val="20"/>
                <w:szCs w:val="20"/>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Pr>
          <w:p>
            <w:pPr>
              <w:spacing w:after="0"/>
              <w:rPr>
                <w:sz w:val="19"/>
                <w:szCs w:val="19"/>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5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Weighted-average shares of Class A common stock outstanding—</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7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14,114</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14,114</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14,021</w:t>
            </w:r>
          </w:p>
        </w:tc>
        <w:tc>
          <w:tcPr>
            <w:tcW w:w="100" w:type="dxa"/>
            <w:vAlign w:val="bottom"/>
          </w:tcPr>
          <w:p>
            <w:pPr>
              <w:spacing w:after="0"/>
              <w:rPr>
                <w:sz w:val="23"/>
                <w:szCs w:val="23"/>
                <w:color w:val="auto"/>
              </w:rPr>
            </w:pPr>
          </w:p>
        </w:tc>
      </w:tr>
      <w:tr>
        <w:trPr>
          <w:trHeight w:val="210"/>
        </w:trPr>
        <w:tc>
          <w:tcPr>
            <w:tcW w:w="50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7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 of Class A common stock—basic</w:t>
            </w:r>
          </w:p>
        </w:tc>
        <w:tc>
          <w:tcPr>
            <w:tcW w:w="12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(0.24)</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(0.32)</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3"/>
                <w:szCs w:val="23"/>
                <w:color w:val="auto"/>
              </w:rPr>
            </w:pPr>
          </w:p>
        </w:tc>
      </w:tr>
      <w:tr>
        <w:trPr>
          <w:trHeight w:val="210"/>
        </w:trPr>
        <w:tc>
          <w:tcPr>
            <w:tcW w:w="50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(loss) per share of Class A common stock—diluted</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Anti-dilutive shares excluded from earnings (loss) per share of Class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 common stock—diluted:</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47,436</w:t>
            </w:r>
          </w:p>
        </w:tc>
        <w:tc>
          <w:tcPr>
            <w:tcW w:w="100" w:type="dxa"/>
            <w:vAlign w:val="bottom"/>
            <w:tcBorders>
              <w:bottom w:val="single" w:sz="8" w:color="CFF0FC"/>
            </w:tcBorders>
          </w:tcPr>
          <w:p>
            <w:pPr>
              <w:spacing w:after="0"/>
              <w:rPr>
                <w:sz w:val="19"/>
                <w:szCs w:val="19"/>
                <w:color w:val="auto"/>
              </w:rPr>
            </w:pPr>
          </w:p>
        </w:tc>
      </w:tr>
      <w:tr>
        <w:trPr>
          <w:trHeight w:val="205"/>
        </w:trPr>
        <w:tc>
          <w:tcPr>
            <w:tcW w:w="508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Total shares excluded from earnings (loss) per share of Class A</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stock—diluted</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55,761</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47,503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ind w:left="520" w:right="180" w:hanging="2"/>
        <w:spacing w:after="0" w:line="282" w:lineRule="auto"/>
        <w:tabs>
          <w:tab w:leader="none" w:pos="1346" w:val="left"/>
        </w:tabs>
        <w:numPr>
          <w:ilvl w:val="0"/>
          <w:numId w:val="24"/>
        </w:numPr>
        <w:rPr>
          <w:rFonts w:ascii="Times New Roman" w:cs="Times New Roman" w:eastAsia="Times New Roman" w:hAnsi="Times New Roman"/>
          <w:sz w:val="15"/>
          <w:szCs w:val="15"/>
          <w:color w:val="231F20"/>
        </w:rPr>
      </w:pPr>
      <w:r>
        <w:rPr>
          <w:rFonts w:ascii="Times New Roman" w:cs="Times New Roman" w:eastAsia="Times New Roman" w:hAnsi="Times New Roman"/>
          <w:sz w:val="18"/>
          <w:szCs w:val="18"/>
          <w:color w:val="231F20"/>
        </w:rPr>
        <w:t>The estimated income tax effect of our share of non-GAAP reconciling items are calculated using an assumed blended tax rate of 25%, which represents our expected corporate tax rate, excluding discrete and non-recurring tax items.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(unaudited; tabular dollars in thousands, except for percentages and per share data)</w:t>
      </w:r>
    </w:p>
    <w:p>
      <w:pPr>
        <w:spacing w:after="0" w:line="207" w:lineRule="exact"/>
        <w:rPr>
          <w:sz w:val="20"/>
          <w:szCs w:val="20"/>
          <w:color w:val="auto"/>
        </w:rPr>
      </w:pPr>
    </w:p>
    <w:p>
      <w:pPr>
        <w:ind w:left="520" w:right="620" w:hanging="2"/>
        <w:spacing w:after="0" w:line="282" w:lineRule="auto"/>
        <w:tabs>
          <w:tab w:leader="none" w:pos="1346" w:val="left"/>
        </w:tabs>
        <w:numPr>
          <w:ilvl w:val="0"/>
          <w:numId w:val="25"/>
        </w:numPr>
        <w:rPr>
          <w:rFonts w:ascii="Times New Roman" w:cs="Times New Roman" w:eastAsia="Times New Roman" w:hAnsi="Times New Roman"/>
          <w:sz w:val="15"/>
          <w:szCs w:val="15"/>
          <w:color w:val="231F20"/>
        </w:rPr>
      </w:pPr>
      <w:r>
        <w:rPr>
          <w:rFonts w:ascii="Times New Roman" w:cs="Times New Roman" w:eastAsia="Times New Roman" w:hAnsi="Times New Roman"/>
          <w:sz w:val="18"/>
          <w:szCs w:val="18"/>
          <w:color w:val="231F20"/>
        </w:rPr>
        <w:t>The adjustment to net income (loss) attributable to noncontrolling interests represents stock-based compensation attributed to the noncontrolling interest of our company outstanding during the period.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17"/>
                <w:szCs w:val="17"/>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GAAP</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GAAP</w:t>
            </w:r>
          </w:p>
        </w:tc>
      </w:tr>
      <w:tr>
        <w:trPr>
          <w:trHeight w:val="216"/>
        </w:trPr>
        <w:tc>
          <w:tcPr>
            <w:tcW w:w="5080" w:type="dxa"/>
            <w:vAlign w:val="bottom"/>
          </w:tcPr>
          <w:p>
            <w:pPr>
              <w:spacing w:after="0"/>
              <w:rPr>
                <w:sz w:val="18"/>
                <w:szCs w:val="18"/>
                <w:color w:val="auto"/>
              </w:rPr>
            </w:pPr>
          </w:p>
        </w:tc>
        <w:tc>
          <w:tcPr>
            <w:tcW w:w="9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9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Earnings</w:t>
            </w: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(Loss)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(Loss)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(Loss)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(Loss)</w:t>
            </w: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per</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per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per</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w:t>
            </w:r>
          </w:p>
        </w:tc>
      </w:tr>
      <w:tr>
        <w:trPr>
          <w:trHeight w:val="238"/>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80" w:type="dxa"/>
            <w:vAlign w:val="bottom"/>
          </w:tcPr>
          <w:p>
            <w:pPr>
              <w:spacing w:after="0"/>
              <w:rPr>
                <w:sz w:val="20"/>
                <w:szCs w:val="20"/>
                <w:color w:val="auto"/>
              </w:rPr>
            </w:pPr>
          </w:p>
        </w:tc>
        <w:tc>
          <w:tcPr>
            <w:tcW w:w="76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00" w:type="dxa"/>
            <w:vAlign w:val="bottom"/>
          </w:tcPr>
          <w:p>
            <w:pPr>
              <w:spacing w:after="0"/>
              <w:rPr>
                <w:sz w:val="20"/>
                <w:szCs w:val="20"/>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w:t>
            </w: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(27,655)</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(27,655)</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(32,966)</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(32,966)</w:t>
            </w: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46,777</w:t>
            </w:r>
          </w:p>
        </w:tc>
        <w:tc>
          <w:tcPr>
            <w:tcW w:w="100" w:type="dxa"/>
            <w:vAlign w:val="bottom"/>
          </w:tcPr>
          <w:p>
            <w:pPr>
              <w:spacing w:after="0"/>
              <w:rPr>
                <w:sz w:val="19"/>
                <w:szCs w:val="19"/>
                <w:color w:val="auto"/>
              </w:rPr>
            </w:pPr>
          </w:p>
        </w:tc>
      </w:tr>
      <w:tr>
        <w:trPr>
          <w:trHeight w:val="230"/>
        </w:trPr>
        <w:tc>
          <w:tcPr>
            <w:tcW w:w="5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Gain on extinguishment of debt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(6,110)</w:t>
            </w: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(6,110)</w:t>
            </w:r>
          </w:p>
        </w:tc>
      </w:tr>
      <w:tr>
        <w:trPr>
          <w:trHeight w:val="211"/>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benefit (expense) related to Viant Technology Inc.'s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share of adjustments</w:t>
            </w:r>
            <w:r>
              <w:rPr>
                <w:rFonts w:ascii="Times New Roman" w:cs="Times New Roman" w:eastAsia="Times New Roman" w:hAnsi="Times New Roman"/>
                <w:sz w:val="15"/>
                <w:szCs w:val="15"/>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w:t>
            </w: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net income (loss)</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(27,655)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14,953</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(12,702)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(32,966)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40,351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r>
              <w:rPr>
                <w:rFonts w:ascii="Times New Roman" w:cs="Times New Roman" w:eastAsia="Times New Roman" w:hAnsi="Times New Roman"/>
                <w:sz w:val="15"/>
                <w:szCs w:val="15"/>
                <w:color w:val="auto"/>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(10,224)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100" w:type="dxa"/>
            <w:vAlign w:val="bottom"/>
          </w:tcPr>
          <w:p>
            <w:pPr>
              <w:spacing w:after="0"/>
              <w:rPr>
                <w:sz w:val="19"/>
                <w:szCs w:val="19"/>
                <w:color w:val="auto"/>
              </w:rPr>
            </w:pP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attributable to Viant Technology Inc.—basic</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40" w:type="dxa"/>
            <w:vAlign w:val="bottom"/>
            <w:tcBorders>
              <w:top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Borders>
              <w:top w:val="single" w:sz="8" w:color="CFF0FC"/>
            </w:tcBorders>
            <w:shd w:val="clear" w:color="auto" w:fill="CFF0FC"/>
          </w:tcPr>
          <w:p>
            <w:pPr>
              <w:spacing w:after="0"/>
              <w:rPr>
                <w:sz w:val="19"/>
                <w:szCs w:val="19"/>
                <w:color w:val="auto"/>
              </w:rPr>
            </w:pPr>
          </w:p>
        </w:tc>
      </w:tr>
      <w:tr>
        <w:trPr>
          <w:trHeight w:val="205"/>
        </w:trPr>
        <w:tc>
          <w:tcPr>
            <w:tcW w:w="508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Add back: Reallocation of net loss attributable to noncontrolling</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from the assumed exchange of RSUs for Class A common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r>
      <w:tr>
        <w:trPr>
          <w:trHeight w:val="211"/>
        </w:trPr>
        <w:tc>
          <w:tcPr>
            <w:tcW w:w="5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benefit (expense) from the assumed exchange of RSUs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 Class A common stock</w:t>
            </w:r>
            <w:r>
              <w:rPr>
                <w:rFonts w:ascii="Times New Roman" w:cs="Times New Roman" w:eastAsia="Times New Roman" w:hAnsi="Times New Roman"/>
                <w:sz w:val="15"/>
                <w:szCs w:val="15"/>
                <w:color w:val="auto"/>
              </w:rPr>
              <w:t>(1)</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r>
      <w:tr>
        <w:trPr>
          <w:trHeight w:val="263"/>
        </w:trPr>
        <w:tc>
          <w:tcPr>
            <w:tcW w:w="5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 (loss) attributable to Viant Technology Inc.—diluted</w:t>
            </w:r>
          </w:p>
        </w:tc>
        <w:tc>
          <w:tcPr>
            <w:tcW w:w="1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24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40" w:type="dxa"/>
            <w:vAlign w:val="bottom"/>
            <w:tcBorders>
              <w:bottom w:val="single" w:sz="8" w:color="CFF0FC"/>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Borders>
              <w:bottom w:val="single" w:sz="8" w:color="CFF0FC"/>
            </w:tcBorders>
          </w:tcPr>
          <w:p>
            <w:pPr>
              <w:spacing w:after="0"/>
              <w:rPr>
                <w:sz w:val="22"/>
                <w:szCs w:val="22"/>
                <w:color w:val="auto"/>
              </w:rPr>
            </w:pP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1"/>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00" w:type="dxa"/>
            <w:vAlign w:val="bottom"/>
          </w:tcPr>
          <w:p>
            <w:pPr>
              <w:spacing w:after="0"/>
              <w:rPr>
                <w:sz w:val="20"/>
                <w:szCs w:val="20"/>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tcPr>
          <w:p>
            <w:pPr>
              <w:spacing w:after="0"/>
              <w:rPr>
                <w:sz w:val="19"/>
                <w:szCs w:val="19"/>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5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Weighted-average shares of Class A common stock outstanding—</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7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13,962</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14,419</w:t>
            </w:r>
          </w:p>
        </w:tc>
        <w:tc>
          <w:tcPr>
            <w:tcW w:w="100" w:type="dxa"/>
            <w:vAlign w:val="bottom"/>
          </w:tcPr>
          <w:p>
            <w:pPr>
              <w:spacing w:after="0"/>
              <w:rPr>
                <w:sz w:val="23"/>
                <w:szCs w:val="23"/>
                <w:color w:val="auto"/>
              </w:rPr>
            </w:pPr>
          </w:p>
        </w:tc>
      </w:tr>
      <w:tr>
        <w:trPr>
          <w:trHeight w:val="210"/>
        </w:trPr>
        <w:tc>
          <w:tcPr>
            <w:tcW w:w="50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7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 of Class A common stock—basic</w:t>
            </w:r>
          </w:p>
        </w:tc>
        <w:tc>
          <w:tcPr>
            <w:tcW w:w="12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40" w:type="dxa"/>
            <w:vAlign w:val="bottom"/>
          </w:tcPr>
          <w:p>
            <w:pPr>
              <w:spacing w:after="0"/>
              <w:rPr>
                <w:sz w:val="23"/>
                <w:szCs w:val="2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(0.18)</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220" w:type="dxa"/>
            <w:vAlign w:val="bottom"/>
          </w:tcPr>
          <w:p>
            <w:pPr>
              <w:spacing w:after="0"/>
              <w:rPr>
                <w:sz w:val="23"/>
                <w:szCs w:val="23"/>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23"/>
                <w:szCs w:val="23"/>
                <w:color w:val="auto"/>
              </w:rPr>
            </w:pPr>
          </w:p>
        </w:tc>
      </w:tr>
      <w:tr>
        <w:trPr>
          <w:trHeight w:val="210"/>
        </w:trPr>
        <w:tc>
          <w:tcPr>
            <w:tcW w:w="50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(loss) per share of Class A common stock—diluted</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Anti-dilutive shares excluded from earnings (loss) per share of Class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 common stock—diluted:</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47,436</w:t>
            </w:r>
          </w:p>
        </w:tc>
        <w:tc>
          <w:tcPr>
            <w:tcW w:w="100" w:type="dxa"/>
            <w:vAlign w:val="bottom"/>
            <w:tcBorders>
              <w:bottom w:val="single" w:sz="8" w:color="CFF0FC"/>
            </w:tcBorders>
          </w:tcPr>
          <w:p>
            <w:pPr>
              <w:spacing w:after="0"/>
              <w:rPr>
                <w:sz w:val="19"/>
                <w:szCs w:val="19"/>
                <w:color w:val="auto"/>
              </w:rPr>
            </w:pPr>
          </w:p>
        </w:tc>
      </w:tr>
      <w:tr>
        <w:trPr>
          <w:trHeight w:val="205"/>
        </w:trPr>
        <w:tc>
          <w:tcPr>
            <w:tcW w:w="508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Total shares excluded from earnings (loss) per share of Class A</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stock—diluted</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55,761</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47,503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ind w:left="520" w:right="180" w:hanging="2"/>
        <w:spacing w:after="0" w:line="282" w:lineRule="auto"/>
        <w:tabs>
          <w:tab w:leader="none" w:pos="1346" w:val="left"/>
        </w:tabs>
        <w:numPr>
          <w:ilvl w:val="0"/>
          <w:numId w:val="26"/>
        </w:numPr>
        <w:rPr>
          <w:rFonts w:ascii="Times New Roman" w:cs="Times New Roman" w:eastAsia="Times New Roman" w:hAnsi="Times New Roman"/>
          <w:sz w:val="15"/>
          <w:szCs w:val="15"/>
          <w:color w:val="231F20"/>
        </w:rPr>
      </w:pPr>
      <w:r>
        <w:rPr>
          <w:rFonts w:ascii="Times New Roman" w:cs="Times New Roman" w:eastAsia="Times New Roman" w:hAnsi="Times New Roman"/>
          <w:sz w:val="18"/>
          <w:szCs w:val="18"/>
          <w:color w:val="231F20"/>
        </w:rPr>
        <w:t>The estimated income tax effect of our share of non-GAAP reconciling items are calculated using an assumed blended tax rate of 25%, which represents our expected corporate tax rate, excluding discrete and non-recurring tax items.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(unaudited; tabular dollars in thousands, except for percentages and per share data)</w:t>
      </w:r>
    </w:p>
    <w:p>
      <w:pPr>
        <w:spacing w:after="0" w:line="207" w:lineRule="exact"/>
        <w:rPr>
          <w:sz w:val="20"/>
          <w:szCs w:val="20"/>
          <w:color w:val="auto"/>
        </w:rPr>
      </w:pPr>
    </w:p>
    <w:p>
      <w:pPr>
        <w:ind w:left="520" w:right="620" w:hanging="2"/>
        <w:spacing w:after="0" w:line="282" w:lineRule="auto"/>
        <w:tabs>
          <w:tab w:leader="none" w:pos="1346" w:val="left"/>
        </w:tabs>
        <w:numPr>
          <w:ilvl w:val="0"/>
          <w:numId w:val="27"/>
        </w:numPr>
        <w:rPr>
          <w:rFonts w:ascii="Times New Roman" w:cs="Times New Roman" w:eastAsia="Times New Roman" w:hAnsi="Times New Roman"/>
          <w:sz w:val="15"/>
          <w:szCs w:val="15"/>
          <w:color w:val="231F20"/>
        </w:rPr>
      </w:pPr>
      <w:r>
        <w:rPr>
          <w:rFonts w:ascii="Times New Roman" w:cs="Times New Roman" w:eastAsia="Times New Roman" w:hAnsi="Times New Roman"/>
          <w:sz w:val="18"/>
          <w:szCs w:val="18"/>
          <w:color w:val="231F20"/>
        </w:rPr>
        <w:t>The adjustment to net income (loss) attributable to noncontrolling interests represents stock-based compensation attributed to the noncontrolling interest of our company outstanding during the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Non-GAAP Operating Expenses</w:t>
      </w:r>
    </w:p>
    <w:p>
      <w:pPr>
        <w:spacing w:after="0" w:line="119" w:lineRule="exact"/>
        <w:rPr>
          <w:sz w:val="20"/>
          <w:szCs w:val="20"/>
          <w:color w:val="auto"/>
        </w:rPr>
      </w:pPr>
    </w:p>
    <w:p>
      <w:pPr>
        <w:ind w:right="60" w:firstLine="468"/>
        <w:spacing w:after="0" w:line="254" w:lineRule="auto"/>
        <w:rPr>
          <w:sz w:val="20"/>
          <w:szCs w:val="20"/>
          <w:color w:val="auto"/>
        </w:rPr>
      </w:pPr>
      <w:r>
        <w:rPr>
          <w:rFonts w:ascii="Times New Roman" w:cs="Times New Roman" w:eastAsia="Times New Roman" w:hAnsi="Times New Roman"/>
          <w:sz w:val="18"/>
          <w:szCs w:val="18"/>
          <w:color w:val="auto"/>
        </w:rPr>
        <w:t>Non-GAAP operating expenses is a non-GAAP financial measure. Total operating expenses is the most comparable GAAP financial measure. Non-GAAP operating expenses is defined by us as total operating expenses plus other expense (income), net less TAC, stock-based compensation, depreciation, amortization, and certain other items that are not related to our core operations, such as restructuring charges, and transaction expenses. Non-GAAP operating expenses is a key component in calculating adjusted EBITDA, which is one of the measures we use to provide our quarterly and annual business outlook to the investment community. Additionally, non-GAAP operating expenses is used by our management and board of directors to understand and evaluate our operating performance and trends, to prepare and approve our annual budget and to develop short- and long-term operational plans. We believe that the elimination of depreciation, amortization, stock-based compensation, TAC and certain other items not related to our core operations provides another measure for period-to-period comparisons of our business, provides additional insight into our discretionary costs and is a useful metric for investors because it allows them to evaluate our operational performance in the same manner as our management and board of directors.</w:t>
      </w:r>
    </w:p>
    <w:p>
      <w:pPr>
        <w:spacing w:after="0" w:line="80" w:lineRule="exact"/>
        <w:rPr>
          <w:sz w:val="20"/>
          <w:szCs w:val="20"/>
          <w:color w:val="auto"/>
        </w:rPr>
      </w:pPr>
    </w:p>
    <w:p>
      <w:pPr>
        <w:ind w:right="200" w:firstLine="468"/>
        <w:spacing w:after="0" w:line="258" w:lineRule="auto"/>
        <w:rPr>
          <w:sz w:val="20"/>
          <w:szCs w:val="20"/>
          <w:color w:val="auto"/>
        </w:rPr>
      </w:pPr>
      <w:r>
        <w:rPr>
          <w:rFonts w:ascii="Times New Roman" w:cs="Times New Roman" w:eastAsia="Times New Roman" w:hAnsi="Times New Roman"/>
          <w:sz w:val="18"/>
          <w:szCs w:val="18"/>
          <w:color w:val="231F20"/>
        </w:rPr>
        <w:t>Our use of non-GAAP operating expenses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non-GAAP operating expenses differently, which may make comparisons difficult. Because of these and other limitations, you should consider our non-GAAP financial measures only as supplemental to other GAAP-based financial performance measures, including revenue, gross profit, net income (loss) and cash flows.</w:t>
      </w:r>
    </w:p>
    <w:p>
      <w:pPr>
        <w:spacing w:after="0" w:line="75" w:lineRule="exact"/>
        <w:rPr>
          <w:sz w:val="20"/>
          <w:szCs w:val="20"/>
          <w:color w:val="auto"/>
        </w:rPr>
      </w:pPr>
    </w:p>
    <w:p>
      <w:pPr>
        <w:ind w:right="200" w:firstLine="464"/>
        <w:spacing w:after="0" w:line="282" w:lineRule="auto"/>
        <w:rPr>
          <w:sz w:val="20"/>
          <w:szCs w:val="20"/>
          <w:color w:val="auto"/>
        </w:rPr>
      </w:pPr>
      <w:r>
        <w:rPr>
          <w:rFonts w:ascii="Times New Roman" w:cs="Times New Roman" w:eastAsia="Times New Roman" w:hAnsi="Times New Roman"/>
          <w:sz w:val="18"/>
          <w:szCs w:val="18"/>
          <w:color w:val="231F20"/>
        </w:rPr>
        <w:t>The following table presents a reconciliation of total operating expenses to non-GAAP operating expenses for the three and six months ended June 30, 2022 and 2021:</w:t>
      </w:r>
    </w:p>
    <w:p>
      <w:pPr>
        <w:spacing w:after="0" w:line="7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39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00" w:type="dxa"/>
            <w:vAlign w:val="bottom"/>
            <w:tcBorders>
              <w:bottom w:val="single" w:sz="8" w:color="CFF0FC"/>
            </w:tcBorders>
          </w:tcPr>
          <w:p>
            <w:pPr>
              <w:spacing w:after="0"/>
              <w:rPr>
                <w:sz w:val="19"/>
                <w:szCs w:val="19"/>
                <w:color w:val="auto"/>
              </w:rPr>
            </w:pPr>
          </w:p>
        </w:tc>
        <w:tc>
          <w:tcPr>
            <w:tcW w:w="14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r>
      <w:tr>
        <w:trPr>
          <w:trHeight w:val="22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Platform operations</w:t>
            </w:r>
          </w:p>
        </w:tc>
        <w:tc>
          <w:tcPr>
            <w:tcW w:w="16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30,950</w:t>
            </w:r>
          </w:p>
        </w:tc>
        <w:tc>
          <w:tcPr>
            <w:tcW w:w="16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31,715</w:t>
            </w:r>
          </w:p>
        </w:tc>
        <w:tc>
          <w:tcPr>
            <w:tcW w:w="160" w:type="dxa"/>
            <w:vAlign w:val="bottom"/>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57,144</w:t>
            </w:r>
          </w:p>
        </w:tc>
        <w:tc>
          <w:tcPr>
            <w:tcW w:w="26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56,059</w:t>
            </w:r>
          </w:p>
        </w:tc>
        <w:tc>
          <w:tcPr>
            <w:tcW w:w="100" w:type="dxa"/>
            <w:vAlign w:val="bottom"/>
          </w:tcPr>
          <w:p>
            <w:pPr>
              <w:spacing w:after="0"/>
              <w:rPr>
                <w:sz w:val="19"/>
                <w:szCs w:val="19"/>
                <w:color w:val="auto"/>
              </w:rPr>
            </w:pPr>
          </w:p>
        </w:tc>
      </w:tr>
      <w:tr>
        <w:trPr>
          <w:trHeight w:val="229"/>
        </w:trPr>
        <w:tc>
          <w:tcPr>
            <w:tcW w:w="3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31,042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34,738</w:t>
            </w:r>
          </w:p>
        </w:tc>
        <w:tc>
          <w:tcPr>
            <w:tcW w:w="100" w:type="dxa"/>
            <w:vAlign w:val="bottom"/>
            <w:shd w:val="clear" w:color="auto" w:fill="CFF0FC"/>
          </w:tcPr>
          <w:p>
            <w:pPr>
              <w:spacing w:after="0"/>
              <w:rPr>
                <w:sz w:val="19"/>
                <w:szCs w:val="19"/>
                <w:color w:val="auto"/>
              </w:rPr>
            </w:pPr>
          </w:p>
        </w:tc>
      </w:tr>
      <w:tr>
        <w:trPr>
          <w:trHeight w:val="230"/>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100" w:type="dxa"/>
            <w:vAlign w:val="bottom"/>
          </w:tcPr>
          <w:p>
            <w:pPr>
              <w:spacing w:after="0"/>
              <w:rPr>
                <w:sz w:val="19"/>
                <w:szCs w:val="19"/>
                <w:color w:val="auto"/>
              </w:rPr>
            </w:pPr>
          </w:p>
        </w:tc>
      </w:tr>
      <w:tr>
        <w:trPr>
          <w:trHeight w:val="230"/>
        </w:trPr>
        <w:tc>
          <w:tcPr>
            <w:tcW w:w="3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22,808</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24,495</w:t>
            </w:r>
          </w:p>
        </w:tc>
        <w:tc>
          <w:tcPr>
            <w:tcW w:w="100" w:type="dxa"/>
            <w:vAlign w:val="bottom"/>
            <w:shd w:val="clear" w:color="auto" w:fill="CFF0FC"/>
          </w:tcPr>
          <w:p>
            <w:pPr>
              <w:spacing w:after="0"/>
              <w:rPr>
                <w:sz w:val="19"/>
                <w:szCs w:val="19"/>
                <w:color w:val="auto"/>
              </w:rPr>
            </w:pPr>
          </w:p>
        </w:tc>
      </w:tr>
      <w:tr>
        <w:trPr>
          <w:trHeight w:val="223"/>
        </w:trPr>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64,972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74,374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121,008</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129,223</w:t>
            </w:r>
          </w:p>
        </w:tc>
        <w:tc>
          <w:tcPr>
            <w:tcW w:w="100" w:type="dxa"/>
            <w:vAlign w:val="bottom"/>
            <w:tcBorders>
              <w:bottom w:val="single" w:sz="8" w:color="CFF0FC"/>
            </w:tcBorders>
          </w:tcPr>
          <w:p>
            <w:pPr>
              <w:spacing w:after="0"/>
              <w:rPr>
                <w:sz w:val="19"/>
                <w:szCs w:val="19"/>
                <w:color w:val="auto"/>
              </w:rPr>
            </w:pPr>
          </w:p>
        </w:tc>
      </w:tr>
      <w:tr>
        <w:trPr>
          <w:trHeight w:val="22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Traffic acquisition costs</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(19,465)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(34,550)</w:t>
            </w:r>
          </w:p>
        </w:tc>
        <w:tc>
          <w:tcPr>
            <w:tcW w:w="2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(31,615)</w:t>
            </w:r>
          </w:p>
        </w:tc>
      </w:tr>
      <w:tr>
        <w:trPr>
          <w:trHeight w:val="230"/>
        </w:trPr>
        <w:tc>
          <w:tcPr>
            <w:tcW w:w="3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(7,768)</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(29,686)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(14,144)</w:t>
            </w: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(46,777)</w:t>
            </w:r>
          </w:p>
        </w:tc>
      </w:tr>
      <w:tr>
        <w:trPr>
          <w:trHeight w:val="230"/>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(6,380)</w:t>
            </w:r>
          </w:p>
        </w:tc>
        <w:tc>
          <w:tcPr>
            <w:tcW w:w="2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(5,051)</w:t>
            </w:r>
          </w:p>
        </w:tc>
      </w:tr>
      <w:tr>
        <w:trPr>
          <w:trHeight w:val="223"/>
        </w:trPr>
        <w:tc>
          <w:tcPr>
            <w:tcW w:w="39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66,237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45,712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121" w:lineRule="exact"/>
        <w:rPr>
          <w:sz w:val="20"/>
          <w:szCs w:val="20"/>
          <w:color w:val="auto"/>
        </w:rPr>
      </w:pPr>
    </w:p>
    <w:p>
      <w:pPr>
        <w:ind w:right="520" w:firstLine="510"/>
        <w:spacing w:after="0" w:line="282" w:lineRule="auto"/>
        <w:rPr>
          <w:sz w:val="20"/>
          <w:szCs w:val="20"/>
          <w:color w:val="auto"/>
        </w:rPr>
      </w:pPr>
      <w:r>
        <w:rPr>
          <w:rFonts w:ascii="Times New Roman" w:cs="Times New Roman" w:eastAsia="Times New Roman" w:hAnsi="Times New Roman"/>
          <w:sz w:val="18"/>
          <w:szCs w:val="18"/>
          <w:color w:val="231F20"/>
        </w:rPr>
        <w:t>As of June 30, 2022, we had cash of $207.2 million and working capital, consisting of current assets less current liabilities, of $232.9 million, compared to cash of $238.5 million and working capital of $269.1 million as of December 31, 2021.</w:t>
      </w:r>
    </w:p>
    <w:p>
      <w:pPr>
        <w:spacing w:after="0" w:line="54"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231F20"/>
        </w:rPr>
        <w:t xml:space="preserve">Our primary sources of cash are revenues derived from the programmatic purchase of advertising on our platform and our existing cash balances, although we have, and may in the future, address our liquidity needs by utilizing our borrowing capacity under our asset-based revolving credit and security agreement (the “Loan Agreement”) we entered into with PNC Bank, National Association (“PNC Bank”) on October 31, 2019 or </w:t>
      </w:r>
      <w:r>
        <w:rPr>
          <w:rFonts w:ascii="Times New Roman" w:cs="Times New Roman" w:eastAsia="Times New Roman" w:hAnsi="Times New Roman"/>
          <w:sz w:val="18"/>
          <w:szCs w:val="18"/>
          <w:color w:val="000000"/>
        </w:rPr>
        <w:t>raising additional funds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by issuing equity</w:t>
      </w:r>
      <w:r>
        <w:rPr>
          <w:rFonts w:ascii="Times New Roman" w:cs="Times New Roman" w:eastAsia="Times New Roman" w:hAnsi="Times New Roman"/>
          <w:sz w:val="18"/>
          <w:szCs w:val="18"/>
          <w:color w:val="231F20"/>
        </w:rPr>
        <w:t>.</w:t>
      </w:r>
    </w:p>
    <w:p>
      <w:pPr>
        <w:spacing w:after="0" w:line="72" w:lineRule="exact"/>
        <w:rPr>
          <w:sz w:val="20"/>
          <w:szCs w:val="20"/>
          <w:color w:val="auto"/>
        </w:rPr>
      </w:pPr>
    </w:p>
    <w:p>
      <w:pPr>
        <w:ind w:right="220" w:firstLine="510"/>
        <w:spacing w:after="0" w:line="266" w:lineRule="auto"/>
        <w:rPr>
          <w:sz w:val="20"/>
          <w:szCs w:val="20"/>
          <w:color w:val="auto"/>
        </w:rPr>
      </w:pPr>
      <w:r>
        <w:rPr>
          <w:rFonts w:ascii="Times New Roman" w:cs="Times New Roman" w:eastAsia="Times New Roman" w:hAnsi="Times New Roman"/>
          <w:sz w:val="18"/>
          <w:szCs w:val="18"/>
          <w:color w:val="231F20"/>
        </w:rPr>
        <w:t>Our primary uses of cash are capital expenditures to develop our software in support of enhancing our technology platform; purchases of property and equipment in support of our expanding headcount as a result of our growth; the payment of debt obligations used to finance our operations, capital expenditures, platform development and rapid growth; and future minimum payments under our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(unaudited; tabular dollars in thousands, except for percentages and per share data)</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231F20"/>
        </w:rPr>
        <w:t xml:space="preserve">non-cancelable operating leases. </w:t>
      </w:r>
      <w:r>
        <w:rPr>
          <w:rFonts w:ascii="Times New Roman" w:cs="Times New Roman" w:eastAsia="Times New Roman" w:hAnsi="Times New Roman"/>
          <w:sz w:val="18"/>
          <w:szCs w:val="18"/>
          <w:color w:val="000000"/>
        </w:rPr>
        <w:t>We intend to continue investing in critical areas of our business in 2022 to further accelerate demand for our product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growth across the platform.</w:t>
      </w:r>
    </w:p>
    <w:p>
      <w:pPr>
        <w:spacing w:after="0" w:line="54"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231F20"/>
        </w:rPr>
        <w:t xml:space="preserve">We assess our liquidity in terms of our ability to generate cash sufficient to fund our short- and long-term cash requirements. As such, we project our anticipated cash requirements as well as cash flows generated from operating activities to meet those needs. We believe our existing cash, cash flow from revenues derived from the programmatic purchase of advertising on our platform, and the undrawn availability under our revolving credit facility from the Loan Agreement will be sufficient to meet our cash requirements over the next 12 months. </w:t>
      </w:r>
      <w:r>
        <w:rPr>
          <w:rFonts w:ascii="Times New Roman" w:cs="Times New Roman" w:eastAsia="Times New Roman" w:hAnsi="Times New Roman"/>
          <w:sz w:val="18"/>
          <w:szCs w:val="18"/>
          <w:color w:val="000000"/>
        </w:rPr>
        <w:t>We believe we will meet longer-term expected future cash</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requirements and obligations beyond the next 12 months through a combination of </w:t>
      </w:r>
      <w:r>
        <w:rPr>
          <w:rFonts w:ascii="Times New Roman" w:cs="Times New Roman" w:eastAsia="Times New Roman" w:hAnsi="Times New Roman"/>
          <w:sz w:val="18"/>
          <w:szCs w:val="18"/>
          <w:color w:val="231F20"/>
        </w:rPr>
        <w:t>existing cash, cash flow from operations, the undrawn availability under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our credit facility and </w:t>
      </w:r>
      <w:r>
        <w:rPr>
          <w:rFonts w:ascii="Times New Roman" w:cs="Times New Roman" w:eastAsia="Times New Roman" w:hAnsi="Times New Roman"/>
          <w:sz w:val="18"/>
          <w:szCs w:val="18"/>
          <w:color w:val="000000"/>
        </w:rPr>
        <w:t>issuances of equity securities or debt offerings. Our ability to fund longer-term operating needs will depend on our ability to generate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positive cash flows through programmatic advertising purchases on our platform, our ability to access the capital markets, and other factors, including those discussed under the section titled “Risk Factors” in our Annual Report on Form 10-K for the year ended December 31, 2021.</w:t>
      </w:r>
    </w:p>
    <w:p>
      <w:pPr>
        <w:spacing w:after="0" w:line="84" w:lineRule="exact"/>
        <w:rPr>
          <w:sz w:val="20"/>
          <w:szCs w:val="20"/>
          <w:color w:val="auto"/>
        </w:rPr>
      </w:pPr>
    </w:p>
    <w:p>
      <w:pPr>
        <w:ind w:right="240" w:firstLine="510"/>
        <w:spacing w:after="0" w:line="266" w:lineRule="auto"/>
        <w:rPr>
          <w:sz w:val="20"/>
          <w:szCs w:val="20"/>
          <w:color w:val="auto"/>
        </w:rPr>
      </w:pPr>
      <w:r>
        <w:rPr>
          <w:rFonts w:ascii="Times New Roman" w:cs="Times New Roman" w:eastAsia="Times New Roman" w:hAnsi="Times New Roman"/>
          <w:sz w:val="18"/>
          <w:szCs w:val="18"/>
          <w:color w:val="auto"/>
        </w:rPr>
        <w:t xml:space="preserve">As of June 30, 2022, our material cash requirements from known contractual obligations consisted of </w:t>
      </w:r>
      <w:r>
        <w:rPr>
          <w:rFonts w:ascii="Times New Roman" w:cs="Times New Roman" w:eastAsia="Times New Roman" w:hAnsi="Times New Roman"/>
          <w:sz w:val="18"/>
          <w:szCs w:val="18"/>
          <w:color w:val="231F20"/>
        </w:rPr>
        <w:t>future minimum payments under our non-cancelable operating leases</w:t>
      </w:r>
      <w:r>
        <w:rPr>
          <w:rFonts w:ascii="Times New Roman" w:cs="Times New Roman" w:eastAsia="Times New Roman" w:hAnsi="Times New Roman"/>
          <w:sz w:val="18"/>
          <w:szCs w:val="18"/>
          <w:color w:val="000000"/>
        </w:rPr>
        <w:t>, which we estimate will be approximately $</w:t>
      </w:r>
      <w:r>
        <w:rPr>
          <w:rFonts w:ascii="Times New Roman" w:cs="Times New Roman" w:eastAsia="Times New Roman" w:hAnsi="Times New Roman"/>
          <w:sz w:val="18"/>
          <w:szCs w:val="18"/>
          <w:color w:val="231F20"/>
        </w:rPr>
        <w:t xml:space="preserve">1.0 </w:t>
      </w:r>
      <w:r>
        <w:rPr>
          <w:rFonts w:ascii="Times New Roman" w:cs="Times New Roman" w:eastAsia="Times New Roman" w:hAnsi="Times New Roman"/>
          <w:sz w:val="18"/>
          <w:szCs w:val="18"/>
          <w:color w:val="000000"/>
        </w:rPr>
        <w:t>million for the remainder of 2022, $3.7 million in 2023, $3.1 million in 2024,</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$3.0 million in 2025 and $3.0 million in 2026.</w:t>
      </w:r>
    </w:p>
    <w:p>
      <w:pPr>
        <w:spacing w:after="0" w:line="68"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231F20"/>
        </w:rPr>
        <w:t>We did not have any off-balance sheet arrangements as of June 30, 2022 other than the indemnification agreements described in Note 13— Commitments and Contingencies to our unaudited condensed consolidated financial statements included elsewhere in this Quarterly Report on Form 10-Q.</w:t>
      </w:r>
    </w:p>
    <w:p>
      <w:pPr>
        <w:spacing w:after="0" w:line="54"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231F20"/>
        </w:rPr>
        <w:t>We are a holding company with no operations of our own and are dependent on distributions from Viant Technology LLC, including payments under the Tax Receivable Agreement (the “Tax Receivable Agreement”) we entered into with Viant Technology LLC, continuing members of Viant Technology LLC and the TRA Representative (as defined in the Tax Receivable Agreement) on February 9, 2021, to pay our taxes and satisfy any current or future cash requirements. Our Loan Agreement with PNC Bank imposes, and any future credit facilities may impose, limitations on our ability and the ability of Viant Technology LLC to pay dividends to third parties.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Revolving Credit Facility</w:t>
      </w:r>
    </w:p>
    <w:p>
      <w:pPr>
        <w:spacing w:after="0" w:line="121"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 xml:space="preserve">Our Loan Agreement with PNC Bank provides us with access to a $40.0 million senior secured revolving credit facility through October 31, 2024 </w:t>
      </w:r>
      <w:r>
        <w:rPr>
          <w:rFonts w:ascii="Times New Roman" w:cs="Times New Roman" w:eastAsia="Times New Roman" w:hAnsi="Times New Roman"/>
          <w:sz w:val="18"/>
          <w:szCs w:val="18"/>
          <w:color w:val="231F20"/>
        </w:rPr>
        <w:t>and is collateralized by security interests in substantially all of our assets</w:t>
      </w:r>
      <w:r>
        <w:rPr>
          <w:rFonts w:ascii="Times New Roman" w:cs="Times New Roman" w:eastAsia="Times New Roman" w:hAnsi="Times New Roman"/>
          <w:sz w:val="18"/>
          <w:szCs w:val="18"/>
          <w:color w:val="000000"/>
        </w:rPr>
        <w:t>. As of June 30, 2022, there was no outstanding balance and $40.0 million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undrawn availability under the Loan Agreement. As of December 31, 2021, we had a balance of $17.5 million of outstanding borrowings and $22.5 million of undrawn availability under the Loan Agreement.</w:t>
      </w:r>
    </w:p>
    <w:p>
      <w:pPr>
        <w:spacing w:after="0" w:line="72"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The Loan Agreement contains customary conditions to borrowings, events of default and covenants, and also contains a financial covenant requiring us not to exceed a maximum leverage ratio. As of June 30, 2022, we were in compliance with this covenant, and we do not believe this covenant or any other provision in the Loan Agreement will impact our credit or cash in the next 12 months or restrict our ability to execute on our business plan beyond 12 months.</w:t>
      </w:r>
    </w:p>
    <w:p>
      <w:pPr>
        <w:spacing w:after="0" w:line="72" w:lineRule="exact"/>
        <w:rPr>
          <w:sz w:val="20"/>
          <w:szCs w:val="20"/>
          <w:color w:val="auto"/>
        </w:rPr>
      </w:pPr>
    </w:p>
    <w:p>
      <w:pPr>
        <w:ind w:right="760" w:firstLine="510"/>
        <w:spacing w:after="0" w:line="282" w:lineRule="auto"/>
        <w:rPr>
          <w:sz w:val="20"/>
          <w:szCs w:val="20"/>
          <w:color w:val="auto"/>
        </w:rPr>
      </w:pPr>
      <w:r>
        <w:rPr>
          <w:rFonts w:ascii="Times New Roman" w:cs="Times New Roman" w:eastAsia="Times New Roman" w:hAnsi="Times New Roman"/>
          <w:sz w:val="18"/>
          <w:szCs w:val="18"/>
          <w:color w:val="231F20"/>
        </w:rPr>
        <w:t xml:space="preserve">For further discussion of our Loan </w:t>
      </w:r>
      <w:r>
        <w:rPr>
          <w:rFonts w:ascii="Times New Roman" w:cs="Times New Roman" w:eastAsia="Times New Roman" w:hAnsi="Times New Roman"/>
          <w:sz w:val="18"/>
          <w:szCs w:val="18"/>
          <w:color w:val="000000"/>
        </w:rPr>
        <w:t>Agreement with PNC Bank, r</w:t>
      </w:r>
      <w:r>
        <w:rPr>
          <w:rFonts w:ascii="Times New Roman" w:cs="Times New Roman" w:eastAsia="Times New Roman" w:hAnsi="Times New Roman"/>
          <w:sz w:val="18"/>
          <w:szCs w:val="18"/>
          <w:color w:val="231F20"/>
        </w:rPr>
        <w:t>efer to Note 8—Revolving Credit Facility and PPP Loan to our unaudited condensed consolidated financial statements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The following table summarizes our cash flows for the six months ended June 30, 2022 and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80" w:type="dxa"/>
            <w:vAlign w:val="bottom"/>
            <w:tcBorders>
              <w:bottom w:val="single" w:sz="8" w:color="CFF0FC"/>
            </w:tcBorders>
          </w:tcPr>
          <w:p>
            <w:pPr>
              <w:spacing w:after="0"/>
              <w:rPr>
                <w:sz w:val="19"/>
                <w:szCs w:val="19"/>
                <w:color w:val="auto"/>
              </w:rPr>
            </w:pPr>
          </w:p>
        </w:tc>
        <w:tc>
          <w:tcPr>
            <w:tcW w:w="21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Data</w:t>
            </w:r>
          </w:p>
        </w:tc>
        <w:tc>
          <w:tcPr>
            <w:tcW w:w="2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Cash flows provided by (used in) operating activities</w:t>
            </w:r>
          </w:p>
        </w:tc>
        <w:tc>
          <w:tcPr>
            <w:tcW w:w="3120" w:type="dxa"/>
            <w:vAlign w:val="bottom"/>
            <w:gridSpan w:val="2"/>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(8,519)</w:t>
            </w:r>
          </w:p>
        </w:tc>
        <w:tc>
          <w:tcPr>
            <w:tcW w:w="58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2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(4,338)</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(4,016)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Cash flows provided by (used in) financing activities</w:t>
            </w:r>
          </w:p>
        </w:tc>
        <w:tc>
          <w:tcPr>
            <w:tcW w:w="2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(18,375)</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223,087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 cash</w:t>
            </w:r>
          </w:p>
        </w:tc>
        <w:tc>
          <w:tcPr>
            <w:tcW w:w="214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0"/>
              </w:rPr>
              <w:t>(31,232)</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242,642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140" w:type="dxa"/>
            <w:vAlign w:val="bottom"/>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39</w:t>
            </w: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(unaudited; tabular dollars in thousands, except for percentages and per share data)</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Provided by (Used In) Operating Activities</w:t>
      </w:r>
    </w:p>
    <w:p>
      <w:pPr>
        <w:spacing w:after="0" w:line="119"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231F20"/>
        </w:rPr>
        <w:t>Our cash flows from operating activities have been primarily influenced by growth in our operations, increases or decreases in collections from our customers and related payments to our suppliers of advertising media and data. Cash flows from operating activities have been affected by changes in our working capital, particularly changes in accounts receivable, accounts payable and accrued liabilities. The timing of cash receipts from customers and payments to suppliers can significantly impact our cash flows from operating activities. We typically pay suppliers in advance of collections from our customers. Our collection and payment cycles can vary from period to period. In addition, we expect seasonality to impact cash flows from operating activities on a quarterly basis.</w:t>
      </w:r>
    </w:p>
    <w:p>
      <w:pPr>
        <w:spacing w:after="0" w:line="79"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231F20"/>
        </w:rPr>
        <w:t>Our cash flows used in operating activities for the six months ended June 30, 2022 was $8.5 million, a net decrease of $32.1 million, or 136</w:t>
      </w:r>
      <w:r>
        <w:rPr>
          <w:rFonts w:ascii="Times New Roman" w:cs="Times New Roman" w:eastAsia="Times New Roman" w:hAnsi="Times New Roman"/>
          <w:sz w:val="18"/>
          <w:szCs w:val="18"/>
          <w:color w:val="000000"/>
        </w:rPr>
        <w:t>%, from</w:t>
      </w:r>
      <w:r>
        <w:rPr>
          <w:rFonts w:ascii="Times New Roman" w:cs="Times New Roman" w:eastAsia="Times New Roman" w:hAnsi="Times New Roman"/>
          <w:sz w:val="18"/>
          <w:szCs w:val="18"/>
          <w:color w:val="231F20"/>
        </w:rPr>
        <w:t xml:space="preserve"> cash flows provided by operating activities for the six months ended June 30, 2021 of $23.6 million. The change in cash flows for the period were primarily due to:</w:t>
      </w:r>
    </w:p>
    <w:p>
      <w:pPr>
        <w:spacing w:after="0" w:line="68" w:lineRule="exact"/>
        <w:rPr>
          <w:sz w:val="20"/>
          <w:szCs w:val="20"/>
          <w:color w:val="auto"/>
        </w:rPr>
      </w:pPr>
    </w:p>
    <w:p>
      <w:pPr>
        <w:ind w:left="1120" w:hanging="370"/>
        <w:spacing w:after="0"/>
        <w:tabs>
          <w:tab w:leader="none" w:pos="11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decrease of $27.7 million from net loss;</w:t>
      </w:r>
    </w:p>
    <w:p>
      <w:pPr>
        <w:spacing w:after="0" w:line="225" w:lineRule="exact"/>
        <w:rPr>
          <w:rFonts w:ascii="Times New Roman" w:cs="Times New Roman" w:eastAsia="Times New Roman" w:hAnsi="Times New Roman"/>
          <w:sz w:val="18"/>
          <w:szCs w:val="18"/>
          <w:color w:val="231F20"/>
        </w:rPr>
      </w:pPr>
    </w:p>
    <w:p>
      <w:pPr>
        <w:ind w:left="1120" w:right="760" w:hanging="370"/>
        <w:spacing w:after="0" w:line="282" w:lineRule="auto"/>
        <w:tabs>
          <w:tab w:leader="none" w:pos="11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increase of $22.2 million due to noncash add back adjustments to net loss primarily comprised of $14.1 million for stock-based compensation, $6.4 million for depreciation and amortization, and $1.3 million of amortization of operating lease assets;</w:t>
      </w:r>
    </w:p>
    <w:p>
      <w:pPr>
        <w:spacing w:after="0" w:line="161" w:lineRule="exact"/>
        <w:rPr>
          <w:rFonts w:ascii="Times New Roman" w:cs="Times New Roman" w:eastAsia="Times New Roman" w:hAnsi="Times New Roman"/>
          <w:sz w:val="18"/>
          <w:szCs w:val="18"/>
          <w:color w:val="231F20"/>
        </w:rPr>
      </w:pPr>
    </w:p>
    <w:p>
      <w:pPr>
        <w:ind w:left="1120" w:right="180" w:hanging="370"/>
        <w:spacing w:after="0" w:line="261" w:lineRule="auto"/>
        <w:tabs>
          <w:tab w:leader="none" w:pos="11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increase of $5.5 million from changes in working capital (excluding deferred revenue, other liabilities, and operating lease liabilities), including a net increase of $17.3 million in accounts receivable, prepaid assets and other assets primarily related to lower sales and timing of customer collections due to seasonal fluctuations, partially offset by a decrease of $11.8 million in accounts payable, accrued liabilities and accrued compensation primarily related to timing of payments;</w:t>
      </w:r>
    </w:p>
    <w:p>
      <w:pPr>
        <w:spacing w:after="0" w:line="179" w:lineRule="exact"/>
        <w:rPr>
          <w:rFonts w:ascii="Times New Roman" w:cs="Times New Roman" w:eastAsia="Times New Roman" w:hAnsi="Times New Roman"/>
          <w:sz w:val="18"/>
          <w:szCs w:val="18"/>
          <w:color w:val="231F20"/>
        </w:rPr>
      </w:pPr>
    </w:p>
    <w:p>
      <w:pPr>
        <w:ind w:left="1120" w:right="240" w:hanging="370"/>
        <w:spacing w:after="0" w:line="282" w:lineRule="auto"/>
        <w:tabs>
          <w:tab w:leader="none" w:pos="11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decrease in deferred revenue of $6.5 million primarily related to the modification agreement with a customer whereby we paid a sum to the customer in exchange for the full, final and immediate termination of certain deferred revenue liabilities;</w:t>
      </w:r>
    </w:p>
    <w:p>
      <w:pPr>
        <w:spacing w:after="0" w:line="53" w:lineRule="exact"/>
        <w:rPr>
          <w:rFonts w:ascii="Times New Roman" w:cs="Times New Roman" w:eastAsia="Times New Roman" w:hAnsi="Times New Roman"/>
          <w:sz w:val="18"/>
          <w:szCs w:val="18"/>
          <w:color w:val="231F20"/>
        </w:rPr>
      </w:pPr>
    </w:p>
    <w:p>
      <w:pPr>
        <w:ind w:left="1120" w:hanging="370"/>
        <w:spacing w:after="0"/>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operating lease liabilities of $</w:t>
      </w:r>
      <w:r>
        <w:rPr>
          <w:rFonts w:ascii="Times New Roman" w:cs="Times New Roman" w:eastAsia="Times New Roman" w:hAnsi="Times New Roman"/>
          <w:sz w:val="18"/>
          <w:szCs w:val="18"/>
          <w:color w:val="231F20"/>
        </w:rPr>
        <w:t>1.0</w:t>
      </w:r>
      <w:r>
        <w:rPr>
          <w:rFonts w:ascii="Times New Roman" w:cs="Times New Roman" w:eastAsia="Times New Roman" w:hAnsi="Times New Roman"/>
          <w:sz w:val="18"/>
          <w:szCs w:val="18"/>
          <w:color w:val="auto"/>
        </w:rPr>
        <w:t xml:space="preserve"> million; and</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other liabilities of $</w:t>
      </w:r>
      <w:r>
        <w:rPr>
          <w:rFonts w:ascii="Times New Roman" w:cs="Times New Roman" w:eastAsia="Times New Roman" w:hAnsi="Times New Roman"/>
          <w:sz w:val="18"/>
          <w:szCs w:val="18"/>
          <w:color w:val="231F20"/>
        </w:rPr>
        <w:t>1.1</w:t>
      </w:r>
      <w:r>
        <w:rPr>
          <w:rFonts w:ascii="Times New Roman" w:cs="Times New Roman" w:eastAsia="Times New Roman" w:hAnsi="Times New Roman"/>
          <w:sz w:val="18"/>
          <w:szCs w:val="18"/>
          <w:color w:val="auto"/>
        </w:rPr>
        <w:t xml:space="preserve"> million.</w:t>
      </w:r>
    </w:p>
    <w:p>
      <w:pPr>
        <w:spacing w:after="0" w:line="225" w:lineRule="exact"/>
        <w:rPr>
          <w:sz w:val="20"/>
          <w:szCs w:val="20"/>
          <w:color w:val="auto"/>
        </w:rPr>
      </w:pPr>
    </w:p>
    <w:p>
      <w:pPr>
        <w:ind w:right="160" w:firstLine="568"/>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2021, cash provided by operating activities of $23.6 million resulted primarily from a net loss of $33.0 million offset by noncash add back adjustments to net loss of $46.8 million for stock-based compensation, $5.1 million for depreciation and amortization, $0.2 million in recovery of doubtful accounts and an increase in net working capital (excluding deferred revenue and other liabilities) of $12.6 million, a decrease in deferred revenue of $1.1 million and a decrease in other liabilities of $0.5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Used in Investing Activities</w:t>
      </w:r>
    </w:p>
    <w:p>
      <w:pPr>
        <w:spacing w:after="0" w:line="119"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231F20"/>
        </w:rPr>
        <w:t>Our primary investing activities have consisted of capital expenditures to develop our software in support of enhancing our technology platform and purchases of property and equipment in support of our expanding headcount as a result of our growth. We capitalize certain costs associated with creating and enhancing internally developed software related to our technology infrastructure that are recorded within property, equipment and software, net. These costs include personnel and related employee benefit expenses for employees who are directly associated with and who devote time to software development projects. Purchases of property and equipment and capitalized software development costs may vary from period-to-period due to the timing of the expansion of our operations, the addition of headcount and our software development cycles. As a result of capitalization of stock-based compensation in future periods and the growth of our business, we expect our capital expenditures and our investment activity to continue to increase.</w:t>
      </w:r>
    </w:p>
    <w:p>
      <w:pPr>
        <w:spacing w:after="0" w:line="81" w:lineRule="exact"/>
        <w:rPr>
          <w:sz w:val="20"/>
          <w:szCs w:val="20"/>
          <w:color w:val="auto"/>
        </w:rPr>
      </w:pPr>
    </w:p>
    <w:p>
      <w:pPr>
        <w:ind w:right="260" w:firstLine="510"/>
        <w:spacing w:after="0" w:line="266" w:lineRule="auto"/>
        <w:rPr>
          <w:sz w:val="20"/>
          <w:szCs w:val="20"/>
          <w:color w:val="auto"/>
        </w:rPr>
      </w:pPr>
      <w:r>
        <w:rPr>
          <w:rFonts w:ascii="Times New Roman" w:cs="Times New Roman" w:eastAsia="Times New Roman" w:hAnsi="Times New Roman"/>
          <w:sz w:val="18"/>
          <w:szCs w:val="18"/>
          <w:color w:val="231F20"/>
        </w:rPr>
        <w:t>Our cash flows used in investing activities for the six months ended June 30, 2022 was $4.3 million, a net increase of $0.3 million, or 8.0</w:t>
      </w:r>
      <w:r>
        <w:rPr>
          <w:rFonts w:ascii="Times New Roman" w:cs="Times New Roman" w:eastAsia="Times New Roman" w:hAnsi="Times New Roman"/>
          <w:sz w:val="18"/>
          <w:szCs w:val="18"/>
          <w:color w:val="000000"/>
        </w:rPr>
        <w:t>%, from</w:t>
      </w:r>
      <w:r>
        <w:rPr>
          <w:rFonts w:ascii="Times New Roman" w:cs="Times New Roman" w:eastAsia="Times New Roman" w:hAnsi="Times New Roman"/>
          <w:sz w:val="18"/>
          <w:szCs w:val="18"/>
          <w:color w:val="231F20"/>
        </w:rPr>
        <w:t xml:space="preserve"> cash flows used in investing activities for six months ended June 30, 2021 of $4.0 million. The change in cash flows for the six months ended June 30, 2022 were primarily due to:</w:t>
      </w:r>
    </w:p>
    <w:p>
      <w:pPr>
        <w:spacing w:after="0" w:line="68" w:lineRule="exact"/>
        <w:rPr>
          <w:sz w:val="20"/>
          <w:szCs w:val="20"/>
          <w:color w:val="auto"/>
        </w:rPr>
      </w:pPr>
    </w:p>
    <w:p>
      <w:pPr>
        <w:ind w:left="1120" w:hanging="370"/>
        <w:spacing w:after="0"/>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31F20"/>
        </w:rPr>
        <w:t>3.9</w:t>
      </w:r>
      <w:r>
        <w:rPr>
          <w:rFonts w:ascii="Times New Roman" w:cs="Times New Roman" w:eastAsia="Times New Roman" w:hAnsi="Times New Roman"/>
          <w:sz w:val="18"/>
          <w:szCs w:val="18"/>
          <w:color w:val="auto"/>
        </w:rPr>
        <w:t xml:space="preserve"> million of investments in capitalized software to develop our software in support of enhancing our technology platform; and</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$0.4 million of purchases of property and equipment.</w:t>
      </w:r>
    </w:p>
    <w:p>
      <w:pPr>
        <w:spacing w:after="0" w:line="225" w:lineRule="exact"/>
        <w:rPr>
          <w:sz w:val="20"/>
          <w:szCs w:val="20"/>
          <w:color w:val="auto"/>
        </w:rPr>
      </w:pPr>
    </w:p>
    <w:p>
      <w:pPr>
        <w:ind w:right="460" w:firstLine="510"/>
        <w:spacing w:after="0" w:line="282" w:lineRule="auto"/>
        <w:rPr>
          <w:sz w:val="20"/>
          <w:szCs w:val="20"/>
          <w:color w:val="auto"/>
        </w:rPr>
      </w:pPr>
      <w:r>
        <w:rPr>
          <w:rFonts w:ascii="Times New Roman" w:cs="Times New Roman" w:eastAsia="Times New Roman" w:hAnsi="Times New Roman"/>
          <w:sz w:val="18"/>
          <w:szCs w:val="18"/>
          <w:color w:val="231F20"/>
        </w:rPr>
        <w:t>During the six months ended June 30, 2021, cash used in investing activities of $4.0 million resulted primarily from investments in capitalized software development costs.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(unaudited; tabular dollars in thousands, except for percentages and per share data)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Provided by (Used In) Financing Activities</w:t>
      </w:r>
    </w:p>
    <w:p>
      <w:pPr>
        <w:spacing w:after="0" w:line="119"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231F20"/>
        </w:rPr>
        <w:t>Our financing activities have consisted primarily of proceeds from borrowings and repayments of our debt, issuances of our equity and payments of member distributions. Net cash provided by or used in financing activities has been and will be used to finance our operations, capital expenditures, platform development and rapid growth.</w:t>
      </w:r>
    </w:p>
    <w:p>
      <w:pPr>
        <w:spacing w:after="0" w:line="68"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231F20"/>
        </w:rPr>
        <w:t xml:space="preserve">Our cash flows used in financing activities for the six months ended June 30, 2022 was $18.4 million, a net decrease of $241.5 million </w:t>
      </w:r>
      <w:r>
        <w:rPr>
          <w:rFonts w:ascii="Times New Roman" w:cs="Times New Roman" w:eastAsia="Times New Roman" w:hAnsi="Times New Roman"/>
          <w:sz w:val="18"/>
          <w:szCs w:val="18"/>
          <w:color w:val="000000"/>
        </w:rPr>
        <w:t>from</w:t>
      </w:r>
      <w:r>
        <w:rPr>
          <w:rFonts w:ascii="Times New Roman" w:cs="Times New Roman" w:eastAsia="Times New Roman" w:hAnsi="Times New Roman"/>
          <w:sz w:val="18"/>
          <w:szCs w:val="18"/>
          <w:color w:val="231F20"/>
        </w:rPr>
        <w:t xml:space="preserve"> cash flows provided by financing activities for the six months ended June 30, 2021 of $223.1 million. The decrease in cash flows for the six months ended June 30, 2022 compared to the prior period in 2021 is a result of the $232.5 million of proceeds from our IPO that closed in February 2021, net of underwriting discounts and the $17.5 million repayment of our revolving credit facility during the six months ended June 30, 2022.</w:t>
      </w:r>
    </w:p>
    <w:p>
      <w:pPr>
        <w:spacing w:after="0" w:line="72" w:lineRule="exact"/>
        <w:rPr>
          <w:sz w:val="20"/>
          <w:szCs w:val="20"/>
          <w:color w:val="auto"/>
        </w:rPr>
      </w:pPr>
    </w:p>
    <w:p>
      <w:pPr>
        <w:ind w:right="180" w:firstLine="510"/>
        <w:spacing w:after="0" w:line="266" w:lineRule="auto"/>
        <w:rPr>
          <w:sz w:val="20"/>
          <w:szCs w:val="20"/>
          <w:color w:val="auto"/>
        </w:rPr>
      </w:pPr>
      <w:r>
        <w:rPr>
          <w:rFonts w:ascii="Times New Roman" w:cs="Times New Roman" w:eastAsia="Times New Roman" w:hAnsi="Times New Roman"/>
          <w:sz w:val="18"/>
          <w:szCs w:val="18"/>
          <w:color w:val="231F20"/>
        </w:rPr>
        <w:t>During the six months ended June 30, 2021, cash provided by financing activities of $223.1 million resulted primarily from $232.5 million of IPO proceeds, net of underwriting discounts and commissions, partially offset by payments of $2.6 million in related offering costs and $6.8 million in payments of member tax distributions.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Critical Accounting Policies and Estimates</w:t>
      </w:r>
    </w:p>
    <w:p>
      <w:pPr>
        <w:spacing w:after="0" w:line="121"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231F20"/>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72"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231F20"/>
        </w:rPr>
        <w:t>An accounting policy is deemed to be critical if it requires an accounting estimate to be made on assumptions about matters that are highly uncertain at the time the estimate is made and have had or are reasonably likely to have a material impact on our financial condition or results of operations. We believe that the assumptions and estimates associated with the evaluation of revenue recognition criteria, including the determination of revenue recognition net versus gross assessment in our revenue arrangements, the assumptions used in the valuation models to determine the fair value of common stock and stock-based compensation, and internal use software have the greatest potential impact on our condensed consolidated financial statements. Therefore, we consider these to be our critical accounting policies and estimates.</w:t>
      </w:r>
    </w:p>
    <w:p>
      <w:pPr>
        <w:spacing w:after="0" w:line="79"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during the six months ended June 30, 2022, as compared to the critical accounting policies and estimates disclosed in Part II, Item 7 “Management’s Discussion and Analysis of Financial Condition and Results of Operations” included in our Annual Report on Form 10-K for the year ended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Recently Issued Accounting Pronouncements</w:t>
      </w:r>
    </w:p>
    <w:p>
      <w:pPr>
        <w:spacing w:after="0" w:line="121"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231F20"/>
        </w:rPr>
        <w:t xml:space="preserve">For information regarding recently issued accounting pronouncements, see </w:t>
      </w:r>
      <w:r>
        <w:rPr>
          <w:rFonts w:ascii="Times New Roman" w:cs="Times New Roman" w:eastAsia="Times New Roman" w:hAnsi="Times New Roman"/>
          <w:sz w:val="18"/>
          <w:szCs w:val="18"/>
          <w:color w:val="000000"/>
        </w:rPr>
        <w:t>Note 2—Basis of Presentation and Summary of Significant Accounting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Policies </w:t>
      </w:r>
      <w:r>
        <w:rPr>
          <w:rFonts w:ascii="Times New Roman" w:cs="Times New Roman" w:eastAsia="Times New Roman" w:hAnsi="Times New Roman"/>
          <w:sz w:val="18"/>
          <w:szCs w:val="18"/>
          <w:color w:val="231F20"/>
        </w:rPr>
        <w:t>to our unaudited condensed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there have been no material changes in our exposure to market risk. For a discussion of our exposure to market risk, see Part II, Item 7A “Quantitative and Qualitative Disclosures About Market Risk” of our Annual Report on Form 10-K for the fiscal year ended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Based on such evaluation, our chief executive officer and chief financial officer have concluded that as of the end of the period covered by this Quarterly Report on Form 10-Q,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60" w:firstLine="510"/>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13a-15(d) and 15d-15(d) under the Exchange Act) during the period covered by this Quarterly Report on Form 10-Q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Disclosure Controls and Procedures</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42" w:name="page43"/>
    <w:bookmarkEnd w:id="4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in the ordinary course of business. We are not currently a party to any litigation the outcome of which, we believe, if determined adversely to us, would individually or taken together have a material adverse effect on our business, operating results, cash flows, or financial condition. Defending any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Our business, reputation, results of operations and financial condition, as well as the price of our Class A common stock, can be affected by a number of factors, whether currently known or unknown, including those described in Part I, Item 1A. “Risk Factors” of our Annual Report on Form 10-K for the year ended December 31, 2021. When any one or more of these risks materialize from time to time, our business, reputation, results of operations and financial condition, as well as the price of our Class A common stock, can be materially and adversely affected. There have been no material changes in our risk factors from those disclosed in our Annual Report on Form 10-K for the year ended December 31,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Proceeds from our Initial Public Offering</w:t>
      </w:r>
    </w:p>
    <w:p>
      <w:pPr>
        <w:spacing w:after="0" w:line="119"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On February 12, 2021, we completed our IPO, pursuant to which we issued and sold an aggregate of 11,500,000 shares of our Class A common stock (inclusive of 1,500,000 shares pursuant to the underwriters’ option to purchase additional shares) at the IPO price of $25.00 per share. The offer and sale of the shares of Class A common stock in the IPO were registered pursuant to registration statements on Form S-1 (File Nos. 333-252117 and 333-252907), which became effective on February 9, 2021.</w:t>
      </w:r>
    </w:p>
    <w:p>
      <w:pPr>
        <w:spacing w:after="0" w:line="72" w:lineRule="exact"/>
        <w:rPr>
          <w:sz w:val="20"/>
          <w:szCs w:val="20"/>
          <w:color w:val="auto"/>
        </w:rPr>
      </w:pPr>
    </w:p>
    <w:p>
      <w:pPr>
        <w:ind w:right="200" w:firstLine="510"/>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intended use of proceeds from our IPO as described in our final prospectus, dated February 9, 2021 and filed with the SEC pursuant to Rule 424(b)(4) on February 11,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Purchases of Equity Securities by the Issuer and Affiliated Purchasers</w:t>
      </w:r>
    </w:p>
    <w:p>
      <w:pPr>
        <w:spacing w:after="0" w:line="119"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Under the LTIP, we are permitted to satisfy any national, state, local or other tax withholding obligation due upon the vesting of an award granted under the LTIP by repurchasing an amount of shares otherwise deliverable on the vesting date having a fair market value equal to the withholding obligation. All of the shares repurchased by us during the second quarter of 2022 were in connection with this tax withholding obligation. During the three months ended June 30, 2022, we repurchased the following shares of our Class A common stock:</w:t>
      </w:r>
    </w:p>
    <w:p>
      <w:pPr>
        <w:sectPr>
          <w:pgSz w:w="11900" w:h="16838" w:orient="portrait"/>
          <w:cols w:equalWidth="0" w:num="1">
            <w:col w:w="11160"/>
          </w:cols>
          <w:pgMar w:left="320" w:top="549" w:right="419" w:bottom="1440" w:gutter="0" w:footer="0" w:header="0"/>
        </w:sectPr>
      </w:pPr>
    </w:p>
    <w:p>
      <w:pPr>
        <w:spacing w:after="0" w:line="32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2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18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0" w:type="dxa"/>
            <w:vAlign w:val="bottom"/>
          </w:tcPr>
          <w:p>
            <w:pPr>
              <w:spacing w:after="0"/>
              <w:rPr>
                <w:sz w:val="1"/>
                <w:szCs w:val="1"/>
                <w:color w:val="auto"/>
              </w:rPr>
            </w:pPr>
          </w:p>
        </w:tc>
      </w:tr>
      <w:tr>
        <w:trPr>
          <w:trHeight w:val="148"/>
        </w:trPr>
        <w:tc>
          <w:tcPr>
            <w:tcW w:w="1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20" w:type="dxa"/>
            <w:vAlign w:val="bottom"/>
            <w:gridSpan w:val="2"/>
            <w:vMerge w:val="continue"/>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8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0" w:type="dxa"/>
            <w:vAlign w:val="bottom"/>
          </w:tcPr>
          <w:p>
            <w:pPr>
              <w:spacing w:after="0"/>
              <w:rPr>
                <w:sz w:val="1"/>
                <w:szCs w:val="1"/>
                <w:color w:val="auto"/>
              </w:rPr>
            </w:pPr>
          </w:p>
        </w:tc>
      </w:tr>
      <w:tr>
        <w:trPr>
          <w:trHeight w:val="173"/>
        </w:trPr>
        <w:tc>
          <w:tcPr>
            <w:tcW w:w="1940" w:type="dxa"/>
            <w:vAlign w:val="bottom"/>
            <w:vMerge w:val="continue"/>
          </w:tcPr>
          <w:p>
            <w:pPr>
              <w:spacing w:after="0"/>
              <w:rPr>
                <w:sz w:val="15"/>
                <w:szCs w:val="15"/>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(2)</w:t>
            </w:r>
          </w:p>
        </w:tc>
        <w:tc>
          <w:tcPr>
            <w:tcW w:w="200" w:type="dxa"/>
            <w:vAlign w:val="bottom"/>
          </w:tcPr>
          <w:p>
            <w:pPr>
              <w:spacing w:after="0"/>
              <w:rPr>
                <w:sz w:val="15"/>
                <w:szCs w:val="15"/>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620"/>
        <w:spacing w:after="0" w:line="228" w:lineRule="auto"/>
        <w:rPr>
          <w:sz w:val="20"/>
          <w:szCs w:val="20"/>
          <w:color w:val="auto"/>
        </w:rPr>
      </w:pPr>
      <w:r>
        <w:rPr>
          <w:rFonts w:ascii="Times New Roman" w:cs="Times New Roman" w:eastAsia="Times New Roman" w:hAnsi="Times New Roman"/>
          <w:sz w:val="14"/>
          <w:szCs w:val="14"/>
          <w:b w:val="1"/>
          <w:bCs w:val="1"/>
          <w:color w:val="auto"/>
        </w:rPr>
        <w:t>Maximum Number (or Approximate Dollar Value) of Shares that May Yet Be Purchased Under the Plans or Programs</w:t>
      </w:r>
    </w:p>
    <w:p>
      <w:pPr>
        <w:spacing w:after="0" w:line="17" w:lineRule="exact"/>
        <w:rPr>
          <w:sz w:val="20"/>
          <w:szCs w:val="20"/>
          <w:color w:val="auto"/>
        </w:rPr>
      </w:pPr>
    </w:p>
    <w:p>
      <w:pPr>
        <w:sectPr>
          <w:pgSz w:w="11900" w:h="16838" w:orient="portrait"/>
          <w:cols w:equalWidth="0" w:num="2">
            <w:col w:w="8520" w:space="200"/>
            <w:col w:w="2440"/>
          </w:cols>
          <w:pgMar w:left="320" w:top="549" w:right="419" w:bottom="1440" w:gutter="0" w:footer="0" w:header="0"/>
          <w:type w:val="continuous"/>
        </w:sectPr>
      </w:pPr>
    </w:p>
    <w:tbl>
      <w:tblPr>
        <w:tblLayout w:type="fixed"/>
        <w:tblInd w:w="580" w:type="dxa"/>
        <w:tblCellMar>
          <w:top w:w="0" w:type="dxa"/>
          <w:left w:w="0" w:type="dxa"/>
          <w:bottom w:w="0" w:type="dxa"/>
          <w:right w:w="0" w:type="dxa"/>
        </w:tblCellMar>
      </w:tblPr>
      <w:tr>
        <w:trPr>
          <w:trHeight w:val="210"/>
        </w:trPr>
        <w:tc>
          <w:tcPr>
            <w:tcW w:w="2040" w:type="dxa"/>
            <w:vAlign w:val="bottom"/>
            <w:tcBorders>
              <w:top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4/1/22 to 4/30/22</w:t>
            </w:r>
          </w:p>
        </w:tc>
        <w:tc>
          <w:tcPr>
            <w:tcW w:w="18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CFF0FC"/>
            </w:tcBorders>
            <w:gridSpan w:val="2"/>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FF0FC"/>
            </w:tcBorders>
            <w:shd w:val="clear" w:color="auto" w:fill="CFF0FC"/>
          </w:tcPr>
          <w:p>
            <w:pPr>
              <w:spacing w:after="0"/>
              <w:rPr>
                <w:sz w:val="18"/>
                <w:szCs w:val="18"/>
                <w:color w:val="auto"/>
              </w:rPr>
            </w:pPr>
          </w:p>
        </w:tc>
      </w:tr>
      <w:tr>
        <w:trPr>
          <w:trHeight w:val="229"/>
        </w:trPr>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5/1/22 to 5/31/22</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20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6/1/22 to 6/30/22</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139,701</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20" w:type="dxa"/>
            <w:vAlign w:val="bottom"/>
            <w:gridSpan w:val="3"/>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139,701</w:t>
            </w:r>
          </w:p>
        </w:tc>
        <w:tc>
          <w:tcPr>
            <w:tcW w:w="200" w:type="dxa"/>
            <w:vAlign w:val="bottom"/>
          </w:tcPr>
          <w:p>
            <w:pPr>
              <w:spacing w:after="0"/>
              <w:rPr>
                <w:sz w:val="19"/>
                <w:szCs w:val="19"/>
                <w:color w:val="auto"/>
              </w:rPr>
            </w:pPr>
          </w:p>
        </w:tc>
        <w:tc>
          <w:tcPr>
            <w:tcW w:w="800" w:type="dxa"/>
            <w:vAlign w:val="bottom"/>
            <w:tcBorders>
              <w:top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860" w:type="dxa"/>
            <w:vAlign w:val="bottom"/>
            <w:tcBorders>
              <w:top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r>
    </w:tbl>
    <w:p>
      <w:pPr>
        <w:spacing w:after="0" w:line="98" w:lineRule="exact"/>
        <w:rPr>
          <w:sz w:val="20"/>
          <w:szCs w:val="20"/>
          <w:color w:val="auto"/>
        </w:rPr>
      </w:pPr>
    </w:p>
    <w:p>
      <w:pPr>
        <w:ind w:right="380" w:firstLine="8"/>
        <w:spacing w:after="0" w:line="282"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shares of Class A common stock we repurchased upon the vesting of restricted stock units to satisfy the applicable tax withholding obligations incidental to the vesting of such awards.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average price per share that we paid for the repurchases described above.</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9" w:right="41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00" w:type="dxa"/>
            <w:vAlign w:val="bottom"/>
            <w:gridSpan w:val="9"/>
            <w:vMerge w:val="restart"/>
          </w:tcPr>
          <w:p>
            <w:pPr>
              <w:ind w:left="4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20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4"/>
                <w:szCs w:val="24"/>
                <w:color w:val="auto"/>
              </w:rPr>
            </w:pPr>
          </w:p>
        </w:tc>
        <w:tc>
          <w:tcPr>
            <w:tcW w:w="10200" w:type="dxa"/>
            <w:vAlign w:val="bottom"/>
            <w:tcBorders>
              <w:top w:val="single" w:sz="8" w:color="auto"/>
            </w:tcBorders>
            <w:gridSpan w:val="9"/>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Amended and Restated Certificate of Incorporation of Viant Technology Inc. (incorporated by reference to Exhibit 3.1 to the Company’s</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Annual Report on Form 10-K (File No. 001-40015) for the year ended December 31, 2020, filed on March 23, 2021)</w:t>
              </w:r>
            </w:hyperlink>
          </w:p>
        </w:tc>
        <w:tc>
          <w:tcPr>
            <w:tcW w:w="1400" w:type="dxa"/>
            <w:vAlign w:val="bottom"/>
            <w:tcBorders>
              <w:top w:val="single" w:sz="8" w:color="0000EE"/>
            </w:tcBorders>
          </w:tcPr>
          <w:p>
            <w:pPr>
              <w:spacing w:after="0"/>
              <w:rPr>
                <w:sz w:val="17"/>
                <w:szCs w:val="17"/>
                <w:color w:val="auto"/>
              </w:rPr>
            </w:pPr>
          </w:p>
        </w:tc>
        <w:tc>
          <w:tcPr>
            <w:tcW w:w="3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4"/>
                <w:szCs w:val="24"/>
                <w:color w:val="auto"/>
              </w:rPr>
            </w:pPr>
          </w:p>
        </w:tc>
        <w:tc>
          <w:tcPr>
            <w:tcW w:w="101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Amended and Restated Bylaws of Viant Technology Inc. (incorporated by reference to Exhibit 3.2 to the Company’s Annual Report on Form</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9"/>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10-K (File No. 001-40015) for the year ended December 31, 2020, filed on March 23, 2021)</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71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Viant Technology Inc. Non-Employee Director Compensation Policy, effective as of May 17, 2022</w:t>
            </w:r>
          </w:p>
        </w:tc>
        <w:tc>
          <w:tcPr>
            <w:tcW w:w="30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74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Section 302 of the Sarbanes-Oxley Act of 2002</w:t>
            </w:r>
          </w:p>
        </w:tc>
        <w:tc>
          <w:tcPr>
            <w:tcW w:w="27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74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Section 302 of the Sarbanes-Oxley Act of 2002</w:t>
            </w:r>
          </w:p>
        </w:tc>
        <w:tc>
          <w:tcPr>
            <w:tcW w:w="28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74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Section 906 of the Sarbanes-Oxley Act of 2002</w:t>
            </w:r>
          </w:p>
        </w:tc>
        <w:tc>
          <w:tcPr>
            <w:tcW w:w="27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w:t>
            </w:r>
          </w:p>
        </w:tc>
        <w:tc>
          <w:tcPr>
            <w:tcW w:w="102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Section 906 of the Sarbanes-Oxley Act of 2002</w:t>
            </w:r>
          </w:p>
        </w:tc>
        <w:tc>
          <w:tcPr>
            <w:tcW w:w="0" w:type="dxa"/>
            <w:vAlign w:val="bottom"/>
          </w:tcPr>
          <w:p>
            <w:pPr>
              <w:spacing w:after="0"/>
              <w:rPr>
                <w:sz w:val="1"/>
                <w:szCs w:val="1"/>
                <w:color w:val="auto"/>
              </w:rPr>
            </w:pPr>
          </w:p>
        </w:tc>
      </w:tr>
      <w:tr>
        <w:trPr>
          <w:trHeight w:val="38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73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8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10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1" w:lineRule="exact"/>
        <w:rPr>
          <w:sz w:val="20"/>
          <w:szCs w:val="20"/>
          <w:color w:val="auto"/>
        </w:rPr>
      </w:pPr>
    </w:p>
    <w:p>
      <w:pPr>
        <w:ind w:left="500" w:hanging="492"/>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left="500" w:right="100" w:hanging="492"/>
        <w:spacing w:after="0" w:line="273"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Exhibits 32.1 and 32.2 hereto are deemed to accompany this Quarterly Report on Form 10-Q and will not be deemed “filed” for purposes of Section 18 of the Exchange Act, except to the extent that the registrant specifically incorporates it by reference.</w:t>
      </w:r>
    </w:p>
    <w:p>
      <w:pPr>
        <w:spacing w:after="0" w:line="2" w:lineRule="exact"/>
        <w:rPr>
          <w:sz w:val="20"/>
          <w:szCs w:val="20"/>
          <w:color w:val="auto"/>
        </w:rPr>
      </w:pPr>
    </w:p>
    <w:p>
      <w:pPr>
        <w:ind w:left="5540" w:right="5040" w:hanging="5532"/>
        <w:spacing w:after="0" w:line="409" w:lineRule="auto"/>
        <w:tabs>
          <w:tab w:leader="none" w:pos="513"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management contract or compensatory plan, contract or arrangement.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267335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5" w:name="page46"/>
    <w:bookmarkEnd w:id="45"/>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VIANT TECHNOLOGY INC.</w:t>
      </w:r>
    </w:p>
    <w:p>
      <w:pPr>
        <w:spacing w:after="0" w:line="252" w:lineRule="exact"/>
        <w:rPr>
          <w:sz w:val="20"/>
          <w:szCs w:val="20"/>
          <w:color w:val="auto"/>
        </w:rPr>
      </w:pPr>
    </w:p>
    <w:p>
      <w:pPr>
        <w:spacing w:after="0"/>
        <w:tabs>
          <w:tab w:leader="none" w:pos="5680" w:val="left"/>
          <w:tab w:leader="none" w:pos="790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Tim Vanderhook</w:t>
      </w:r>
    </w:p>
    <w:p>
      <w:pPr>
        <w:spacing w:after="0" w:line="31"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b w:val="1"/>
          <w:bCs w:val="1"/>
          <w:color w:val="auto"/>
        </w:rPr>
        <w:t>Chief Executive Officer and Chairman</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4" w:lineRule="exact"/>
        <w:rPr>
          <w:sz w:val="20"/>
          <w:szCs w:val="20"/>
          <w:color w:val="auto"/>
        </w:rPr>
      </w:pPr>
    </w:p>
    <w:p>
      <w:pPr>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Larry Madden</w:t>
      </w:r>
    </w:p>
    <w:p>
      <w:pPr>
        <w:spacing w:after="0" w:line="31"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800"/>
          </w:cols>
          <w:pgMar w:left="320" w:top="549" w:right="77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w:t>
      </w:r>
      <w:r>
        <w:rPr>
          <w:rFonts w:ascii="Times New Roman" w:cs="Times New Roman" w:eastAsia="Times New Roman" w:hAnsi="Times New Roman"/>
          <w:sz w:val="13"/>
          <w:szCs w:val="13"/>
          <w:b w:val="1"/>
          <w:bCs w:val="1"/>
          <w:color w:val="auto"/>
        </w:rPr>
        <w:t>iant</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echnology</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jc w:val="center"/>
        <w:spacing w:after="0"/>
        <w:rPr>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on</w:t>
      </w: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mployee</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irector</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ffective as of</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3"/>
          <w:szCs w:val="13"/>
          <w:b w:val="1"/>
          <w:bCs w:val="1"/>
          <w:color w:val="auto"/>
        </w:rPr>
        <w:t>ay</w:t>
      </w:r>
      <w:r>
        <w:rPr>
          <w:rFonts w:ascii="Times New Roman" w:cs="Times New Roman" w:eastAsia="Times New Roman" w:hAnsi="Times New Roman"/>
          <w:sz w:val="20"/>
          <w:szCs w:val="20"/>
          <w:b w:val="1"/>
          <w:bCs w:val="1"/>
          <w:color w:val="auto"/>
        </w:rPr>
        <w:t xml:space="preserve"> 17, 2022</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Each member of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who is not also serving as an employee of or consultant to Viant Technology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or any of its subsidiaries (each such member, an “</w:t>
      </w:r>
      <w:r>
        <w:rPr>
          <w:rFonts w:ascii="Times New Roman" w:cs="Times New Roman" w:eastAsia="Times New Roman" w:hAnsi="Times New Roman"/>
          <w:sz w:val="20"/>
          <w:szCs w:val="20"/>
          <w:b w:val="1"/>
          <w:bCs w:val="1"/>
          <w:i w:val="1"/>
          <w:iCs w:val="1"/>
          <w:color w:val="auto"/>
        </w:rPr>
        <w:t>Eligible Director</w:t>
      </w:r>
      <w:r>
        <w:rPr>
          <w:rFonts w:ascii="Times New Roman" w:cs="Times New Roman" w:eastAsia="Times New Roman" w:hAnsi="Times New Roman"/>
          <w:sz w:val="20"/>
          <w:szCs w:val="20"/>
          <w:color w:val="auto"/>
        </w:rPr>
        <w:t>”) will receive the compensation described in this Non-Employee Director Compensation Policy for his or her Board service upon and following the date first set forth above (the “</w:t>
      </w:r>
      <w:r>
        <w:rPr>
          <w:rFonts w:ascii="Times New Roman" w:cs="Times New Roman" w:eastAsia="Times New Roman" w:hAnsi="Times New Roman"/>
          <w:sz w:val="20"/>
          <w:szCs w:val="20"/>
          <w:b w:val="1"/>
          <w:bCs w:val="1"/>
          <w:i w:val="1"/>
          <w:iCs w:val="1"/>
          <w:color w:val="auto"/>
        </w:rPr>
        <w:t>Policy 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Date</w:t>
      </w:r>
      <w:r>
        <w:rPr>
          <w:rFonts w:ascii="Times New Roman" w:cs="Times New Roman" w:eastAsia="Times New Roman" w:hAnsi="Times New Roman"/>
          <w:sz w:val="20"/>
          <w:szCs w:val="20"/>
          <w:color w:val="auto"/>
        </w:rPr>
        <w:t>”). An Eligible Director may decline all or any portion of his or her compensation by giving notice to the Company prior to the date cash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may be paid or equity awards are to be granted, as the case may be. This policy is effective as of the Policy Effective Date and may be amended at any time in the sole discretion of the Board.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Cash Compensation</w:t>
      </w:r>
    </w:p>
    <w:p>
      <w:pPr>
        <w:spacing w:after="0" w:line="2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annual cash compensation amount set forth below is payable to Eligible Directors in equal quarterly installments in arrears, on or promptly following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quarter, with the prorated amount paid on or promptly following the last day of the first fiscal quarter in which the Eligible Director provides the service and regular full quarterly payments thereafter. All annual cash fees are vested upon payment.</w:t>
      </w:r>
    </w:p>
    <w:p>
      <w:pPr>
        <w:spacing w:after="0" w:line="180" w:lineRule="exact"/>
        <w:rPr>
          <w:sz w:val="20"/>
          <w:szCs w:val="20"/>
          <w:color w:val="auto"/>
        </w:rPr>
      </w:pPr>
    </w:p>
    <w:p>
      <w:pPr>
        <w:ind w:left="860" w:hanging="852"/>
        <w:spacing w:after="0"/>
        <w:tabs>
          <w:tab w:leader="none" w:pos="8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Board Service Retainer</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ind w:left="1660" w:hanging="788"/>
        <w:spacing w:after="0"/>
        <w:tabs>
          <w:tab w:leader="none" w:pos="16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Eligible Directors: $50,000</w:t>
      </w:r>
    </w:p>
    <w:p>
      <w:pPr>
        <w:spacing w:after="0" w:line="207" w:lineRule="exact"/>
        <w:rPr>
          <w:rFonts w:ascii="Times New Roman" w:cs="Times New Roman" w:eastAsia="Times New Roman" w:hAnsi="Times New Roman"/>
          <w:sz w:val="20"/>
          <w:szCs w:val="20"/>
          <w:color w:val="auto"/>
        </w:rPr>
      </w:pPr>
    </w:p>
    <w:p>
      <w:pPr>
        <w:ind w:left="860" w:hanging="852"/>
        <w:spacing w:after="0"/>
        <w:tabs>
          <w:tab w:leader="none" w:pos="8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Committee Chair Service Retainer</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ind w:left="1660" w:hanging="788"/>
        <w:spacing w:after="0"/>
        <w:tabs>
          <w:tab w:leader="none" w:pos="16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 of the Audit Committee: $15,000</w:t>
      </w:r>
    </w:p>
    <w:p>
      <w:pPr>
        <w:ind w:left="1660" w:hanging="788"/>
        <w:spacing w:after="0"/>
        <w:tabs>
          <w:tab w:leader="none" w:pos="16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 of the Compensation Committee: $10,000</w:t>
      </w:r>
    </w:p>
    <w:p>
      <w:pPr>
        <w:ind w:left="1660" w:hanging="788"/>
        <w:spacing w:after="0"/>
        <w:tabs>
          <w:tab w:leader="none" w:pos="16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 of the Nominating and Corporate Governance Committee: $7,500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Expenses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will reimburse Eligible Directors for ordinary, necessary and reasonable out-of-pocket travel expenses to cover in-person attendance at and participation in Board and committee meetings; provided, that the Eligible Director timely submits to the Company appropriate documentation substantiating such expenses in accordance with the Company’s travel and expense processes.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equity compensation set forth below will be granted under the Company’s 2021 Long-Term Incentive Plan as may be amended from time-to-time, or any successor plan thereto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and a restricted stock unit (“</w:t>
      </w:r>
      <w:r>
        <w:rPr>
          <w:rFonts w:ascii="Times New Roman" w:cs="Times New Roman" w:eastAsia="Times New Roman" w:hAnsi="Times New Roman"/>
          <w:sz w:val="20"/>
          <w:szCs w:val="20"/>
          <w:b w:val="1"/>
          <w:bCs w:val="1"/>
          <w:i w:val="1"/>
          <w:iCs w:val="1"/>
          <w:color w:val="auto"/>
        </w:rPr>
        <w:t>RSU</w:t>
      </w:r>
      <w:r>
        <w:rPr>
          <w:rFonts w:ascii="Times New Roman" w:cs="Times New Roman" w:eastAsia="Times New Roman" w:hAnsi="Times New Roman"/>
          <w:sz w:val="20"/>
          <w:szCs w:val="20"/>
          <w:color w:val="auto"/>
        </w:rPr>
        <w:t>”) grant notice and award agreement thereunder.</w:t>
      </w:r>
    </w:p>
    <w:p>
      <w:pPr>
        <w:spacing w:after="0" w:line="173" w:lineRule="exact"/>
        <w:rPr>
          <w:sz w:val="20"/>
          <w:szCs w:val="20"/>
          <w:color w:val="auto"/>
        </w:rPr>
      </w:pPr>
    </w:p>
    <w:p>
      <w:pPr>
        <w:jc w:val="both"/>
        <w:ind w:firstLine="8"/>
        <w:spacing w:after="0" w:line="246" w:lineRule="auto"/>
        <w:tabs>
          <w:tab w:leader="none" w:pos="796"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RSU Grants</w:t>
      </w:r>
      <w:r>
        <w:rPr>
          <w:rFonts w:ascii="Times New Roman" w:cs="Times New Roman" w:eastAsia="Times New Roman" w:hAnsi="Times New Roman"/>
          <w:sz w:val="20"/>
          <w:szCs w:val="20"/>
          <w:color w:val="auto"/>
        </w:rPr>
        <w:t>. For each Eligible Director who is first elected or appointed to the Board following the Policy Effective Date, on the effective date of such Eligible Director’s initial election or appointment to the Board (or, if such date is not a market trading day, the first market trading day thereafter) (the “</w:t>
      </w:r>
      <w:r>
        <w:rPr>
          <w:rFonts w:ascii="Times New Roman" w:cs="Times New Roman" w:eastAsia="Times New Roman" w:hAnsi="Times New Roman"/>
          <w:sz w:val="20"/>
          <w:szCs w:val="20"/>
          <w:b w:val="1"/>
          <w:bCs w:val="1"/>
          <w:i w:val="1"/>
          <w:iCs w:val="1"/>
          <w:color w:val="auto"/>
        </w:rPr>
        <w:t>Appointment Effective Date</w:t>
      </w:r>
      <w:r>
        <w:rPr>
          <w:rFonts w:ascii="Times New Roman" w:cs="Times New Roman" w:eastAsia="Times New Roman" w:hAnsi="Times New Roman"/>
          <w:sz w:val="20"/>
          <w:szCs w:val="20"/>
          <w:color w:val="auto"/>
        </w:rPr>
        <w:t>”), the Eligible Director will automatically, and without further action by the Board or the Compensation Committee of the Board, be granted RSUs with respect to shares of the Company’s common stock (“</w:t>
      </w:r>
      <w:r>
        <w:rPr>
          <w:rFonts w:ascii="Times New Roman" w:cs="Times New Roman" w:eastAsia="Times New Roman" w:hAnsi="Times New Roman"/>
          <w:sz w:val="20"/>
          <w:szCs w:val="20"/>
          <w:b w:val="1"/>
          <w:bCs w:val="1"/>
          <w:i w:val="1"/>
          <w:iCs w:val="1"/>
          <w:color w:val="auto"/>
        </w:rPr>
        <w:t>Common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Stock</w:t>
      </w:r>
      <w:r>
        <w:rPr>
          <w:rFonts w:ascii="Times New Roman" w:cs="Times New Roman" w:eastAsia="Times New Roman" w:hAnsi="Times New Roman"/>
          <w:sz w:val="20"/>
          <w:szCs w:val="20"/>
          <w:color w:val="auto"/>
        </w:rPr>
        <w:t>”) with an aggregate value of $150,000 (the “</w:t>
      </w:r>
      <w:r>
        <w:rPr>
          <w:rFonts w:ascii="Times New Roman" w:cs="Times New Roman" w:eastAsia="Times New Roman" w:hAnsi="Times New Roman"/>
          <w:sz w:val="20"/>
          <w:szCs w:val="20"/>
          <w:b w:val="1"/>
          <w:bCs w:val="1"/>
          <w:i w:val="1"/>
          <w:iCs w:val="1"/>
          <w:color w:val="auto"/>
        </w:rPr>
        <w:t>Initial RSU</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269043289 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420370</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7" w:name="page48"/>
    <w:bookmarkEnd w:id="47"/>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Grant</w:t>
      </w:r>
      <w:r>
        <w:rPr>
          <w:rFonts w:ascii="Times New Roman" w:cs="Times New Roman" w:eastAsia="Times New Roman" w:hAnsi="Times New Roman"/>
          <w:sz w:val="20"/>
          <w:szCs w:val="20"/>
          <w:color w:val="auto"/>
        </w:rPr>
        <w:t>”). The number of RSUs subject to the Initial RSU Grant will be determined by dividing the grant value by the closing price per share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Common Stock on the applicable Appointment Effective Date, rounded to the nearest whole share. The Initial RSU Grant will vest over a three-year period, with one-third (1/3) of the Initial RSU Grant vesting on each of the first, second and third anniversaries of the Appointment Effective Date, subject to the Eligible Director’s Continuous Service (as defined in the Plan) through each such vesting date.</w:t>
      </w:r>
    </w:p>
    <w:p>
      <w:pPr>
        <w:spacing w:after="0" w:line="189" w:lineRule="exact"/>
        <w:rPr>
          <w:sz w:val="20"/>
          <w:szCs w:val="20"/>
          <w:color w:val="auto"/>
        </w:rPr>
      </w:pPr>
    </w:p>
    <w:p>
      <w:pPr>
        <w:jc w:val="both"/>
        <w:ind w:firstLine="8"/>
        <w:spacing w:after="0" w:line="257" w:lineRule="auto"/>
        <w:tabs>
          <w:tab w:leader="none" w:pos="796"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Annual RSU Grants</w:t>
      </w:r>
      <w:r>
        <w:rPr>
          <w:rFonts w:ascii="Times New Roman" w:cs="Times New Roman" w:eastAsia="Times New Roman" w:hAnsi="Times New Roman"/>
          <w:sz w:val="19"/>
          <w:szCs w:val="19"/>
          <w:color w:val="auto"/>
        </w:rPr>
        <w:t>. On the date of each annual stockholder meeting of the Company (each, an “</w:t>
      </w:r>
      <w:r>
        <w:rPr>
          <w:rFonts w:ascii="Times New Roman" w:cs="Times New Roman" w:eastAsia="Times New Roman" w:hAnsi="Times New Roman"/>
          <w:sz w:val="19"/>
          <w:szCs w:val="19"/>
          <w:b w:val="1"/>
          <w:bCs w:val="1"/>
          <w:i w:val="1"/>
          <w:iCs w:val="1"/>
          <w:color w:val="auto"/>
        </w:rPr>
        <w:t>Annual Meeting</w:t>
      </w:r>
      <w:r>
        <w:rPr>
          <w:rFonts w:ascii="Times New Roman" w:cs="Times New Roman" w:eastAsia="Times New Roman" w:hAnsi="Times New Roman"/>
          <w:sz w:val="19"/>
          <w:szCs w:val="19"/>
          <w:color w:val="auto"/>
        </w:rPr>
        <w:t>”) held after the Policy Effective Date (“</w:t>
      </w:r>
      <w:r>
        <w:rPr>
          <w:rFonts w:ascii="Times New Roman" w:cs="Times New Roman" w:eastAsia="Times New Roman" w:hAnsi="Times New Roman"/>
          <w:sz w:val="19"/>
          <w:szCs w:val="19"/>
          <w:b w:val="1"/>
          <w:bCs w:val="1"/>
          <w:i w:val="1"/>
          <w:iCs w:val="1"/>
          <w:color w:val="auto"/>
        </w:rPr>
        <w:t>Annual Grant Date</w:t>
      </w:r>
      <w:r>
        <w:rPr>
          <w:rFonts w:ascii="Times New Roman" w:cs="Times New Roman" w:eastAsia="Times New Roman" w:hAnsi="Times New Roman"/>
          <w:sz w:val="19"/>
          <w:szCs w:val="19"/>
          <w:color w:val="auto"/>
        </w:rPr>
        <w:t>”), each Eligible Director who continues to serve as a non-employee member of the Board following such Annual Meeting (including any Eligible Director who is first appointed or elected by the Board at an Annual Meeting) will automatically, and without further action by the Board or the Compensation Committee of the Board, be granted RSUs with respect to shares of the Company’s Common Stock with an aggregate value of $150,000 (the “</w:t>
      </w:r>
      <w:r>
        <w:rPr>
          <w:rFonts w:ascii="Times New Roman" w:cs="Times New Roman" w:eastAsia="Times New Roman" w:hAnsi="Times New Roman"/>
          <w:sz w:val="19"/>
          <w:szCs w:val="19"/>
          <w:b w:val="1"/>
          <w:bCs w:val="1"/>
          <w:i w:val="1"/>
          <w:iCs w:val="1"/>
          <w:color w:val="auto"/>
        </w:rPr>
        <w:t>Annual RSU Grant</w:t>
      </w:r>
      <w:r>
        <w:rPr>
          <w:rFonts w:ascii="Times New Roman" w:cs="Times New Roman" w:eastAsia="Times New Roman" w:hAnsi="Times New Roman"/>
          <w:sz w:val="19"/>
          <w:szCs w:val="19"/>
          <w:color w:val="auto"/>
        </w:rPr>
        <w:t>”). The number of RSUs subject to the Annual RSU Grant will be determined by dividing the grant value by the closing price per share of Common Stock on the applicable Annual Grant Date, rounded to the nearest whole share. The Annual RSU Grant will vest in full on the earlier of (i) the date of the following year’s Annual Meeting (or the date immediately prior to the next Annual Meeting if the Non-Employee Director’s service as a director ends at such Annual Meeting due to the director’s failure to be re-elected or the director not standing for re-election); or (ii) the one-year anniversary measured from the applicable Annual Grant Date, subject to the Eligible Director’s Continuous Service through such vesting date.</w:t>
      </w:r>
    </w:p>
    <w:p>
      <w:pPr>
        <w:spacing w:after="0" w:line="184" w:lineRule="exact"/>
        <w:rPr>
          <w:sz w:val="20"/>
          <w:szCs w:val="20"/>
          <w:color w:val="auto"/>
        </w:rPr>
      </w:pPr>
    </w:p>
    <w:p>
      <w:pPr>
        <w:jc w:val="both"/>
        <w:ind w:firstLine="864"/>
        <w:spacing w:after="0" w:line="233" w:lineRule="auto"/>
        <w:rPr>
          <w:sz w:val="20"/>
          <w:szCs w:val="20"/>
          <w:color w:val="auto"/>
        </w:rPr>
      </w:pPr>
      <w:r>
        <w:rPr>
          <w:rFonts w:ascii="Times New Roman" w:cs="Times New Roman" w:eastAsia="Times New Roman" w:hAnsi="Times New Roman"/>
          <w:sz w:val="22"/>
          <w:szCs w:val="22"/>
          <w:color w:val="auto"/>
        </w:rPr>
        <w:t>With respect to an Eligible Director who, following the Policy Effective Date, was first elected or appointed to the Board effective as of a date other than the date of the Annual Meeting, on the applicable Appointment Effective Date, such Eligible Director will automatically, and without further action by the Board or the Compensation Committee of the Board, receive a grant of RSUs with respect to shares of the Company’s Common Stock, the aggregate value of which will be $150,000, prorated based on the number of calendar days remaining between the applicable Appointment Effective Date and (i) the next Annual Meeting, if scheduled, or (ii) the first anniversary of the Company’s last Annual Meeting, if the next Annual Meeting is not yet scheduled (the “</w:t>
      </w:r>
      <w:r>
        <w:rPr>
          <w:rFonts w:ascii="Times New Roman" w:cs="Times New Roman" w:eastAsia="Times New Roman" w:hAnsi="Times New Roman"/>
          <w:sz w:val="22"/>
          <w:szCs w:val="22"/>
          <w:b w:val="1"/>
          <w:bCs w:val="1"/>
          <w:i w:val="1"/>
          <w:iCs w:val="1"/>
          <w:color w:val="auto"/>
        </w:rPr>
        <w:t>Prorated Annual RSU Grant”</w:t>
      </w:r>
      <w:r>
        <w:rPr>
          <w:rFonts w:ascii="Times New Roman" w:cs="Times New Roman" w:eastAsia="Times New Roman" w:hAnsi="Times New Roman"/>
          <w:sz w:val="22"/>
          <w:szCs w:val="22"/>
          <w:color w:val="auto"/>
        </w:rPr>
        <w:t>). The number of RSUs subject to the Prorated Annual RSU Grant will be determined by dividing the prorated grant value by the closing price per share of Common Stock on the applicable Appointment Effective Date, rounded to the nearest whole share. The Prorated Annual RSU Grant will vest in full on the date of the next Annual Meeting (or the date immediately prior to the next Annual Meeting if the Non-Employee Director’s service as a director ends at such Annual Meeting due to the director’s failure to be re-elected or the director not standing for re-election), subject to the Eligible Director’s Continuous Service through such vesting date.</w:t>
      </w:r>
    </w:p>
    <w:p>
      <w:pPr>
        <w:spacing w:after="0" w:line="203" w:lineRule="exact"/>
        <w:rPr>
          <w:sz w:val="20"/>
          <w:szCs w:val="20"/>
          <w:color w:val="auto"/>
        </w:rPr>
      </w:pPr>
    </w:p>
    <w:p>
      <w:pPr>
        <w:jc w:val="both"/>
        <w:ind w:firstLine="8"/>
        <w:spacing w:after="0" w:line="254" w:lineRule="auto"/>
        <w:tabs>
          <w:tab w:leader="none" w:pos="79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Accelerated Vesting</w:t>
      </w:r>
      <w:r>
        <w:rPr>
          <w:rFonts w:ascii="Times New Roman" w:cs="Times New Roman" w:eastAsia="Times New Roman" w:hAnsi="Times New Roman"/>
          <w:sz w:val="20"/>
          <w:szCs w:val="20"/>
          <w:color w:val="auto"/>
        </w:rPr>
        <w:t>. Notwithstanding the foregoing, each Initial RSU Grant, Annual RSU Grant, and Prorated Annual RSU Grant will vest in full upon a Change in Control (as defined in the Plan), subject to the Eligible Director’s Continuous Service through the date of such Change in Control.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269043289 v8</w:t>
      </w:r>
    </w:p>
    <w:p>
      <w:pPr>
        <w:sectPr>
          <w:pgSz w:w="11900" w:h="16838" w:orient="portrait"/>
          <w:cols w:equalWidth="0" w:num="1">
            <w:col w:w="11240"/>
          </w:cols>
          <w:pgMar w:left="320" w:top="342"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 Vanderhook, certify that:</w:t>
      </w:r>
    </w:p>
    <w:p>
      <w:pPr>
        <w:spacing w:after="0" w:line="225" w:lineRule="exact"/>
        <w:rPr>
          <w:sz w:val="20"/>
          <w:szCs w:val="20"/>
          <w:color w:val="auto"/>
        </w:rPr>
      </w:pPr>
    </w:p>
    <w:p>
      <w:pPr>
        <w:ind w:left="940" w:hanging="183"/>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Viant Technology Inc.;</w:t>
      </w:r>
    </w:p>
    <w:p>
      <w:pPr>
        <w:spacing w:after="0" w:line="225" w:lineRule="exact"/>
        <w:rPr>
          <w:rFonts w:ascii="Times New Roman" w:cs="Times New Roman" w:eastAsia="Times New Roman" w:hAnsi="Times New Roman"/>
          <w:sz w:val="18"/>
          <w:szCs w:val="18"/>
          <w:color w:val="auto"/>
        </w:rPr>
      </w:pPr>
    </w:p>
    <w:p>
      <w:pPr>
        <w:ind w:right="100" w:firstLine="757"/>
        <w:spacing w:after="0" w:line="266" w:lineRule="auto"/>
        <w:tabs>
          <w:tab w:leader="none" w:pos="92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60" w:firstLine="757"/>
        <w:spacing w:after="0" w:line="282" w:lineRule="auto"/>
        <w:tabs>
          <w:tab w:leader="none" w:pos="92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0" w:firstLine="757"/>
        <w:spacing w:after="0" w:line="266" w:lineRule="auto"/>
        <w:tabs>
          <w:tab w:leader="none" w:pos="92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other certifying officer and I are responsible for establishing and maintaining disclosure controls and procedures (as defined in Exchange Act Rules 13a-15(e) and 15d-15(e)) </w:t>
      </w:r>
      <w:r>
        <w:rPr>
          <w:rFonts w:ascii="Times New Roman" w:cs="Times New Roman" w:eastAsia="Times New Roman" w:hAnsi="Times New Roman"/>
          <w:sz w:val="18"/>
          <w:szCs w:val="18"/>
          <w:color w:val="333333"/>
        </w:rPr>
        <w:t>and internal control over financial reporting (as defined in Exchange Act Rules 13a-15(f) and 15d-15(f))</w:t>
      </w:r>
      <w:r>
        <w:rPr>
          <w:rFonts w:ascii="Times New Roman" w:cs="Times New Roman" w:eastAsia="Times New Roman" w:hAnsi="Times New Roman"/>
          <w:sz w:val="18"/>
          <w:szCs w:val="18"/>
          <w:color w:val="auto"/>
        </w:rPr>
        <w:t xml:space="preserve"> for the registrant and have:</w:t>
      </w:r>
    </w:p>
    <w:p>
      <w:pPr>
        <w:spacing w:after="0" w:line="176" w:lineRule="exact"/>
        <w:rPr>
          <w:sz w:val="20"/>
          <w:szCs w:val="20"/>
          <w:color w:val="auto"/>
        </w:rPr>
      </w:pPr>
    </w:p>
    <w:p>
      <w:pPr>
        <w:ind w:right="60" w:firstLine="757"/>
        <w:spacing w:after="0" w:line="266" w:lineRule="auto"/>
        <w:tabs>
          <w:tab w:leader="none" w:pos="99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757"/>
        <w:spacing w:after="0" w:line="266" w:lineRule="auto"/>
        <w:tabs>
          <w:tab w:leader="none" w:pos="100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560" w:firstLine="757"/>
        <w:spacing w:after="0" w:line="282" w:lineRule="auto"/>
        <w:tabs>
          <w:tab w:leader="none" w:pos="99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60" w:firstLine="757"/>
        <w:spacing w:after="0" w:line="266" w:lineRule="auto"/>
        <w:tabs>
          <w:tab w:leader="none" w:pos="100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180" w:firstLine="757"/>
        <w:spacing w:after="0" w:line="282" w:lineRule="auto"/>
        <w:tabs>
          <w:tab w:leader="none" w:pos="92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800" w:firstLine="757"/>
        <w:spacing w:after="0" w:line="282" w:lineRule="auto"/>
        <w:tabs>
          <w:tab w:leader="none" w:pos="99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80" w:firstLine="757"/>
        <w:spacing w:after="0" w:line="282" w:lineRule="auto"/>
        <w:tabs>
          <w:tab w:leader="none" w:pos="100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628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Tim Vanderhook</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 and Chairman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Larry Madden, certify that:</w:t>
      </w:r>
    </w:p>
    <w:p>
      <w:pPr>
        <w:spacing w:after="0" w:line="225" w:lineRule="exact"/>
        <w:rPr>
          <w:sz w:val="20"/>
          <w:szCs w:val="20"/>
          <w:color w:val="auto"/>
        </w:rPr>
      </w:pPr>
    </w:p>
    <w:p>
      <w:pPr>
        <w:ind w:left="940" w:hanging="183"/>
        <w:spacing w:after="0"/>
        <w:tabs>
          <w:tab w:leader="none" w:pos="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Viant Technology Inc.;</w:t>
      </w:r>
    </w:p>
    <w:p>
      <w:pPr>
        <w:spacing w:after="0" w:line="225" w:lineRule="exact"/>
        <w:rPr>
          <w:rFonts w:ascii="Times New Roman" w:cs="Times New Roman" w:eastAsia="Times New Roman" w:hAnsi="Times New Roman"/>
          <w:sz w:val="18"/>
          <w:szCs w:val="18"/>
          <w:color w:val="auto"/>
        </w:rPr>
      </w:pPr>
    </w:p>
    <w:p>
      <w:pPr>
        <w:ind w:right="100" w:firstLine="757"/>
        <w:spacing w:after="0" w:line="266" w:lineRule="auto"/>
        <w:tabs>
          <w:tab w:leader="none" w:pos="92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60" w:firstLine="757"/>
        <w:spacing w:after="0" w:line="282" w:lineRule="auto"/>
        <w:tabs>
          <w:tab w:leader="none" w:pos="92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0" w:firstLine="757"/>
        <w:spacing w:after="0" w:line="266" w:lineRule="auto"/>
        <w:tabs>
          <w:tab w:leader="none" w:pos="92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other certifying officer and I are responsible for establishing and maintaining disclosure controls and procedures (as defined in Exchange Act Rules 13a-15(e) and 15d-15(e)) </w:t>
      </w:r>
      <w:r>
        <w:rPr>
          <w:rFonts w:ascii="Times New Roman" w:cs="Times New Roman" w:eastAsia="Times New Roman" w:hAnsi="Times New Roman"/>
          <w:sz w:val="18"/>
          <w:szCs w:val="18"/>
          <w:color w:val="333333"/>
        </w:rPr>
        <w:t>and internal control over financial reporting (as defined in Exchange Act Rules 13a-15(f) and 15d-15(f))</w:t>
      </w:r>
      <w:r>
        <w:rPr>
          <w:rFonts w:ascii="Times New Roman" w:cs="Times New Roman" w:eastAsia="Times New Roman" w:hAnsi="Times New Roman"/>
          <w:sz w:val="18"/>
          <w:szCs w:val="18"/>
          <w:color w:val="auto"/>
        </w:rPr>
        <w:t xml:space="preserve"> for the registrant and have:</w:t>
      </w:r>
    </w:p>
    <w:p>
      <w:pPr>
        <w:spacing w:after="0" w:line="176" w:lineRule="exact"/>
        <w:rPr>
          <w:sz w:val="20"/>
          <w:szCs w:val="20"/>
          <w:color w:val="auto"/>
        </w:rPr>
      </w:pPr>
    </w:p>
    <w:p>
      <w:pPr>
        <w:ind w:right="60" w:firstLine="757"/>
        <w:spacing w:after="0" w:line="266" w:lineRule="auto"/>
        <w:tabs>
          <w:tab w:leader="none" w:pos="99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757"/>
        <w:spacing w:after="0" w:line="266" w:lineRule="auto"/>
        <w:tabs>
          <w:tab w:leader="none" w:pos="100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560" w:firstLine="757"/>
        <w:spacing w:after="0" w:line="282" w:lineRule="auto"/>
        <w:tabs>
          <w:tab w:leader="none" w:pos="99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60" w:firstLine="757"/>
        <w:spacing w:after="0" w:line="266" w:lineRule="auto"/>
        <w:tabs>
          <w:tab w:leader="none" w:pos="100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180" w:firstLine="757"/>
        <w:spacing w:after="0" w:line="282" w:lineRule="auto"/>
        <w:tabs>
          <w:tab w:leader="none" w:pos="92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800" w:firstLine="757"/>
        <w:spacing w:after="0" w:line="282" w:lineRule="auto"/>
        <w:tabs>
          <w:tab w:leader="none" w:pos="99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80" w:firstLine="757"/>
        <w:spacing w:after="0" w:line="282" w:lineRule="auto"/>
        <w:tabs>
          <w:tab w:leader="none" w:pos="100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Larry Madden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5628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Viant Technology Inc. (the “Company”) on Form 10-Q for the quarter ended June 30, 2022,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620" w:hanging="863"/>
        <w:spacing w:after="0"/>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620" w:hanging="863"/>
        <w:spacing w:after="0"/>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24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Tim Vanderhook</w:t>
            </w:r>
          </w:p>
        </w:tc>
      </w:tr>
      <w:tr>
        <w:trPr>
          <w:trHeight w:val="218"/>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Tim Vanderhook</w:t>
            </w:r>
          </w:p>
        </w:tc>
      </w:tr>
      <w:tr>
        <w:trPr>
          <w:trHeight w:val="230"/>
        </w:trPr>
        <w:tc>
          <w:tcPr>
            <w:tcW w:w="35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Chairman</w:t>
            </w:r>
          </w:p>
        </w:tc>
      </w:tr>
      <w:tr>
        <w:trPr>
          <w:trHeight w:val="234"/>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333"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Viant Technology Inc. (the “Company”) on Form 10-Q for the quarter ended June 30, 2022,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620" w:hanging="863"/>
        <w:spacing w:after="0"/>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620" w:hanging="863"/>
        <w:spacing w:after="0"/>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24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Larry Madden</w:t>
            </w:r>
          </w:p>
        </w:tc>
      </w:tr>
      <w:tr>
        <w:trPr>
          <w:trHeight w:val="218"/>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Larry Madden</w:t>
            </w:r>
          </w:p>
        </w:tc>
      </w:tr>
      <w:tr>
        <w:trPr>
          <w:trHeight w:val="230"/>
        </w:trPr>
        <w:tc>
          <w:tcPr>
            <w:tcW w:w="35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1."/>
      <w:numFmt w:val="decimal"/>
      <w:start w:val="2"/>
    </w:lvl>
  </w:abstractNum>
  <w:abstractNum w:abstractNumId="6">
    <w:nsid w:val="54E49EB4"/>
    <w:multiLevelType w:val="hybridMultilevel"/>
    <w:lvl w:ilvl="0">
      <w:lvlJc w:val="left"/>
      <w:lvlText w:val="%1."/>
      <w:numFmt w:val="decimal"/>
      <w:start w:val="3"/>
    </w:lvl>
  </w:abstractNum>
  <w:abstractNum w:abstractNumId="7">
    <w:nsid w:val="71F32454"/>
    <w:multiLevelType w:val="hybridMultilevel"/>
    <w:lvl w:ilvl="0">
      <w:lvlJc w:val="left"/>
      <w:lvlText w:val="%1."/>
      <w:numFmt w:val="decimal"/>
      <w:start w:val="4"/>
    </w:lvl>
  </w:abstractNum>
  <w:abstractNum w:abstractNumId="8">
    <w:nsid w:val="2CA88611"/>
    <w:multiLevelType w:val="hybridMultilevel"/>
    <w:lvl w:ilvl="0">
      <w:lvlJc w:val="left"/>
      <w:lvlText w:val="%1."/>
      <w:numFmt w:val="decimal"/>
      <w:start w:val="5"/>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1."/>
      <w:numFmt w:val="decimal"/>
      <w:start w:val="6"/>
    </w:lvl>
  </w:abstractNum>
  <w:abstractNum w:abstractNumId="11">
    <w:nsid w:val="3A95F874"/>
    <w:multiLevelType w:val="hybridMultilevel"/>
    <w:lvl w:ilvl="0">
      <w:lvlJc w:val="left"/>
      <w:lvlText w:val="%1."/>
      <w:numFmt w:val="decimal"/>
      <w:start w:val="8"/>
    </w:lvl>
  </w:abstractNum>
  <w:abstractNum w:abstractNumId="12">
    <w:nsid w:val="8138641"/>
    <w:multiLevelType w:val="hybridMultilevel"/>
    <w:lvl w:ilvl="0">
      <w:lvlJc w:val="left"/>
      <w:lvlText w:val="%1."/>
      <w:numFmt w:val="decimal"/>
      <w:start w:val="9"/>
    </w:lvl>
  </w:abstractNum>
  <w:abstractNum w:abstractNumId="13">
    <w:nsid w:val="1E7FF521"/>
    <w:multiLevelType w:val="hybridMultilevel"/>
    <w:lvl w:ilvl="0">
      <w:lvlJc w:val="left"/>
      <w:lvlText w:val="%1."/>
      <w:numFmt w:val="decimal"/>
      <w:start w:val="10"/>
    </w:lvl>
  </w:abstractNum>
  <w:abstractNum w:abstractNumId="14">
    <w:nsid w:val="7C3DBD3D"/>
    <w:multiLevelType w:val="hybridMultilevel"/>
    <w:lvl w:ilvl="0">
      <w:lvlJc w:val="left"/>
      <w:lvlText w:val="%1."/>
      <w:numFmt w:val="decimal"/>
      <w:start w:val="12"/>
    </w:lvl>
  </w:abstractNum>
  <w:abstractNum w:abstractNumId="15">
    <w:nsid w:val="737B8DDC"/>
    <w:multiLevelType w:val="hybridMultilevel"/>
    <w:lvl w:ilvl="0">
      <w:lvlJc w:val="left"/>
      <w:lvlText w:val="%1."/>
      <w:numFmt w:val="decimal"/>
      <w:start w:val="13"/>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lvl w:ilvl="1">
      <w:lvlJc w:val="left"/>
      <w:lvlText w:val="•"/>
      <w:numFmt w:val="bullet"/>
      <w:start w:val="1"/>
    </w:lvl>
  </w:abstractNum>
  <w:abstractNum w:abstractNumId="18">
    <w:nsid w:val="4516DDE9"/>
    <w:multiLevelType w:val="hybridMultilevel"/>
    <w:lvl w:ilvl="0">
      <w:lvlJc w:val="left"/>
      <w:lvlText w:val="%1"/>
      <w:numFmt w:val="upperLetter"/>
      <w:start w:val="68"/>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2"/>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2"/>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1."/>
      <w:numFmt w:val="decimal"/>
      <w:start w:val="1"/>
    </w:lvl>
    <w:lvl w:ilvl="1">
      <w:lvlJc w:val="left"/>
      <w:lvlText w:val="%2."/>
      <w:numFmt w:val="lowerLetter"/>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2"/>
    </w:lvl>
  </w:abstractNum>
  <w:abstractNum w:abstractNumId="36">
    <w:nsid w:val="70A64E2A"/>
    <w:multiLevelType w:val="hybridMultilevel"/>
    <w:lvl w:ilvl="0">
      <w:lvlJc w:val="left"/>
      <w:lvlText w:val="%1."/>
      <w:numFmt w:val="decimal"/>
      <w:start w:val="3"/>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decimal"/>
      <w:start w:val="5"/>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decimal"/>
      <w:start w:val="5"/>
    </w:lvl>
  </w:abstractNum>
  <w:abstractNum w:abstractNumId="44">
    <w:nsid w:val="4B588F54"/>
    <w:multiLevelType w:val="hybridMultilevel"/>
    <w:lvl w:ilvl="0">
      <w:lvlJc w:val="left"/>
      <w:lvlText w:val="(%1)"/>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78" Type="http://schemas.openxmlformats.org/officeDocument/2006/relationships/hyperlink" Target="http://www.sec.gov/Archives/edgar/data/1828791/000156459021014855/dsp-ex31_279.htm" TargetMode="External"/><Relationship Id="rId79" Type="http://schemas.openxmlformats.org/officeDocument/2006/relationships/hyperlink" Target="http://www.sec.gov/Archives/edgar/data/1828791/000156459021014855/dsp-ex32_27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2022-08-09T19:59:15Z</dcterms:created>
  <dcterms:modified xsi:type="dcterms:W3CDTF">2022-08-09T19:59:15Z</dcterms:modified>
</cp:coreProperties>
</file>