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ind w:left="0" w:right="0" w:firstLine="54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ind w:left="0" w:right="0" w:firstLine="54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ind w:left="0" w:right="0" w:firstLine="54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0"/>
        <w:ind w:left="0" w:right="0" w:firstLine="540"/>
        <w:jc w:val="center"/>
        <w:rPr>
          <w:rFonts w:ascii="Times New Roman;serif" w:hAnsi="Times New Roman;serif"/>
          <w:b/>
          <w:color w:val="000000"/>
          <w:sz w:val="28"/>
        </w:rPr>
      </w:pPr>
      <w:r>
        <w:rPr>
          <w:rFonts w:ascii="Times New Roman;serif" w:hAnsi="Times New Roman;serif"/>
          <w:b/>
          <w:color w:val="000000"/>
          <w:sz w:val="28"/>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60" w:after="283"/>
        <w:ind w:left="0" w:right="0" w:firstLine="54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For the transition period from_______to_______</w:t>
      </w:r>
    </w:p>
    <w:p>
      <w:pPr>
        <w:pStyle w:val="TextBody"/>
        <w:bidi w:val="0"/>
        <w:spacing w:lineRule="auto" w:line="288" w:before="60" w:after="283"/>
        <w:ind w:left="0" w:right="0" w:firstLine="540"/>
        <w:jc w:val="center"/>
        <w:rPr>
          <w:rFonts w:ascii="Times New Roman;serif" w:hAnsi="Times New Roman;serif"/>
          <w:b/>
          <w:color w:val="000000"/>
          <w:sz w:val="20"/>
        </w:rPr>
      </w:pPr>
      <w:r>
        <w:rPr>
          <w:rFonts w:ascii="Times New Roman;serif" w:hAnsi="Times New Roman;serif"/>
          <w:b/>
          <w:color w:val="000000"/>
          <w:sz w:val="20"/>
        </w:rPr>
        <w:t>Commission File Number: 001-40015</w:t>
      </w:r>
    </w:p>
    <w:p>
      <w:pPr>
        <w:pStyle w:val="TextBody"/>
        <w:bidi w:val="0"/>
        <w:spacing w:lineRule="auto" w:line="288" w:before="0" w:after="0"/>
        <w:ind w:left="0" w:right="0" w:firstLine="54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______________________________________________________________________________________________________________________________________________________</w:t>
      </w:r>
    </w:p>
    <w:p>
      <w:pPr>
        <w:pStyle w:val="TextBody"/>
        <w:bidi w:val="0"/>
        <w:spacing w:before="120" w:after="283"/>
        <w:ind w:left="0" w:right="0" w:firstLine="540"/>
        <w:jc w:val="center"/>
        <w:rPr/>
      </w:pPr>
      <w:r>
        <w:rPr/>
        <w:drawing>
          <wp:inline distT="0" distB="0" distL="0" distR="0">
            <wp:extent cx="20669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361950"/>
                    </a:xfrm>
                    <a:prstGeom prst="rect">
                      <a:avLst/>
                    </a:prstGeom>
                  </pic:spPr>
                </pic:pic>
              </a:graphicData>
            </a:graphic>
          </wp:inline>
        </w:drawing>
      </w:r>
      <w:bookmarkStart w:id="0" w:name="i-1"/>
      <w:bookmarkEnd w:id="0"/>
    </w:p>
    <w:p>
      <w:pPr>
        <w:pStyle w:val="TextBody"/>
        <w:bidi w:val="0"/>
        <w:spacing w:lineRule="auto" w:line="288" w:before="60" w:after="283"/>
        <w:ind w:left="0" w:right="0" w:firstLine="540"/>
        <w:jc w:val="center"/>
        <w:rPr>
          <w:rFonts w:ascii="Times New Roman;serif" w:hAnsi="Times New Roman;serif"/>
          <w:b/>
          <w:color w:val="000000"/>
          <w:sz w:val="24"/>
        </w:rPr>
      </w:pPr>
      <w:r>
        <w:rPr>
          <w:rFonts w:ascii="Times New Roman;serif" w:hAnsi="Times New Roman;serif"/>
          <w:b/>
          <w:color w:val="000000"/>
          <w:sz w:val="24"/>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ind w:left="0" w:right="0" w:firstLine="54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______________________________________________________________________________________________________________________________________________________</w:t>
      </w:r>
    </w:p>
    <w:tbl>
      <w:tblPr>
        <w:tblW w:w="455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85-3447553</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55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2722 Michelson Drive, Suite 100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 92612</w:t>
            </w:r>
          </w:p>
        </w:tc>
      </w:tr>
      <w:tr>
        <w:trPr/>
        <w:tc>
          <w:tcPr>
            <w:tcW w:w="4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bl>
    <w:p>
      <w:pPr>
        <w:pStyle w:val="TextBody"/>
        <w:bidi w:val="0"/>
        <w:spacing w:lineRule="auto" w:line="288" w:before="60" w:after="283"/>
        <w:ind w:left="0" w:right="0" w:firstLine="540"/>
        <w:jc w:val="center"/>
        <w:rPr>
          <w:rFonts w:ascii="Times New Roman;serif" w:hAnsi="Times New Roman;serif"/>
          <w:b/>
          <w:color w:val="000000"/>
          <w:sz w:val="20"/>
        </w:rPr>
      </w:pPr>
      <w:r>
        <w:rPr>
          <w:rFonts w:ascii="Times New Roman;serif" w:hAnsi="Times New Roman;serif"/>
          <w:b/>
          <w:color w:val="000000"/>
          <w:sz w:val="20"/>
        </w:rPr>
        <w:t>(949) 861-8888</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ind w:left="0" w:right="0" w:firstLine="54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______________________________________________________________________________________________________________________________________________________</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426" w:type="dxa"/>
        <w:jc w:val="center"/>
        <w:tblInd w:w="0" w:type="dxa"/>
        <w:tblLayout w:type="fixed"/>
        <w:tblCellMar>
          <w:top w:w="28" w:type="dxa"/>
          <w:left w:w="28" w:type="dxa"/>
          <w:bottom w:w="28" w:type="dxa"/>
          <w:right w:w="28" w:type="dxa"/>
        </w:tblCellMar>
      </w:tblPr>
      <w:tblGrid>
        <w:gridCol w:w="1350"/>
        <w:gridCol w:w="1188"/>
        <w:gridCol w:w="1196"/>
        <w:gridCol w:w="109"/>
        <w:gridCol w:w="109"/>
        <w:gridCol w:w="109"/>
        <w:gridCol w:w="519"/>
        <w:gridCol w:w="519"/>
        <w:gridCol w:w="521"/>
        <w:gridCol w:w="109"/>
        <w:gridCol w:w="109"/>
        <w:gridCol w:w="109"/>
        <w:gridCol w:w="1019"/>
        <w:gridCol w:w="1019"/>
        <w:gridCol w:w="1441"/>
      </w:tblGrid>
      <w:tr>
        <w:trPr/>
        <w:tc>
          <w:tcPr>
            <w:tcW w:w="135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The Nasdaq Stock Market LLC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60" w:after="283"/>
        <w:ind w:left="0" w:right="0" w:firstLine="54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ind w:left="0" w:right="0" w:firstLine="54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8"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p>
      <w:pPr>
        <w:pStyle w:val="TextBody"/>
        <w:bidi w:val="0"/>
        <w:spacing w:lineRule="auto" w:line="288" w:before="60" w:after="283"/>
        <w:ind w:left="0" w:right="0" w:firstLine="720"/>
        <w:jc w:val="left"/>
        <w:rPr/>
      </w:pPr>
      <w:r>
        <w:rPr>
          <w:rFonts w:ascii="Times New Roman;serif" w:hAnsi="Times New Roman;serif"/>
          <w:b w:val="false"/>
          <w:color w:val="000000"/>
          <w:sz w:val="18"/>
        </w:rPr>
        <w:t xml:space="preserve">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As of August 7, 2026, there were 21,135,122 shares and 45,339,716 shares of the registrant’s Class A and Class B common stock, respectively, each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5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540"/>
                        <w:jc w:val="center"/>
                        <w:rPr/>
                      </w:pPr>
                      <w:r>
                        <w:rPr/>
                      </w:r>
                    </w:p>
                  </w:txbxContent>
                </v:textbox>
                <w10:wrap type="none"/>
              </v:rect>
            </w:pict>
          </mc:Fallback>
        </mc:AlternateContent>
      </w:r>
    </w:p>
    <w:p>
      <w:pPr>
        <w:pStyle w:val="TextBody"/>
        <w:bidi w:val="0"/>
        <w:spacing w:before="240" w:after="283"/>
        <w:ind w:left="0" w:right="0" w:firstLine="540"/>
        <w:jc w:val="center"/>
        <w:rPr/>
      </w:pPr>
      <w:r>
        <w:rPr/>
      </w:r>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46" w:type="dxa"/>
        <w:jc w:val="center"/>
        <w:tblInd w:w="0" w:type="dxa"/>
        <w:tblLayout w:type="fixed"/>
        <w:tblCellMar>
          <w:top w:w="28" w:type="dxa"/>
          <w:left w:w="28" w:type="dxa"/>
          <w:bottom w:w="28" w:type="dxa"/>
          <w:right w:w="28" w:type="dxa"/>
        </w:tblCellMar>
      </w:tblPr>
      <w:tblGrid>
        <w:gridCol w:w="824"/>
        <w:gridCol w:w="723"/>
        <w:gridCol w:w="723"/>
        <w:gridCol w:w="2438"/>
        <w:gridCol w:w="2438"/>
        <w:gridCol w:w="2489"/>
        <w:gridCol w:w="149"/>
        <w:gridCol w:w="149"/>
        <w:gridCol w:w="213"/>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0">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0">
              <w:r>
                <w:rPr>
                  <w:rStyle w:val="InternetLink"/>
                  <w:rFonts w:ascii="Times New Roman;serif" w:hAnsi="Times New Roman;serif"/>
                  <w:b w:val="false"/>
                  <w:strike w:val="false"/>
                  <w:dstrike w:val="false"/>
                  <w:color w:val="000000"/>
                  <w:sz w:val="20"/>
                  <w:u w:val="none"/>
                  <w:effect w:val="non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
              <w:r>
                <w:rPr>
                  <w:rStyle w:val="InternetLink"/>
                  <w:rFonts w:ascii="Times New Roman;serif" w:hAnsi="Times New Roman;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6">
              <w:r>
                <w:rPr>
                  <w:rStyle w:val="InternetLink"/>
                  <w:rFonts w:ascii="Times New Roman;serif" w:hAnsi="Times New Roman;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6">
              <w:r>
                <w:rPr>
                  <w:rStyle w:val="InternetLink"/>
                  <w:rFonts w:ascii="Times New Roman;serif" w:hAnsi="Times New Roman;serif"/>
                  <w:b w:val="false"/>
                  <w:strike w:val="false"/>
                  <w:dstrike w:val="false"/>
                  <w:color w:val="000000"/>
                  <w:sz w:val="20"/>
                  <w:u w:val="none"/>
                  <w:effect w:val="none"/>
                </w:rPr>
                <w:t>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    </w:t>
            </w:r>
            <w:hyperlink w:anchor="i09d302b322864499ba02f02cf8e74ef9_19">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9">
              <w:r>
                <w:rPr>
                  <w:rStyle w:val="InternetLink"/>
                  <w:rFonts w:ascii="Times New Roman;serif" w:hAnsi="Times New Roman;serif"/>
                  <w:b w:val="false"/>
                  <w:strike w:val="false"/>
                  <w:dstrike w:val="false"/>
                  <w:color w:val="000000"/>
                  <w:sz w:val="20"/>
                  <w:u w:val="none"/>
                  <w:effect w:val="none"/>
                </w:rPr>
                <w:t>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    </w:t>
            </w:r>
            <w:hyperlink w:anchor="i09d302b322864499ba02f02cf8e74ef9_22">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22">
              <w:r>
                <w:rPr>
                  <w:rStyle w:val="InternetLink"/>
                  <w:rFonts w:ascii="Times New Roman;serif" w:hAnsi="Times New Roman;serif"/>
                  <w:b w:val="false"/>
                  <w:strike w:val="false"/>
                  <w:dstrike w:val="false"/>
                  <w:color w:val="000000"/>
                  <w:sz w:val="20"/>
                  <w:u w:val="none"/>
                  <w:effect w:val="none"/>
                </w:rPr>
                <w:t>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    </w:t>
            </w:r>
            <w:hyperlink w:anchor="i09d302b322864499ba02f02cf8e74ef9_25">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25">
              <w:r>
                <w:rPr>
                  <w:rStyle w:val="InternetLink"/>
                  <w:rFonts w:ascii="Times New Roman;serif" w:hAnsi="Times New Roman;serif"/>
                  <w:b w:val="false"/>
                  <w:strike w:val="false"/>
                  <w:dstrike w:val="false"/>
                  <w:color w:val="000000"/>
                  <w:sz w:val="20"/>
                  <w:u w:val="none"/>
                  <w:effect w:val="none"/>
                </w:rPr>
                <w:t>6</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    </w:t>
            </w:r>
            <w:hyperlink w:anchor="i09d302b322864499ba02f02cf8e74ef9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31">
              <w:r>
                <w:rPr>
                  <w:rStyle w:val="InternetLink"/>
                  <w:rFonts w:ascii="Times New Roman;serif" w:hAnsi="Times New Roman;serif"/>
                  <w:b w:val="false"/>
                  <w:strike w:val="false"/>
                  <w:dstrike w:val="false"/>
                  <w:color w:val="000000"/>
                  <w:sz w:val="20"/>
                  <w:u w:val="none"/>
                  <w:effect w:val="none"/>
                </w:rPr>
                <w:t>8</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    </w:t>
            </w:r>
            <w:hyperlink w:anchor="i09d302b322864499ba02f02cf8e74ef9_34">
              <w:r>
                <w:rPr>
                  <w:rStyle w:val="InternetLink"/>
                  <w:rFonts w:ascii="Times New Roman;serif" w:hAnsi="Times New Roman;serif"/>
                  <w:b w:val="false"/>
                  <w:color w:val="0000FF"/>
                  <w:sz w:val="20"/>
                  <w:u w:val="single"/>
                </w:rPr>
                <w:t>Notes to the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34">
              <w:r>
                <w:rPr>
                  <w:rStyle w:val="InternetLink"/>
                  <w:rFonts w:ascii="Times New Roman;serif" w:hAnsi="Times New Roman;serif"/>
                  <w:b w:val="false"/>
                  <w:strike w:val="false"/>
                  <w:dstrike w:val="false"/>
                  <w:color w:val="000000"/>
                  <w:sz w:val="20"/>
                  <w:u w:val="none"/>
                  <w:effect w:val="none"/>
                </w:rPr>
                <w:t>9</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8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82">
              <w:r>
                <w:rPr>
                  <w:rStyle w:val="InternetLink"/>
                  <w:rFonts w:ascii="Times New Roman;serif" w:hAnsi="Times New Roman;serif"/>
                  <w:b w:val="false"/>
                  <w:strike w:val="false"/>
                  <w:dstrike w:val="false"/>
                  <w:color w:val="000000"/>
                  <w:sz w:val="20"/>
                  <w:u w:val="none"/>
                  <w:effect w:val="none"/>
                </w:rPr>
                <w:t>24</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21">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21">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21">
              <w:r>
                <w:rPr>
                  <w:rStyle w:val="InternetLink"/>
                  <w:rFonts w:ascii="Times New Roman;serif" w:hAnsi="Times New Roman;serif"/>
                  <w:b w:val="false"/>
                  <w:strike w:val="false"/>
                  <w:dstrike w:val="false"/>
                  <w:color w:val="000000"/>
                  <w:sz w:val="20"/>
                  <w:u w:val="none"/>
                  <w:effect w:val="none"/>
                </w:rPr>
                <w:t>45</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24">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24">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24">
              <w:r>
                <w:rPr>
                  <w:rStyle w:val="InternetLink"/>
                  <w:rFonts w:ascii="Times New Roman;serif" w:hAnsi="Times New Roman;serif"/>
                  <w:b w:val="false"/>
                  <w:strike w:val="false"/>
                  <w:dstrike w:val="false"/>
                  <w:color w:val="000000"/>
                  <w:sz w:val="20"/>
                  <w:u w:val="none"/>
                  <w:effect w:val="none"/>
                </w:rPr>
                <w:t>46</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27">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27">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27">
              <w:r>
                <w:rPr>
                  <w:rStyle w:val="InternetLink"/>
                  <w:rFonts w:ascii="Times New Roman;serif" w:hAnsi="Times New Roman;serif"/>
                  <w:b w:val="false"/>
                  <w:strike w:val="false"/>
                  <w:dstrike w:val="false"/>
                  <w:color w:val="000000"/>
                  <w:sz w:val="20"/>
                  <w:u w:val="none"/>
                  <w:effect w:val="none"/>
                </w:rPr>
                <w:t>47</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0">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0">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30">
              <w:r>
                <w:rPr>
                  <w:rStyle w:val="InternetLink"/>
                  <w:rFonts w:ascii="Times New Roman;serif" w:hAnsi="Times New Roman;serif"/>
                  <w:b w:val="false"/>
                  <w:strike w:val="false"/>
                  <w:dstrike w:val="false"/>
                  <w:color w:val="000000"/>
                  <w:sz w:val="20"/>
                  <w:u w:val="none"/>
                  <w:effect w:val="none"/>
                </w:rPr>
                <w:t>47</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3">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3">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33">
              <w:r>
                <w:rPr>
                  <w:rStyle w:val="InternetLink"/>
                  <w:rFonts w:ascii="Times New Roman;serif" w:hAnsi="Times New Roman;serif"/>
                  <w:b w:val="false"/>
                  <w:strike w:val="false"/>
                  <w:dstrike w:val="false"/>
                  <w:color w:val="000000"/>
                  <w:sz w:val="20"/>
                  <w:u w:val="none"/>
                  <w:effect w:val="none"/>
                </w:rPr>
                <w:t>47</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6">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6">
              <w:r>
                <w:rPr>
                  <w:rStyle w:val="InternetLink"/>
                  <w:rFonts w:ascii="Times New Roman;serif" w:hAnsi="Times New Roman;serif"/>
                  <w:b w:val="false"/>
                  <w:color w:val="0000FF"/>
                  <w:sz w:val="20"/>
                  <w:u w:val="single"/>
                </w:rPr>
                <w:t>Unregistered Sales of Equity Securities and Use of Proceeds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36">
              <w:r>
                <w:rPr>
                  <w:rStyle w:val="InternetLink"/>
                  <w:rFonts w:ascii="Times New Roman;serif" w:hAnsi="Times New Roman;serif"/>
                  <w:b w:val="false"/>
                  <w:strike w:val="false"/>
                  <w:dstrike w:val="false"/>
                  <w:color w:val="000000"/>
                  <w:sz w:val="20"/>
                  <w:u w:val="none"/>
                  <w:effect w:val="none"/>
                </w:rPr>
                <w:t>76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9">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39">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39">
              <w:r>
                <w:rPr>
                  <w:rStyle w:val="InternetLink"/>
                  <w:rFonts w:ascii="Times New Roman;serif" w:hAnsi="Times New Roman;serif"/>
                  <w:b w:val="false"/>
                  <w:strike w:val="false"/>
                  <w:dstrike w:val="false"/>
                  <w:color w:val="000000"/>
                  <w:sz w:val="20"/>
                  <w:u w:val="none"/>
                  <w:effect w:val="none"/>
                </w:rPr>
                <w:t>76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42">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42">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42">
              <w:r>
                <w:rPr>
                  <w:rStyle w:val="InternetLink"/>
                  <w:rFonts w:ascii="Times New Roman;serif" w:hAnsi="Times New Roman;serif"/>
                  <w:b w:val="false"/>
                  <w:strike w:val="false"/>
                  <w:dstrike w:val="false"/>
                  <w:color w:val="000000"/>
                  <w:sz w:val="20"/>
                  <w:u w:val="none"/>
                  <w:effect w:val="none"/>
                </w:rPr>
                <w:t>76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45">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45">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45">
              <w:r>
                <w:rPr>
                  <w:rStyle w:val="InternetLink"/>
                  <w:rFonts w:ascii="Times New Roman;serif" w:hAnsi="Times New Roman;serif"/>
                  <w:b w:val="false"/>
                  <w:strike w:val="false"/>
                  <w:dstrike w:val="false"/>
                  <w:color w:val="000000"/>
                  <w:sz w:val="20"/>
                  <w:u w:val="none"/>
                  <w:effect w:val="none"/>
                </w:rPr>
                <w:t>76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51">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51">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51">
              <w:r>
                <w:rPr>
                  <w:rStyle w:val="InternetLink"/>
                  <w:rFonts w:ascii="Times New Roman;serif" w:hAnsi="Times New Roman;serif"/>
                  <w:b w:val="false"/>
                  <w:strike w:val="false"/>
                  <w:dstrike w:val="false"/>
                  <w:color w:val="000000"/>
                  <w:sz w:val="20"/>
                  <w:u w:val="none"/>
                  <w:effect w:val="none"/>
                </w:rPr>
                <w:t>77</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154">
              <w:r>
                <w:rPr>
                  <w:rStyle w:val="InternetLink"/>
                  <w:rFonts w:ascii="Times New Roman;serif" w:hAnsi="Times New Roman;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154">
              <w:r>
                <w:rPr>
                  <w:rStyle w:val="InternetLink"/>
                  <w:rFonts w:ascii="Times New Roman;serif" w:hAnsi="Times New Roman;serif"/>
                  <w:b w:val="false"/>
                  <w:strike w:val="false"/>
                  <w:dstrike w:val="false"/>
                  <w:color w:val="000000"/>
                  <w:sz w:val="20"/>
                  <w:u w:val="none"/>
                  <w:effect w:val="none"/>
                </w:rPr>
                <w:t>78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ind w:left="0" w:right="0" w:firstLine="540"/>
        <w:jc w:val="center"/>
        <w:rPr/>
      </w:pPr>
      <w:r>
        <w:rPr/>
      </w:r>
    </w:p>
    <w:p>
      <w:pPr>
        <w:pStyle w:val="TextBody"/>
        <w:bidi w:val="0"/>
        <w:spacing w:lineRule="auto" w:line="288" w:before="360" w:after="283"/>
        <w:jc w:val="left"/>
        <w:rPr>
          <w:rFonts w:ascii="Times New Roman;serif" w:hAnsi="Times New Roman;serif"/>
          <w:b/>
          <w:color w:val="231F20"/>
          <w:sz w:val="20"/>
        </w:rPr>
      </w:pPr>
      <w:r>
        <w:rPr>
          <w:rFonts w:ascii="Times New Roman;serif" w:hAnsi="Times New Roman;serif"/>
          <w:b/>
          <w:color w:val="231F20"/>
          <w:sz w:val="20"/>
        </w:rPr>
        <w:t>Special Note Regarding Forward-Looking Statements</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This Quarterly Report on Form 10-Q (</w:t>
      </w:r>
      <w:r>
        <w:rPr>
          <w:color w:val="231F20"/>
        </w:rPr>
        <w:t>“</w:t>
      </w:r>
      <w:r>
        <w:rPr>
          <w:rFonts w:ascii="Times New Roman;serif" w:hAnsi="Times New Roman;serif"/>
          <w:b w:val="false"/>
          <w:i/>
          <w:color w:val="000000"/>
          <w:sz w:val="20"/>
        </w:rPr>
        <w:t>Quarterly Report</w:t>
      </w:r>
      <w:r>
        <w:rPr>
          <w:color w:val="231F20"/>
        </w:rPr>
        <w:t>”</w:t>
      </w:r>
      <w:r>
        <w:rPr>
          <w:rFonts w:ascii="Times New Roman;serif" w:hAnsi="Times New Roman;serif"/>
          <w:b w:val="false"/>
          <w:i/>
          <w:color w:val="000000"/>
          <w:sz w:val="20"/>
        </w:rPr>
        <w:t xml:space="preserve">) contains forward-looking statements within the meaning of Section 27A of the Securities Act of 1933, as amended (the </w:t>
      </w:r>
      <w:r>
        <w:rPr>
          <w:color w:val="231F20"/>
        </w:rPr>
        <w:t>“</w:t>
      </w:r>
      <w:r>
        <w:rPr>
          <w:rFonts w:ascii="Times New Roman;serif" w:hAnsi="Times New Roman;serif"/>
          <w:b w:val="false"/>
          <w:i/>
          <w:color w:val="000000"/>
          <w:sz w:val="20"/>
        </w:rPr>
        <w:t>Securities Act</w:t>
      </w:r>
      <w:r>
        <w:rPr>
          <w:color w:val="231F20"/>
        </w:rPr>
        <w:t>”</w:t>
      </w:r>
      <w:r>
        <w:rPr>
          <w:rFonts w:ascii="Times New Roman;serif" w:hAnsi="Times New Roman;serif"/>
          <w:b w:val="false"/>
          <w:i/>
          <w:color w:val="000000"/>
          <w:sz w:val="20"/>
        </w:rPr>
        <w:t xml:space="preserve">), and Section 21E of the Securities Exchange Act of 1934, as amended (the “Exchange Act”), which statements involve substantial risks and uncertainties. </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 some cases, you can identify forward-looking statements by words such as “may,” “will,” “should,” “could,” “intend,” “consider,” “expect,” “plan,” “anticipate,” “believe,” “estimate,” “commit,” “ensure,” “target,”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and product strategies, including our expectations relating to ViantAI;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payments under our Tax Receivable Agreement; potential impacts from changes in applicable tax laws and other legislation; repurchases of stock related to the stock repurchase program; our ability to attract new customers and retain existing customers; our ability to successfully expand into our existing markets and into new markets; our ability to effectively manage our growth and future expenses; our environmental and sustainability initiatives; the expected benefits of, and our integration of, the recently completed acquisition of TVision Insights, Inc.; the outcome of legal proceedings to which we or our subsidiaries are or may become a party; and the impact of recent accounting pronouncements on our unaudited condensed consolidated financial statements.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We may use the "Investor Relations" section of our website, our LinkedIn account, the LinkedIn account of our Chief Executive Officer, Tim Vanderhook, the LinkedIn account of our Chief Operating Officer, Chris Vanderhook, our X account (@viant_tech), and Chris Vanderhook's X account (@cvanderhook)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and X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Additionally, certain information we may disclose (either here or in other locations, such as our website) is informed by the expectations of various stakeholders and/or third-party frameworks and, as such, may not necessarily be material for purposes of our filings under U.S. federal securities laws, even if we use “material” or similar language in discussing such matters. Particularly in the environmental, social and governance ("ESG") context, for example, there are various approaches to materiality that differ from, and in many cases are more expansive than, the definition under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ind w:left="0" w:right="0" w:firstLine="540"/>
        <w:jc w:val="center"/>
        <w:rPr/>
      </w:pPr>
      <w:r>
        <w:rPr/>
      </w:r>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769"/>
        <w:gridCol w:w="1459"/>
        <w:gridCol w:w="147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6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 remeasurement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w:t>
            </w:r>
          </w:p>
        </w:tc>
      </w:tr>
    </w:tbl>
    <w:p>
      <w:pPr>
        <w:pStyle w:val="TextBody"/>
        <w:bidi w:val="0"/>
        <w:spacing w:lineRule="auto" w:line="288" w:before="240" w:after="283"/>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tbl>
      <w:tblPr>
        <w:tblW w:w="8116" w:type="dxa"/>
        <w:jc w:val="center"/>
        <w:tblInd w:w="0" w:type="dxa"/>
        <w:tblLayout w:type="fixed"/>
        <w:tblCellMar>
          <w:top w:w="28" w:type="dxa"/>
          <w:left w:w="28" w:type="dxa"/>
          <w:bottom w:w="28" w:type="dxa"/>
          <w:right w:w="28" w:type="dxa"/>
        </w:tblCellMar>
      </w:tblPr>
      <w:tblGrid>
        <w:gridCol w:w="1926"/>
        <w:gridCol w:w="1696"/>
        <w:gridCol w:w="1717"/>
        <w:gridCol w:w="211"/>
        <w:gridCol w:w="826"/>
        <w:gridCol w:w="109"/>
        <w:gridCol w:w="109"/>
        <w:gridCol w:w="109"/>
        <w:gridCol w:w="109"/>
        <w:gridCol w:w="231"/>
        <w:gridCol w:w="905"/>
        <w:gridCol w:w="168"/>
      </w:tblGrid>
      <w:tr>
        <w:trPr/>
        <w:tc>
          <w:tcPr>
            <w:tcW w:w="192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376,192 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157,035 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TRA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185,862 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10,000,000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 none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450,000,000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 21,052,546 and 18,271,293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21,052,546 and 17,593,198</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150,000,000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 45,402,216 and 45,717,216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0 and 678,095 shares held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Viant Technology Inc.</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474,663 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24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2658" w:type="dxa"/>
        <w:jc w:val="center"/>
        <w:tblInd w:w="0" w:type="dxa"/>
        <w:tblLayout w:type="fixed"/>
        <w:tblCellMar>
          <w:top w:w="28" w:type="dxa"/>
          <w:left w:w="28" w:type="dxa"/>
          <w:bottom w:w="28" w:type="dxa"/>
          <w:right w:w="28" w:type="dxa"/>
        </w:tblCellMar>
      </w:tblPr>
      <w:tblGrid>
        <w:gridCol w:w="790"/>
        <w:gridCol w:w="220"/>
        <w:gridCol w:w="221"/>
        <w:gridCol w:w="203"/>
        <w:gridCol w:w="203"/>
        <w:gridCol w:w="203"/>
        <w:gridCol w:w="109"/>
        <w:gridCol w:w="109"/>
        <w:gridCol w:w="109"/>
        <w:gridCol w:w="212"/>
        <w:gridCol w:w="359"/>
        <w:gridCol w:w="120"/>
        <w:gridCol w:w="109"/>
        <w:gridCol w:w="109"/>
        <w:gridCol w:w="109"/>
        <w:gridCol w:w="199"/>
        <w:gridCol w:w="199"/>
        <w:gridCol w:w="203"/>
        <w:gridCol w:w="109"/>
        <w:gridCol w:w="109"/>
        <w:gridCol w:w="109"/>
        <w:gridCol w:w="212"/>
        <w:gridCol w:w="359"/>
        <w:gridCol w:w="120"/>
        <w:gridCol w:w="109"/>
        <w:gridCol w:w="109"/>
        <w:gridCol w:w="109"/>
        <w:gridCol w:w="196"/>
        <w:gridCol w:w="736"/>
        <w:gridCol w:w="109"/>
        <w:gridCol w:w="109"/>
        <w:gridCol w:w="109"/>
        <w:gridCol w:w="109"/>
        <w:gridCol w:w="196"/>
        <w:gridCol w:w="751"/>
        <w:gridCol w:w="109"/>
        <w:gridCol w:w="109"/>
        <w:gridCol w:w="109"/>
        <w:gridCol w:w="109"/>
        <w:gridCol w:w="218"/>
        <w:gridCol w:w="218"/>
        <w:gridCol w:w="196"/>
        <w:gridCol w:w="109"/>
        <w:gridCol w:w="109"/>
        <w:gridCol w:w="109"/>
        <w:gridCol w:w="196"/>
        <w:gridCol w:w="571"/>
        <w:gridCol w:w="109"/>
        <w:gridCol w:w="109"/>
        <w:gridCol w:w="109"/>
        <w:gridCol w:w="109"/>
        <w:gridCol w:w="226"/>
        <w:gridCol w:w="849"/>
        <w:gridCol w:w="126"/>
        <w:gridCol w:w="109"/>
        <w:gridCol w:w="109"/>
        <w:gridCol w:w="109"/>
        <w:gridCol w:w="196"/>
        <w:gridCol w:w="736"/>
        <w:gridCol w:w="154"/>
      </w:tblGrid>
      <w:tr>
        <w:trPr/>
        <w:tc>
          <w:tcPr>
            <w:tcW w:w="7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205,089 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related to vesting of restricted stock units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related to acquisitions</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B common stock for Class A common stock</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stock related to tax withholdings on vested equity awards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Repurchase of stock related to the stock repurchase program</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treasury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Reissuance of treasury stock</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 liability and deferred taxes arising from exchanges or remeasurements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Allocation of equity to noncontrolling interests</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Accrued member tax distributions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6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205,378 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318,827 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795" w:type="dxa"/>
        <w:jc w:val="center"/>
        <w:tblInd w:w="0" w:type="dxa"/>
        <w:tblLayout w:type="fixed"/>
        <w:tblCellMar>
          <w:top w:w="28" w:type="dxa"/>
          <w:left w:w="28" w:type="dxa"/>
          <w:bottom w:w="28" w:type="dxa"/>
          <w:right w:w="28" w:type="dxa"/>
        </w:tblCellMar>
      </w:tblPr>
      <w:tblGrid>
        <w:gridCol w:w="715"/>
        <w:gridCol w:w="220"/>
        <w:gridCol w:w="221"/>
        <w:gridCol w:w="199"/>
        <w:gridCol w:w="199"/>
        <w:gridCol w:w="203"/>
        <w:gridCol w:w="109"/>
        <w:gridCol w:w="109"/>
        <w:gridCol w:w="109"/>
        <w:gridCol w:w="212"/>
        <w:gridCol w:w="359"/>
        <w:gridCol w:w="120"/>
        <w:gridCol w:w="109"/>
        <w:gridCol w:w="109"/>
        <w:gridCol w:w="109"/>
        <w:gridCol w:w="199"/>
        <w:gridCol w:w="199"/>
        <w:gridCol w:w="203"/>
        <w:gridCol w:w="109"/>
        <w:gridCol w:w="109"/>
        <w:gridCol w:w="109"/>
        <w:gridCol w:w="212"/>
        <w:gridCol w:w="359"/>
        <w:gridCol w:w="120"/>
        <w:gridCol w:w="109"/>
        <w:gridCol w:w="109"/>
        <w:gridCol w:w="109"/>
        <w:gridCol w:w="196"/>
        <w:gridCol w:w="736"/>
        <w:gridCol w:w="109"/>
        <w:gridCol w:w="109"/>
        <w:gridCol w:w="109"/>
        <w:gridCol w:w="109"/>
        <w:gridCol w:w="213"/>
        <w:gridCol w:w="719"/>
        <w:gridCol w:w="119"/>
        <w:gridCol w:w="109"/>
        <w:gridCol w:w="109"/>
        <w:gridCol w:w="109"/>
        <w:gridCol w:w="285"/>
        <w:gridCol w:w="286"/>
        <w:gridCol w:w="196"/>
        <w:gridCol w:w="109"/>
        <w:gridCol w:w="109"/>
        <w:gridCol w:w="109"/>
        <w:gridCol w:w="196"/>
        <w:gridCol w:w="661"/>
        <w:gridCol w:w="109"/>
        <w:gridCol w:w="109"/>
        <w:gridCol w:w="109"/>
        <w:gridCol w:w="109"/>
        <w:gridCol w:w="226"/>
        <w:gridCol w:w="849"/>
        <w:gridCol w:w="126"/>
        <w:gridCol w:w="109"/>
        <w:gridCol w:w="109"/>
        <w:gridCol w:w="109"/>
        <w:gridCol w:w="196"/>
        <w:gridCol w:w="736"/>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(64,660)</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221,064 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related to vesting of restricted stock units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B common stock for Class A common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stock related to tax withholdings on vested equity awards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stock related to the stock repurchase program</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Reissuance of treasury stock</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Allocation of equity to noncontrolling interests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Accrued member tax distributions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(75,767)</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228,126 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24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2778" w:type="dxa"/>
        <w:jc w:val="center"/>
        <w:tblInd w:w="0" w:type="dxa"/>
        <w:tblLayout w:type="fixed"/>
        <w:tblCellMar>
          <w:top w:w="28" w:type="dxa"/>
          <w:left w:w="28" w:type="dxa"/>
          <w:bottom w:w="28" w:type="dxa"/>
          <w:right w:w="28" w:type="dxa"/>
        </w:tblCellMar>
      </w:tblPr>
      <w:tblGrid>
        <w:gridCol w:w="694"/>
        <w:gridCol w:w="268"/>
        <w:gridCol w:w="269"/>
        <w:gridCol w:w="203"/>
        <w:gridCol w:w="203"/>
        <w:gridCol w:w="203"/>
        <w:gridCol w:w="109"/>
        <w:gridCol w:w="109"/>
        <w:gridCol w:w="109"/>
        <w:gridCol w:w="212"/>
        <w:gridCol w:w="359"/>
        <w:gridCol w:w="120"/>
        <w:gridCol w:w="109"/>
        <w:gridCol w:w="109"/>
        <w:gridCol w:w="109"/>
        <w:gridCol w:w="199"/>
        <w:gridCol w:w="199"/>
        <w:gridCol w:w="203"/>
        <w:gridCol w:w="109"/>
        <w:gridCol w:w="109"/>
        <w:gridCol w:w="109"/>
        <w:gridCol w:w="212"/>
        <w:gridCol w:w="359"/>
        <w:gridCol w:w="120"/>
        <w:gridCol w:w="109"/>
        <w:gridCol w:w="109"/>
        <w:gridCol w:w="109"/>
        <w:gridCol w:w="196"/>
        <w:gridCol w:w="736"/>
        <w:gridCol w:w="109"/>
        <w:gridCol w:w="109"/>
        <w:gridCol w:w="109"/>
        <w:gridCol w:w="109"/>
        <w:gridCol w:w="196"/>
        <w:gridCol w:w="751"/>
        <w:gridCol w:w="109"/>
        <w:gridCol w:w="109"/>
        <w:gridCol w:w="109"/>
        <w:gridCol w:w="109"/>
        <w:gridCol w:w="278"/>
        <w:gridCol w:w="278"/>
        <w:gridCol w:w="196"/>
        <w:gridCol w:w="109"/>
        <w:gridCol w:w="109"/>
        <w:gridCol w:w="109"/>
        <w:gridCol w:w="196"/>
        <w:gridCol w:w="571"/>
        <w:gridCol w:w="109"/>
        <w:gridCol w:w="109"/>
        <w:gridCol w:w="109"/>
        <w:gridCol w:w="109"/>
        <w:gridCol w:w="226"/>
        <w:gridCol w:w="849"/>
        <w:gridCol w:w="126"/>
        <w:gridCol w:w="109"/>
        <w:gridCol w:w="109"/>
        <w:gridCol w:w="109"/>
        <w:gridCol w:w="196"/>
        <w:gridCol w:w="73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206,664 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related to vesting of restricted stock units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related to acquisitions</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B common stock for Class A common stock</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stock related to tax withholdings on vested equity awards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Repurchase of stock related to the stock repurchase program</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treasury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Reissuance of treasury stock</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 liability and deferred taxes arising from exchanges or remeasurements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Allocation of equity to noncontrolling interests</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Accrued member tax distributions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6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205,378 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318,827 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795" w:type="dxa"/>
        <w:jc w:val="center"/>
        <w:tblInd w:w="0" w:type="dxa"/>
        <w:tblLayout w:type="fixed"/>
        <w:tblCellMar>
          <w:top w:w="28" w:type="dxa"/>
          <w:left w:w="28" w:type="dxa"/>
          <w:bottom w:w="28" w:type="dxa"/>
          <w:right w:w="28" w:type="dxa"/>
        </w:tblCellMar>
      </w:tblPr>
      <w:tblGrid>
        <w:gridCol w:w="619"/>
        <w:gridCol w:w="268"/>
        <w:gridCol w:w="269"/>
        <w:gridCol w:w="199"/>
        <w:gridCol w:w="199"/>
        <w:gridCol w:w="203"/>
        <w:gridCol w:w="109"/>
        <w:gridCol w:w="109"/>
        <w:gridCol w:w="109"/>
        <w:gridCol w:w="212"/>
        <w:gridCol w:w="359"/>
        <w:gridCol w:w="120"/>
        <w:gridCol w:w="109"/>
        <w:gridCol w:w="109"/>
        <w:gridCol w:w="109"/>
        <w:gridCol w:w="199"/>
        <w:gridCol w:w="199"/>
        <w:gridCol w:w="203"/>
        <w:gridCol w:w="109"/>
        <w:gridCol w:w="109"/>
        <w:gridCol w:w="109"/>
        <w:gridCol w:w="212"/>
        <w:gridCol w:w="359"/>
        <w:gridCol w:w="120"/>
        <w:gridCol w:w="109"/>
        <w:gridCol w:w="109"/>
        <w:gridCol w:w="109"/>
        <w:gridCol w:w="196"/>
        <w:gridCol w:w="736"/>
        <w:gridCol w:w="109"/>
        <w:gridCol w:w="109"/>
        <w:gridCol w:w="109"/>
        <w:gridCol w:w="109"/>
        <w:gridCol w:w="213"/>
        <w:gridCol w:w="719"/>
        <w:gridCol w:w="119"/>
        <w:gridCol w:w="109"/>
        <w:gridCol w:w="109"/>
        <w:gridCol w:w="109"/>
        <w:gridCol w:w="293"/>
        <w:gridCol w:w="278"/>
        <w:gridCol w:w="196"/>
        <w:gridCol w:w="109"/>
        <w:gridCol w:w="109"/>
        <w:gridCol w:w="109"/>
        <w:gridCol w:w="196"/>
        <w:gridCol w:w="661"/>
        <w:gridCol w:w="109"/>
        <w:gridCol w:w="109"/>
        <w:gridCol w:w="109"/>
        <w:gridCol w:w="109"/>
        <w:gridCol w:w="226"/>
        <w:gridCol w:w="849"/>
        <w:gridCol w:w="126"/>
        <w:gridCol w:w="109"/>
        <w:gridCol w:w="109"/>
        <w:gridCol w:w="109"/>
        <w:gridCol w:w="196"/>
        <w:gridCol w:w="73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220,236 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related to vesting of restricted stock units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B common stock for Class A common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stock related to tax withholdings on vested equity awards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stock related to the stock repurchase program</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Reissuance of treasury stock</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Allocation of equity to noncontrolling interests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Accrued member tax distributions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(75,767)</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228,126 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738"/>
        <w:gridCol w:w="2392"/>
        <w:gridCol w:w="2409"/>
        <w:gridCol w:w="211"/>
        <w:gridCol w:w="826"/>
        <w:gridCol w:w="109"/>
        <w:gridCol w:w="109"/>
        <w:gridCol w:w="109"/>
        <w:gridCol w:w="109"/>
        <w:gridCol w:w="211"/>
        <w:gridCol w:w="826"/>
        <w:gridCol w:w="156"/>
      </w:tblGrid>
      <w:tr>
        <w:trPr/>
        <w:tc>
          <w:tcPr>
            <w:tcW w:w="273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related to tax withholdings on vested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related to the stock repurchase program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member tax distributions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on tax receivable agreement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in capitalized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 including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assets financed by accounts payable and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tbl>
      <w:tblPr>
        <w:tblW w:w="7141" w:type="dxa"/>
        <w:jc w:val="center"/>
        <w:tblInd w:w="0" w:type="dxa"/>
        <w:tblLayout w:type="fixed"/>
        <w:tblCellMar>
          <w:top w:w="28" w:type="dxa"/>
          <w:left w:w="28" w:type="dxa"/>
          <w:bottom w:w="28" w:type="dxa"/>
          <w:right w:w="28" w:type="dxa"/>
        </w:tblCellMar>
      </w:tblPr>
      <w:tblGrid>
        <w:gridCol w:w="277"/>
        <w:gridCol w:w="242"/>
        <w:gridCol w:w="246"/>
        <w:gridCol w:w="1933"/>
        <w:gridCol w:w="1933"/>
        <w:gridCol w:w="1939"/>
        <w:gridCol w:w="167"/>
        <w:gridCol w:w="167"/>
        <w:gridCol w:w="237"/>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37">
              <w:r>
                <w:rPr>
                  <w:rStyle w:val="InternetLink"/>
                  <w:rFonts w:ascii="Times New Roman;serif" w:hAnsi="Times New Roman;serif"/>
                  <w:b w:val="false"/>
                  <w:strike w:val="false"/>
                  <w:dstrike w:val="false"/>
                  <w:color w:val="000000"/>
                  <w:sz w:val="20"/>
                  <w:u w:val="none"/>
                  <w:effect w:val="none"/>
                </w:rPr>
                <w:t>Note 1</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37">
              <w:r>
                <w:rPr>
                  <w:rStyle w:val="InternetLink"/>
                  <w:rFonts w:ascii="Times New Roman;serif" w:hAnsi="Times New Roman;serif"/>
                  <w:b w:val="false"/>
                  <w:color w:val="0000FF"/>
                  <w:sz w:val="20"/>
                  <w:u w:val="single"/>
                </w:rPr>
                <w:t>Nature of Operations</w:t>
              </w:r>
            </w:hyperlink>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09d302b322864499ba02f02cf8e74ef9_37">
              <w:r>
                <w:rPr>
                  <w:rStyle w:val="InternetLink"/>
                  <w:rFonts w:ascii="Times New Roman;serif" w:hAnsi="Times New Roman;serif"/>
                  <w:b w:val="false"/>
                  <w:strike w:val="false"/>
                  <w:dstrike w:val="false"/>
                  <w:color w:val="000000"/>
                  <w:sz w:val="20"/>
                  <w:u w:val="none"/>
                  <w:effect w:val="none"/>
                </w:rPr>
                <w:t>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40">
              <w:r>
                <w:rPr>
                  <w:rStyle w:val="InternetLink"/>
                  <w:rFonts w:ascii="Times New Roman;serif" w:hAnsi="Times New Roman;serif"/>
                  <w:b w:val="false"/>
                  <w:strike w:val="false"/>
                  <w:dstrike w:val="false"/>
                  <w:color w:val="000000"/>
                  <w:sz w:val="20"/>
                  <w:u w:val="none"/>
                  <w:effect w:val="none"/>
                </w:rPr>
                <w:t>Note 2</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40">
              <w:r>
                <w:rPr>
                  <w:rStyle w:val="InternetLink"/>
                  <w:rFonts w:ascii="Times New Roman;serif" w:hAnsi="Times New Roman;serif"/>
                  <w:b w:val="false"/>
                  <w:color w:val="0000FF"/>
                  <w:sz w:val="20"/>
                  <w:u w:val="single"/>
                </w:rPr>
                <w:t>Basis of Presentation and Summary of Significant Accounting Policies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40">
              <w:r>
                <w:rPr>
                  <w:rStyle w:val="InternetLink"/>
                  <w:rFonts w:ascii="Times New Roman;serif" w:hAnsi="Times New Roman;serif"/>
                  <w:b w:val="false"/>
                  <w:strike w:val="false"/>
                  <w:dstrike w:val="false"/>
                  <w:color w:val="000000"/>
                  <w:sz w:val="20"/>
                  <w:u w:val="none"/>
                  <w:effect w:val="none"/>
                </w:rPr>
                <w:t>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46">
              <w:r>
                <w:rPr>
                  <w:rStyle w:val="InternetLink"/>
                  <w:rFonts w:ascii="Times New Roman;serif" w:hAnsi="Times New Roman;serif"/>
                  <w:b w:val="false"/>
                  <w:strike w:val="false"/>
                  <w:dstrike w:val="false"/>
                  <w:color w:val="000000"/>
                  <w:sz w:val="20"/>
                  <w:u w:val="none"/>
                  <w:effect w:val="none"/>
                </w:rPr>
                <w:t>Note 3</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46">
              <w:r>
                <w:rPr>
                  <w:rStyle w:val="InternetLink"/>
                  <w:rFonts w:ascii="Times New Roman;serif" w:hAnsi="Times New Roman;serif"/>
                  <w:b w:val="false"/>
                  <w:color w:val="0000FF"/>
                  <w:sz w:val="20"/>
                  <w:u w:val="single"/>
                </w:rPr>
                <w:t>Revenue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46">
              <w:r>
                <w:rPr>
                  <w:rStyle w:val="InternetLink"/>
                  <w:rFonts w:ascii="Times New Roman;serif" w:hAnsi="Times New Roman;serif"/>
                  <w:b w:val="false"/>
                  <w:strike w:val="false"/>
                  <w:dstrike w:val="false"/>
                  <w:color w:val="000000"/>
                  <w:sz w:val="20"/>
                  <w:u w:val="none"/>
                  <w:effect w:val="none"/>
                </w:rPr>
                <w:t>12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49">
              <w:r>
                <w:rPr>
                  <w:rStyle w:val="InternetLink"/>
                  <w:rFonts w:ascii="Times New Roman;serif" w:hAnsi="Times New Roman;serif"/>
                  <w:b w:val="false"/>
                  <w:strike w:val="false"/>
                  <w:dstrike w:val="false"/>
                  <w:color w:val="000000"/>
                  <w:sz w:val="20"/>
                  <w:u w:val="none"/>
                  <w:effect w:val="none"/>
                </w:rPr>
                <w:t>Note 4</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49">
              <w:r>
                <w:rPr>
                  <w:rStyle w:val="InternetLink"/>
                  <w:rFonts w:ascii="Times New Roman;serif" w:hAnsi="Times New Roman;serif"/>
                  <w:b w:val="false"/>
                  <w:color w:val="0000FF"/>
                  <w:sz w:val="20"/>
                  <w:u w:val="single"/>
                </w:rPr>
                <w:t>Property, Equipment, and Software, Net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49">
              <w:r>
                <w:rPr>
                  <w:rStyle w:val="InternetLink"/>
                  <w:rFonts w:ascii="Times New Roman;serif" w:hAnsi="Times New Roman;serif"/>
                  <w:b w:val="false"/>
                  <w:strike w:val="false"/>
                  <w:dstrike w:val="false"/>
                  <w:color w:val="000000"/>
                  <w:sz w:val="20"/>
                  <w:u w:val="none"/>
                  <w:effect w:val="none"/>
                </w:rPr>
                <w:t>13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52">
              <w:r>
                <w:rPr>
                  <w:rStyle w:val="InternetLink"/>
                  <w:rFonts w:ascii="Times New Roman;serif" w:hAnsi="Times New Roman;serif"/>
                  <w:b w:val="false"/>
                  <w:strike w:val="false"/>
                  <w:dstrike w:val="false"/>
                  <w:color w:val="000000"/>
                  <w:sz w:val="20"/>
                  <w:u w:val="none"/>
                  <w:effect w:val="none"/>
                </w:rPr>
                <w:t>Note 5</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52">
              <w:r>
                <w:rPr>
                  <w:rStyle w:val="InternetLink"/>
                  <w:rFonts w:ascii="Times New Roman;serif" w:hAnsi="Times New Roman;serif"/>
                  <w:b w:val="false"/>
                  <w:color w:val="0000FF"/>
                  <w:sz w:val="20"/>
                  <w:u w:val="single"/>
                </w:rPr>
                <w:t>Leases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52">
              <w:r>
                <w:rPr>
                  <w:rStyle w:val="InternetLink"/>
                  <w:rFonts w:ascii="Times New Roman;serif" w:hAnsi="Times New Roman;serif"/>
                  <w:b w:val="false"/>
                  <w:strike w:val="false"/>
                  <w:dstrike w:val="false"/>
                  <w:color w:val="000000"/>
                  <w:sz w:val="20"/>
                  <w:u w:val="none"/>
                  <w:effect w:val="none"/>
                </w:rPr>
                <w:t>13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55">
              <w:r>
                <w:rPr>
                  <w:rStyle w:val="InternetLink"/>
                  <w:rFonts w:ascii="Times New Roman;serif" w:hAnsi="Times New Roman;serif"/>
                  <w:b w:val="false"/>
                  <w:strike w:val="false"/>
                  <w:dstrike w:val="false"/>
                  <w:color w:val="000000"/>
                  <w:sz w:val="20"/>
                  <w:u w:val="none"/>
                  <w:effect w:val="none"/>
                </w:rPr>
                <w:t>Note 6</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737">
              <w:r>
                <w:rPr>
                  <w:rStyle w:val="InternetLink"/>
                  <w:rFonts w:ascii="Times New Roman;serif" w:hAnsi="Times New Roman;serif"/>
                  <w:b w:val="false"/>
                  <w:color w:val="0000FF"/>
                  <w:sz w:val="20"/>
                  <w:u w:val="single"/>
                </w:rPr>
                <w:t>Business Acquisitions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737">
              <w:r>
                <w:rPr>
                  <w:rStyle w:val="InternetLink"/>
                  <w:rFonts w:ascii="Times New Roman;serif" w:hAnsi="Times New Roman;serif"/>
                  <w:b w:val="false"/>
                  <w:strike w:val="false"/>
                  <w:dstrike w:val="false"/>
                  <w:color w:val="000000"/>
                  <w:sz w:val="20"/>
                  <w:u w:val="none"/>
                  <w:effect w:val="none"/>
                </w:rPr>
                <w:t>15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55">
              <w:r>
                <w:rPr>
                  <w:rStyle w:val="InternetLink"/>
                  <w:rFonts w:ascii="Times New Roman;serif" w:hAnsi="Times New Roman;serif"/>
                  <w:b w:val="false"/>
                  <w:strike w:val="false"/>
                  <w:dstrike w:val="false"/>
                  <w:color w:val="000000"/>
                  <w:sz w:val="20"/>
                  <w:u w:val="none"/>
                  <w:effect w:val="none"/>
                </w:rPr>
                <w:t xml:space="preserve">Note </w:t>
              </w:r>
            </w:hyperlink>
            <w:r>
              <w:rPr>
                <w:rFonts w:ascii="Times New Roman;serif" w:hAnsi="Times New Roman;serif"/>
                <w:b w:val="false"/>
                <w:color w:val="000000"/>
                <w:sz w:val="20"/>
              </w:rPr>
              <w:t>7</w:t>
            </w:r>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55">
              <w:r>
                <w:rPr>
                  <w:rStyle w:val="InternetLink"/>
                  <w:rFonts w:ascii="Times New Roman;serif" w:hAnsi="Times New Roman;serif"/>
                  <w:b w:val="false"/>
                  <w:color w:val="0000FF"/>
                  <w:sz w:val="20"/>
                  <w:u w:val="single"/>
                </w:rPr>
                <w:t>Goodwill and Intangible Assets, Net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55">
              <w:r>
                <w:rPr>
                  <w:rStyle w:val="InternetLink"/>
                  <w:rFonts w:ascii="Times New Roman;serif" w:hAnsi="Times New Roman;serif"/>
                  <w:b w:val="false"/>
                  <w:strike w:val="false"/>
                  <w:dstrike w:val="false"/>
                  <w:color w:val="000000"/>
                  <w:sz w:val="20"/>
                  <w:u w:val="none"/>
                  <w:effect w:val="none"/>
                </w:rPr>
                <w:t>16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58">
              <w:r>
                <w:rPr>
                  <w:rStyle w:val="InternetLink"/>
                  <w:rFonts w:ascii="Times New Roman;serif" w:hAnsi="Times New Roman;serif"/>
                  <w:b w:val="false"/>
                  <w:strike w:val="false"/>
                  <w:dstrike w:val="false"/>
                  <w:color w:val="000080"/>
                  <w:sz w:val="20"/>
                  <w:u w:val="single"/>
                  <w:effect w:val="none"/>
                </w:rPr>
                <w:t xml:space="preserve">Note </w:t>
              </w:r>
            </w:hyperlink>
            <w:hyperlink w:anchor="i09d302b322864499ba02f02cf8e74ef9_58">
              <w:r>
                <w:rPr>
                  <w:rStyle w:val="InternetLink"/>
                  <w:rFonts w:ascii="Times New Roman;serif" w:hAnsi="Times New Roman;serif"/>
                  <w:b w:val="false"/>
                  <w:strike w:val="false"/>
                  <w:dstrike w:val="false"/>
                  <w:color w:val="000080"/>
                  <w:sz w:val="20"/>
                  <w:u w:val="single"/>
                  <w:effect w:val="none"/>
                </w:rPr>
                <w:t>8</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58">
              <w:r>
                <w:rPr>
                  <w:rStyle w:val="InternetLink"/>
                  <w:rFonts w:ascii="Times New Roman;serif" w:hAnsi="Times New Roman;serif"/>
                  <w:b w:val="false"/>
                  <w:color w:val="0000FF"/>
                  <w:sz w:val="20"/>
                  <w:u w:val="single"/>
                </w:rPr>
                <w:t>Accrued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58">
              <w:r>
                <w:rPr>
                  <w:rStyle w:val="InternetLink"/>
                  <w:rFonts w:ascii="Times New Roman;serif" w:hAnsi="Times New Roman;serif"/>
                  <w:b w:val="false"/>
                  <w:strike w:val="false"/>
                  <w:dstrike w:val="false"/>
                  <w:color w:val="000000"/>
                  <w:sz w:val="20"/>
                  <w:u w:val="none"/>
                  <w:effect w:val="none"/>
                </w:rPr>
                <w:t>17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61">
              <w:r>
                <w:rPr>
                  <w:rStyle w:val="InternetLink"/>
                  <w:rFonts w:ascii="Times New Roman;serif" w:hAnsi="Times New Roman;serif"/>
                  <w:b w:val="false"/>
                  <w:strike w:val="false"/>
                  <w:dstrike w:val="false"/>
                  <w:color w:val="000080"/>
                  <w:sz w:val="20"/>
                  <w:u w:val="single"/>
                  <w:effect w:val="none"/>
                </w:rPr>
                <w:t xml:space="preserve">Note </w:t>
              </w:r>
            </w:hyperlink>
            <w:hyperlink w:anchor="i09d302b322864499ba02f02cf8e74ef9_61">
              <w:r>
                <w:rPr>
                  <w:rStyle w:val="InternetLink"/>
                  <w:rFonts w:ascii="Times New Roman;serif" w:hAnsi="Times New Roman;serif"/>
                  <w:b w:val="false"/>
                  <w:strike w:val="false"/>
                  <w:dstrike w:val="false"/>
                  <w:color w:val="000080"/>
                  <w:sz w:val="20"/>
                  <w:u w:val="single"/>
                  <w:effect w:val="none"/>
                </w:rPr>
                <w:t>9</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61">
              <w:r>
                <w:rPr>
                  <w:rStyle w:val="InternetLink"/>
                  <w:rFonts w:ascii="Times New Roman;serif" w:hAnsi="Times New Roman;serif"/>
                  <w:b w:val="false"/>
                  <w:color w:val="0000FF"/>
                  <w:sz w:val="20"/>
                  <w:u w:val="single"/>
                </w:rPr>
                <w:t>Revolving Credit Facility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61">
              <w:r>
                <w:rPr>
                  <w:rStyle w:val="InternetLink"/>
                  <w:rFonts w:ascii="Times New Roman;serif" w:hAnsi="Times New Roman;serif"/>
                  <w:b w:val="false"/>
                  <w:strike w:val="false"/>
                  <w:dstrike w:val="false"/>
                  <w:color w:val="000000"/>
                  <w:sz w:val="20"/>
                  <w:u w:val="none"/>
                  <w:effect w:val="none"/>
                </w:rPr>
                <w:t>17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64">
              <w:r>
                <w:rPr>
                  <w:rStyle w:val="InternetLink"/>
                  <w:rFonts w:ascii="Times New Roman;serif" w:hAnsi="Times New Roman;serif"/>
                  <w:b w:val="false"/>
                  <w:strike w:val="false"/>
                  <w:dstrike w:val="false"/>
                  <w:color w:val="000080"/>
                  <w:sz w:val="20"/>
                  <w:u w:val="single"/>
                  <w:effect w:val="none"/>
                </w:rPr>
                <w:t xml:space="preserve">Note </w:t>
              </w:r>
            </w:hyperlink>
            <w:hyperlink w:anchor="i09d302b322864499ba02f02cf8e74ef9_64">
              <w:r>
                <w:rPr>
                  <w:rStyle w:val="InternetLink"/>
                  <w:rFonts w:ascii="Times New Roman;serif" w:hAnsi="Times New Roman;serif"/>
                  <w:b w:val="false"/>
                  <w:strike w:val="false"/>
                  <w:dstrike w:val="false"/>
                  <w:color w:val="000080"/>
                  <w:sz w:val="20"/>
                  <w:u w:val="single"/>
                  <w:effect w:val="none"/>
                </w:rPr>
                <w:t>1</w:t>
              </w:r>
            </w:hyperlink>
            <w:r>
              <w:rPr>
                <w:rFonts w:ascii="Times New Roman;serif" w:hAnsi="Times New Roman;serif"/>
                <w:b w:val="false"/>
                <w:color w:val="000000"/>
                <w:sz w:val="20"/>
              </w:rPr>
              <w:t>0</w:t>
            </w:r>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64">
              <w:r>
                <w:rPr>
                  <w:rStyle w:val="InternetLink"/>
                  <w:rFonts w:ascii="Times New Roman;serif" w:hAnsi="Times New Roman;serif"/>
                  <w:b w:val="false"/>
                  <w:color w:val="0000FF"/>
                  <w:sz w:val="20"/>
                  <w:u w:val="single"/>
                </w:rPr>
                <w:t>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64">
              <w:r>
                <w:rPr>
                  <w:rStyle w:val="InternetLink"/>
                  <w:rFonts w:ascii="Times New Roman;serif" w:hAnsi="Times New Roman;serif"/>
                  <w:b w:val="false"/>
                  <w:strike w:val="false"/>
                  <w:dstrike w:val="false"/>
                  <w:color w:val="000000"/>
                  <w:sz w:val="20"/>
                  <w:u w:val="none"/>
                  <w:effect w:val="none"/>
                </w:rPr>
                <w:t>18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67">
              <w:r>
                <w:rPr>
                  <w:rStyle w:val="InternetLink"/>
                  <w:rFonts w:ascii="Times New Roman;serif" w:hAnsi="Times New Roman;serif"/>
                  <w:b w:val="false"/>
                  <w:strike w:val="false"/>
                  <w:dstrike w:val="false"/>
                  <w:color w:val="000080"/>
                  <w:sz w:val="20"/>
                  <w:u w:val="single"/>
                  <w:effect w:val="none"/>
                </w:rPr>
                <w:t>Note 1</w:t>
              </w:r>
            </w:hyperlink>
            <w:hyperlink w:anchor="i09d302b322864499ba02f02cf8e74ef9_67">
              <w:r>
                <w:rPr>
                  <w:rStyle w:val="InternetLink"/>
                  <w:rFonts w:ascii="Times New Roman;serif" w:hAnsi="Times New Roman;serif"/>
                  <w:b w:val="false"/>
                  <w:strike w:val="false"/>
                  <w:dstrike w:val="false"/>
                  <w:color w:val="000080"/>
                  <w:sz w:val="20"/>
                  <w:u w:val="single"/>
                  <w:effect w:val="none"/>
                </w:rPr>
                <w:t>1</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67">
              <w:r>
                <w:rPr>
                  <w:rStyle w:val="InternetLink"/>
                  <w:rFonts w:ascii="Times New Roman;serif" w:hAnsi="Times New Roman;serif"/>
                  <w:b w:val="false"/>
                  <w:color w:val="0000FF"/>
                  <w:sz w:val="20"/>
                  <w:u w:val="single"/>
                </w:rPr>
                <w:t>Income Taxes and Tax Receivable Agreement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67">
              <w:r>
                <w:rPr>
                  <w:rStyle w:val="InternetLink"/>
                  <w:rFonts w:ascii="Times New Roman;serif" w:hAnsi="Times New Roman;serif"/>
                  <w:b w:val="false"/>
                  <w:strike w:val="false"/>
                  <w:dstrike w:val="false"/>
                  <w:color w:val="000000"/>
                  <w:sz w:val="20"/>
                  <w:u w:val="none"/>
                  <w:effect w:val="none"/>
                </w:rPr>
                <w:t>20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70">
              <w:r>
                <w:rPr>
                  <w:rStyle w:val="InternetLink"/>
                  <w:rFonts w:ascii="Times New Roman;serif" w:hAnsi="Times New Roman;serif"/>
                  <w:b w:val="false"/>
                  <w:strike w:val="false"/>
                  <w:dstrike w:val="false"/>
                  <w:color w:val="000080"/>
                  <w:sz w:val="20"/>
                  <w:u w:val="single"/>
                  <w:effect w:val="none"/>
                </w:rPr>
                <w:t>Note 1</w:t>
              </w:r>
            </w:hyperlink>
            <w:hyperlink w:anchor="i09d302b322864499ba02f02cf8e74ef9_70">
              <w:r>
                <w:rPr>
                  <w:rStyle w:val="InternetLink"/>
                  <w:rFonts w:ascii="Times New Roman;serif" w:hAnsi="Times New Roman;serif"/>
                  <w:b w:val="false"/>
                  <w:strike w:val="false"/>
                  <w:dstrike w:val="false"/>
                  <w:color w:val="000080"/>
                  <w:sz w:val="20"/>
                  <w:u w:val="single"/>
                  <w:effect w:val="none"/>
                </w:rPr>
                <w:t>2</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70">
              <w:r>
                <w:rPr>
                  <w:rStyle w:val="InternetLink"/>
                  <w:rFonts w:ascii="Times New Roman;serif" w:hAnsi="Times New Roman;serif"/>
                  <w:b w:val="false"/>
                  <w:color w:val="0000FF"/>
                  <w:sz w:val="20"/>
                  <w:u w:val="single"/>
                </w:rPr>
                <w:t>Earnings (Loss) Per Share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70">
              <w:r>
                <w:rPr>
                  <w:rStyle w:val="InternetLink"/>
                  <w:rFonts w:ascii="Times New Roman;serif" w:hAnsi="Times New Roman;serif"/>
                  <w:b w:val="false"/>
                  <w:strike w:val="false"/>
                  <w:dstrike w:val="false"/>
                  <w:color w:val="000000"/>
                  <w:sz w:val="20"/>
                  <w:u w:val="none"/>
                  <w:effect w:val="none"/>
                </w:rPr>
                <w:t>20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73">
              <w:r>
                <w:rPr>
                  <w:rStyle w:val="InternetLink"/>
                  <w:rFonts w:ascii="Times New Roman;serif" w:hAnsi="Times New Roman;serif"/>
                  <w:b w:val="false"/>
                  <w:strike w:val="false"/>
                  <w:dstrike w:val="false"/>
                  <w:color w:val="000080"/>
                  <w:sz w:val="20"/>
                  <w:u w:val="single"/>
                  <w:effect w:val="none"/>
                </w:rPr>
                <w:t>Note 1</w:t>
              </w:r>
            </w:hyperlink>
            <w:hyperlink w:anchor="i09d302b322864499ba02f02cf8e74ef9_73">
              <w:r>
                <w:rPr>
                  <w:rStyle w:val="InternetLink"/>
                  <w:rFonts w:ascii="Times New Roman;serif" w:hAnsi="Times New Roman;serif"/>
                  <w:b w:val="false"/>
                  <w:strike w:val="false"/>
                  <w:dstrike w:val="false"/>
                  <w:color w:val="000080"/>
                  <w:sz w:val="20"/>
                  <w:u w:val="single"/>
                  <w:effect w:val="none"/>
                </w:rPr>
                <w:t>3</w:t>
              </w:r>
            </w:hyperlink>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73">
              <w:r>
                <w:rPr>
                  <w:rStyle w:val="InternetLink"/>
                  <w:rFonts w:ascii="Times New Roman;serif" w:hAnsi="Times New Roman;serif"/>
                  <w:b w:val="false"/>
                  <w:color w:val="0000FF"/>
                  <w:sz w:val="20"/>
                  <w:u w:val="single"/>
                </w:rPr>
                <w:t>Noncontrolling Interests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73">
              <w:r>
                <w:rPr>
                  <w:rStyle w:val="InternetLink"/>
                  <w:rFonts w:ascii="Times New Roman;serif" w:hAnsi="Times New Roman;serif"/>
                  <w:b w:val="false"/>
                  <w:strike w:val="false"/>
                  <w:dstrike w:val="false"/>
                  <w:color w:val="000000"/>
                  <w:sz w:val="20"/>
                  <w:u w:val="none"/>
                  <w:effect w:val="none"/>
                </w:rPr>
                <w:t>21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76">
              <w:r>
                <w:rPr>
                  <w:rStyle w:val="InternetLink"/>
                  <w:rFonts w:ascii="Times New Roman;serif" w:hAnsi="Times New Roman;serif"/>
                  <w:b w:val="false"/>
                  <w:strike w:val="false"/>
                  <w:dstrike w:val="false"/>
                  <w:color w:val="000000"/>
                  <w:sz w:val="20"/>
                  <w:u w:val="none"/>
                  <w:effect w:val="none"/>
                </w:rPr>
                <w:t>Note 1</w:t>
              </w:r>
            </w:hyperlink>
            <w:r>
              <w:rPr>
                <w:rFonts w:ascii="Times New Roman;serif" w:hAnsi="Times New Roman;serif"/>
                <w:b w:val="false"/>
                <w:color w:val="000000"/>
                <w:sz w:val="20"/>
              </w:rPr>
              <w:t>4</w:t>
            </w:r>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9d302b322864499ba02f02cf8e74ef9_76">
              <w:r>
                <w:rPr>
                  <w:rStyle w:val="InternetLink"/>
                  <w:rFonts w:ascii="Times New Roman;serif" w:hAnsi="Times New Roman;serif"/>
                  <w:b w:val="false"/>
                  <w:color w:val="0000FF"/>
                  <w:sz w:val="20"/>
                  <w:u w:val="single"/>
                </w:rPr>
                <w:t>Commitments and Contingencies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d302b322864499ba02f02cf8e74ef9_76">
              <w:r>
                <w:rPr>
                  <w:rStyle w:val="InternetLink"/>
                  <w:rFonts w:ascii="Times New Roman;serif" w:hAnsi="Times New Roman;serif"/>
                  <w:b w:val="false"/>
                  <w:strike w:val="false"/>
                  <w:dstrike w:val="false"/>
                  <w:color w:val="000000"/>
                  <w:sz w:val="20"/>
                  <w:u w:val="none"/>
                  <w:effect w:val="none"/>
                </w:rPr>
                <w:t>22</w:t>
              </w:r>
            </w:hyperlink>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580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4"/>
        </w:rPr>
        <w:t xml:space="preserve">1. </w:t>
      </w:r>
      <w:r>
        <w:rPr>
          <w:rFonts w:ascii="Times New Roman;serif" w:hAnsi="Times New Roman;serif"/>
          <w:b/>
          <w:i/>
          <w:color w:val="000000"/>
          <w:sz w:val="24"/>
        </w:rPr>
        <w:t>Nature of Operations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Viant Technology Inc. (the “Company,” “we,” “us,” “our” or “Viant”) was incorporated in the State of Delaware on October 9, 2020</w:t>
      </w:r>
      <w:r>
        <w:rPr>
          <w:rFonts w:ascii="Times New Roman;serif" w:hAnsi="Times New Roman;serif"/>
          <w:b w:val="false"/>
          <w:color w:val="000000"/>
          <w:sz w:val="20"/>
        </w:rPr>
        <w:t xml:space="preserve">. </w:t>
      </w:r>
      <w:r>
        <w:rPr>
          <w:rFonts w:ascii="Times New Roman;serif" w:hAnsi="Times New Roman;serif"/>
          <w:b w:val="false"/>
          <w:color w:val="231F20"/>
          <w:sz w:val="20"/>
        </w:rPr>
        <w:t>The Company operates a cloud-based demand side platform (“DSP”) used by marketers and their advertising agencies to centralize the planning, buying and measurement of their advertising across a wide range of advertising channels and formats and provides related data, measurement and other technology-enabled solutions.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Our headquarters are located in Irvine, California with other leased office spaces across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4"/>
        </w:rPr>
        <w:t xml:space="preserve">2. </w:t>
      </w:r>
      <w:r>
        <w:rPr>
          <w:rFonts w:ascii="Times New Roman;serif" w:hAnsi="Times New Roman;serif"/>
          <w:b/>
          <w:i/>
          <w:color w:val="000000"/>
          <w:sz w:val="24"/>
        </w:rPr>
        <w:t>Basis of Presentation and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120" w:after="283"/>
        <w:ind w:left="0" w:right="0" w:firstLine="540"/>
        <w:jc w:val="left"/>
        <w:rPr/>
      </w:pPr>
      <w:r>
        <w:rPr>
          <w:rFonts w:ascii="Times New Roman;serif" w:hAnsi="Times New Roman;serif"/>
          <w:b w:val="false"/>
          <w:color w:val="231F20"/>
          <w:sz w:val="20"/>
        </w:rPr>
        <w:t>The</w:t>
      </w:r>
      <w:r>
        <w:rPr>
          <w:color w:val="000000"/>
        </w:rPr>
        <w:t xml:space="preserve"> </w:t>
      </w:r>
      <w:r>
        <w:rPr>
          <w:rFonts w:ascii="Times New Roman;serif" w:hAnsi="Times New Roman;serif"/>
          <w:b w:val="false"/>
          <w:color w:val="000000"/>
          <w:sz w:val="20"/>
        </w:rPr>
        <w:t xml:space="preserve">accompanying unaudited condensed consolidated financial statements are prepared in accordance with generally accepted accounting principles in the United States of America (“GAAP”) for interim financial information and include the operations of the Company, Viant Technology LLC and its wholly owned subsidiaries. Viant Technology LLC is considered a variable interest entity.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 </w:t>
      </w:r>
    </w:p>
    <w:p>
      <w:pPr>
        <w:pStyle w:val="TextBody"/>
        <w:bidi w:val="0"/>
        <w:spacing w:lineRule="auto" w:line="288" w:before="120" w:after="283"/>
        <w:ind w:left="0" w:right="0" w:firstLine="540"/>
        <w:jc w:val="left"/>
        <w:rPr/>
      </w:pPr>
      <w:r>
        <w:rPr>
          <w:rFonts w:ascii="Times New Roman;serif" w:hAnsi="Times New Roman;serif"/>
          <w:b w:val="false"/>
          <w:color w:val="231F20"/>
          <w:sz w:val="20"/>
        </w:rPr>
        <w:t>Management</w:t>
      </w:r>
      <w:r>
        <w:rPr>
          <w:color w:val="000000"/>
        </w:rPr>
        <w:t xml:space="preserve"> </w:t>
      </w:r>
      <w:r>
        <w:rPr>
          <w:rFonts w:ascii="Times New Roman;serif" w:hAnsi="Times New Roman;serif"/>
          <w:b w:val="false"/>
          <w:color w:val="000000"/>
          <w:sz w:val="20"/>
        </w:rPr>
        <w:t>believes that the accompanying condensed consolidated financial statements reflect the adjustments necessary for the fair statement of its condensed consolidated financial statements included in this Quarterly Report on Form 10-Q. The condensed consolidated balance sheet as of December 31, 2025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statements of operations for the three and six months ended June 30, 2026 are not necessarily indicative of the results to be expected for the year ending December 31, 2026, or for any other future annual or interim period.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significant accounting policies as described in the Company's Annual Report on Form 10-K for the year ended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serif" w:hAnsi="Times New Roman;serif"/>
          <w:b w:val="false"/>
          <w:color w:val="000000"/>
          <w:sz w:val="20"/>
        </w:rPr>
        <w:t xml:space="preserve">On an ongoing basis, management evaluates its estimates, primarily those related to revenue recognition, stock-based compensation, income taxes, allowances for doubtful accounts, leases, the useful lives of capitalized software development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software assumptions used in the impairment analyses of long-lived assets, investments and goodwill and assumptions used in valuing acquired assets and liabilities assumed in business combinations.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impact of widespread macroeconomic and geopolitical uncertainties, including the impact of bank failures, tariffs and international trade conflicts, high interest rates, inflationary pressures, labor shortages, shortages of goods and services, supply chain constraints, pandemics, political cycles, changes in laws and interpretations of laws,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Comprehensive Income (Loss)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net income (loss) is equal to comprehensive income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Company has a single reportable operating segment comprising its advertising technology operations. The Company owns and operates a DSP that enables marketers and their advertising agencies to automate and centralize the planning, buying and measurement of their video, audio and display ads across most channels, including connected TV ("CTV"), streaming audio, digital out-of-home, mobile and desktop in the United States, </w:t>
      </w:r>
      <w:r>
        <w:rPr>
          <w:rFonts w:ascii="Times New Roman;serif" w:hAnsi="Times New Roman;serif"/>
          <w:b w:val="false"/>
          <w:color w:val="231F20"/>
          <w:sz w:val="20"/>
        </w:rPr>
        <w:t>and provides related data, measurement and other technology-enabled solutions</w:t>
      </w:r>
      <w:r>
        <w:rPr>
          <w:rFonts w:ascii="Times New Roman;serif" w:hAnsi="Times New Roman;serif"/>
          <w:b w:val="false"/>
          <w:color w:val="000000"/>
          <w:sz w:val="20"/>
        </w:rPr>
        <w:t xml:space="preserve">. The Company derives its revenues from the services it provides through utilization of its platform. In reaching this conclusion of a single reportable operating segment, management considers the definition of the chief operating decision maker (“CODM”), how the business is defined by the CODM, the nature of the information provided to the CODM and how that information is used to make operating decisions, allocate resources and assess performance.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CODM is comprised of the chief executive officer and chief operating officer. The CODM uses multiple measures within the consolidated statements of operations, balance sheets, and cash flows and thus utilizes the entirety of those consolidated statements to make key resource decisions and assess performance at the consolidated level. The CODM does not review segment assets at a different asset level and category. The consolidated net income (loss) is the measure of segment net income (loss) that is most consistent with U.S. GAAP. In addition to the consolidated operating expenses as noted on the consolidated statements of operations, the CODM is regularly provided with traffic acquisition costs which are included within platform operations as presented below:</w:t>
      </w:r>
    </w:p>
    <w:tbl>
      <w:tblPr>
        <w:tblW w:w="7499" w:type="dxa"/>
        <w:jc w:val="center"/>
        <w:tblInd w:w="0" w:type="dxa"/>
        <w:tblLayout w:type="fixed"/>
        <w:tblCellMar>
          <w:top w:w="28" w:type="dxa"/>
          <w:left w:w="28" w:type="dxa"/>
          <w:bottom w:w="28" w:type="dxa"/>
          <w:right w:w="28" w:type="dxa"/>
        </w:tblCellMar>
      </w:tblPr>
      <w:tblGrid>
        <w:gridCol w:w="798"/>
        <w:gridCol w:w="702"/>
        <w:gridCol w:w="70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platform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June 30, 2026, cash equivalents included money market funds of $168.2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 Net of Allowances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the allowance for doubtful accounts for the six months ended June 30, 2026:</w:t>
      </w:r>
    </w:p>
    <w:tbl>
      <w:tblPr>
        <w:tblW w:w="3800" w:type="dxa"/>
        <w:jc w:val="center"/>
        <w:tblInd w:w="0" w:type="dxa"/>
        <w:tblLayout w:type="fixed"/>
        <w:tblCellMar>
          <w:top w:w="28" w:type="dxa"/>
          <w:left w:w="28" w:type="dxa"/>
          <w:bottom w:w="28" w:type="dxa"/>
          <w:right w:w="28" w:type="dxa"/>
        </w:tblCellMar>
      </w:tblPr>
      <w:tblGrid>
        <w:gridCol w:w="1021"/>
        <w:gridCol w:w="896"/>
        <w:gridCol w:w="902"/>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Concentration of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one advertising agency holding company accounted for 12.5% and 12.7% of consolidated revenue, respectively. For the three and six months ended June 30, 2025, no individual customers or advertising agency holding companies accounted for more than 10% of consolidated revenue.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no individual customers or advertising agency holding companies accounted for more than 10% of consolidated accounts receivable. As of December 31, 2025, two advertising agency holding companies accounted for 14.9% and 12.0% of consolidated accounts receivable.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one individual supplier accounted for 18.5% of consolidated accounts payable and accrued liabilities. As of December 31, 2025, one individual supplier accounted for 16.8% of consolidated accounts payable and accrued liabilities.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using the acquisition method of accounting. The assets acquired and liabilities assumed are recognized and measured at their estimated acquisition date fair values. Goodwill represents the excess of the purchase consideration transferred over the estimated fair value of the identifiable net assets acquired. The purchase consideration is measured based on the fair value of the assets transferred, liabilities incurred or assumed, equity interests issued and includes the estimated fair value of any contingent consideration, as applicable.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adjustments to provisional amounts that are identified during the measurement period, not to exceed one year from the date of acquisition, are recorded in the reporting period in which the adjustment amounts are determined, with a corresponding adjustment to goodwill, as appropriate. The Company's estimates of fair value are based on assumptions that management believes are reasonable; however, those estimates are inherently uncertain and may change as additional information becomes available. After the measurement period ends, subsequent changes are recognized in the Company's condensed consolidated statements of operations in accordance with the applicable accounting guidance. All acquisition related costs are expensed as incurred.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Non-Marketable Equity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hold investments in non-marketable equity securities that represent investments in privately held companies without readily determinable fair values. The Company measures investments without readily determinable fair values at cost, less impairment, adjusted for observable price changes. These investments are included within other assets on our condensed consolidated balance sheets.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non-marketable equity investments without readily determinable fair value of $3.5 million. The Company did not record any adjustments to the carrying value resulting from observable price changes or impairment and accordingly did not recognize any gains or losses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JOBS Act Election as an Emerging Growth Company</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serif" w:hAnsi="Times New Roman;serif"/>
          <w:b w:val="false"/>
          <w:color w:val="231F20"/>
          <w:sz w:val="20"/>
        </w:rPr>
        <w:t>Company</w:t>
      </w:r>
      <w:r>
        <w:rPr>
          <w:color w:val="000000"/>
        </w:rPr>
        <w:t xml:space="preserve"> </w:t>
      </w:r>
      <w:r>
        <w:rPr>
          <w:rFonts w:ascii="Times New Roman;serif" w:hAnsi="Times New Roman;serif"/>
          <w:b w:val="false"/>
          <w:color w:val="000000"/>
          <w:sz w:val="20"/>
        </w:rPr>
        <w:t xml:space="preserve">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$1 billion or less of non-convertible debt over a three-year period and is not deemed to be a large accelerated filer under the rules of the Securities and Exchange Commission (“SEC”). The Company will remain an emerging growth company until December 31, 2026, or sooner if it no longer qualifies.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take advantage of the benefits of this extended transition period for complying with new or revised accounting standards that have different effective dates for public and private companies until the first to occur of the date that it (i) is no longer an “emerging growth company” or (ii) affirmatively and irrevocably opts out of this extended transition period provided by Securities Act Section 7(a)(2)(B).</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ASU 2024-03 requires disclosure of additional information about specific expense categories in the notes to financial statements on an annual and interim basis. The effective date for this ASU is for annual periods beginning after December 15, 2026, and interim periods beginning after December 15, 2027, with early adoption permitted. The Company is currently evaluating the impact of these amendments.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The amendments in this update clarify and modernize the accounting for costs related to internal-use software, affecting when an entity is required to start capitalizing software costs. The effective date for this ASU is for annual periods beginning after December 15, 2027, and interim periods within those annual reporting periods, with early adoption permitted. The Company is currently evaluating the impact of these amendments.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Environmental Credits and Environmental Credit Obligations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 May 2026, the FASB issued ASU No. 2026-02, </w:t>
      </w:r>
      <w:r>
        <w:rPr>
          <w:rFonts w:ascii="Times New Roman;serif" w:hAnsi="Times New Roman;serif"/>
          <w:b w:val="false"/>
          <w:i/>
          <w:color w:val="000000"/>
          <w:sz w:val="20"/>
        </w:rPr>
        <w:t xml:space="preserve">Environmental Credits and Environmental Credit Obligations (Topic 818). </w:t>
      </w:r>
      <w:r>
        <w:rPr>
          <w:rFonts w:ascii="Times New Roman;serif" w:hAnsi="Times New Roman;serif"/>
          <w:b w:val="false"/>
          <w:color w:val="000000"/>
          <w:sz w:val="20"/>
        </w:rPr>
        <w:t xml:space="preserve">ASU 2026-02 establishes recognition, measurement, presentation and disclosure requirements for environmental credits and environmental credit obligations. The effective date for this ASU is for annual periods beginning after December 15, 2027, and interim periods within those annual reporting periods, with early adoption permitted. The Company is currently evaluating the impact of these amendments.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231F20"/>
          <w:sz w:val="24"/>
        </w:rPr>
        <w:t xml:space="preserve">3. </w:t>
      </w:r>
      <w:r>
        <w:rPr>
          <w:rFonts w:ascii="Times New Roman;serif" w:hAnsi="Times New Roman;serif"/>
          <w:b/>
          <w:i/>
          <w:color w:val="231F20"/>
          <w:sz w:val="24"/>
        </w:rPr>
        <w:t>Revenue</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The disaggregation of revenue was as follows:</w:t>
      </w:r>
    </w:p>
    <w:tbl>
      <w:tblPr>
        <w:tblW w:w="7395" w:type="dxa"/>
        <w:jc w:val="center"/>
        <w:tblInd w:w="0" w:type="dxa"/>
        <w:tblLayout w:type="fixed"/>
        <w:tblCellMar>
          <w:top w:w="28" w:type="dxa"/>
          <w:left w:w="28" w:type="dxa"/>
          <w:bottom w:w="28" w:type="dxa"/>
          <w:right w:w="28" w:type="dxa"/>
        </w:tblCellMar>
      </w:tblPr>
      <w:tblGrid>
        <w:gridCol w:w="684"/>
        <w:gridCol w:w="601"/>
        <w:gridCol w:w="60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Over-time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Revenue for unsatisfied performance obligations expected to be recognized in the future for contracts with an original expected duration of greater than one year was </w:t>
      </w:r>
      <w:r>
        <w:rPr>
          <w:rFonts w:ascii="Times New Roman;serif" w:hAnsi="Times New Roman;serif"/>
          <w:b w:val="false"/>
          <w:color w:val="000000"/>
          <w:sz w:val="20"/>
        </w:rPr>
        <w:t>$11.7</w:t>
      </w:r>
      <w:r>
        <w:rPr>
          <w:color w:val="231F20"/>
        </w:rPr>
        <w:t xml:space="preserve"> </w:t>
      </w:r>
      <w:r>
        <w:rPr>
          <w:rFonts w:ascii="Times New Roman;serif" w:hAnsi="Times New Roman;serif"/>
          <w:b w:val="false"/>
          <w:color w:val="231F20"/>
          <w:sz w:val="20"/>
        </w:rPr>
        <w:t xml:space="preserve">million as of June 30, 2026 and </w:t>
      </w:r>
      <w:r>
        <w:rPr>
          <w:rFonts w:ascii="Times New Roman;serif" w:hAnsi="Times New Roman;serif"/>
          <w:b w:val="false"/>
          <w:color w:val="000000"/>
          <w:sz w:val="20"/>
        </w:rPr>
        <w:t xml:space="preserve">$0.7 million as of </w:t>
      </w:r>
      <w:r>
        <w:rPr>
          <w:rFonts w:ascii="Times New Roman;serif" w:hAnsi="Times New Roman;serif"/>
          <w:b w:val="false"/>
          <w:color w:val="231F20"/>
          <w:sz w:val="20"/>
        </w:rPr>
        <w:t xml:space="preserve">December 31, 2025. The Company expects to recognize these remaining performance obligations as revenue primarily over the next one to two years, based on the fixed consideration anticipated to be recognized over the remaining contractual term of its contracts with customers. The Company has elected the use of the practical expedient to not disclose information about remaining performance obligations for contracts with an original expected duration of less than one year, which is the majority of the Company’s contracts. Remaining deferred revenue that is anticipated to be recognized during the succeeding 12 month period is recorded in the current portion of </w:t>
      </w:r>
      <w:r>
        <w:rPr>
          <w:rFonts w:ascii="Times New Roman;serif" w:hAnsi="Times New Roman;serif"/>
          <w:b w:val="false"/>
          <w:color w:val="000000"/>
          <w:sz w:val="20"/>
        </w:rPr>
        <w:t>deferred</w:t>
      </w:r>
      <w:r>
        <w:rPr>
          <w:color w:val="231F20"/>
        </w:rPr>
        <w:t xml:space="preserve"> </w:t>
      </w:r>
      <w:r>
        <w:rPr>
          <w:rFonts w:ascii="Times New Roman;serif" w:hAnsi="Times New Roman;serif"/>
          <w:b w:val="false"/>
          <w:color w:val="231F20"/>
          <w:sz w:val="20"/>
        </w:rPr>
        <w:t>revenue within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360" w:after="283"/>
        <w:jc w:val="left"/>
        <w:rPr/>
      </w:pPr>
      <w:r>
        <w:rPr>
          <w:rFonts w:ascii="Times New Roman;serif" w:hAnsi="Times New Roman;serif"/>
          <w:b/>
          <w:color w:val="231F20"/>
          <w:sz w:val="24"/>
        </w:rPr>
        <w:t xml:space="preserve">4. </w:t>
      </w:r>
      <w:r>
        <w:rPr>
          <w:rFonts w:ascii="Times New Roman;serif" w:hAnsi="Times New Roman;serif"/>
          <w:b/>
          <w:i/>
          <w:color w:val="231F20"/>
          <w:sz w:val="24"/>
        </w:rPr>
        <w:t>Property, Equipment, and Software, Net</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Major </w:t>
      </w:r>
      <w:r>
        <w:rPr>
          <w:rFonts w:ascii="Times New Roman;serif" w:hAnsi="Times New Roman;serif"/>
          <w:b w:val="false"/>
          <w:color w:val="000000"/>
          <w:sz w:val="20"/>
        </w:rPr>
        <w:t>classes</w:t>
      </w:r>
      <w:r>
        <w:rPr>
          <w:color w:val="231F20"/>
        </w:rPr>
        <w:t xml:space="preserve"> </w:t>
      </w:r>
      <w:r>
        <w:rPr>
          <w:rFonts w:ascii="Times New Roman;serif" w:hAnsi="Times New Roman;serif"/>
          <w:b w:val="false"/>
          <w:color w:val="231F20"/>
          <w:sz w:val="20"/>
        </w:rPr>
        <w:t>of property, equipment, and software were as follows:</w:t>
      </w:r>
    </w:p>
    <w:tbl>
      <w:tblPr>
        <w:tblW w:w="6481" w:type="dxa"/>
        <w:jc w:val="center"/>
        <w:tblInd w:w="0" w:type="dxa"/>
        <w:tblLayout w:type="fixed"/>
        <w:tblCellMar>
          <w:top w:w="28" w:type="dxa"/>
          <w:left w:w="28" w:type="dxa"/>
          <w:bottom w:w="28" w:type="dxa"/>
          <w:right w:w="28" w:type="dxa"/>
        </w:tblCellMar>
      </w:tblPr>
      <w:tblGrid>
        <w:gridCol w:w="1343"/>
        <w:gridCol w:w="1177"/>
        <w:gridCol w:w="1184"/>
        <w:gridCol w:w="211"/>
        <w:gridCol w:w="826"/>
        <w:gridCol w:w="109"/>
        <w:gridCol w:w="109"/>
        <w:gridCol w:w="109"/>
        <w:gridCol w:w="109"/>
        <w:gridCol w:w="231"/>
        <w:gridCol w:w="905"/>
        <w:gridCol w:w="168"/>
      </w:tblGrid>
      <w:tr>
        <w:trPr/>
        <w:tc>
          <w:tcPr>
            <w:tcW w:w="134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129,774 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35,069 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Depreciation recorded in the condensed consolidated statements of operations was as follows:</w:t>
      </w:r>
    </w:p>
    <w:tbl>
      <w:tblPr>
        <w:tblW w:w="7439" w:type="dxa"/>
        <w:jc w:val="center"/>
        <w:tblInd w:w="0" w:type="dxa"/>
        <w:tblLayout w:type="fixed"/>
        <w:tblCellMar>
          <w:top w:w="28" w:type="dxa"/>
          <w:left w:w="28" w:type="dxa"/>
          <w:bottom w:w="28" w:type="dxa"/>
          <w:right w:w="28" w:type="dxa"/>
        </w:tblCellMar>
      </w:tblPr>
      <w:tblGrid>
        <w:gridCol w:w="927"/>
        <w:gridCol w:w="817"/>
        <w:gridCol w:w="82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4"/>
        </w:rPr>
        <w:t xml:space="preserve">5. </w:t>
      </w:r>
      <w:r>
        <w:rPr>
          <w:rFonts w:ascii="Times New Roman;serif" w:hAnsi="Times New Roman;serif"/>
          <w:b/>
          <w:i/>
          <w:color w:val="000000"/>
          <w:sz w:val="24"/>
        </w:rPr>
        <w:t>Leases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Lessee Arrangements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its office space, which have remaining lease terms of up to eight years.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these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operating leases had a weighted-average remaining lease term of approximately five years and a weighted-average incremental borrowing rate of 4.2%. As of December 31, 2025, the Company's operating leases had a weighted-average remaining lease term of approximately five years and a weighted-average incremental borrowing rate of 4.1%.</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operating lease liabilities was $1.5 million and $2.9 million for the three and six months ended June 30, 2026, respectively, and $1.3 million and $2.4 million for the three and six months ended June 30, 2025,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lease cost were as follows: </w:t>
      </w:r>
    </w:p>
    <w:tbl>
      <w:tblPr>
        <w:tblW w:w="6569" w:type="dxa"/>
        <w:jc w:val="center"/>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a remaining contractual obligation of $0.6 million related to a short-term lease to be paid through 2027. The effective term of this lease is based on the cumulative days available for use throughout the contractual term, which is less than one year. The cost for this lease is included in the disclosure of short-term lease cost. This lease and other of our short-term leases are not recorded on the Company's condensed consolidated balance sheet due to our accounting policy election for short-term leases.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were as follows:</w:t>
      </w:r>
    </w:p>
    <w:tbl>
      <w:tblPr>
        <w:tblW w:w="4595" w:type="dxa"/>
        <w:jc w:val="center"/>
        <w:tblInd w:w="0" w:type="dxa"/>
        <w:tblLayout w:type="fixed"/>
        <w:tblCellMar>
          <w:top w:w="28" w:type="dxa"/>
          <w:left w:w="28" w:type="dxa"/>
          <w:bottom w:w="28" w:type="dxa"/>
          <w:right w:w="28" w:type="dxa"/>
        </w:tblCellMar>
      </w:tblPr>
      <w:tblGrid>
        <w:gridCol w:w="1270"/>
        <w:gridCol w:w="1113"/>
        <w:gridCol w:w="1126"/>
        <w:gridCol w:w="211"/>
        <w:gridCol w:w="72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future lease payments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lease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360" w:after="283"/>
        <w:jc w:val="left"/>
        <w:rPr/>
      </w:pPr>
      <w:r>
        <w:rPr>
          <w:rFonts w:ascii="Times New Roman;serif" w:hAnsi="Times New Roman;serif"/>
          <w:b/>
          <w:color w:val="231F20"/>
          <w:sz w:val="24"/>
        </w:rPr>
        <w:t xml:space="preserve">6. </w:t>
      </w:r>
      <w:r>
        <w:rPr>
          <w:rFonts w:ascii="Times New Roman;serif" w:hAnsi="Times New Roman;serif"/>
          <w:b/>
          <w:i/>
          <w:color w:val="231F20"/>
          <w:sz w:val="24"/>
        </w:rPr>
        <w:t>Business Acquisitions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1, 2026, the Company completed the acquisition of TVision Insights, Inc. ("TVision"). The acquisition expands the Company’s proprietary data and measurement capabilities and is expected to strengthen our AI-powered programmatic platform through the integration of TVision’s attention signals. The acquisition was accounted for as a business combination.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estimated purchase consideration is approximately $37.5 million, consisting of $16.2 million in cash, $18.9 million of our Class A common stock, and the estimated amount expected to be payable under a contractual holdback arrangement. Under the purchase agreement, $4.2 million of the consideration is held back to cover customary post-closing working capital adjustments and possible indemnification claims. As of the acquisition date, the Company has estimated post-closing working capital adjustments of approximately $1.8 million, which reduce the estimated purchase consideration and have been reflected in the preliminary allocation of purchase consideration. Such estimate is subject to change.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allocation of the total purchase consideration was as follows:</w:t>
      </w:r>
    </w:p>
    <w:tbl>
      <w:tblPr>
        <w:tblW w:w="4529" w:type="dxa"/>
        <w:jc w:val="left"/>
        <w:tblInd w:w="0" w:type="dxa"/>
        <w:tblLayout w:type="fixed"/>
        <w:tblCellMar>
          <w:top w:w="28" w:type="dxa"/>
          <w:left w:w="28" w:type="dxa"/>
          <w:bottom w:w="28" w:type="dxa"/>
          <w:right w:w="28" w:type="dxa"/>
        </w:tblCellMar>
      </w:tblPr>
      <w:tblGrid>
        <w:gridCol w:w="1162"/>
        <w:gridCol w:w="1021"/>
        <w:gridCol w:w="1026"/>
        <w:gridCol w:w="256"/>
        <w:gridCol w:w="877"/>
        <w:gridCol w:w="187"/>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other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37,491 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preliminary fair value estimates of the net assets acquired are based upon initial calculations and valuations, and those estimates and assumptions are subject to change as we obtain additional information for those estimates during the measurement period, which is up to one year from the acquisition date. The goodwill from the acquisition is attributable to expected synergies and other benefits and is not deductible for tax purposes. The results of operations of TVision were not material to the Company's consolidated results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values of the identifiable intangible assets acquired were determined by management using both an income approach and cost approach and represent Level 3 measurements within the fair value hierarchy because they were based primarily on significant unobservable inputs, including discount rates, royalty rates, forecasts, and projected revenue growth rates.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intangible assets are being amortized on a straight-line basis over the estimated useful lives. Identifiable intangible assets acquired as of the date of acquisition were as follows:</w:t>
      </w:r>
    </w:p>
    <w:tbl>
      <w:tblPr>
        <w:tblW w:w="4706" w:type="dxa"/>
        <w:jc w:val="left"/>
        <w:tblInd w:w="0" w:type="dxa"/>
        <w:tblLayout w:type="fixed"/>
        <w:tblCellMar>
          <w:top w:w="28" w:type="dxa"/>
          <w:left w:w="28" w:type="dxa"/>
          <w:bottom w:w="28" w:type="dxa"/>
          <w:right w:w="28" w:type="dxa"/>
        </w:tblCellMar>
      </w:tblPr>
      <w:tblGrid>
        <w:gridCol w:w="740"/>
        <w:gridCol w:w="648"/>
        <w:gridCol w:w="652"/>
        <w:gridCol w:w="258"/>
        <w:gridCol w:w="883"/>
        <w:gridCol w:w="133"/>
        <w:gridCol w:w="109"/>
        <w:gridCol w:w="109"/>
        <w:gridCol w:w="109"/>
        <w:gridCol w:w="312"/>
        <w:gridCol w:w="312"/>
        <w:gridCol w:w="441"/>
      </w:tblGrid>
      <w:tr>
        <w:trPr/>
        <w:tc>
          <w:tcPr>
            <w:tcW w:w="74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Life</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Trademarks/tradenames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Panelist relationships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360" w:after="283"/>
        <w:jc w:val="left"/>
        <w:rPr/>
      </w:pPr>
      <w:r>
        <w:rPr>
          <w:rFonts w:ascii="Times New Roman;serif" w:hAnsi="Times New Roman;serif"/>
          <w:b/>
          <w:color w:val="231F20"/>
          <w:sz w:val="24"/>
        </w:rPr>
        <w:t xml:space="preserve">7. </w:t>
      </w:r>
      <w:r>
        <w:rPr>
          <w:rFonts w:ascii="Times New Roman;serif" w:hAnsi="Times New Roman;serif"/>
          <w:b/>
          <w:i/>
          <w:color w:val="231F20"/>
          <w:sz w:val="24"/>
        </w:rPr>
        <w:t>Goodwill and Intangible Assets,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goodwill balance as of June 30, 2026 and December 31, 2025 is $32.6 million and $19.2 million, respectively. The change in the carrying amount of goodwill for the six months ended June 30, 2026 consists of the Company's May 2026 acquisition of TVision. The balance as of December 31, 2025 is comprised of the Company’s November 2024 acquisition of IRIS.TV as well as the February 2017 acquisition of Adelphic.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balances of intangible assets and accumulated amortization were as follows: </w:t>
      </w:r>
    </w:p>
    <w:tbl>
      <w:tblPr>
        <w:tblW w:w="10205" w:type="dxa"/>
        <w:jc w:val="center"/>
        <w:tblInd w:w="0" w:type="dxa"/>
        <w:tblLayout w:type="fixed"/>
        <w:tblCellMar>
          <w:top w:w="28" w:type="dxa"/>
          <w:left w:w="28" w:type="dxa"/>
          <w:bottom w:w="28" w:type="dxa"/>
          <w:right w:w="28" w:type="dxa"/>
        </w:tblCellMar>
      </w:tblPr>
      <w:tblGrid>
        <w:gridCol w:w="696"/>
        <w:gridCol w:w="591"/>
        <w:gridCol w:w="594"/>
        <w:gridCol w:w="986"/>
        <w:gridCol w:w="986"/>
        <w:gridCol w:w="988"/>
        <w:gridCol w:w="109"/>
        <w:gridCol w:w="109"/>
        <w:gridCol w:w="109"/>
        <w:gridCol w:w="256"/>
        <w:gridCol w:w="879"/>
        <w:gridCol w:w="132"/>
        <w:gridCol w:w="109"/>
        <w:gridCol w:w="109"/>
        <w:gridCol w:w="109"/>
        <w:gridCol w:w="254"/>
        <w:gridCol w:w="893"/>
        <w:gridCol w:w="133"/>
        <w:gridCol w:w="109"/>
        <w:gridCol w:w="109"/>
        <w:gridCol w:w="109"/>
        <w:gridCol w:w="355"/>
        <w:gridCol w:w="1216"/>
        <w:gridCol w:w="265"/>
      </w:tblGrid>
      <w:tr>
        <w:trPr/>
        <w:tc>
          <w:tcPr>
            <w:tcW w:w="6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Remaining Weighted-Average Useful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Trademarks/tradenames</w:t>
            </w:r>
          </w:p>
        </w:tc>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Panelist relationships</w:t>
            </w:r>
          </w:p>
        </w:tc>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24,506 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center"/>
        <w:rPr/>
      </w:pPr>
      <w:r>
        <w:rPr/>
      </w:r>
    </w:p>
    <w:tbl>
      <w:tblPr>
        <w:tblW w:w="10205" w:type="dxa"/>
        <w:jc w:val="center"/>
        <w:tblInd w:w="0" w:type="dxa"/>
        <w:tblLayout w:type="fixed"/>
        <w:tblCellMar>
          <w:top w:w="28" w:type="dxa"/>
          <w:left w:w="28" w:type="dxa"/>
          <w:bottom w:w="28" w:type="dxa"/>
          <w:right w:w="28" w:type="dxa"/>
        </w:tblCellMar>
      </w:tblPr>
      <w:tblGrid>
        <w:gridCol w:w="701"/>
        <w:gridCol w:w="598"/>
        <w:gridCol w:w="602"/>
        <w:gridCol w:w="975"/>
        <w:gridCol w:w="975"/>
        <w:gridCol w:w="978"/>
        <w:gridCol w:w="109"/>
        <w:gridCol w:w="109"/>
        <w:gridCol w:w="109"/>
        <w:gridCol w:w="258"/>
        <w:gridCol w:w="883"/>
        <w:gridCol w:w="133"/>
        <w:gridCol w:w="109"/>
        <w:gridCol w:w="109"/>
        <w:gridCol w:w="109"/>
        <w:gridCol w:w="283"/>
        <w:gridCol w:w="850"/>
        <w:gridCol w:w="148"/>
        <w:gridCol w:w="109"/>
        <w:gridCol w:w="109"/>
        <w:gridCol w:w="109"/>
        <w:gridCol w:w="394"/>
        <w:gridCol w:w="1152"/>
        <w:gridCol w:w="294"/>
      </w:tblGrid>
      <w:tr>
        <w:trPr/>
        <w:tc>
          <w:tcPr>
            <w:tcW w:w="70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Remaining Weighted- Average Useful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Trademarks/tradenames</w:t>
            </w:r>
          </w:p>
        </w:tc>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 assets recorded in the condensed consolidated statements of operations was as follows: </w:t>
      </w:r>
    </w:p>
    <w:tbl>
      <w:tblPr>
        <w:tblW w:w="6734" w:type="dxa"/>
        <w:jc w:val="center"/>
        <w:tblInd w:w="0" w:type="dxa"/>
        <w:tblLayout w:type="fixed"/>
        <w:tblCellMar>
          <w:top w:w="28" w:type="dxa"/>
          <w:left w:w="28" w:type="dxa"/>
          <w:bottom w:w="28" w:type="dxa"/>
          <w:right w:w="28" w:type="dxa"/>
        </w:tblCellMar>
      </w:tblPr>
      <w:tblGrid>
        <w:gridCol w:w="927"/>
        <w:gridCol w:w="817"/>
        <w:gridCol w:w="820"/>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ind w:left="0" w:right="0" w:firstLine="533"/>
        <w:jc w:val="left"/>
        <w:rPr/>
      </w:pPr>
      <w:r>
        <w:rPr>
          <w:rFonts w:ascii="Times New Roman;serif" w:hAnsi="Times New Roman;serif"/>
          <w:b w:val="false"/>
          <w:color w:val="231F20"/>
          <w:sz w:val="20"/>
        </w:rPr>
        <w:t xml:space="preserve">Estimated future </w:t>
      </w:r>
      <w:r>
        <w:rPr>
          <w:rFonts w:ascii="Times New Roman;serif" w:hAnsi="Times New Roman;serif"/>
          <w:b w:val="false"/>
          <w:color w:val="000000"/>
          <w:sz w:val="20"/>
        </w:rPr>
        <w:t>amortization</w:t>
      </w:r>
      <w:r>
        <w:rPr>
          <w:color w:val="231F20"/>
        </w:rPr>
        <w:t xml:space="preserve"> </w:t>
      </w:r>
      <w:r>
        <w:rPr>
          <w:rFonts w:ascii="Times New Roman;serif" w:hAnsi="Times New Roman;serif"/>
          <w:b w:val="false"/>
          <w:color w:val="231F20"/>
          <w:sz w:val="20"/>
        </w:rPr>
        <w:t>of intangible assets is as follows:</w:t>
      </w:r>
    </w:p>
    <w:tbl>
      <w:tblPr>
        <w:tblW w:w="2766" w:type="dxa"/>
        <w:jc w:val="center"/>
        <w:tblInd w:w="0" w:type="dxa"/>
        <w:tblLayout w:type="fixed"/>
        <w:tblCellMar>
          <w:top w:w="28" w:type="dxa"/>
          <w:left w:w="28" w:type="dxa"/>
          <w:bottom w:w="28" w:type="dxa"/>
          <w:right w:w="28" w:type="dxa"/>
        </w:tblCellMar>
      </w:tblPr>
      <w:tblGrid>
        <w:gridCol w:w="608"/>
        <w:gridCol w:w="533"/>
        <w:gridCol w:w="539"/>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June 30,</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231F20"/>
          <w:sz w:val="24"/>
        </w:rPr>
        <w:t xml:space="preserve">8. </w:t>
      </w:r>
      <w:r>
        <w:rPr>
          <w:rFonts w:ascii="Times New Roman;serif" w:hAnsi="Times New Roman;serif"/>
          <w:b/>
          <w:i/>
          <w:color w:val="231F20"/>
          <w:sz w:val="24"/>
        </w:rPr>
        <w:t>Accrued Liabilities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The Company’s accrued liabilities consisted of the following:</w:t>
      </w:r>
      <w:r>
        <w:rPr>
          <w:color w:val="000000"/>
        </w:rPr>
        <w:t xml:space="preserve"> </w:t>
      </w:r>
    </w:p>
    <w:tbl>
      <w:tblPr>
        <w:tblW w:w="5402" w:type="dxa"/>
        <w:jc w:val="center"/>
        <w:tblInd w:w="0" w:type="dxa"/>
        <w:tblLayout w:type="fixed"/>
        <w:tblCellMar>
          <w:top w:w="28" w:type="dxa"/>
          <w:left w:w="28" w:type="dxa"/>
          <w:bottom w:w="28" w:type="dxa"/>
          <w:right w:w="28" w:type="dxa"/>
        </w:tblCellMar>
      </w:tblPr>
      <w:tblGrid>
        <w:gridCol w:w="988"/>
        <w:gridCol w:w="869"/>
        <w:gridCol w:w="872"/>
        <w:gridCol w:w="211"/>
        <w:gridCol w:w="721"/>
        <w:gridCol w:w="109"/>
        <w:gridCol w:w="109"/>
        <w:gridCol w:w="109"/>
        <w:gridCol w:w="109"/>
        <w:gridCol w:w="253"/>
        <w:gridCol w:w="867"/>
        <w:gridCol w:w="185"/>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traffic acquisition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50,828 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 balance of $0.9 million and $0.2 million, respectively, payable to related parties for expenses such related parties incurred on the Company's behalf, which was recorded within accrued liabilities on the condensed consolidated balance sheets. The related expense incurred by the Company was $0.9 million and $1.2 million for the three and six months ended June 30, 2026, respectively, and $0.7 million and $1.1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231F20"/>
          <w:sz w:val="24"/>
        </w:rPr>
        <w:t xml:space="preserve">9. </w:t>
      </w:r>
      <w:r>
        <w:rPr>
          <w:rFonts w:ascii="Times New Roman;serif" w:hAnsi="Times New Roman;serif"/>
          <w:b/>
          <w:i/>
          <w:color w:val="231F20"/>
          <w:sz w:val="24"/>
        </w:rPr>
        <w:t>Revolving Credit Facility</w:t>
      </w:r>
    </w:p>
    <w:p>
      <w:pPr>
        <w:pStyle w:val="TextBody"/>
        <w:bidi w:val="0"/>
        <w:spacing w:lineRule="auto" w:line="288" w:before="120" w:after="283"/>
        <w:ind w:left="0" w:right="0" w:firstLine="540"/>
        <w:jc w:val="left"/>
        <w:rPr/>
      </w:pPr>
      <w:r>
        <w:rPr>
          <w:rFonts w:ascii="Times New Roman;serif" w:hAnsi="Times New Roman;serif"/>
          <w:b w:val="false"/>
          <w:color w:val="231F20"/>
          <w:sz w:val="20"/>
        </w:rPr>
        <w:t>In October 2019, the Company entere</w:t>
      </w:r>
      <w:r>
        <w:rPr>
          <w:rFonts w:ascii="Times New Roman;serif" w:hAnsi="Times New Roman;serif"/>
          <w:b w:val="false"/>
          <w:color w:val="000000"/>
          <w:sz w:val="20"/>
        </w:rPr>
        <w:t xml:space="preserve">d into a senior secured revolving credit agreement (the "Loan Agreement") with PNC Bank, National Association (“PNC Bank”) that was amended in April 2023 (the "Amended Loan Agreement"). The Amended Loan Agreement increased the borrowing capacity to $75.0 million, extended the maturity date to April 4, 2028, and changed the rates at which advances will bear interest. </w:t>
      </w:r>
      <w:r>
        <w:rPr>
          <w:rFonts w:ascii="Times New Roman;serif" w:hAnsi="Times New Roman;serif"/>
          <w:b w:val="false"/>
          <w:color w:val="231F20"/>
          <w:sz w:val="20"/>
        </w:rPr>
        <w:t>The Amended Loan Agreement is collateralized by security interests in substantially all of the Company's assets.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(as defined in the Amended Loan Agreement) plus the SOFR Adjustment of 0.10% plus an applicable margin. The applicable margin is between 1.00% and 1.25% for Domestic Rate Loans and between 2.00% and 2.25% for Term SOFR Rate Loans based on the average undrawn availability under the revolving credit facility. The applicable margin as of June 30, 2026 was equal to 1.00% for Domestic Rate Loans and 2.00% for Term SOFR Rate Loans. The facility fee for undrawn amounts under the Amended Loan Agreement is 0.375% per annum; additionally, the Company pays customary letter of credit fees as applicable.</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serif" w:hAnsi="Times New Roman;serif"/>
          <w:b w:val="false"/>
          <w:color w:val="000000"/>
          <w:sz w:val="20"/>
        </w:rPr>
        <w:t>The Amended Loan Agreement also requires that the Company maintain compliance with a minimum Fixed Charge Coverage Ratio (as defined in the Amended Loan Agreement) of 1.40 to 1.00 at any time undrawn availability is less than 25%.</w:t>
      </w:r>
      <w:r>
        <w:rPr>
          <w:color w:val="231F20"/>
        </w:rPr>
        <w:t xml:space="preserve"> </w:t>
      </w:r>
      <w:r>
        <w:rPr>
          <w:rFonts w:ascii="Times New Roman;serif" w:hAnsi="Times New Roman;serif"/>
          <w:b w:val="false"/>
          <w:color w:val="231F20"/>
          <w:sz w:val="20"/>
        </w:rPr>
        <w:t>As of June 30, 2026, the Company was in compliance with all applicable covenants under the Amended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The Company did not have an outstanding balance under the revolving credit facility as of June 30, 2026 and </w:t>
      </w:r>
      <w:r>
        <w:rPr>
          <w:rFonts w:ascii="Times New Roman;serif" w:hAnsi="Times New Roman;serif"/>
          <w:b w:val="false"/>
          <w:color w:val="000000"/>
          <w:sz w:val="20"/>
        </w:rPr>
        <w:t>December 31, 2025</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231F20"/>
          <w:sz w:val="24"/>
        </w:rPr>
        <w:t xml:space="preserve">10. </w:t>
      </w:r>
      <w:r>
        <w:rPr>
          <w:rFonts w:ascii="Times New Roman;serif" w:hAnsi="Times New Roman;serif"/>
          <w:b/>
          <w:i/>
          <w:color w:val="231F20"/>
          <w:sz w:val="24"/>
        </w:rPr>
        <w:t>Stockholders' Equity</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Stock-based Compensation</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The Company is authorized to grant restricted stock units ("RSUs"), incentive stock options, nonqualified stock options ("NQSOs"), stock appreciation rights, restricted stock awards and performance stock unit awards ("PSUs") under its 2021 Long Term Incentive Plan (the “LTIP”). </w:t>
      </w:r>
      <w:r>
        <w:rPr>
          <w:rFonts w:ascii="Times New Roman;serif" w:hAnsi="Times New Roman;serif"/>
          <w:b w:val="false"/>
          <w:color w:val="000000"/>
          <w:sz w:val="20"/>
        </w:rPr>
        <w:t>RSUs granted to employees generally vest over a period of three years, contingent upon continued employment through the vesting date. RSUs awarded to members of our board of directors (the "board") upon their initial appointment vest over a three-year period on each of the first, second and third anniversaries of the date of appointment. Board members are also awarded annual grants of RSUs on the date of each annual meeting of Viant's stockholders (the "annual meeting") that vest in full on the earlier of (i) the date of the following year’s annual meeting or (ii) the first anniversary of the date of grant. If board members are appointed on a date other than the date of an annual meeting, such board members will receive a prorated annual grant of RSUs vesting in full on the date of the next annual meeting. The grant date fair value of RSUs is measured using the closing price of our common stock on the grant date. PSUs granted to employees generally vest over a period of three years subject to the achievement of performance conditions and are contingent upon continued employment through the vesting date. The grant date fair value of PSUs is measured using the closing price of our common stock on the grant date. Stock-based compensation for PSUs is based on the probable outcome of the performance condition and evaluated each subsequent reporting period over the requisite service period. PSUs may be adjusted over the vesting period based on interim estimates of performance against pre-set objectives. As of June 30, 2026, NQSOs generally vest over a period of three-to-four years and have a contractual term of ten years.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Company had granted RSUs, PSUs and NQSOs under the LTIP. Under the LTIP, 4.1 million shares of Class A common stock remained available for grant as of </w:t>
      </w:r>
      <w:r>
        <w:rPr>
          <w:rFonts w:ascii="Times New Roman;serif" w:hAnsi="Times New Roman;serif"/>
          <w:b w:val="false"/>
          <w:color w:val="000000"/>
          <w:sz w:val="20"/>
        </w:rPr>
        <w:t>June 30, 2026</w:t>
      </w:r>
      <w:r>
        <w:rPr>
          <w:rFonts w:ascii="Times New Roman;serif" w:hAnsi="Times New Roman;serif"/>
          <w:b w:val="false"/>
          <w:color w:val="231F20"/>
          <w:sz w:val="20"/>
        </w:rPr>
        <w:t>.</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Stock-based compensation recorded in the condensed consolidated statements of operations was as follows:</w:t>
      </w:r>
    </w:p>
    <w:tbl>
      <w:tblPr>
        <w:tblW w:w="7544" w:type="dxa"/>
        <w:jc w:val="center"/>
        <w:tblInd w:w="0" w:type="dxa"/>
        <w:tblLayout w:type="fixed"/>
        <w:tblCellMar>
          <w:top w:w="28" w:type="dxa"/>
          <w:left w:w="28" w:type="dxa"/>
          <w:bottom w:w="28" w:type="dxa"/>
          <w:right w:w="28" w:type="dxa"/>
        </w:tblCellMar>
      </w:tblPr>
      <w:tblGrid>
        <w:gridCol w:w="927"/>
        <w:gridCol w:w="817"/>
        <w:gridCol w:w="82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RSUs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The following summarizes RSU activity:</w:t>
      </w:r>
      <w:r>
        <w:rPr>
          <w:color w:val="000000"/>
        </w:rPr>
        <w:t xml:space="preserve"> </w:t>
      </w:r>
    </w:p>
    <w:tbl>
      <w:tblPr>
        <w:tblW w:w="7630" w:type="dxa"/>
        <w:jc w:val="center"/>
        <w:tblInd w:w="0" w:type="dxa"/>
        <w:tblLayout w:type="fixed"/>
        <w:tblCellMar>
          <w:top w:w="28" w:type="dxa"/>
          <w:left w:w="28" w:type="dxa"/>
          <w:bottom w:w="28" w:type="dxa"/>
          <w:right w:w="28" w:type="dxa"/>
        </w:tblCellMar>
      </w:tblPr>
      <w:tblGrid>
        <w:gridCol w:w="1315"/>
        <w:gridCol w:w="1156"/>
        <w:gridCol w:w="1159"/>
        <w:gridCol w:w="539"/>
        <w:gridCol w:w="539"/>
        <w:gridCol w:w="541"/>
        <w:gridCol w:w="109"/>
        <w:gridCol w:w="109"/>
        <w:gridCol w:w="109"/>
        <w:gridCol w:w="441"/>
        <w:gridCol w:w="1290"/>
        <w:gridCol w:w="323"/>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 Fair Value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 as of December 31, 2025</w:t>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 as of June 30, 2026</w:t>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unrecognized stock-based compensation relating to RSUs of approximately $85.9 million, which is expected to be recognized over a weighted-average period of 2.3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PSUs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The following summarizes PSU activity:</w:t>
      </w:r>
      <w:r>
        <w:rPr>
          <w:color w:val="000000"/>
        </w:rPr>
        <w:t xml:space="preserve"> </w:t>
      </w:r>
    </w:p>
    <w:tbl>
      <w:tblPr>
        <w:tblW w:w="7599" w:type="dxa"/>
        <w:jc w:val="center"/>
        <w:tblInd w:w="0" w:type="dxa"/>
        <w:tblLayout w:type="fixed"/>
        <w:tblCellMar>
          <w:top w:w="28" w:type="dxa"/>
          <w:left w:w="28" w:type="dxa"/>
          <w:bottom w:w="28" w:type="dxa"/>
          <w:right w:w="28" w:type="dxa"/>
        </w:tblCellMar>
      </w:tblPr>
      <w:tblGrid>
        <w:gridCol w:w="1304"/>
        <w:gridCol w:w="1146"/>
        <w:gridCol w:w="1149"/>
        <w:gridCol w:w="539"/>
        <w:gridCol w:w="539"/>
        <w:gridCol w:w="541"/>
        <w:gridCol w:w="109"/>
        <w:gridCol w:w="109"/>
        <w:gridCol w:w="109"/>
        <w:gridCol w:w="441"/>
        <w:gridCol w:w="1290"/>
        <w:gridCol w:w="323"/>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 Fair 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outstanding as of December 31, 2025</w:t>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outstanding as of June 30, 2026</w:t>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unrecognized stock-based compensation relating to PSUs of approximately $4.8 million, which is expected to be recognized over a weighted-average period of 1.5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NQSOs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summarizes NQSO activity:</w:t>
      </w:r>
    </w:p>
    <w:tbl>
      <w:tblPr>
        <w:tblW w:w="10205" w:type="dxa"/>
        <w:jc w:val="center"/>
        <w:tblInd w:w="0" w:type="dxa"/>
        <w:tblLayout w:type="fixed"/>
        <w:tblCellMar>
          <w:top w:w="28" w:type="dxa"/>
          <w:left w:w="28" w:type="dxa"/>
          <w:bottom w:w="28" w:type="dxa"/>
          <w:right w:w="28" w:type="dxa"/>
        </w:tblCellMar>
      </w:tblPr>
      <w:tblGrid>
        <w:gridCol w:w="862"/>
        <w:gridCol w:w="758"/>
        <w:gridCol w:w="760"/>
        <w:gridCol w:w="437"/>
        <w:gridCol w:w="437"/>
        <w:gridCol w:w="438"/>
        <w:gridCol w:w="109"/>
        <w:gridCol w:w="109"/>
        <w:gridCol w:w="109"/>
        <w:gridCol w:w="430"/>
        <w:gridCol w:w="1042"/>
        <w:gridCol w:w="224"/>
        <w:gridCol w:w="109"/>
        <w:gridCol w:w="109"/>
        <w:gridCol w:w="109"/>
        <w:gridCol w:w="713"/>
        <w:gridCol w:w="713"/>
        <w:gridCol w:w="715"/>
        <w:gridCol w:w="109"/>
        <w:gridCol w:w="109"/>
        <w:gridCol w:w="109"/>
        <w:gridCol w:w="328"/>
        <w:gridCol w:w="1122"/>
        <w:gridCol w:w="245"/>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br/>
              <w:t xml:space="preserve">(in thousands)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Remaining Contractual 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Intrinsic Value</w:t>
            </w:r>
          </w:p>
          <w:p>
            <w:pPr>
              <w:pStyle w:val="TableContents"/>
              <w:bidi w:val="0"/>
              <w:spacing w:lineRule="auto" w:line="240" w:before="0" w:after="0"/>
              <w:jc w:val="center"/>
              <w:rPr/>
            </w:pPr>
            <w:r>
              <w:rPr>
                <w:rFonts w:ascii="Times New Roman;serif" w:hAnsi="Times New Roman;serif"/>
                <w:b/>
                <w:color w:val="000000"/>
                <w:sz w:val="20"/>
              </w:rPr>
              <w:t>(in thousands)</w:t>
            </w:r>
            <w:r>
              <w:rPr>
                <w:rFonts w:ascii="Times New Roman;serif" w:hAnsi="Times New Roman;serif"/>
                <w:b/>
                <w:color w:val="000000"/>
                <w:sz w:val="13"/>
              </w:rPr>
              <w:t>(1)</w:t>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 outstanding as of December 31, 2025</w:t>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26,288 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 outstanding as of June 30, 2026</w:t>
            </w:r>
          </w:p>
        </w:tc>
        <w:tc>
          <w:tcPr>
            <w:tcW w:w="13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20"/>
        </w:rPr>
        <w:t>(1)</w:t>
      </w:r>
      <w:r>
        <w:rPr>
          <w:rFonts w:ascii="Times New Roman;serif" w:hAnsi="Times New Roman;serif"/>
          <w:b w:val="false"/>
          <w:color w:val="231F20"/>
          <w:sz w:val="20"/>
        </w:rPr>
        <w:t xml:space="preserve">The aggregate intrinsic value is calculated as the difference between the exercise price of the underlying stock option awards and the closing market price of our Class A common stock 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December 31, </w:t>
      </w:r>
      <w:r>
        <w:rPr>
          <w:rFonts w:ascii="Times New Roman;serif" w:hAnsi="Times New Roman;serif"/>
          <w:b w:val="false"/>
          <w:color w:val="000000"/>
          <w:sz w:val="20"/>
        </w:rPr>
        <w:t>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unrecognized stock-based compensation relating to unvested NQSOs of approximately $0.8 million, which is expected to be recognized over a weighted-average period of 0.7 years.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the Company grants NQSOs, the Black-Scholes model is used to determine the fair value of NQSOs. For the three and six months ended June 30, 2026 and 2025, the Company did not grant any NQSOs.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23, 2024, the Company's board approved a stock repurchase program with authorization to purchase up to $50 million in shares of the Company's Class A common stock or Class B units of Viant Technology LLC. On May 5, 2025, the Company's board authorized an increase to the stock repurchase program, enabling the Company to repurchase up to an additional $50 million of the Company's Class A common stock or Class B units of Viant Technology LLC. As of June 30, 2026, $39.4 million remained available under the stock repurchase program.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make repurchases under the program, from time to time, through open market purchases, block trades, privately negotiated transactions, accelerated stock repurchase transactions or by other means.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number of shares of Class A common stock or Class B units, has no time limit, and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modified, suspended or discontinued at any time without notice, at the discretion of the board of directors. The Company expects to fund repurchases from existing cash and cash equivalents, short-term investments and/or future 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Shares of Class A common stock and Class B units repurchased by the Company under the stock repurchase program were as follows (in thousands):</w:t>
      </w:r>
    </w:p>
    <w:tbl>
      <w:tblPr>
        <w:tblW w:w="7371" w:type="dxa"/>
        <w:jc w:val="center"/>
        <w:tblInd w:w="0" w:type="dxa"/>
        <w:tblLayout w:type="fixed"/>
        <w:tblCellMar>
          <w:top w:w="28" w:type="dxa"/>
          <w:left w:w="28" w:type="dxa"/>
          <w:bottom w:w="28" w:type="dxa"/>
          <w:right w:w="28" w:type="dxa"/>
        </w:tblCellMar>
      </w:tblPr>
      <w:tblGrid>
        <w:gridCol w:w="1070"/>
        <w:gridCol w:w="940"/>
        <w:gridCol w:w="945"/>
        <w:gridCol w:w="225"/>
        <w:gridCol w:w="225"/>
        <w:gridCol w:w="226"/>
        <w:gridCol w:w="148"/>
        <w:gridCol w:w="148"/>
        <w:gridCol w:w="148"/>
        <w:gridCol w:w="286"/>
        <w:gridCol w:w="551"/>
        <w:gridCol w:w="148"/>
        <w:gridCol w:w="109"/>
        <w:gridCol w:w="109"/>
        <w:gridCol w:w="109"/>
        <w:gridCol w:w="225"/>
        <w:gridCol w:w="225"/>
        <w:gridCol w:w="226"/>
        <w:gridCol w:w="123"/>
        <w:gridCol w:w="123"/>
        <w:gridCol w:w="123"/>
        <w:gridCol w:w="238"/>
        <w:gridCol w:w="527"/>
        <w:gridCol w:w="17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repurchases</w:t>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unit repurchases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w:t>
            </w:r>
          </w:p>
        </w:tc>
        <w:tc>
          <w:tcPr>
            <w:tcW w:w="4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Issuance of Shares</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vesting of shares under the LTIP, the Company will issue treasury stock. If treasury stock is not available, newly issued stock will be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231F20"/>
          <w:sz w:val="24"/>
        </w:rPr>
        <w:t xml:space="preserve">11. </w:t>
      </w:r>
      <w:r>
        <w:rPr>
          <w:rFonts w:ascii="Times New Roman;serif" w:hAnsi="Times New Roman;serif"/>
          <w:b/>
          <w:i/>
          <w:color w:val="231F20"/>
          <w:sz w:val="24"/>
        </w:rPr>
        <w:t>Income Taxes and Tax Receivable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differs from the amount of income tax computed by applying the applicable U.S. statutory federal income tax rate of 21% and blended state tax rate to income (loss) before income taxes. This is due to Viant Technology LLC’s pass-through structure for U.S. income tax purposes in the current period and the valuation allowance applied against the deferred tax asset in prior-year periods through September 30, 2025. As of December 31, 2025, the Company released its valuation allowance and recorded no valuation allowance for the six months ended June 30, 2026. For the three and six months ended June 30, 2026, the Company recognized an income tax benefit of $0.8 million and $1.2 million, respectively, attributable to year-to-date loss and excess tax benefits on vested stock-based compensation that will be realized during the year, resulting in an effective tax rate of 29.3% and 22.5%, respectively. For the three and six months ended June 30, 2025, the Company recognized income tax benefits of $0.3 million and $0.4 million, respectively, attributable to year-to-date loss and excess tax benefit related to vested stock-based compensation, resulting in an effective tax rate of (19.4)% and 22.6%,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its initial public offering ("IPO"), the Company entered into a Tax Receivable Agreement ("TRA") with Viant Technology LLC, continuing members of Viant Technology LLC and the TRA Representative (as defined in the TRA) on February 9, 2021. The total TRA liability as of June 30, 2026 was $12.9 million, all of which was classified as long-term. The total current and long-term portions of the TRA liability as of December 31, 2025 were $0.2 million and $12.2 million,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which enacts significant changes to U.S. tax and related laws. Some of the provisions of the new tax law affecting corporations include, but are not limited to, expensing of domestic specified research or experimental expenditures and 100% bonus depreciation on eligible property acquired after January 19, 2025. The most impactful component of OBBBA to our Company is the ability to immediately expense domestic specified research or experimental expenditures, which is an annual election. The Company evaluates immediately expensing these costs in conjunction with our general operations and other book-to-tax differences on an annual basis. As of June 30, 2026, we are anticipating expensing these costs in its entirety. We will continue to apply OBBBA tax law changes as required or elected throughout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4"/>
        </w:rPr>
        <w:t>12</w:t>
      </w:r>
      <w:r>
        <w:rPr>
          <w:rFonts w:ascii="Times New Roman;serif" w:hAnsi="Times New Roman;serif"/>
          <w:b/>
          <w:color w:val="231F20"/>
          <w:sz w:val="24"/>
        </w:rPr>
        <w:t xml:space="preserve">. </w:t>
      </w:r>
      <w:r>
        <w:rPr>
          <w:rFonts w:ascii="Times New Roman;serif" w:hAnsi="Times New Roman;serif"/>
          <w:b/>
          <w:i/>
          <w:color w:val="231F20"/>
          <w:sz w:val="24"/>
        </w:rPr>
        <w:t>Earnings</w:t>
      </w:r>
      <w:r>
        <w:rPr>
          <w:color w:val="231F20"/>
        </w:rPr>
        <w:t xml:space="preserve"> </w:t>
      </w:r>
      <w:r>
        <w:rPr>
          <w:rFonts w:ascii="Times New Roman;serif" w:hAnsi="Times New Roman;serif"/>
          <w:b/>
          <w:color w:val="231F20"/>
          <w:sz w:val="24"/>
        </w:rPr>
        <w:t>(</w:t>
      </w:r>
      <w:r>
        <w:rPr>
          <w:rFonts w:ascii="Times New Roman;serif" w:hAnsi="Times New Roman;serif"/>
          <w:b/>
          <w:i/>
          <w:color w:val="231F20"/>
          <w:sz w:val="24"/>
        </w:rPr>
        <w:t>Loss) Per Share</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three and six</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2025</w:t>
      </w:r>
      <w:r>
        <w:rPr>
          <w:rFonts w:ascii="Times New Roman;serif" w:hAnsi="Times New Roman;serif"/>
          <w:b w:val="false"/>
          <w:color w:val="231F20"/>
          <w:sz w:val="20"/>
        </w:rPr>
        <w:t xml:space="preserve">, basic earnings (loss) per share has been calculated by dividing net income (loss) attributable to Class A common stockholders by the weighted-average number of shares of Class A common stock outstanding for the same period. </w:t>
      </w:r>
      <w:r>
        <w:rPr>
          <w:rFonts w:ascii="Times New Roman;serif" w:hAnsi="Times New Roman;serif"/>
          <w:b w:val="false"/>
          <w:color w:val="000000"/>
          <w:sz w:val="20"/>
        </w:rPr>
        <w:t>Shares</w:t>
      </w:r>
      <w:r>
        <w:rPr>
          <w:color w:val="231F20"/>
        </w:rPr>
        <w:t xml:space="preserve"> </w:t>
      </w:r>
      <w:r>
        <w:rPr>
          <w:rFonts w:ascii="Times New Roman;serif" w:hAnsi="Times New Roman;serif"/>
          <w:b w:val="false"/>
          <w:color w:val="231F20"/>
          <w:sz w:val="20"/>
        </w:rPr>
        <w:t>of Class A common stock are weighted for the portion of the period in which the shares were outstanding. Diluted earnings (loss) per share has been calculated in a manner consistent with that of basic net earnings (loss) per share while considering all potentially dilutive shares of Class A common stock outstanding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The </w:t>
      </w:r>
      <w:r>
        <w:rPr>
          <w:rFonts w:ascii="Times New Roman;serif" w:hAnsi="Times New Roman;serif"/>
          <w:b w:val="false"/>
          <w:color w:val="000000"/>
          <w:sz w:val="20"/>
        </w:rPr>
        <w:t>following</w:t>
      </w:r>
      <w:r>
        <w:rPr>
          <w:color w:val="231F20"/>
        </w:rPr>
        <w:t xml:space="preserve"> </w:t>
      </w:r>
      <w:r>
        <w:rPr>
          <w:rFonts w:ascii="Times New Roman;serif" w:hAnsi="Times New Roman;serif"/>
          <w:b w:val="false"/>
          <w:color w:val="231F20"/>
          <w:sz w:val="20"/>
        </w:rPr>
        <w:t xml:space="preserve">table presents the calculation of basic and diluted earnings (loss) per share for the </w:t>
      </w:r>
      <w:r>
        <w:rPr>
          <w:rFonts w:ascii="Times New Roman;serif" w:hAnsi="Times New Roman;serif"/>
          <w:b w:val="false"/>
          <w:color w:val="000000"/>
          <w:sz w:val="20"/>
        </w:rPr>
        <w:t>periods presented:</w:t>
      </w:r>
    </w:p>
    <w:tbl>
      <w:tblPr>
        <w:tblW w:w="10205" w:type="dxa"/>
        <w:jc w:val="center"/>
        <w:tblInd w:w="0" w:type="dxa"/>
        <w:tblLayout w:type="fixed"/>
        <w:tblCellMar>
          <w:top w:w="28" w:type="dxa"/>
          <w:left w:w="28" w:type="dxa"/>
          <w:bottom w:w="28" w:type="dxa"/>
          <w:right w:w="28" w:type="dxa"/>
        </w:tblCellMar>
      </w:tblPr>
      <w:tblGrid>
        <w:gridCol w:w="2083"/>
        <w:gridCol w:w="1657"/>
        <w:gridCol w:w="1589"/>
        <w:gridCol w:w="211"/>
        <w:gridCol w:w="650"/>
        <w:gridCol w:w="109"/>
        <w:gridCol w:w="109"/>
        <w:gridCol w:w="109"/>
        <w:gridCol w:w="109"/>
        <w:gridCol w:w="211"/>
        <w:gridCol w:w="616"/>
        <w:gridCol w:w="109"/>
        <w:gridCol w:w="109"/>
        <w:gridCol w:w="109"/>
        <w:gridCol w:w="109"/>
        <w:gridCol w:w="211"/>
        <w:gridCol w:w="650"/>
        <w:gridCol w:w="109"/>
        <w:gridCol w:w="109"/>
        <w:gridCol w:w="109"/>
        <w:gridCol w:w="109"/>
        <w:gridCol w:w="211"/>
        <w:gridCol w:w="650"/>
        <w:gridCol w:w="158"/>
      </w:tblGrid>
      <w:tr>
        <w:trPr/>
        <w:tc>
          <w:tcPr>
            <w:tcW w:w="208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Inc.—basic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Reallocation of net income (loss) attributable to noncontrolling interest from the assumed exchange of RSUs and NQSOs for Class A common stock</w:t>
            </w:r>
          </w:p>
        </w:tc>
        <w:tc>
          <w:tcPr>
            <w:tcW w:w="8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from the assumed exchange of dilutive securities for Class A common stock</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Net income (loss) attributable to noncontrolling interests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outstanding—basic</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w:t>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29"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outstanding—diluted</w:t>
            </w:r>
          </w:p>
        </w:tc>
        <w:tc>
          <w:tcPr>
            <w:tcW w:w="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w:t>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excluded from earnings (loss) per share of Class A common stock—diluted:</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w:t>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w:t>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PSUs</w:t>
            </w:r>
            <w:r>
              <w:rPr>
                <w:rFonts w:ascii="Times New Roman;serif" w:hAnsi="Times New Roman;serif"/>
                <w:b w:val="false"/>
                <w:color w:val="000000"/>
                <w:sz w:val="13"/>
              </w:rPr>
              <w:t>(1)</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w:t>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earnings (loss) per share of Class A common stock—diluted</w:t>
            </w:r>
          </w:p>
        </w:tc>
        <w:tc>
          <w:tcPr>
            <w:tcW w:w="97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56,523</w:t>
            </w:r>
          </w:p>
        </w:tc>
      </w:tr>
    </w:tbl>
    <w:p>
      <w:pPr>
        <w:pStyle w:val="TextBody"/>
        <w:bidi w:val="0"/>
        <w:spacing w:lineRule="auto" w:line="288" w:before="120" w:after="283"/>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(1)Number of securities outstanding at the end of the period that were excluded from the computation of diluted earnings (loss) per share of Class A common stock because the performance conditions associated with these awards were not met assuming the end of the reporting period was the end of the performance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231F20"/>
          <w:sz w:val="24"/>
        </w:rPr>
        <w:t xml:space="preserve">13. </w:t>
      </w:r>
      <w:r>
        <w:rPr>
          <w:rFonts w:ascii="Times New Roman;serif" w:hAnsi="Times New Roman;serif"/>
          <w:b/>
          <w:i/>
          <w:color w:val="231F20"/>
          <w:sz w:val="24"/>
        </w:rPr>
        <w:t>Noncontrolling Interests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Times New Roman;serif" w:hAnsi="Times New Roman;serif"/>
          <w:b w:val="false"/>
          <w:color w:val="000000"/>
          <w:sz w:val="20"/>
          <w:shd w:fill="FFFFFF" w:val="clear"/>
        </w:rPr>
        <w:t xml:space="preserve">The limited liability company agreement of Viant Technology LLC, as amended and restated, </w:t>
      </w:r>
      <w:r>
        <w:rPr>
          <w:rFonts w:ascii="Times New Roman;serif" w:hAnsi="Times New Roman;serif"/>
          <w:b w:val="false"/>
          <w:color w:val="000000"/>
          <w:sz w:val="20"/>
        </w:rPr>
        <w:t xml:space="preserve">classifies the interests acquired by the Company as Class A units and the interests held by the continuing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jc w:val="left"/>
        <w:rPr/>
      </w:pPr>
      <w:r>
        <w:rPr>
          <w:rFonts w:ascii="Times New Roman;serif" w:hAnsi="Times New Roman;serif"/>
          <w:b w:val="false"/>
          <w:color w:val="000000"/>
          <w:sz w:val="20"/>
        </w:rPr>
        <w:t xml:space="preserve">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serif" w:hAnsi="Times New Roman;serif"/>
          <w:b w:val="false"/>
          <w:color w:val="231F20"/>
          <w:sz w:val="20"/>
        </w:rPr>
        <w:t>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will result in a change in ownership, where the Company will rebalance the noncontrolling interest, offset by a change in additional-paid-in-capital.</w:t>
      </w:r>
    </w:p>
    <w:p>
      <w:pPr>
        <w:pStyle w:val="TextBody"/>
        <w:bidi w:val="0"/>
        <w:spacing w:lineRule="auto" w:line="288" w:before="120" w:after="283"/>
        <w:ind w:left="0" w:right="0" w:firstLine="540"/>
        <w:jc w:val="left"/>
        <w:rPr/>
      </w:pPr>
      <w:r>
        <w:rPr>
          <w:rFonts w:ascii="Times New Roman;serif" w:hAnsi="Times New Roman;serif"/>
          <w:b w:val="false"/>
          <w:color w:val="000000"/>
          <w:sz w:val="20"/>
        </w:rPr>
        <w:t>The following table summarizes the ownership of Viant Technology LLC:</w:t>
      </w:r>
      <w:r>
        <w:rPr>
          <w:color w:val="000000"/>
        </w:rPr>
        <w:t xml:space="preserve"> </w:t>
      </w:r>
    </w:p>
    <w:tbl>
      <w:tblPr>
        <w:tblW w:w="10031" w:type="dxa"/>
        <w:jc w:val="center"/>
        <w:tblInd w:w="0" w:type="dxa"/>
        <w:tblLayout w:type="fixed"/>
        <w:tblCellMar>
          <w:top w:w="28" w:type="dxa"/>
          <w:left w:w="28" w:type="dxa"/>
          <w:bottom w:w="28" w:type="dxa"/>
          <w:right w:w="28" w:type="dxa"/>
        </w:tblCellMar>
      </w:tblPr>
      <w:tblGrid>
        <w:gridCol w:w="758"/>
        <w:gridCol w:w="667"/>
        <w:gridCol w:w="674"/>
        <w:gridCol w:w="389"/>
        <w:gridCol w:w="389"/>
        <w:gridCol w:w="391"/>
        <w:gridCol w:w="166"/>
        <w:gridCol w:w="166"/>
        <w:gridCol w:w="166"/>
        <w:gridCol w:w="457"/>
        <w:gridCol w:w="457"/>
        <w:gridCol w:w="1140"/>
        <w:gridCol w:w="109"/>
        <w:gridCol w:w="109"/>
        <w:gridCol w:w="109"/>
        <w:gridCol w:w="389"/>
        <w:gridCol w:w="389"/>
        <w:gridCol w:w="391"/>
        <w:gridCol w:w="205"/>
        <w:gridCol w:w="205"/>
        <w:gridCol w:w="205"/>
        <w:gridCol w:w="427"/>
        <w:gridCol w:w="427"/>
        <w:gridCol w:w="1246"/>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Owner</w:t>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 Owned</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Ownership 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 Owned</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Ownership Percentage </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Viant Technology Inc.</w:t>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21,052,546</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1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17,593,198</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45,402,216</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45,717,216</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6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66,454,762</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63,310,414</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three and six</w:t>
      </w:r>
      <w:r>
        <w:rPr>
          <w:color w:val="231F20"/>
        </w:rPr>
        <w:t xml:space="preserve"> </w:t>
      </w:r>
      <w:r>
        <w:rPr>
          <w:rFonts w:ascii="Times New Roman;serif" w:hAnsi="Times New Roman;serif"/>
          <w:b w:val="false"/>
          <w:color w:val="231F20"/>
          <w:sz w:val="20"/>
        </w:rPr>
        <w:t xml:space="preserve">months ended June 30, 2026, </w:t>
      </w:r>
      <w:r>
        <w:rPr>
          <w:rFonts w:ascii="Times New Roman;serif" w:hAnsi="Times New Roman;serif"/>
          <w:b w:val="false"/>
          <w:color w:val="000000"/>
          <w:sz w:val="20"/>
        </w:rPr>
        <w:t xml:space="preserve">noncontrolling interests exchanged 157,500 and 315,000 Class B units of Viant Technology LLC, respectively, for 157,500 and 315,000 shares of the Company’s Class A common stock, respectively, which also resulted in the cancellation of 157,500 and 315,000 shares of the Company's Class B common stock, respectively, that were previously held by noncontrolling interests with no additional consideration provided. </w:t>
      </w:r>
      <w:r>
        <w:rPr>
          <w:rFonts w:ascii="Times New Roman;serif" w:hAnsi="Times New Roman;serif"/>
          <w:b w:val="false"/>
          <w:color w:val="231F20"/>
          <w:sz w:val="20"/>
        </w:rPr>
        <w:t xml:space="preserve">During the </w:t>
      </w:r>
      <w:r>
        <w:rPr>
          <w:rFonts w:ascii="Times New Roman;serif" w:hAnsi="Times New Roman;serif"/>
          <w:b w:val="false"/>
          <w:color w:val="000000"/>
          <w:sz w:val="20"/>
        </w:rPr>
        <w:t>three and six</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June 30, 2025</w:t>
      </w:r>
      <w:r>
        <w:rPr>
          <w:rFonts w:ascii="Times New Roman;serif" w:hAnsi="Times New Roman;serif"/>
          <w:b w:val="false"/>
          <w:color w:val="231F20"/>
          <w:sz w:val="20"/>
        </w:rPr>
        <w:t xml:space="preserve">, </w:t>
      </w:r>
      <w:r>
        <w:rPr>
          <w:rFonts w:ascii="Times New Roman;serif" w:hAnsi="Times New Roman;serif"/>
          <w:b w:val="false"/>
          <w:color w:val="000000"/>
          <w:sz w:val="20"/>
        </w:rPr>
        <w:t>noncontrolling interests exchanged 23,719 and 57,348 Class B units of Viant Technology LLC, respectively, for 23,719 and 57,348 shares of the Company’s Class A common stock, respectively, which also resulted in the cancellation of 23,719 and 57,348 shares of the Company's Class B common stock, respectively, that were previously held by noncontrolling interests with no additional consideration provided.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changes in the Company’s ownership interest in Viant Technology LLC on the Company’s equity for the periods indicated:</w:t>
      </w:r>
    </w:p>
    <w:tbl>
      <w:tblPr>
        <w:tblW w:w="10205" w:type="dxa"/>
        <w:jc w:val="center"/>
        <w:tblInd w:w="0" w:type="dxa"/>
        <w:tblLayout w:type="fixed"/>
        <w:tblCellMar>
          <w:top w:w="28" w:type="dxa"/>
          <w:left w:w="28" w:type="dxa"/>
          <w:bottom w:w="28" w:type="dxa"/>
          <w:right w:w="28" w:type="dxa"/>
        </w:tblCellMar>
      </w:tblPr>
      <w:tblGrid>
        <w:gridCol w:w="2359"/>
        <w:gridCol w:w="1461"/>
        <w:gridCol w:w="1465"/>
        <w:gridCol w:w="211"/>
        <w:gridCol w:w="653"/>
        <w:gridCol w:w="109"/>
        <w:gridCol w:w="109"/>
        <w:gridCol w:w="109"/>
        <w:gridCol w:w="109"/>
        <w:gridCol w:w="211"/>
        <w:gridCol w:w="653"/>
        <w:gridCol w:w="109"/>
        <w:gridCol w:w="109"/>
        <w:gridCol w:w="109"/>
        <w:gridCol w:w="109"/>
        <w:gridCol w:w="211"/>
        <w:gridCol w:w="653"/>
        <w:gridCol w:w="109"/>
        <w:gridCol w:w="109"/>
        <w:gridCol w:w="109"/>
        <w:gridCol w:w="109"/>
        <w:gridCol w:w="211"/>
        <w:gridCol w:w="653"/>
        <w:gridCol w:w="156"/>
      </w:tblGrid>
      <w:tr>
        <w:trPr/>
        <w:tc>
          <w:tcPr>
            <w:tcW w:w="235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to noncontrolling interests:</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the additional-paid-in-capital of Viant Technology Inc. resulting from ownership changes in Viant Technology LLC</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(loss) attributable to Viant Technology Inc. and transfers to noncontrolling interests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4"/>
        </w:rPr>
        <w:t xml:space="preserve">14. </w:t>
      </w:r>
      <w:r>
        <w:rPr>
          <w:rFonts w:ascii="Times New Roman;serif" w:hAnsi="Times New Roman;serif"/>
          <w:b/>
          <w:i/>
          <w:color w:val="000000"/>
          <w:sz w:val="24"/>
        </w:rPr>
        <w:t>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had non-cancelable operating lease commitments for office space that have been recorded as operating lease liabilities. Refer to Note 5—Leases for additional information regarding lease commitments.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Hosting Commitments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had non-cancelable contractual agreements primarily related to the hosting of our data storage, processing and other computing services. As of June 30, 2026, we estimate these obligations to be approximately $7.8 million for the remainder of 2026, $12.2 million in 2027, and $3.0 million in 2028.</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0" w:after="0"/>
        <w:ind w:left="0" w:right="0" w:firstLine="540"/>
        <w:jc w:val="center"/>
        <w:rPr/>
      </w:pPr>
      <w:r>
        <w:rPr/>
      </w:r>
    </w:p>
    <w:p>
      <w:pPr>
        <w:pStyle w:val="TextBody"/>
        <w:bidi w:val="0"/>
        <w:spacing w:before="120" w:after="283"/>
        <w:ind w:left="0" w:right="0" w:firstLine="540"/>
        <w:jc w:val="center"/>
        <w:rPr/>
      </w:pPr>
      <w:r>
        <w:rPr/>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 xml:space="preserve">On January 14, 2022, The Nielsen Company (US), LLC ("Nielsen") filed a complaint in the District of Delaware alleging that TVision infringes on one of Nielsen’s patents by utilizing certain content recognition tools provided by ACRCloud. In June 2026, the jury returned a unanimous verdict of non-infringement in favor of TVision.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Guarantees and Indemnities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pPr>
      <w:r>
        <w:rPr>
          <w:rFonts w:ascii="Times New Roman;serif" w:hAnsi="Times New Roman;serif"/>
          <w:b w:val="false"/>
          <w:i/>
          <w:color w:val="231F20"/>
          <w:sz w:val="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w:t>
      </w:r>
      <w:r>
        <w:rPr>
          <w:rFonts w:ascii="Times New Roman;serif" w:hAnsi="Times New Roman;serif"/>
          <w:b w:val="false"/>
          <w:i/>
          <w:color w:val="000000"/>
          <w:sz w:val="20"/>
        </w:rPr>
        <w:t>terly Report on Form 10-Q (</w:t>
      </w:r>
      <w:r>
        <w:rPr>
          <w:color w:val="231F20"/>
        </w:rPr>
        <w:t>“</w:t>
      </w:r>
      <w:r>
        <w:rPr>
          <w:rFonts w:ascii="Times New Roman;serif" w:hAnsi="Times New Roman;serif"/>
          <w:b w:val="false"/>
          <w:i/>
          <w:color w:val="000000"/>
          <w:sz w:val="20"/>
        </w:rPr>
        <w:t>Quarterly Report</w:t>
      </w:r>
      <w:r>
        <w:rPr>
          <w:color w:val="231F20"/>
        </w:rPr>
        <w:t>”</w:t>
      </w:r>
      <w:r>
        <w:rPr>
          <w:rFonts w:ascii="Times New Roman;serif" w:hAnsi="Times New Roman;serif"/>
          <w:b w:val="false"/>
          <w:i/>
          <w:color w:val="000000"/>
          <w:sz w:val="20"/>
        </w:rPr>
        <w:t xml:space="preserve">) and our audited consolidated financial statements and notes thereto and the related Management’s Discussion and Analysis of Financial Condition and Results of Operations included in our Annual Report on Form 10-K for the year ended December 31, 2025, which was filed with the Securities and Exchange Commission (“SEC”) on March 11, 2026.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headings </w:t>
      </w:r>
      <w:r>
        <w:rPr>
          <w:color w:val="000000"/>
        </w:rPr>
        <w:t>“</w:t>
      </w:r>
      <w:r>
        <w:rPr>
          <w:rFonts w:ascii="Times New Roman;serif" w:hAnsi="Times New Roman;serif"/>
          <w:b w:val="false"/>
          <w:color w:val="000000"/>
          <w:sz w:val="20"/>
        </w:rPr>
        <w:t>Special Note Regarding Forward-Looking Statements”</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color w:val="000000"/>
          <w:sz w:val="20"/>
        </w:rPr>
        <w:t>Risk Factors”</w:t>
      </w:r>
      <w:r>
        <w:rPr>
          <w:color w:val="000000"/>
        </w:rPr>
        <w:t xml:space="preserve"> </w:t>
      </w:r>
      <w:r>
        <w:rPr>
          <w:rFonts w:ascii="Times New Roman;serif" w:hAnsi="Times New Roman;serif"/>
          <w:b w:val="false"/>
          <w:i/>
          <w:color w:val="000000"/>
          <w:sz w:val="20"/>
        </w:rPr>
        <w:t>and discussed elsewhere in this Quarterly Report.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Overview</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We are an advertising technology company. Our cloud-based demand side platform (“DSP”) enables the programmatic purchase of advertising, which is the electronification of the digital advertising buying process. Our proprietary data, measurement, AI and other technology-enabled solutions enhance advertising planning, execution and performance. Programmatic advertising is rapidly taking market share from traditional ad sales channels, which require more staffing, offer less transparency and involve higher costs to buyers.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Our DSP is used by marketers and their advertising agencies to centralize the planning, buying and measurement of their digital advertising across most channels. Through our omnichannel platform, a marketer can easily buy ads on connected TV ("CTV"), streaming audio, digital out-of-home, mobile and desktop.</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Additionally, our artificial intelligence product suite, ViantAI, is the foundational component of our long-term vision for autonomous advertising. We expect it to power every stage of the programmatic advertising lifecycle and create the most efficient and cost-effective experience for our customers. Our ViantAI suite currently includes AI Planning, which enables media planners to design high-impact campaigns in seconds, AI Bidding, which optimizes inventory costs by lowering the effective cost per mille ("eCPM") through automated bid adjustments, AI Measurement and Analysis, which provides accessible measurement and insights via a user-friendly chat interface, and recently released AI Decisioning, which automates planning, execution, measurement and dynamic optimization of campaigns in real-time. The launch of AI Decisioning was accompanied by the introduction of Outcomes, our autonomous advertising performance solution that utilizes each of the four phases of ViantAI, and various signals within our intelligence layer, to build and execute campaigns designed to deliver an optimal outcome.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DSP is an easy-to-use self-service platform that provides our customers with transparency and control over their advertising campaigns. Customers can choose to maintain hands-on control over every campaign detail or have our platform autonomously execute, optimize and measure their advertising investments. Our platform offers customers unique visibility across a variety of inventory, allowing them to create customized audience segments and leverage our proprietary data and addressability solutions, including Household ID ("HHID"), IRIS_ID, and attention signals, as well as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across channels, a feature we believe helps us grow our customer base as more customers recognize its benefits. </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We generate revenue from </w:t>
      </w:r>
      <w:r>
        <w:rPr>
          <w:rFonts w:ascii="Times New Roman;serif" w:hAnsi="Times New Roman;serif"/>
          <w:b w:val="false"/>
          <w:color w:val="000000"/>
          <w:sz w:val="20"/>
          <w:shd w:fill="FFFFFF" w:val="clear"/>
        </w:rPr>
        <w:t xml:space="preserve">platform fees and fees related to the purchase of our proprietary data, measurement, and technology service offerings pursuant to agreements that enable a wide variety of marketers and their agencies to select the mix of pricing and service options that suits their unique business and </w:t>
      </w:r>
      <w:r>
        <w:rPr>
          <w:rFonts w:ascii="Times New Roman;serif" w:hAnsi="Times New Roman;serif"/>
          <w:b w:val="false"/>
          <w:color w:val="231F20"/>
          <w:sz w:val="20"/>
        </w:rPr>
        <w:t>advertising needs</w:t>
      </w:r>
      <w:r>
        <w:rPr>
          <w:rFonts w:ascii="Times New Roman;serif" w:hAnsi="Times New Roman;serif"/>
          <w:b w:val="false"/>
          <w:color w:val="000000"/>
          <w:sz w:val="20"/>
          <w:shd w:fill="FFFFFF" w:val="clear"/>
        </w:rPr>
        <w:t>.</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Our platform pricing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serif" w:hAnsi="Times New Roman;serif"/>
          <w:b w:val="false"/>
          <w:color w:val="000000"/>
          <w:sz w:val="20"/>
          <w:shd w:fill="FFFFFF" w:val="clear"/>
        </w:rPr>
        <w:t>percentage of spend. Customers who prefer to use our fixed CPM pricing option enter into insertion order (“IO”) arrangements with us,</w:t>
      </w:r>
      <w:r>
        <w:rPr>
          <w:color w:val="231F20"/>
        </w:rPr>
        <w:t xml:space="preserve"> </w:t>
      </w:r>
      <w:r>
        <w:rPr>
          <w:rFonts w:ascii="Times New Roman;serif" w:hAnsi="Times New Roman;serif"/>
          <w:b w:val="false"/>
          <w:color w:val="231F20"/>
          <w:sz w:val="20"/>
        </w:rPr>
        <w:t xml:space="preserve">and we generate revenue by charging these customers a platform fee at a price for every 1,000 impressions an ad 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 </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 xml:space="preserve">We believe that offering a mix of pricing and service options provides greater flexibility for marketers and their advertising agencies seeking to plan, buy and measure programmatic campaigns using our platform and related data, measurement and technology-enabled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120" w:after="283"/>
        <w:ind w:left="0" w:right="0" w:hanging="360"/>
        <w:jc w:val="left"/>
        <w:rPr/>
      </w:pPr>
      <w:r>
        <w:rPr>
          <w:rFonts w:ascii="Times New Roman;serif" w:hAnsi="Times New Roman;serif"/>
          <w:b w:val="false"/>
          <w:color w:val="231F20"/>
          <w:sz w:val="20"/>
        </w:rPr>
        <w:t xml:space="preserve">Our financial results for the three 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and 2025, respectively, include: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Revenue of $104.3 million and $77.9 million, representing an increase of 34%;</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Gross profit of $45.5 million and $35.9 million, representing an increase of 27%;</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Contribution ex-TAC</w:t>
      </w:r>
      <w:r>
        <w:rPr>
          <w:rFonts w:ascii="Times New Roman;serif" w:hAnsi="Times New Roman;serif"/>
          <w:b w:val="false"/>
          <w:color w:val="231F20"/>
          <w:sz w:val="13"/>
        </w:rPr>
        <w:t>(1)</w:t>
      </w:r>
      <w:r>
        <w:rPr>
          <w:color w:val="231F20"/>
        </w:rPr>
        <w:t xml:space="preserve"> </w:t>
      </w:r>
      <w:r>
        <w:rPr>
          <w:rFonts w:ascii="Times New Roman;serif" w:hAnsi="Times New Roman;serif"/>
          <w:b w:val="false"/>
          <w:color w:val="231F20"/>
          <w:sz w:val="20"/>
        </w:rPr>
        <w:t>of $60.2 million and $48.4 million, representing an increase of 24%;</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 xml:space="preserve">Net income (loss) of $(1.8) million and $1.8 million, representing a decrease of 203%;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Non-GAAP net income</w:t>
      </w:r>
      <w:r>
        <w:rPr>
          <w:rFonts w:ascii="Times New Roman;serif" w:hAnsi="Times New Roman;serif"/>
          <w:b w:val="false"/>
          <w:color w:val="231F20"/>
          <w:sz w:val="13"/>
        </w:rPr>
        <w:t>(1)</w:t>
      </w:r>
      <w:r>
        <w:rPr>
          <w:color w:val="231F20"/>
        </w:rPr>
        <w:t xml:space="preserve"> </w:t>
      </w:r>
      <w:r>
        <w:rPr>
          <w:rFonts w:ascii="Times New Roman;serif" w:hAnsi="Times New Roman;serif"/>
          <w:b w:val="false"/>
          <w:color w:val="231F20"/>
          <w:sz w:val="20"/>
        </w:rPr>
        <w:t>of $9.9 million and $8.0 million, representing an increase of 23%;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Adjusted EBITDA</w:t>
      </w:r>
      <w:r>
        <w:rPr>
          <w:rFonts w:ascii="Times New Roman;serif" w:hAnsi="Times New Roman;serif"/>
          <w:b w:val="false"/>
          <w:color w:val="231F20"/>
          <w:sz w:val="13"/>
        </w:rPr>
        <w:t>(1)</w:t>
      </w:r>
      <w:r>
        <w:rPr>
          <w:color w:val="231F20"/>
        </w:rPr>
        <w:t xml:space="preserve"> </w:t>
      </w:r>
      <w:r>
        <w:rPr>
          <w:rFonts w:ascii="Times New Roman;serif" w:hAnsi="Times New Roman;serif"/>
          <w:b w:val="false"/>
          <w:color w:val="231F20"/>
          <w:sz w:val="20"/>
        </w:rPr>
        <w:t>of $14.2 million and $11.3 million, representing an increase of 26%.</w:t>
      </w:r>
    </w:p>
    <w:p>
      <w:pPr>
        <w:pStyle w:val="TextBody"/>
        <w:bidi w:val="0"/>
        <w:spacing w:lineRule="auto" w:line="288" w:before="120" w:after="283"/>
        <w:ind w:left="0" w:right="0" w:hanging="360"/>
        <w:jc w:val="left"/>
        <w:rPr/>
      </w:pPr>
      <w:r>
        <w:rPr>
          <w:rFonts w:ascii="Times New Roman;serif" w:hAnsi="Times New Roman;serif"/>
          <w:b w:val="false"/>
          <w:color w:val="231F20"/>
          <w:sz w:val="20"/>
        </w:rPr>
        <w:t xml:space="preserve">Our financial results for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and 2025, respectively, include: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 xml:space="preserve">Revenue of </w:t>
      </w:r>
      <w:r>
        <w:rPr>
          <w:rFonts w:ascii="Times New Roman;serif" w:hAnsi="Times New Roman;serif"/>
          <w:b w:val="false"/>
          <w:color w:val="000000"/>
          <w:sz w:val="20"/>
        </w:rPr>
        <w:t>$192.8</w:t>
      </w:r>
      <w:r>
        <w:rPr>
          <w:color w:val="231F20"/>
        </w:rPr>
        <w:t xml:space="preserve"> </w:t>
      </w:r>
      <w:r>
        <w:rPr>
          <w:rFonts w:ascii="Times New Roman;serif" w:hAnsi="Times New Roman;serif"/>
          <w:b w:val="false"/>
          <w:color w:val="231F20"/>
          <w:sz w:val="20"/>
        </w:rPr>
        <w:t xml:space="preserve">million and </w:t>
      </w:r>
      <w:r>
        <w:rPr>
          <w:rFonts w:ascii="Times New Roman;serif" w:hAnsi="Times New Roman;serif"/>
          <w:b w:val="false"/>
          <w:color w:val="000000"/>
          <w:sz w:val="20"/>
        </w:rPr>
        <w:t>$148.5</w:t>
      </w:r>
      <w:r>
        <w:rPr>
          <w:color w:val="231F20"/>
        </w:rPr>
        <w:t xml:space="preserve"> </w:t>
      </w:r>
      <w:r>
        <w:rPr>
          <w:rFonts w:ascii="Times New Roman;serif" w:hAnsi="Times New Roman;serif"/>
          <w:b w:val="false"/>
          <w:color w:val="231F20"/>
          <w:sz w:val="20"/>
        </w:rPr>
        <w:t xml:space="preserve">million, representing </w:t>
      </w:r>
      <w:r>
        <w:rPr>
          <w:rFonts w:ascii="Times New Roman;serif" w:hAnsi="Times New Roman;serif"/>
          <w:b w:val="false"/>
          <w:color w:val="000000"/>
          <w:sz w:val="20"/>
        </w:rPr>
        <w:t>an increase</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30%</w:t>
      </w:r>
      <w:r>
        <w:rPr>
          <w:rFonts w:ascii="Times New Roman;serif" w:hAnsi="Times New Roman;serif"/>
          <w:b w:val="false"/>
          <w:color w:val="231F20"/>
          <w:sz w:val="20"/>
        </w:rPr>
        <w:t>;</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 xml:space="preserve">Gross profit of </w:t>
      </w:r>
      <w:r>
        <w:rPr>
          <w:rFonts w:ascii="Times New Roman;serif" w:hAnsi="Times New Roman;serif"/>
          <w:b w:val="false"/>
          <w:color w:val="000000"/>
          <w:sz w:val="20"/>
        </w:rPr>
        <w:t xml:space="preserve">$81.9 </w:t>
      </w:r>
      <w:r>
        <w:rPr>
          <w:rFonts w:ascii="Times New Roman;serif" w:hAnsi="Times New Roman;serif"/>
          <w:b w:val="false"/>
          <w:color w:val="231F20"/>
          <w:sz w:val="20"/>
        </w:rPr>
        <w:t xml:space="preserve">million and </w:t>
      </w:r>
      <w:r>
        <w:rPr>
          <w:rFonts w:ascii="Times New Roman;serif" w:hAnsi="Times New Roman;serif"/>
          <w:b w:val="false"/>
          <w:color w:val="000000"/>
          <w:sz w:val="20"/>
        </w:rPr>
        <w:t>$66.4</w:t>
      </w:r>
      <w:r>
        <w:rPr>
          <w:color w:val="231F20"/>
        </w:rPr>
        <w:t xml:space="preserve"> </w:t>
      </w:r>
      <w:r>
        <w:rPr>
          <w:rFonts w:ascii="Times New Roman;serif" w:hAnsi="Times New Roman;serif"/>
          <w:b w:val="false"/>
          <w:color w:val="231F20"/>
          <w:sz w:val="20"/>
        </w:rPr>
        <w:t xml:space="preserve">million, representing </w:t>
      </w:r>
      <w:r>
        <w:rPr>
          <w:rFonts w:ascii="Times New Roman;serif" w:hAnsi="Times New Roman;serif"/>
          <w:b w:val="false"/>
          <w:color w:val="000000"/>
          <w:sz w:val="20"/>
        </w:rPr>
        <w:t>an increase</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23%</w:t>
      </w:r>
      <w:r>
        <w:rPr>
          <w:rFonts w:ascii="Times New Roman;serif" w:hAnsi="Times New Roman;serif"/>
          <w:b w:val="false"/>
          <w:color w:val="231F20"/>
          <w:sz w:val="20"/>
        </w:rPr>
        <w:t>;</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Contribution ex-TAC</w:t>
      </w:r>
      <w:r>
        <w:rPr>
          <w:rFonts w:ascii="Times New Roman;serif" w:hAnsi="Times New Roman;serif"/>
          <w:b w:val="false"/>
          <w:color w:val="231F20"/>
          <w:sz w:val="13"/>
        </w:rPr>
        <w:t>(1)</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 xml:space="preserve">$110.5 </w:t>
      </w:r>
      <w:r>
        <w:rPr>
          <w:rFonts w:ascii="Times New Roman;serif" w:hAnsi="Times New Roman;serif"/>
          <w:b w:val="false"/>
          <w:color w:val="231F20"/>
          <w:sz w:val="20"/>
        </w:rPr>
        <w:t xml:space="preserve">million and </w:t>
      </w:r>
      <w:r>
        <w:rPr>
          <w:rFonts w:ascii="Times New Roman;serif" w:hAnsi="Times New Roman;serif"/>
          <w:b w:val="false"/>
          <w:color w:val="000000"/>
          <w:sz w:val="20"/>
        </w:rPr>
        <w:t>$91.1</w:t>
      </w:r>
      <w:r>
        <w:rPr>
          <w:color w:val="231F20"/>
        </w:rPr>
        <w:t xml:space="preserve"> </w:t>
      </w:r>
      <w:r>
        <w:rPr>
          <w:rFonts w:ascii="Times New Roman;serif" w:hAnsi="Times New Roman;serif"/>
          <w:b w:val="false"/>
          <w:color w:val="231F20"/>
          <w:sz w:val="20"/>
        </w:rPr>
        <w:t xml:space="preserve">million, representing </w:t>
      </w:r>
      <w:r>
        <w:rPr>
          <w:rFonts w:ascii="Times New Roman;serif" w:hAnsi="Times New Roman;serif"/>
          <w:b w:val="false"/>
          <w:color w:val="000000"/>
          <w:sz w:val="20"/>
        </w:rPr>
        <w:t>an increase</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21%</w:t>
      </w:r>
      <w:r>
        <w:rPr>
          <w:rFonts w:ascii="Times New Roman;serif" w:hAnsi="Times New Roman;serif"/>
          <w:b w:val="false"/>
          <w:color w:val="231F20"/>
          <w:sz w:val="20"/>
        </w:rPr>
        <w:t>;</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 xml:space="preserve">Net loss of </w:t>
      </w:r>
      <w:r>
        <w:rPr>
          <w:rFonts w:ascii="Times New Roman;serif" w:hAnsi="Times New Roman;serif"/>
          <w:b w:val="false"/>
          <w:color w:val="000000"/>
          <w:sz w:val="20"/>
        </w:rPr>
        <w:t xml:space="preserve">$(4.0) </w:t>
      </w:r>
      <w:r>
        <w:rPr>
          <w:rFonts w:ascii="Times New Roman;serif" w:hAnsi="Times New Roman;serif"/>
          <w:b w:val="false"/>
          <w:color w:val="231F20"/>
          <w:sz w:val="20"/>
        </w:rPr>
        <w:t xml:space="preserve">million and </w:t>
      </w:r>
      <w:r>
        <w:rPr>
          <w:rFonts w:ascii="Times New Roman;serif" w:hAnsi="Times New Roman;serif"/>
          <w:b w:val="false"/>
          <w:color w:val="000000"/>
          <w:sz w:val="20"/>
        </w:rPr>
        <w:t>$(1.5)</w:t>
      </w:r>
      <w:r>
        <w:rPr>
          <w:color w:val="231F20"/>
        </w:rPr>
        <w:t xml:space="preserve"> </w:t>
      </w:r>
      <w:r>
        <w:rPr>
          <w:rFonts w:ascii="Times New Roman;serif" w:hAnsi="Times New Roman;serif"/>
          <w:b w:val="false"/>
          <w:color w:val="231F20"/>
          <w:sz w:val="20"/>
        </w:rPr>
        <w:t xml:space="preserve">million, representing </w:t>
      </w:r>
      <w:r>
        <w:rPr>
          <w:rFonts w:ascii="Times New Roman;serif" w:hAnsi="Times New Roman;serif"/>
          <w:b w:val="false"/>
          <w:color w:val="000000"/>
          <w:sz w:val="20"/>
        </w:rPr>
        <w:t>an increase</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165%</w:t>
      </w:r>
      <w:r>
        <w:rPr>
          <w:rFonts w:ascii="Times New Roman;serif" w:hAnsi="Times New Roman;serif"/>
          <w:b w:val="false"/>
          <w:color w:val="231F20"/>
          <w:sz w:val="20"/>
        </w:rPr>
        <w:t xml:space="preserve">;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Non-GAAP net income</w:t>
      </w:r>
      <w:r>
        <w:rPr>
          <w:rFonts w:ascii="Times New Roman;serif" w:hAnsi="Times New Roman;serif"/>
          <w:b w:val="false"/>
          <w:color w:val="231F20"/>
          <w:sz w:val="13"/>
        </w:rPr>
        <w:t>(1)</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 xml:space="preserve">$15.5 </w:t>
      </w:r>
      <w:r>
        <w:rPr>
          <w:rFonts w:ascii="Times New Roman;serif" w:hAnsi="Times New Roman;serif"/>
          <w:b w:val="false"/>
          <w:color w:val="231F20"/>
          <w:sz w:val="20"/>
        </w:rPr>
        <w:t xml:space="preserve">million and </w:t>
      </w:r>
      <w:r>
        <w:rPr>
          <w:rFonts w:ascii="Times New Roman;serif" w:hAnsi="Times New Roman;serif"/>
          <w:b w:val="false"/>
          <w:color w:val="000000"/>
          <w:sz w:val="20"/>
        </w:rPr>
        <w:t>$10.8</w:t>
      </w:r>
      <w:r>
        <w:rPr>
          <w:color w:val="231F20"/>
        </w:rPr>
        <w:t xml:space="preserve"> </w:t>
      </w:r>
      <w:r>
        <w:rPr>
          <w:rFonts w:ascii="Times New Roman;serif" w:hAnsi="Times New Roman;serif"/>
          <w:b w:val="false"/>
          <w:color w:val="231F20"/>
          <w:sz w:val="20"/>
        </w:rPr>
        <w:t xml:space="preserve">million, representing </w:t>
      </w:r>
      <w:r>
        <w:rPr>
          <w:rFonts w:ascii="Times New Roman;serif" w:hAnsi="Times New Roman;serif"/>
          <w:b w:val="false"/>
          <w:color w:val="000000"/>
          <w:sz w:val="20"/>
        </w:rPr>
        <w:t xml:space="preserve">an increase </w:t>
      </w:r>
      <w:r>
        <w:rPr>
          <w:rFonts w:ascii="Times New Roman;serif" w:hAnsi="Times New Roman;serif"/>
          <w:b w:val="false"/>
          <w:color w:val="231F20"/>
          <w:sz w:val="20"/>
        </w:rPr>
        <w:t xml:space="preserve">of </w:t>
      </w:r>
      <w:r>
        <w:rPr>
          <w:rFonts w:ascii="Times New Roman;serif" w:hAnsi="Times New Roman;serif"/>
          <w:b w:val="false"/>
          <w:color w:val="000000"/>
          <w:sz w:val="20"/>
        </w:rPr>
        <w:t>44%</w:t>
      </w:r>
      <w:r>
        <w:rPr>
          <w:rFonts w:ascii="Times New Roman;serif" w:hAnsi="Times New Roman;serif"/>
          <w:b w:val="false"/>
          <w:color w:val="231F20"/>
          <w:sz w:val="20"/>
        </w:rPr>
        <w:t>;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Adjusted EBITDA</w:t>
      </w:r>
      <w:r>
        <w:rPr>
          <w:rFonts w:ascii="Times New Roman;serif" w:hAnsi="Times New Roman;serif"/>
          <w:b w:val="false"/>
          <w:color w:val="231F20"/>
          <w:sz w:val="13"/>
        </w:rPr>
        <w:t>(1)</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 xml:space="preserve">$24.0 </w:t>
      </w:r>
      <w:r>
        <w:rPr>
          <w:rFonts w:ascii="Times New Roman;serif" w:hAnsi="Times New Roman;serif"/>
          <w:b w:val="false"/>
          <w:color w:val="231F20"/>
          <w:sz w:val="20"/>
        </w:rPr>
        <w:t xml:space="preserve">million and </w:t>
      </w:r>
      <w:r>
        <w:rPr>
          <w:rFonts w:ascii="Times New Roman;serif" w:hAnsi="Times New Roman;serif"/>
          <w:b w:val="false"/>
          <w:color w:val="000000"/>
          <w:sz w:val="20"/>
        </w:rPr>
        <w:t>$16.7</w:t>
      </w:r>
      <w:r>
        <w:rPr>
          <w:color w:val="231F20"/>
        </w:rPr>
        <w:t xml:space="preserve"> </w:t>
      </w:r>
      <w:r>
        <w:rPr>
          <w:rFonts w:ascii="Times New Roman;serif" w:hAnsi="Times New Roman;serif"/>
          <w:b w:val="false"/>
          <w:color w:val="231F20"/>
          <w:sz w:val="20"/>
        </w:rPr>
        <w:t xml:space="preserve">million, representing </w:t>
      </w:r>
      <w:r>
        <w:rPr>
          <w:rFonts w:ascii="Times New Roman;serif" w:hAnsi="Times New Roman;serif"/>
          <w:b w:val="false"/>
          <w:color w:val="000000"/>
          <w:sz w:val="20"/>
        </w:rPr>
        <w:t>an increase</w:t>
      </w:r>
      <w:r>
        <w:rPr>
          <w:color w:val="231F20"/>
        </w:rPr>
        <w:t xml:space="preserve"> </w:t>
      </w:r>
      <w:r>
        <w:rPr>
          <w:rFonts w:ascii="Times New Roman;serif" w:hAnsi="Times New Roman;serif"/>
          <w:b w:val="false"/>
          <w:color w:val="231F20"/>
          <w:sz w:val="20"/>
        </w:rPr>
        <w:t xml:space="preserve">of </w:t>
      </w:r>
      <w:r>
        <w:rPr>
          <w:rFonts w:ascii="Times New Roman;serif" w:hAnsi="Times New Roman;serif"/>
          <w:b w:val="false"/>
          <w:color w:val="000000"/>
          <w:sz w:val="20"/>
        </w:rPr>
        <w:t>44%</w:t>
      </w:r>
      <w:r>
        <w:rPr>
          <w:rFonts w:ascii="Times New Roman;serif" w:hAnsi="Times New Roman;serif"/>
          <w:b w:val="false"/>
          <w:color w:val="231F20"/>
          <w:sz w:val="20"/>
        </w:rPr>
        <w:t>.</w:t>
      </w:r>
    </w:p>
    <w:p>
      <w:pPr>
        <w:pStyle w:val="TextBody"/>
        <w:bidi w:val="0"/>
        <w:spacing w:lineRule="auto" w:line="288" w:before="240" w:after="283"/>
        <w:ind w:left="0" w:right="0" w:hanging="360"/>
        <w:jc w:val="left"/>
        <w:rPr/>
      </w:pPr>
      <w:r>
        <w:rPr>
          <w:rFonts w:ascii="Times New Roman;serif" w:hAnsi="Times New Roman;serif"/>
          <w:b w:val="false"/>
          <w:color w:val="231F20"/>
          <w:sz w:val="20"/>
        </w:rPr>
        <w:t xml:space="preserve">(1)Contribution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generally accepted </w:t>
      </w:r>
      <w:r>
        <w:rPr>
          <w:rFonts w:ascii="Times New Roman;serif" w:hAnsi="Times New Roman;serif"/>
          <w:b w:val="false"/>
          <w:color w:val="000000"/>
          <w:sz w:val="20"/>
        </w:rPr>
        <w:t>accounting principles in the United States of America</w:t>
      </w:r>
      <w:r>
        <w:rPr>
          <w:color w:val="231F20"/>
        </w:rPr>
        <w:t xml:space="preserve"> </w:t>
      </w:r>
      <w:r>
        <w:rPr>
          <w:rFonts w:ascii="Times New Roman;serif" w:hAnsi="Times New Roman;serif"/>
          <w:b w:val="false"/>
          <w:color w:val="231F20"/>
          <w:sz w:val="20"/>
        </w:rPr>
        <w:t>(“GAAP”), see “</w:t>
      </w:r>
      <w:r>
        <w:rPr>
          <w:color w:val="231F20"/>
        </w:rPr>
        <w:t>—</w:t>
      </w:r>
      <w:r>
        <w:rPr>
          <w:rFonts w:ascii="Times New Roman;serif" w:hAnsi="Times New Roman;serif"/>
          <w:b w:val="false"/>
          <w:i/>
          <w:color w:val="231F20"/>
          <w:sz w:val="20"/>
        </w:rPr>
        <w:t>Key Operating and Financial Performance Measures—Use of Non-GAAP Financial Measures.</w:t>
      </w:r>
      <w:r>
        <w:rPr>
          <w:color w:val="231F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Factors Affecting Our Performance</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Attract, Retain and Grow our Customer Base</w:t>
      </w:r>
    </w:p>
    <w:p>
      <w:pPr>
        <w:pStyle w:val="TextBody"/>
        <w:bidi w:val="0"/>
        <w:spacing w:lineRule="auto" w:line="288" w:before="120" w:after="283"/>
        <w:ind w:left="0" w:right="0" w:firstLine="540"/>
        <w:jc w:val="left"/>
        <w:rPr/>
      </w:pPr>
      <w:r>
        <w:rPr>
          <w:rFonts w:ascii="Times New Roman;serif" w:hAnsi="Times New Roman;serif"/>
          <w:b w:val="false"/>
          <w:color w:val="231F20"/>
          <w:sz w:val="20"/>
        </w:rPr>
        <w:t>Our future growth depends on our ability to enhance and improve our offerings and platform to increase adoption and usage across our customer base, while also supporting ongoing customer acquisition. We believe many advertisers are in the early stages of moving a greater percentage of their advertising budgets to programmatic channels. By providing solutions for the planning, buying and measuring of their media spend acros</w:t>
      </w:r>
      <w:r>
        <w:rPr>
          <w:rFonts w:ascii="Times New Roman;serif" w:hAnsi="Times New Roman;serif"/>
          <w:b w:val="false"/>
          <w:color w:val="000000"/>
          <w:sz w:val="20"/>
        </w:rPr>
        <w:t>s most channels, we believe we are well-positioned to capture more of 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We believe ViantAI will support continued market share gains and contribute to the expansion of our total addressable market. Furthe</w:t>
      </w:r>
      <w:r>
        <w:rPr>
          <w:rFonts w:ascii="Times New Roman;serif" w:hAnsi="Times New Roman;serif"/>
          <w:b w:val="false"/>
          <w:color w:val="231F20"/>
          <w:sz w:val="20"/>
        </w:rPr>
        <w:t>r, we intend to continue to grow our sales and marketing efforts to increase awareness of our DSP and highlight the advantages of our proprietary data. On May 1, 2026, we completed our acquisition of TVision, adding attention measurement and data capabilities that we are integrating into our platform and broader product offerings alongside our existing measurement, data, content and identity capabilities. We believe these combined capabilities will enhance our measurement and optimization solutions and, over time, support increased adoption and usage of our platform.</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We have also experienced strengthening advertiser demand, reflected in broad-based activity across advertiser industry verticals, continued demand for CTV, increased utilization of our proprietary data and expanded use of the ViantAI product suite. We also continue to see engagement across our sales pipeline, including with enterprise brands, which we believe reflects advertiser interest in differentiated, independent and transparent buy-side alternatives. While the impact of these trends has varied and may continue to fluctuate from period-to-period, we believe they reflect ongoing interest in our platform and solutions, including our proprietary data and our CTV and AI-driven offerings.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We evaluate our financial performance based on changes in revenue and contribution ex-TAC. Separately, we use changes in advertiser spend as a qualitative indicator of our platform's market penetration. We define advertiser spend as the total amount billed to our customers for activity on our platform inclusive of the costs of advertising media, third-party data, other add-on features such as our proprietary data, measurement, and technology-enabled solutions, and our platform fee that we charge customers. For the six months ended June 30, 2026 compared to the six months ended June 30, 2025, our revenue grew 30%. We believe growing customer adoption of our newer products and platform features continued to drive incremental revenue, gross profit and contribution ex-TAC during the six months ended June 30, 2026. For a detailed discussion of our key operating measures, see “</w:t>
      </w:r>
      <w:r>
        <w:rPr>
          <w:color w:val="000000"/>
        </w:rPr>
        <w:t>—</w:t>
      </w:r>
      <w:r>
        <w:rPr>
          <w:rFonts w:ascii="Times New Roman;serif" w:hAnsi="Times New Roman;serif"/>
          <w:b w:val="false"/>
          <w:i/>
          <w:color w:val="000000"/>
          <w:sz w:val="20"/>
        </w:rPr>
        <w:t>Key Operating and Financial Performance Measures—Use of Non-GAAP Financial Measures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Investment in Growth</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and in sales and marketing to acquire new customers and increase our customers’ usage of our platform and related offerings. We believe that these investments will contribute to our long-term growth.</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Impact of Macroeconomic and Geopolitical Conditions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Macroeconomic conditions and geopolitical events, such as pandemics, inflation, high interest rates, tariffs, international trade conflicts, tightening of credit markets, recession risks, labor shortages, supply chain disruptions, political cycles, changes in laws and interpretations of laws, changes in the volume and relative mix of U.S. government spending, cost-cutting and efficiency initiatives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customers,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Growth of the Digital Advertising Market</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 xml:space="preserve">We expect to continue to benefit from overall adoption of programmatic advertising by marketers and their agencies. We have benefitted from, and expect to continue to benefit from the broader industry shift of advertising budgets from linear television to CTV, which is significantly expanding the total addressable market for programmatic advertising and has represented a growing portion of activity on our platform. We believe we are well-positioned to capitalize on this shift and momentum as advertisers increasingly allocate budgets to CTV. Any material change in the growth rate of digital advertising or the rate of adoption of programmatic advertising could affect our performance. Recent years have shown that advertising spend is closely tied to advertisers’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performance, and a downturn, either generally or in one or more of the industries in which our customers operate, could adversely impact the digital advertising market and our operating results.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Seasonality</w:t>
      </w:r>
    </w:p>
    <w:p>
      <w:pPr>
        <w:pStyle w:val="TextBody"/>
        <w:bidi w:val="0"/>
        <w:spacing w:lineRule="auto" w:line="288" w:before="120" w:after="283"/>
        <w:ind w:left="0" w:right="0" w:firstLine="540"/>
        <w:jc w:val="left"/>
        <w:rPr/>
      </w:pPr>
      <w:r>
        <w:rPr>
          <w:rFonts w:ascii="Times New Roman;serif" w:hAnsi="Times New Roman;serif"/>
          <w:b w:val="false"/>
          <w:color w:val="231F20"/>
          <w:sz w:val="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Results of Operations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The following tables present our unaudited condensed consolidated statements of operations, our condensed consolidated statements of operations as a percentage of revenue, and the impact of stock-based compensation, depreciation and amortization on each operating expense line item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712"/>
        <w:gridCol w:w="1492"/>
        <w:gridCol w:w="149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1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62" w:type="dxa"/>
        <w:jc w:val="center"/>
        <w:tblInd w:w="0" w:type="dxa"/>
        <w:tblLayout w:type="fixed"/>
        <w:tblCellMar>
          <w:top w:w="28" w:type="dxa"/>
          <w:left w:w="28" w:type="dxa"/>
          <w:bottom w:w="28" w:type="dxa"/>
          <w:right w:w="28" w:type="dxa"/>
        </w:tblCellMar>
      </w:tblPr>
      <w:tblGrid>
        <w:gridCol w:w="1880"/>
        <w:gridCol w:w="1653"/>
        <w:gridCol w:w="1657"/>
        <w:gridCol w:w="266"/>
        <w:gridCol w:w="200"/>
        <w:gridCol w:w="389"/>
        <w:gridCol w:w="156"/>
        <w:gridCol w:w="156"/>
        <w:gridCol w:w="156"/>
        <w:gridCol w:w="266"/>
        <w:gridCol w:w="200"/>
        <w:gridCol w:w="389"/>
        <w:gridCol w:w="109"/>
        <w:gridCol w:w="109"/>
        <w:gridCol w:w="109"/>
        <w:gridCol w:w="246"/>
        <w:gridCol w:w="220"/>
        <w:gridCol w:w="337"/>
        <w:gridCol w:w="135"/>
        <w:gridCol w:w="135"/>
        <w:gridCol w:w="135"/>
        <w:gridCol w:w="246"/>
        <w:gridCol w:w="220"/>
        <w:gridCol w:w="393"/>
      </w:tblGrid>
      <w:tr>
        <w:trPr/>
        <w:tc>
          <w:tcPr>
            <w:tcW w:w="188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360"/>
        <w:jc w:val="left"/>
        <w:rPr/>
      </w:pPr>
      <w:r>
        <w:rPr>
          <w:rFonts w:ascii="Times New Roman;serif" w:hAnsi="Times New Roman;serif"/>
          <w:b w:val="false"/>
          <w:color w:val="231F20"/>
          <w:sz w:val="20"/>
        </w:rPr>
        <w:t>*Percentages may not sum due to rounding.</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Stock-based compensation, depreciation and amortization included in operating expenses are as follows:</w:t>
      </w:r>
    </w:p>
    <w:tbl>
      <w:tblPr>
        <w:tblW w:w="7725" w:type="dxa"/>
        <w:jc w:val="center"/>
        <w:tblInd w:w="0" w:type="dxa"/>
        <w:tblLayout w:type="fixed"/>
        <w:tblCellMar>
          <w:top w:w="28" w:type="dxa"/>
          <w:left w:w="28" w:type="dxa"/>
          <w:bottom w:w="28" w:type="dxa"/>
          <w:right w:w="28" w:type="dxa"/>
        </w:tblCellMar>
      </w:tblPr>
      <w:tblGrid>
        <w:gridCol w:w="996"/>
        <w:gridCol w:w="873"/>
        <w:gridCol w:w="87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40" w:type="dxa"/>
        <w:jc w:val="center"/>
        <w:tblInd w:w="0" w:type="dxa"/>
        <w:tblLayout w:type="fixed"/>
        <w:tblCellMar>
          <w:top w:w="28" w:type="dxa"/>
          <w:left w:w="28" w:type="dxa"/>
          <w:bottom w:w="28" w:type="dxa"/>
          <w:right w:w="28" w:type="dxa"/>
        </w:tblCellMar>
      </w:tblPr>
      <w:tblGrid>
        <w:gridCol w:w="927"/>
        <w:gridCol w:w="816"/>
        <w:gridCol w:w="82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34" w:type="dxa"/>
        <w:jc w:val="center"/>
        <w:tblInd w:w="0" w:type="dxa"/>
        <w:tblLayout w:type="fixed"/>
        <w:tblCellMar>
          <w:top w:w="28" w:type="dxa"/>
          <w:left w:w="28" w:type="dxa"/>
          <w:bottom w:w="28" w:type="dxa"/>
          <w:right w:w="28" w:type="dxa"/>
        </w:tblCellMar>
      </w:tblPr>
      <w:tblGrid>
        <w:gridCol w:w="928"/>
        <w:gridCol w:w="816"/>
        <w:gridCol w:w="820"/>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Comparison of the Three Months Ended June 30, 2026 and 2025</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Revenue</w:t>
      </w:r>
    </w:p>
    <w:tbl>
      <w:tblPr>
        <w:tblW w:w="5727" w:type="dxa"/>
        <w:jc w:val="center"/>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Revenue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$26.4 million, or 34%, during the three months ended June 30, 2026 compared to the three months ended June 30, 2025. </w:t>
      </w:r>
      <w:r>
        <w:rPr>
          <w:rFonts w:ascii="Times New Roman;serif" w:hAnsi="Times New Roman;serif"/>
          <w:b w:val="false"/>
          <w:color w:val="000000"/>
          <w:sz w:val="20"/>
        </w:rPr>
        <w:t>The increase was primarily due to a 67% increase in revenue from marketers in the healthcare, public services, and travel industry verticals, while revenue attributable to marketers across our remaining industry verticals increased 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jc w:val="left"/>
        <w:rPr>
          <w:rFonts w:ascii="Times New Roman;serif" w:hAnsi="Times New Roman;serif"/>
          <w:b w:val="false"/>
          <w:i/>
          <w:color w:val="231F20"/>
          <w:sz w:val="20"/>
        </w:rPr>
      </w:pPr>
      <w:r>
        <w:rPr>
          <w:rFonts w:ascii="Times New Roman;serif" w:hAnsi="Times New Roman;serif"/>
          <w:b w:val="false"/>
          <w:i/>
          <w:color w:val="231F20"/>
          <w:sz w:val="20"/>
        </w:rPr>
        <w:t>Platform Operations</w:t>
      </w:r>
    </w:p>
    <w:tbl>
      <w:tblPr>
        <w:tblW w:w="7309" w:type="dxa"/>
        <w:jc w:val="center"/>
        <w:tblInd w:w="0" w:type="dxa"/>
        <w:tblLayout w:type="fixed"/>
        <w:tblCellMar>
          <w:top w:w="28" w:type="dxa"/>
          <w:left w:w="28" w:type="dxa"/>
          <w:bottom w:w="28" w:type="dxa"/>
          <w:right w:w="28" w:type="dxa"/>
        </w:tblCellMar>
      </w:tblPr>
      <w:tblGrid>
        <w:gridCol w:w="798"/>
        <w:gridCol w:w="702"/>
        <w:gridCol w:w="704"/>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platform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Platform operations expense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$16.7 million, or 40%, during the three months ended June 30, 2026 compared to the three months ended June 30, 2025. This </w:t>
      </w:r>
      <w:r>
        <w:rPr>
          <w:rFonts w:ascii="Times New Roman;serif" w:hAnsi="Times New Roman;serif"/>
          <w:b w:val="false"/>
          <w:color w:val="000000"/>
          <w:sz w:val="20"/>
        </w:rPr>
        <w:t>increase</w:t>
      </w:r>
      <w:r>
        <w:rPr>
          <w:color w:val="231F20"/>
        </w:rPr>
        <w:t xml:space="preserve"> </w:t>
      </w:r>
      <w:r>
        <w:rPr>
          <w:rFonts w:ascii="Times New Roman;serif" w:hAnsi="Times New Roman;serif"/>
          <w:b w:val="false"/>
          <w:color w:val="231F20"/>
          <w:sz w:val="20"/>
        </w:rPr>
        <w:t>was primarily due</w:t>
      </w:r>
      <w:r>
        <w:rPr>
          <w:color w:val="000000"/>
        </w:rPr>
        <w:t xml:space="preserve"> </w:t>
      </w:r>
      <w:r>
        <w:rPr>
          <w:rFonts w:ascii="Times New Roman;serif" w:hAnsi="Times New Roman;serif"/>
          <w:b w:val="false"/>
          <w:color w:val="000000"/>
          <w:sz w:val="20"/>
        </w:rPr>
        <w:t>to a $14.6 million increase in TAC, a variable function of revenue related to our fixed CPM pricing option and certain arrangements related to our percentage of spend pricing option. The increase was also due to higher other platform operations expense which was driven by a $1.1 million increase in depreciation and amortization expense driven by our continued investment in developed technology, a $0.5 million increase in personnel costs, a $0.4 million increase in technology costs and a $0.1 million increase in cloud and data center services, both in support of our DSP.</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Sales and Marketing</w:t>
      </w:r>
    </w:p>
    <w:tbl>
      <w:tblPr>
        <w:tblW w:w="6904" w:type="dxa"/>
        <w:jc w:val="center"/>
        <w:tblInd w:w="0" w:type="dxa"/>
        <w:tblLayout w:type="fixed"/>
        <w:tblCellMar>
          <w:top w:w="28" w:type="dxa"/>
          <w:left w:w="28" w:type="dxa"/>
          <w:bottom w:w="28" w:type="dxa"/>
          <w:right w:w="28" w:type="dxa"/>
        </w:tblCellMar>
      </w:tblPr>
      <w:tblGrid>
        <w:gridCol w:w="688"/>
        <w:gridCol w:w="606"/>
        <w:gridCol w:w="610"/>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Sales and marketing expense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$5.0 million, or 32%, during the three months ended June 30, 2026 compared to the three months ended June 30, 2025. This </w:t>
      </w:r>
      <w:r>
        <w:rPr>
          <w:rFonts w:ascii="Times New Roman;serif" w:hAnsi="Times New Roman;serif"/>
          <w:b w:val="false"/>
          <w:color w:val="000000"/>
          <w:sz w:val="20"/>
        </w:rPr>
        <w:t>increase</w:t>
      </w:r>
      <w:r>
        <w:rPr>
          <w:color w:val="231F20"/>
        </w:rPr>
        <w:t xml:space="preserve"> </w:t>
      </w:r>
      <w:r>
        <w:rPr>
          <w:rFonts w:ascii="Times New Roman;serif" w:hAnsi="Times New Roman;serif"/>
          <w:b w:val="false"/>
          <w:color w:val="231F20"/>
          <w:sz w:val="20"/>
        </w:rPr>
        <w:t>was primarily due to a $2.1 million increase in personnel costs, a $1.5</w:t>
      </w:r>
      <w:r>
        <w:rPr>
          <w:color w:val="000000"/>
        </w:rPr>
        <w:t xml:space="preserve"> </w:t>
      </w:r>
      <w:r>
        <w:rPr>
          <w:rFonts w:ascii="Times New Roman;serif" w:hAnsi="Times New Roman;serif"/>
          <w:b w:val="false"/>
          <w:color w:val="231F20"/>
          <w:sz w:val="20"/>
        </w:rPr>
        <w:t>million increase in stock-based compensation, a $0.7 million increase in travel and entertainment, a $0.6</w:t>
      </w:r>
      <w:r>
        <w:rPr>
          <w:color w:val="000000"/>
        </w:rPr>
        <w:t xml:space="preserve"> </w:t>
      </w:r>
      <w:r>
        <w:rPr>
          <w:rFonts w:ascii="Times New Roman;serif" w:hAnsi="Times New Roman;serif"/>
          <w:b w:val="false"/>
          <w:color w:val="231F20"/>
          <w:sz w:val="20"/>
        </w:rPr>
        <w:t>million increase in advertising expense and a $0.1</w:t>
      </w:r>
      <w:r>
        <w:rPr>
          <w:color w:val="000000"/>
        </w:rPr>
        <w:t xml:space="preserve"> </w:t>
      </w:r>
      <w:r>
        <w:rPr>
          <w:rFonts w:ascii="Times New Roman;serif" w:hAnsi="Times New Roman;serif"/>
          <w:b w:val="false"/>
          <w:color w:val="231F20"/>
          <w:sz w:val="20"/>
        </w:rPr>
        <w:t>million increase in depreciation expense.</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Technology and Development</w:t>
      </w:r>
    </w:p>
    <w:tbl>
      <w:tblPr>
        <w:tblW w:w="7459" w:type="dxa"/>
        <w:jc w:val="center"/>
        <w:tblInd w:w="0" w:type="dxa"/>
        <w:tblLayout w:type="fixed"/>
        <w:tblCellMar>
          <w:top w:w="28" w:type="dxa"/>
          <w:left w:w="28" w:type="dxa"/>
          <w:bottom w:w="28" w:type="dxa"/>
          <w:right w:w="28" w:type="dxa"/>
        </w:tblCellMar>
      </w:tblPr>
      <w:tblGrid>
        <w:gridCol w:w="930"/>
        <w:gridCol w:w="815"/>
        <w:gridCol w:w="819"/>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180"/>
        <w:gridCol w:w="181"/>
        <w:gridCol w:w="316"/>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Technology and development expense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$3.1 million, or 41%, during the three months ended June 30, 2026 compared to the three months ended June 30, 2025. </w:t>
      </w:r>
      <w:r>
        <w:rPr>
          <w:rFonts w:ascii="Times New Roman;serif" w:hAnsi="Times New Roman;serif"/>
          <w:b w:val="false"/>
          <w:color w:val="000000"/>
          <w:sz w:val="20"/>
        </w:rPr>
        <w:t xml:space="preserve">This increase was primarily due to a $1.4 million increase in stock-based compensation, a $1.2 million increase in </w:t>
      </w:r>
      <w:r>
        <w:rPr>
          <w:rFonts w:ascii="Times New Roman;serif" w:hAnsi="Times New Roman;serif"/>
          <w:b w:val="false"/>
          <w:color w:val="231F20"/>
          <w:sz w:val="20"/>
        </w:rPr>
        <w:t>personnel costs,</w:t>
      </w:r>
      <w:r>
        <w:rPr>
          <w:color w:val="000000"/>
        </w:rPr>
        <w:t xml:space="preserve"> </w:t>
      </w:r>
      <w:r>
        <w:rPr>
          <w:rFonts w:ascii="Times New Roman;serif" w:hAnsi="Times New Roman;serif"/>
          <w:b w:val="false"/>
          <w:color w:val="000000"/>
          <w:sz w:val="20"/>
        </w:rPr>
        <w:t xml:space="preserve">a $0.6 million increase in technology costs in support of our DSP and a $0.1 million increase in </w:t>
      </w:r>
      <w:r>
        <w:rPr>
          <w:rFonts w:ascii="Times New Roman;serif" w:hAnsi="Times New Roman;serif"/>
          <w:b w:val="false"/>
          <w:color w:val="231F20"/>
          <w:sz w:val="20"/>
        </w:rPr>
        <w:t xml:space="preserve">facilities expense, </w:t>
      </w:r>
      <w:r>
        <w:rPr>
          <w:rFonts w:ascii="Times New Roman;serif" w:hAnsi="Times New Roman;serif"/>
          <w:b w:val="false"/>
          <w:color w:val="000000"/>
          <w:sz w:val="20"/>
        </w:rPr>
        <w:t xml:space="preserve">partially offset by a $0.2 million decrease in depreciation expense. </w:t>
      </w:r>
    </w:p>
    <w:p>
      <w:pPr>
        <w:pStyle w:val="TextBody"/>
        <w:bidi w:val="0"/>
        <w:spacing w:lineRule="auto" w:line="288" w:before="240" w:after="120"/>
        <w:jc w:val="left"/>
        <w:rPr>
          <w:rFonts w:ascii="Times New Roman;serif" w:hAnsi="Times New Roman;serif"/>
          <w:b w:val="false"/>
          <w:i/>
          <w:color w:val="231F20"/>
          <w:sz w:val="20"/>
        </w:rPr>
      </w:pPr>
      <w:r>
        <w:rPr>
          <w:rFonts w:ascii="Times New Roman;serif" w:hAnsi="Times New Roman;serif"/>
          <w:b w:val="false"/>
          <w:i/>
          <w:color w:val="231F20"/>
          <w:sz w:val="20"/>
        </w:rPr>
        <w:t>General and Administrative</w:t>
      </w:r>
    </w:p>
    <w:tbl>
      <w:tblPr>
        <w:tblW w:w="7309" w:type="dxa"/>
        <w:jc w:val="center"/>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General and administrative expense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$5.4 million, or 42%, during the three months ended June 30, 2026 compared to the three months ended June 30, 2025. </w:t>
      </w:r>
      <w:r>
        <w:rPr>
          <w:rFonts w:ascii="Times New Roman;serif" w:hAnsi="Times New Roman;serif"/>
          <w:b w:val="false"/>
          <w:color w:val="000000"/>
          <w:sz w:val="20"/>
        </w:rPr>
        <w:t xml:space="preserve">This increase was primarily due to a $2.2 million increase in accounting, legal, and consulting expenses associated with general corporate, compliance, and transaction-related matters, a $1.7 million increase in personnel costs, a $0.7 million increase in stock-based compensation, a $0.7 million increase in bad debt expense and a $0.1 million increase in depreciation and amortization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Total Other Expense (Income), Net</w:t>
      </w:r>
    </w:p>
    <w:tbl>
      <w:tblPr>
        <w:tblW w:w="7700" w:type="dxa"/>
        <w:jc w:val="center"/>
        <w:tblInd w:w="0" w:type="dxa"/>
        <w:tblLayout w:type="fixed"/>
        <w:tblCellMar>
          <w:top w:w="28" w:type="dxa"/>
          <w:left w:w="28" w:type="dxa"/>
          <w:bottom w:w="28" w:type="dxa"/>
          <w:right w:w="28" w:type="dxa"/>
        </w:tblCellMar>
      </w:tblPr>
      <w:tblGrid>
        <w:gridCol w:w="1025"/>
        <w:gridCol w:w="903"/>
        <w:gridCol w:w="907"/>
        <w:gridCol w:w="211"/>
        <w:gridCol w:w="691"/>
        <w:gridCol w:w="271"/>
        <w:gridCol w:w="109"/>
        <w:gridCol w:w="109"/>
        <w:gridCol w:w="109"/>
        <w:gridCol w:w="211"/>
        <w:gridCol w:w="691"/>
        <w:gridCol w:w="271"/>
        <w:gridCol w:w="109"/>
        <w:gridCol w:w="109"/>
        <w:gridCol w:w="109"/>
        <w:gridCol w:w="211"/>
        <w:gridCol w:w="466"/>
        <w:gridCol w:w="109"/>
        <w:gridCol w:w="109"/>
        <w:gridCol w:w="109"/>
        <w:gridCol w:w="109"/>
        <w:gridCol w:w="218"/>
        <w:gridCol w:w="218"/>
        <w:gridCol w:w="316"/>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92" w:type="dxa"/>
            <w:gridSpan w:val="18"/>
            <w:tcBorders/>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Total other income, net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15%</w:t>
      </w:r>
      <w:r>
        <w:rPr>
          <w:color w:val="231F20"/>
        </w:rPr>
        <w:t xml:space="preserve"> </w:t>
      </w:r>
      <w:r>
        <w:rPr>
          <w:rFonts w:ascii="Times New Roman;serif" w:hAnsi="Times New Roman;serif"/>
          <w:b w:val="false"/>
          <w:color w:val="231F20"/>
          <w:sz w:val="20"/>
        </w:rPr>
        <w:t xml:space="preserve">during the three months ended June 30, 2026 compared to the three months ended June 30, 2025. </w:t>
      </w:r>
      <w:r>
        <w:rPr>
          <w:rFonts w:ascii="Times New Roman;serif" w:hAnsi="Times New Roman;serif"/>
          <w:b w:val="false"/>
          <w:color w:val="000000"/>
          <w:sz w:val="20"/>
        </w:rPr>
        <w:t xml:space="preserve">This decrease was due to a decrease in interest income on cash and cash equivalents driven by lower interest rates and lower average money market fund balances for the three months ended </w:t>
      </w:r>
      <w:r>
        <w:rPr>
          <w:rFonts w:ascii="Times New Roman;serif" w:hAnsi="Times New Roman;serif"/>
          <w:b w:val="false"/>
          <w:color w:val="231F20"/>
          <w:sz w:val="20"/>
        </w:rPr>
        <w:t>June 30, 2026</w:t>
      </w:r>
      <w:r>
        <w:rPr>
          <w:rFonts w:ascii="Times New Roman;serif" w:hAnsi="Times New Roman;serif"/>
          <w:b w:val="false"/>
          <w:color w:val="000000"/>
          <w:sz w:val="20"/>
        </w:rPr>
        <w: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total interest cost incurred was $0.1 million. Interest costs capitalized during the three months ended June 30, 2026 and 2025 were zero.</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Provision For (Benefit From) Income Taxes</w:t>
      </w:r>
    </w:p>
    <w:tbl>
      <w:tblPr>
        <w:tblW w:w="8105" w:type="dxa"/>
        <w:jc w:val="center"/>
        <w:tblInd w:w="0" w:type="dxa"/>
        <w:tblLayout w:type="fixed"/>
        <w:tblCellMar>
          <w:top w:w="28" w:type="dxa"/>
          <w:left w:w="28" w:type="dxa"/>
          <w:bottom w:w="28" w:type="dxa"/>
          <w:right w:w="28" w:type="dxa"/>
        </w:tblCellMar>
      </w:tblPr>
      <w:tblGrid>
        <w:gridCol w:w="1243"/>
        <w:gridCol w:w="1094"/>
        <w:gridCol w:w="1098"/>
        <w:gridCol w:w="211"/>
        <w:gridCol w:w="541"/>
        <w:gridCol w:w="271"/>
        <w:gridCol w:w="109"/>
        <w:gridCol w:w="109"/>
        <w:gridCol w:w="109"/>
        <w:gridCol w:w="211"/>
        <w:gridCol w:w="541"/>
        <w:gridCol w:w="271"/>
        <w:gridCol w:w="109"/>
        <w:gridCol w:w="109"/>
        <w:gridCol w:w="109"/>
        <w:gridCol w:w="211"/>
        <w:gridCol w:w="541"/>
        <w:gridCol w:w="109"/>
        <w:gridCol w:w="109"/>
        <w:gridCol w:w="109"/>
        <w:gridCol w:w="109"/>
        <w:gridCol w:w="233"/>
        <w:gridCol w:w="233"/>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647" w:type="dxa"/>
            <w:gridSpan w:val="18"/>
            <w:tcBorders/>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The U.S. federal statutory tax rate was 21% for the three months ended June 30,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The benefit from income taxes was </w:t>
      </w:r>
      <w:r>
        <w:rPr>
          <w:rFonts w:ascii="Times New Roman;serif" w:hAnsi="Times New Roman;serif"/>
          <w:b w:val="false"/>
          <w:color w:val="000000"/>
          <w:sz w:val="20"/>
        </w:rPr>
        <w:t>$0.8 million for the three months ended</w:t>
      </w:r>
      <w:r>
        <w:rPr>
          <w:color w:val="231F20"/>
        </w:rPr>
        <w:t xml:space="preserve"> </w:t>
      </w:r>
      <w:r>
        <w:rPr>
          <w:rFonts w:ascii="Times New Roman;serif" w:hAnsi="Times New Roman;serif"/>
          <w:b w:val="false"/>
          <w:color w:val="231F20"/>
          <w:sz w:val="20"/>
        </w:rPr>
        <w:t xml:space="preserve">June 30, 2026, </w:t>
      </w:r>
      <w:r>
        <w:rPr>
          <w:rFonts w:ascii="Times New Roman;serif" w:hAnsi="Times New Roman;serif"/>
          <w:b w:val="false"/>
          <w:color w:val="000000"/>
          <w:sz w:val="20"/>
        </w:rPr>
        <w:t>attributable to year-to-date loss and excess tax benefits on vested stock-based compensation that will be realized during the year</w:t>
      </w:r>
      <w:r>
        <w:rPr>
          <w:rFonts w:ascii="Times New Roman;serif" w:hAnsi="Times New Roman;serif"/>
          <w:b w:val="false"/>
          <w:color w:val="231F20"/>
          <w:sz w:val="20"/>
        </w:rPr>
        <w:t xml:space="preserve">. The benefit from income taxes was </w:t>
      </w:r>
      <w:r>
        <w:rPr>
          <w:rFonts w:ascii="Times New Roman;serif" w:hAnsi="Times New Roman;serif"/>
          <w:b w:val="false"/>
          <w:color w:val="000000"/>
          <w:sz w:val="20"/>
        </w:rPr>
        <w:t xml:space="preserve">$0.3 million for the three months ended </w:t>
      </w:r>
      <w:r>
        <w:rPr>
          <w:rFonts w:ascii="Times New Roman;serif" w:hAnsi="Times New Roman;serif"/>
          <w:b w:val="false"/>
          <w:color w:val="231F20"/>
          <w:sz w:val="20"/>
        </w:rPr>
        <w:t>June 30, 2025 attributable to year-to-date loss and excess tax benefit on vested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231F20"/>
          <w:sz w:val="20"/>
        </w:rPr>
        <w:t xml:space="preserve">Comparison of the </w:t>
      </w:r>
      <w:r>
        <w:rPr>
          <w:rFonts w:ascii="Times New Roman;serif" w:hAnsi="Times New Roman;serif"/>
          <w:b/>
          <w:color w:val="000000"/>
          <w:sz w:val="20"/>
        </w:rPr>
        <w:t>Six Months Ended June 30, 2026</w:t>
      </w:r>
      <w:r>
        <w:rPr>
          <w:color w:val="231F20"/>
        </w:rPr>
        <w:t xml:space="preserve"> </w:t>
      </w:r>
      <w:r>
        <w:rPr>
          <w:rFonts w:ascii="Times New Roman;serif" w:hAnsi="Times New Roman;serif"/>
          <w:b/>
          <w:color w:val="231F20"/>
          <w:sz w:val="20"/>
        </w:rPr>
        <w:t>and 2025</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Revenue</w:t>
      </w:r>
    </w:p>
    <w:tbl>
      <w:tblPr>
        <w:tblW w:w="5832" w:type="dxa"/>
        <w:jc w:val="center"/>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Revenue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w:t>
      </w:r>
      <w:r>
        <w:rPr>
          <w:rFonts w:ascii="Times New Roman;serif" w:hAnsi="Times New Roman;serif"/>
          <w:b w:val="false"/>
          <w:color w:val="000000"/>
          <w:sz w:val="20"/>
        </w:rPr>
        <w:t>$44.3</w:t>
      </w:r>
      <w:r>
        <w:rPr>
          <w:color w:val="231F20"/>
        </w:rPr>
        <w:t xml:space="preserve"> </w:t>
      </w:r>
      <w:r>
        <w:rPr>
          <w:rFonts w:ascii="Times New Roman;serif" w:hAnsi="Times New Roman;serif"/>
          <w:b w:val="false"/>
          <w:color w:val="231F20"/>
          <w:sz w:val="20"/>
        </w:rPr>
        <w:t xml:space="preserve">million, or </w:t>
      </w:r>
      <w:r>
        <w:rPr>
          <w:rFonts w:ascii="Times New Roman;serif" w:hAnsi="Times New Roman;serif"/>
          <w:b w:val="false"/>
          <w:color w:val="000000"/>
          <w:sz w:val="20"/>
        </w:rPr>
        <w:t>30%</w:t>
      </w:r>
      <w:r>
        <w:rPr>
          <w:rFonts w:ascii="Times New Roman;serif" w:hAnsi="Times New Roman;serif"/>
          <w:b w:val="false"/>
          <w:color w:val="231F20"/>
          <w:sz w:val="20"/>
        </w:rPr>
        <w:t xml:space="preserve">, during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2026 compared to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2025. The increase was primarily </w:t>
      </w:r>
      <w:r>
        <w:rPr>
          <w:rFonts w:ascii="Times New Roman;serif" w:hAnsi="Times New Roman;serif"/>
          <w:b w:val="false"/>
          <w:color w:val="000000"/>
          <w:sz w:val="20"/>
        </w:rPr>
        <w:t>due to a 75% increase in revenue from marketers in the healthcare, financial services, and business services industry verticals, while revenue attributable to marketers across our remaining industry verticals increased 14%.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jc w:val="left"/>
        <w:rPr>
          <w:rFonts w:ascii="Times New Roman;serif" w:hAnsi="Times New Roman;serif"/>
          <w:b w:val="false"/>
          <w:i/>
          <w:color w:val="231F20"/>
          <w:sz w:val="20"/>
        </w:rPr>
      </w:pPr>
      <w:r>
        <w:rPr>
          <w:rFonts w:ascii="Times New Roman;serif" w:hAnsi="Times New Roman;serif"/>
          <w:b w:val="false"/>
          <w:i/>
          <w:color w:val="231F20"/>
          <w:sz w:val="20"/>
        </w:rPr>
        <w:t>Platform Operations</w:t>
      </w:r>
    </w:p>
    <w:tbl>
      <w:tblPr>
        <w:tblW w:w="7414" w:type="dxa"/>
        <w:jc w:val="center"/>
        <w:tblInd w:w="0" w:type="dxa"/>
        <w:tblLayout w:type="fixed"/>
        <w:tblCellMar>
          <w:top w:w="28" w:type="dxa"/>
          <w:left w:w="28" w:type="dxa"/>
          <w:bottom w:w="28" w:type="dxa"/>
          <w:right w:w="28" w:type="dxa"/>
        </w:tblCellMar>
      </w:tblPr>
      <w:tblGrid>
        <w:gridCol w:w="798"/>
        <w:gridCol w:w="702"/>
        <w:gridCol w:w="704"/>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Platform operations expense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w:t>
      </w:r>
      <w:r>
        <w:rPr>
          <w:rFonts w:ascii="Times New Roman;serif" w:hAnsi="Times New Roman;serif"/>
          <w:b w:val="false"/>
          <w:color w:val="000000"/>
          <w:sz w:val="20"/>
        </w:rPr>
        <w:t>$28.8</w:t>
      </w:r>
      <w:r>
        <w:rPr>
          <w:color w:val="231F20"/>
        </w:rPr>
        <w:t xml:space="preserve"> </w:t>
      </w:r>
      <w:r>
        <w:rPr>
          <w:rFonts w:ascii="Times New Roman;serif" w:hAnsi="Times New Roman;serif"/>
          <w:b w:val="false"/>
          <w:color w:val="231F20"/>
          <w:sz w:val="20"/>
        </w:rPr>
        <w:t xml:space="preserve">million, or </w:t>
      </w:r>
      <w:r>
        <w:rPr>
          <w:rFonts w:ascii="Times New Roman;serif" w:hAnsi="Times New Roman;serif"/>
          <w:b w:val="false"/>
          <w:color w:val="000000"/>
          <w:sz w:val="20"/>
        </w:rPr>
        <w:t>35%</w:t>
      </w:r>
      <w:r>
        <w:rPr>
          <w:rFonts w:ascii="Times New Roman;serif" w:hAnsi="Times New Roman;serif"/>
          <w:b w:val="false"/>
          <w:color w:val="231F20"/>
          <w:sz w:val="20"/>
        </w:rPr>
        <w:t xml:space="preserve">, during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2026 compared to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2025. This </w:t>
      </w:r>
      <w:r>
        <w:rPr>
          <w:rFonts w:ascii="Times New Roman;serif" w:hAnsi="Times New Roman;serif"/>
          <w:b w:val="false"/>
          <w:color w:val="000000"/>
          <w:sz w:val="20"/>
        </w:rPr>
        <w:t>increase</w:t>
      </w:r>
      <w:r>
        <w:rPr>
          <w:color w:val="231F20"/>
        </w:rPr>
        <w:t xml:space="preserve"> </w:t>
      </w:r>
      <w:r>
        <w:rPr>
          <w:rFonts w:ascii="Times New Roman;serif" w:hAnsi="Times New Roman;serif"/>
          <w:b w:val="false"/>
          <w:color w:val="231F20"/>
          <w:sz w:val="20"/>
        </w:rPr>
        <w:t xml:space="preserve">was primarily due to a $24.9 million increase in TAC, </w:t>
      </w:r>
      <w:r>
        <w:rPr>
          <w:rFonts w:ascii="Times New Roman;serif" w:hAnsi="Times New Roman;serif"/>
          <w:b w:val="false"/>
          <w:color w:val="000000"/>
          <w:sz w:val="20"/>
        </w:rPr>
        <w:t>a variable function of revenue related to our fixed CPM pricing option and certain arrangements related to our percentage of spend pricing option. The increase was also due to higher other platform operations expense which was driven by a $2.3 million increase in depreciation and amortization expense, a $0.9 million increase in personnel costs, a $0.5 million increase in technology costs and a $0.4 million increase in cloud and data center services both in support of our DSP, partially offset by a $0.2 million decrease in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Sales and Marketing</w:t>
      </w:r>
    </w:p>
    <w:tbl>
      <w:tblPr>
        <w:tblW w:w="6904" w:type="dxa"/>
        <w:jc w:val="center"/>
        <w:tblInd w:w="0" w:type="dxa"/>
        <w:tblLayout w:type="fixed"/>
        <w:tblCellMar>
          <w:top w:w="28" w:type="dxa"/>
          <w:left w:w="28" w:type="dxa"/>
          <w:bottom w:w="28" w:type="dxa"/>
          <w:right w:w="28" w:type="dxa"/>
        </w:tblCellMar>
      </w:tblPr>
      <w:tblGrid>
        <w:gridCol w:w="688"/>
        <w:gridCol w:w="606"/>
        <w:gridCol w:w="610"/>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Sales and marketing expense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w:t>
      </w:r>
      <w:r>
        <w:rPr>
          <w:rFonts w:ascii="Times New Roman;serif" w:hAnsi="Times New Roman;serif"/>
          <w:b w:val="false"/>
          <w:color w:val="000000"/>
          <w:sz w:val="20"/>
        </w:rPr>
        <w:t>$7.0</w:t>
      </w:r>
      <w:r>
        <w:rPr>
          <w:color w:val="231F20"/>
        </w:rPr>
        <w:t xml:space="preserve"> </w:t>
      </w:r>
      <w:r>
        <w:rPr>
          <w:rFonts w:ascii="Times New Roman;serif" w:hAnsi="Times New Roman;serif"/>
          <w:b w:val="false"/>
          <w:color w:val="231F20"/>
          <w:sz w:val="20"/>
        </w:rPr>
        <w:t xml:space="preserve">million, or </w:t>
      </w:r>
      <w:r>
        <w:rPr>
          <w:rFonts w:ascii="Times New Roman;serif" w:hAnsi="Times New Roman;serif"/>
          <w:b w:val="false"/>
          <w:color w:val="000000"/>
          <w:sz w:val="20"/>
        </w:rPr>
        <w:t>24%</w:t>
      </w:r>
      <w:r>
        <w:rPr>
          <w:rFonts w:ascii="Times New Roman;serif" w:hAnsi="Times New Roman;serif"/>
          <w:b w:val="false"/>
          <w:color w:val="231F20"/>
          <w:sz w:val="20"/>
        </w:rPr>
        <w:t xml:space="preserve">, during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2026 compared to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2025. This </w:t>
      </w:r>
      <w:r>
        <w:rPr>
          <w:rFonts w:ascii="Times New Roman;serif" w:hAnsi="Times New Roman;serif"/>
          <w:b w:val="false"/>
          <w:color w:val="000000"/>
          <w:sz w:val="20"/>
        </w:rPr>
        <w:t>increase</w:t>
      </w:r>
      <w:r>
        <w:rPr>
          <w:color w:val="231F20"/>
        </w:rPr>
        <w:t xml:space="preserve"> </w:t>
      </w:r>
      <w:r>
        <w:rPr>
          <w:rFonts w:ascii="Times New Roman;serif" w:hAnsi="Times New Roman;serif"/>
          <w:b w:val="false"/>
          <w:color w:val="231F20"/>
          <w:sz w:val="20"/>
        </w:rPr>
        <w:t>was primarily due to a $3.1 million increase in personnel costs, a $2.4</w:t>
      </w:r>
      <w:r>
        <w:rPr>
          <w:color w:val="000000"/>
        </w:rPr>
        <w:t xml:space="preserve"> </w:t>
      </w:r>
      <w:r>
        <w:rPr>
          <w:rFonts w:ascii="Times New Roman;serif" w:hAnsi="Times New Roman;serif"/>
          <w:b w:val="false"/>
          <w:color w:val="231F20"/>
          <w:sz w:val="20"/>
        </w:rPr>
        <w:t>million increase in stock-based compensation, a $0.9 million increase in travel and entertainment expense, a $0.3 million increase in advertising expense, a $0.2 million increase in facilities expense and a $0.1 million increase in depreciation expense.</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Technology and Development</w:t>
      </w:r>
    </w:p>
    <w:tbl>
      <w:tblPr>
        <w:tblW w:w="7564" w:type="dxa"/>
        <w:jc w:val="center"/>
        <w:tblInd w:w="0" w:type="dxa"/>
        <w:tblLayout w:type="fixed"/>
        <w:tblCellMar>
          <w:top w:w="28" w:type="dxa"/>
          <w:left w:w="28" w:type="dxa"/>
          <w:bottom w:w="28" w:type="dxa"/>
          <w:right w:w="28" w:type="dxa"/>
        </w:tblCellMar>
      </w:tblPr>
      <w:tblGrid>
        <w:gridCol w:w="930"/>
        <w:gridCol w:w="815"/>
        <w:gridCol w:w="81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Technology and development expense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w:t>
      </w:r>
      <w:r>
        <w:rPr>
          <w:rFonts w:ascii="Times New Roman;serif" w:hAnsi="Times New Roman;serif"/>
          <w:b w:val="false"/>
          <w:color w:val="000000"/>
          <w:sz w:val="20"/>
        </w:rPr>
        <w:t>$3.4</w:t>
      </w:r>
      <w:r>
        <w:rPr>
          <w:color w:val="231F20"/>
        </w:rPr>
        <w:t xml:space="preserve"> </w:t>
      </w:r>
      <w:r>
        <w:rPr>
          <w:rFonts w:ascii="Times New Roman;serif" w:hAnsi="Times New Roman;serif"/>
          <w:b w:val="false"/>
          <w:color w:val="231F20"/>
          <w:sz w:val="20"/>
        </w:rPr>
        <w:t xml:space="preserve">million, or </w:t>
      </w:r>
      <w:r>
        <w:rPr>
          <w:rFonts w:ascii="Times New Roman;serif" w:hAnsi="Times New Roman;serif"/>
          <w:b w:val="false"/>
          <w:color w:val="000000"/>
          <w:sz w:val="20"/>
        </w:rPr>
        <w:t>23%</w:t>
      </w:r>
      <w:r>
        <w:rPr>
          <w:rFonts w:ascii="Times New Roman;serif" w:hAnsi="Times New Roman;serif"/>
          <w:b w:val="false"/>
          <w:color w:val="231F20"/>
          <w:sz w:val="20"/>
        </w:rPr>
        <w:t xml:space="preserve">, during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2026 compared to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2025. </w:t>
      </w:r>
      <w:r>
        <w:rPr>
          <w:rFonts w:ascii="Times New Roman;serif" w:hAnsi="Times New Roman;serif"/>
          <w:b w:val="false"/>
          <w:color w:val="000000"/>
          <w:sz w:val="20"/>
        </w:rPr>
        <w:t>This increase was primarily due to a $1.6 million increase in stock-based compensation, a $1.1 million increase in personnel costs, a $0.7 million increase in technology costs in support of our DSP, a $0.2 million increase in travel and entertainment expense and a $0.1 million increase in facilities expense, partially offset by a $0.3 million decrease in depreciation expense.</w:t>
      </w:r>
    </w:p>
    <w:p>
      <w:pPr>
        <w:pStyle w:val="TextBody"/>
        <w:bidi w:val="0"/>
        <w:spacing w:lineRule="auto" w:line="288" w:before="240" w:after="120"/>
        <w:jc w:val="left"/>
        <w:rPr>
          <w:rFonts w:ascii="Times New Roman;serif" w:hAnsi="Times New Roman;serif"/>
          <w:b w:val="false"/>
          <w:i/>
          <w:color w:val="231F20"/>
          <w:sz w:val="20"/>
        </w:rPr>
      </w:pPr>
      <w:r>
        <w:rPr>
          <w:rFonts w:ascii="Times New Roman;serif" w:hAnsi="Times New Roman;serif"/>
          <w:b w:val="false"/>
          <w:i/>
          <w:color w:val="231F20"/>
          <w:sz w:val="20"/>
        </w:rPr>
        <w:t>General and Administrative</w:t>
      </w:r>
    </w:p>
    <w:tbl>
      <w:tblPr>
        <w:tblW w:w="7309" w:type="dxa"/>
        <w:jc w:val="center"/>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General and administrative expense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by </w:t>
      </w:r>
      <w:r>
        <w:rPr>
          <w:rFonts w:ascii="Times New Roman;serif" w:hAnsi="Times New Roman;serif"/>
          <w:b w:val="false"/>
          <w:color w:val="000000"/>
          <w:sz w:val="20"/>
        </w:rPr>
        <w:t>$8.0</w:t>
      </w:r>
      <w:r>
        <w:rPr>
          <w:color w:val="231F20"/>
        </w:rPr>
        <w:t xml:space="preserve"> </w:t>
      </w:r>
      <w:r>
        <w:rPr>
          <w:rFonts w:ascii="Times New Roman;serif" w:hAnsi="Times New Roman;serif"/>
          <w:b w:val="false"/>
          <w:color w:val="231F20"/>
          <w:sz w:val="20"/>
        </w:rPr>
        <w:t xml:space="preserve">million, or </w:t>
      </w:r>
      <w:r>
        <w:rPr>
          <w:rFonts w:ascii="Times New Roman;serif" w:hAnsi="Times New Roman;serif"/>
          <w:b w:val="false"/>
          <w:color w:val="000000"/>
          <w:sz w:val="20"/>
        </w:rPr>
        <w:t>30%</w:t>
      </w:r>
      <w:r>
        <w:rPr>
          <w:rFonts w:ascii="Times New Roman;serif" w:hAnsi="Times New Roman;serif"/>
          <w:b w:val="false"/>
          <w:color w:val="231F20"/>
          <w:sz w:val="20"/>
        </w:rPr>
        <w:t xml:space="preserve">, during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2026 compared to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2025. </w:t>
      </w:r>
      <w:r>
        <w:rPr>
          <w:rFonts w:ascii="Times New Roman;serif" w:hAnsi="Times New Roman;serif"/>
          <w:b w:val="false"/>
          <w:color w:val="000000"/>
          <w:sz w:val="20"/>
        </w:rPr>
        <w:t>This increase was primarily due to a $3.7 million increase in personnel costs, a $3.3 million increase in accounting, legal, and consulting expenses associated with general corporate, compliance, and transaction-related matters, a $0.8 million increase in stock-based compensation and a $0.6 million increase in bad debt expense and a $0.1 million increase in depreciation and amortization, partially offset by a $0.3 million decrease in travel and entertainment expense and a $0.2 million decrease in business insurance.</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Total Other Expense (Income), Net</w:t>
      </w:r>
    </w:p>
    <w:tbl>
      <w:tblPr>
        <w:tblW w:w="7594" w:type="dxa"/>
        <w:jc w:val="center"/>
        <w:tblInd w:w="0" w:type="dxa"/>
        <w:tblLayout w:type="fixed"/>
        <w:tblCellMar>
          <w:top w:w="28" w:type="dxa"/>
          <w:left w:w="28" w:type="dxa"/>
          <w:bottom w:w="28" w:type="dxa"/>
          <w:right w:w="28" w:type="dxa"/>
        </w:tblCellMar>
      </w:tblPr>
      <w:tblGrid>
        <w:gridCol w:w="1025"/>
        <w:gridCol w:w="903"/>
        <w:gridCol w:w="907"/>
        <w:gridCol w:w="211"/>
        <w:gridCol w:w="691"/>
        <w:gridCol w:w="271"/>
        <w:gridCol w:w="109"/>
        <w:gridCol w:w="109"/>
        <w:gridCol w:w="109"/>
        <w:gridCol w:w="211"/>
        <w:gridCol w:w="691"/>
        <w:gridCol w:w="271"/>
        <w:gridCol w:w="109"/>
        <w:gridCol w:w="109"/>
        <w:gridCol w:w="109"/>
        <w:gridCol w:w="211"/>
        <w:gridCol w:w="466"/>
        <w:gridCol w:w="109"/>
        <w:gridCol w:w="109"/>
        <w:gridCol w:w="109"/>
        <w:gridCol w:w="109"/>
        <w:gridCol w:w="164"/>
        <w:gridCol w:w="166"/>
        <w:gridCol w:w="316"/>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86" w:type="dxa"/>
            <w:gridSpan w:val="18"/>
            <w:tcBorders/>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Total other income, net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231F20"/>
          <w:sz w:val="20"/>
        </w:rPr>
        <w:t xml:space="preserve">by </w:t>
      </w:r>
      <w:r>
        <w:rPr>
          <w:rFonts w:ascii="Times New Roman;serif" w:hAnsi="Times New Roman;serif"/>
          <w:b w:val="false"/>
          <w:color w:val="000000"/>
          <w:sz w:val="20"/>
        </w:rPr>
        <w:t>$0.3</w:t>
      </w:r>
      <w:r>
        <w:rPr>
          <w:color w:val="231F20"/>
        </w:rPr>
        <w:t xml:space="preserve"> </w:t>
      </w:r>
      <w:r>
        <w:rPr>
          <w:rFonts w:ascii="Times New Roman;serif" w:hAnsi="Times New Roman;serif"/>
          <w:b w:val="false"/>
          <w:color w:val="231F20"/>
          <w:sz w:val="20"/>
        </w:rPr>
        <w:t xml:space="preserve">million, or </w:t>
      </w:r>
      <w:r>
        <w:rPr>
          <w:rFonts w:ascii="Times New Roman;serif" w:hAnsi="Times New Roman;serif"/>
          <w:b w:val="false"/>
          <w:color w:val="000000"/>
          <w:sz w:val="20"/>
        </w:rPr>
        <w:t>9%,</w:t>
      </w:r>
      <w:r>
        <w:rPr>
          <w:color w:val="231F20"/>
        </w:rPr>
        <w:t xml:space="preserve"> </w:t>
      </w:r>
      <w:r>
        <w:rPr>
          <w:rFonts w:ascii="Times New Roman;serif" w:hAnsi="Times New Roman;serif"/>
          <w:b w:val="false"/>
          <w:color w:val="231F20"/>
          <w:sz w:val="20"/>
        </w:rPr>
        <w:t xml:space="preserve">during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2026 compared to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2025. </w:t>
      </w:r>
      <w:r>
        <w:rPr>
          <w:rFonts w:ascii="Times New Roman;serif" w:hAnsi="Times New Roman;serif"/>
          <w:b w:val="false"/>
          <w:color w:val="000000"/>
          <w:sz w:val="20"/>
        </w:rPr>
        <w:t>This decrease was primarily attributable to a decrease in interest income on cash and cash equivalents driven by lower interest rates and lower money market fund balances.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total interest cost incurred was $0.2 million and $0.1 million, respectively. Interest costs capitalized during the six months ended June 30, 2026 and 2025 were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Provision For (Benefit From) Income Taxes</w:t>
      </w:r>
    </w:p>
    <w:tbl>
      <w:tblPr>
        <w:tblW w:w="8255" w:type="dxa"/>
        <w:jc w:val="center"/>
        <w:tblInd w:w="0" w:type="dxa"/>
        <w:tblLayout w:type="fixed"/>
        <w:tblCellMar>
          <w:top w:w="28" w:type="dxa"/>
          <w:left w:w="28" w:type="dxa"/>
          <w:bottom w:w="28" w:type="dxa"/>
          <w:right w:w="28" w:type="dxa"/>
        </w:tblCellMar>
      </w:tblPr>
      <w:tblGrid>
        <w:gridCol w:w="1243"/>
        <w:gridCol w:w="1094"/>
        <w:gridCol w:w="1098"/>
        <w:gridCol w:w="211"/>
        <w:gridCol w:w="691"/>
        <w:gridCol w:w="271"/>
        <w:gridCol w:w="109"/>
        <w:gridCol w:w="109"/>
        <w:gridCol w:w="109"/>
        <w:gridCol w:w="211"/>
        <w:gridCol w:w="541"/>
        <w:gridCol w:w="271"/>
        <w:gridCol w:w="109"/>
        <w:gridCol w:w="109"/>
        <w:gridCol w:w="109"/>
        <w:gridCol w:w="211"/>
        <w:gridCol w:w="541"/>
        <w:gridCol w:w="109"/>
        <w:gridCol w:w="109"/>
        <w:gridCol w:w="109"/>
        <w:gridCol w:w="109"/>
        <w:gridCol w:w="233"/>
        <w:gridCol w:w="233"/>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647" w:type="dxa"/>
            <w:gridSpan w:val="18"/>
            <w:tcBorders/>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The U.S. federal statutory tax rate was 21% for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June 30,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The benefit from income taxes was </w:t>
      </w:r>
      <w:r>
        <w:rPr>
          <w:rFonts w:ascii="Times New Roman;serif" w:hAnsi="Times New Roman;serif"/>
          <w:b w:val="false"/>
          <w:color w:val="000000"/>
          <w:sz w:val="20"/>
        </w:rPr>
        <w:t>$1.2 million for the six months ended</w:t>
      </w:r>
      <w:r>
        <w:rPr>
          <w:color w:val="231F20"/>
        </w:rPr>
        <w:t xml:space="preserve">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231F20"/>
          <w:sz w:val="20"/>
        </w:rPr>
        <w:t xml:space="preserve">attributable to year-to-date loss and excess tax benefit on vested stock-based compensation. The benefit from income taxes was </w:t>
      </w:r>
      <w:r>
        <w:rPr>
          <w:rFonts w:ascii="Times New Roman;serif" w:hAnsi="Times New Roman;serif"/>
          <w:b w:val="false"/>
          <w:color w:val="000000"/>
          <w:sz w:val="20"/>
        </w:rPr>
        <w:t>$0.4 million</w:t>
      </w:r>
      <w:r>
        <w:rPr>
          <w:color w:val="231F20"/>
        </w:rPr>
        <w:t xml:space="preserve"> </w:t>
      </w:r>
      <w:r>
        <w:rPr>
          <w:rFonts w:ascii="Times New Roman;serif" w:hAnsi="Times New Roman;serif"/>
          <w:b w:val="false"/>
          <w:color w:val="231F20"/>
          <w:sz w:val="20"/>
        </w:rPr>
        <w:t xml:space="preserve">for </w:t>
      </w:r>
      <w:r>
        <w:rPr>
          <w:rFonts w:ascii="Times New Roman;serif" w:hAnsi="Times New Roman;serif"/>
          <w:b w:val="false"/>
          <w:color w:val="000000"/>
          <w:sz w:val="20"/>
        </w:rPr>
        <w:t xml:space="preserve">the six months ended </w:t>
      </w:r>
      <w:r>
        <w:rPr>
          <w:rFonts w:ascii="Times New Roman;serif" w:hAnsi="Times New Roman;serif"/>
          <w:b w:val="false"/>
          <w:color w:val="231F20"/>
          <w:sz w:val="20"/>
        </w:rPr>
        <w:t>June 30, 2025, attributable to year-to-date loss and excess tax benefit on vested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Key Operating and Financial Performance Measures</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Use of Non-GAAP Financial Measures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We monitor certain non-GAAP financial measures to help us evaluate growth trends, establish budgets, measure the effectiveness of our sales and marketing efforts and assess our operational efficiencies. </w:t>
      </w:r>
      <w:r>
        <w:rPr>
          <w:rFonts w:ascii="Times New Roman;serif" w:hAnsi="Times New Roman;serif"/>
          <w:b w:val="false"/>
          <w:color w:val="000000"/>
          <w:sz w:val="20"/>
        </w:rPr>
        <w:t xml:space="preserve">We believe these measures enhance an understanding of our overall performance and investors’ 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serif" w:hAnsi="Times New Roman;serif"/>
          <w:b w:val="false"/>
          <w:color w:val="231F20"/>
          <w:sz w:val="20"/>
        </w:rPr>
        <w:t>These non-GAAP financial measures 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 Some of these potential limitations include:</w:t>
      </w:r>
    </w:p>
    <w:p>
      <w:pPr>
        <w:pStyle w:val="TextBody"/>
        <w:bidi w:val="0"/>
        <w:spacing w:lineRule="auto" w:line="288" w:before="120" w:after="283"/>
        <w:ind w:left="0" w:right="0" w:hanging="720"/>
        <w:jc w:val="left"/>
        <w:rPr/>
      </w:pPr>
      <w:r>
        <w:rPr>
          <w:color w:val="231F20"/>
        </w:rPr>
        <w:t>•</w:t>
      </w:r>
      <w:r>
        <w:rPr>
          <w:rFonts w:ascii="Times New Roman;serif" w:hAnsi="Times New Roman;serif"/>
          <w:b w:val="false"/>
          <w:color w:val="231F20"/>
          <w:sz w:val="20"/>
        </w:rPr>
        <w:t xml:space="preserve">other companies, including companies in our industry that have similar business arrangements, may report similarly titled measures, but calculate them differently, which reduces their usefulness as comparative measures;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although depreciation and amortization are noncash charges, the assets being depreciated and amortized may have to be replaced in the future, and these non-GAAP financial measures do not reflect cash capital expenditure requirements for such replacements or for new capital expenditure requirements;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231F20"/>
          <w:sz w:val="20"/>
        </w:rPr>
        <w:t>these non-GAAP financial measures do not reflect changes in, or cash requirements for, our working capital needs or the potentially dilutive impact of stock-based compensation.</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 xml:space="preserve">Because of these and other potential limitations, you should consider our non-GAAP financial measures only as supplemental to other GAAP-based financial performance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tbl>
      <w:tblPr>
        <w:tblW w:w="10205" w:type="dxa"/>
        <w:jc w:val="center"/>
        <w:tblInd w:w="0" w:type="dxa"/>
        <w:tblLayout w:type="fixed"/>
        <w:tblCellMar>
          <w:top w:w="28" w:type="dxa"/>
          <w:left w:w="28" w:type="dxa"/>
          <w:bottom w:w="28" w:type="dxa"/>
          <w:right w:w="28" w:type="dxa"/>
        </w:tblCellMar>
      </w:tblPr>
      <w:tblGrid>
        <w:gridCol w:w="566"/>
        <w:gridCol w:w="497"/>
        <w:gridCol w:w="499"/>
        <w:gridCol w:w="211"/>
        <w:gridCol w:w="826"/>
        <w:gridCol w:w="271"/>
        <w:gridCol w:w="109"/>
        <w:gridCol w:w="109"/>
        <w:gridCol w:w="109"/>
        <w:gridCol w:w="211"/>
        <w:gridCol w:w="721"/>
        <w:gridCol w:w="271"/>
        <w:gridCol w:w="109"/>
        <w:gridCol w:w="109"/>
        <w:gridCol w:w="109"/>
        <w:gridCol w:w="249"/>
        <w:gridCol w:w="237"/>
        <w:gridCol w:w="435"/>
        <w:gridCol w:w="109"/>
        <w:gridCol w:w="109"/>
        <w:gridCol w:w="109"/>
        <w:gridCol w:w="211"/>
        <w:gridCol w:w="826"/>
        <w:gridCol w:w="271"/>
        <w:gridCol w:w="109"/>
        <w:gridCol w:w="109"/>
        <w:gridCol w:w="109"/>
        <w:gridCol w:w="211"/>
        <w:gridCol w:w="826"/>
        <w:gridCol w:w="271"/>
        <w:gridCol w:w="109"/>
        <w:gridCol w:w="109"/>
        <w:gridCol w:w="109"/>
        <w:gridCol w:w="235"/>
        <w:gridCol w:w="231"/>
        <w:gridCol w:w="494"/>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562"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3"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 = Not Meaningful)</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and Financial Performance Measures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as a percentage of 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contribution ex-TAC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(loss) per share—basic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(loss) per share—diluted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Contribution ex-TAC</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gross profit and reconciliation of gross profit to contribution ex-TAC for the periods presented:</w:t>
      </w:r>
    </w:p>
    <w:tbl>
      <w:tblPr>
        <w:tblW w:w="8159" w:type="dxa"/>
        <w:jc w:val="center"/>
        <w:tblInd w:w="0" w:type="dxa"/>
        <w:tblLayout w:type="fixed"/>
        <w:tblCellMar>
          <w:top w:w="28" w:type="dxa"/>
          <w:left w:w="28" w:type="dxa"/>
          <w:bottom w:w="28" w:type="dxa"/>
          <w:right w:w="28" w:type="dxa"/>
        </w:tblCellMar>
      </w:tblPr>
      <w:tblGrid>
        <w:gridCol w:w="957"/>
        <w:gridCol w:w="846"/>
        <w:gridCol w:w="85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Other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Non-GAAP 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Non-GAAP operating expenses is a non-GAAP financial measure. Total operating expenses is the most comparable GAAP financial measure. Non-GAAP operating expenses is defined by us as total operating expenses plus other expense, net, less TAC, stock-based compensation, depreciation, amortization and certain other items that are not related to our core operations, such as acquisition and restructuring costs.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The following table presents a reconciliation of total operating expenses to non-GAAP operating expenses for the periods presented:</w:t>
      </w:r>
    </w:p>
    <w:tbl>
      <w:tblPr>
        <w:tblW w:w="8414" w:type="dxa"/>
        <w:jc w:val="center"/>
        <w:tblInd w:w="0" w:type="dxa"/>
        <w:tblLayout w:type="fixed"/>
        <w:tblCellMar>
          <w:top w:w="28" w:type="dxa"/>
          <w:left w:w="28" w:type="dxa"/>
          <w:bottom w:w="28" w:type="dxa"/>
          <w:right w:w="28" w:type="dxa"/>
        </w:tblCellMar>
      </w:tblPr>
      <w:tblGrid>
        <w:gridCol w:w="1130"/>
        <w:gridCol w:w="992"/>
        <w:gridCol w:w="99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restructuring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and six months ended June 30, 2026 and 2025.</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Adjusted EBITDA and adjusted EBITDA as a percentage of contribution ex-TAC</w:t>
      </w:r>
    </w:p>
    <w:p>
      <w:pPr>
        <w:pStyle w:val="TextBody"/>
        <w:bidi w:val="0"/>
        <w:spacing w:lineRule="auto" w:line="288" w:before="120" w:after="283"/>
        <w:ind w:left="0" w:right="0" w:firstLine="540"/>
        <w:jc w:val="left"/>
        <w:rPr/>
      </w:pPr>
      <w:r>
        <w:rPr>
          <w:rFonts w:ascii="Times New Roman;serif" w:hAnsi="Times New Roman;serif"/>
          <w:b w:val="false"/>
          <w:color w:val="231F20"/>
          <w:sz w:val="20"/>
        </w:rPr>
        <w:t>Adjusted EBITDA is a non-GAAP financial measure defined by us as net income (loss) before interest expense (income), net, income tax benefit (expense), depreciation, amortization, stock-based compensation and certain other items that are not related to our core operations, such as a</w:t>
      </w:r>
      <w:r>
        <w:rPr>
          <w:rFonts w:ascii="Times New Roman;serif" w:hAnsi="Times New Roman;serif"/>
          <w:b w:val="false"/>
          <w:color w:val="000000"/>
          <w:sz w:val="20"/>
        </w:rPr>
        <w:t>cquisition and restructuring costs</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231F20"/>
          <w:sz w:val="20"/>
        </w:rPr>
        <w:t>as well as TRA remeasurement expense. Net income (loss) is the most comparable GAAP financial measure. Adjusted EBITDA as a percentage of contribution ex-TAC is a non-GAAP financial measure we calculate by dividing adjusted EBITDA by contribution ex-TAC for the period or periods presented. Net income (loss) as a percentage of gross profit is the most comparable GAAP financial measure.</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 xml:space="preserve">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is used by our management and board of directors to evaluate adjusted EBITDA relative to our profitability after costs that are directly variable to revenues, which comprise TAC. Accordingly, we believe that adjusted EBITDA and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EBITDA as a percentage of contribution ex-TAC provide information to investors and the market in understanding and evaluating our operating results in the same manner as our management and board of directors.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The following table presents a reconciliation of net loss to adjusted EBITDA for the periods presented:</w:t>
      </w:r>
    </w:p>
    <w:tbl>
      <w:tblPr>
        <w:tblW w:w="8624" w:type="dxa"/>
        <w:jc w:val="center"/>
        <w:tblInd w:w="0" w:type="dxa"/>
        <w:tblLayout w:type="fixed"/>
        <w:tblCellMar>
          <w:top w:w="28" w:type="dxa"/>
          <w:left w:w="28" w:type="dxa"/>
          <w:bottom w:w="28" w:type="dxa"/>
          <w:right w:w="28" w:type="dxa"/>
        </w:tblCellMar>
      </w:tblPr>
      <w:tblGrid>
        <w:gridCol w:w="1244"/>
        <w:gridCol w:w="1091"/>
        <w:gridCol w:w="109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restructuring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 remeasurement expense</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and six months ended June 30, 2026 and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(2)TRA remeasurement expense reflects the remeasurement of the TRA liability for the six months ended June 30, 2025.</w:t>
      </w:r>
    </w:p>
    <w:p>
      <w:pPr>
        <w:pStyle w:val="TextBody"/>
        <w:bidi w:val="0"/>
        <w:spacing w:lineRule="auto" w:line="288" w:before="24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The following table presents the calculation of net loss as a percentage of gross profit and the calculation of adjusted EBITDA as a percentage of contribution ex-TAC for the periods presented:</w:t>
      </w:r>
    </w:p>
    <w:tbl>
      <w:tblPr>
        <w:tblW w:w="10205" w:type="dxa"/>
        <w:jc w:val="center"/>
        <w:tblInd w:w="0" w:type="dxa"/>
        <w:tblLayout w:type="fixed"/>
        <w:tblCellMar>
          <w:top w:w="28" w:type="dxa"/>
          <w:left w:w="28" w:type="dxa"/>
          <w:bottom w:w="28" w:type="dxa"/>
          <w:right w:w="28" w:type="dxa"/>
        </w:tblCellMar>
      </w:tblPr>
      <w:tblGrid>
        <w:gridCol w:w="1595"/>
        <w:gridCol w:w="1331"/>
        <w:gridCol w:w="133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318"/>
      </w:tblGrid>
      <w:tr>
        <w:trPr/>
        <w:tc>
          <w:tcPr>
            <w:tcW w:w="159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as a percentage of 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ex-TAC</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contribution ex-TAC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360"/>
        <w:jc w:val="left"/>
        <w:rPr/>
      </w:pPr>
      <w:r>
        <w:rPr>
          <w:rFonts w:ascii="Times New Roman;serif" w:hAnsi="Times New Roman;serif"/>
          <w:b w:val="false"/>
          <w:color w:val="231F20"/>
          <w:sz w:val="20"/>
        </w:rPr>
        <w:t>(1)For a reconciliation of contribution ex-TAC to the most directly comparable financial measure calculated in accordance with GAAP, see “</w:t>
      </w:r>
      <w:r>
        <w:rPr>
          <w:color w:val="231F20"/>
        </w:rPr>
        <w:t>—</w:t>
      </w:r>
      <w:r>
        <w:rPr>
          <w:rFonts w:ascii="Times New Roman;serif" w:hAnsi="Times New Roman;serif"/>
          <w:b w:val="false"/>
          <w:i/>
          <w:color w:val="231F20"/>
          <w:sz w:val="20"/>
        </w:rPr>
        <w:t>Contribution ex-TAC</w:t>
      </w:r>
      <w:r>
        <w:rPr>
          <w:rFonts w:ascii="Times New Roman;serif" w:hAnsi="Times New Roman;serif"/>
          <w:b w:val="false"/>
          <w:color w:val="231F20"/>
          <w:sz w:val="20"/>
        </w:rPr>
        <w:t>.”</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Non-GAAP net income (loss)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Non-GAAP net income (loss) is a non-GAAP financial measure defined by us as net income (loss) adjusted to eliminate the impact of stock-based compensation and certain other items that are not related to our core operations, such as a</w:t>
      </w:r>
      <w:r>
        <w:rPr>
          <w:rFonts w:ascii="Times New Roman;serif" w:hAnsi="Times New Roman;serif"/>
          <w:b w:val="false"/>
          <w:color w:val="000000"/>
          <w:sz w:val="20"/>
        </w:rPr>
        <w:t>cquisition and restructuring costs</w:t>
      </w:r>
      <w:r>
        <w:rPr>
          <w:color w:val="231F20"/>
        </w:rPr>
        <w:t xml:space="preserve"> </w:t>
      </w:r>
      <w:r>
        <w:rPr>
          <w:rFonts w:ascii="Times New Roman;serif" w:hAnsi="Times New Roman;serif"/>
          <w:b w:val="false"/>
          <w:color w:val="231F20"/>
          <w:sz w:val="20"/>
        </w:rPr>
        <w:t>as well as TRA remeasurement expense and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 xml:space="preserve">Our use of non-GAAP net income (loss) has limitations as an analytical tool, and you should not consider this measure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should consider our non-GAAP financial measures only as supplemental to other GAAP-based financial performance measures, including revenue, gross profit, net income (loss) and cash flows.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following table presents a reconciliation of net loss to non-GAAP net income for the </w:t>
      </w:r>
      <w:r>
        <w:rPr>
          <w:rFonts w:ascii="Times New Roman;serif" w:hAnsi="Times New Roman;serif"/>
          <w:b w:val="false"/>
          <w:color w:val="231F20"/>
          <w:sz w:val="20"/>
        </w:rPr>
        <w:t>periods presented:</w:t>
      </w:r>
    </w:p>
    <w:tbl>
      <w:tblPr>
        <w:tblW w:w="10205" w:type="dxa"/>
        <w:jc w:val="center"/>
        <w:tblInd w:w="0" w:type="dxa"/>
        <w:tblLayout w:type="fixed"/>
        <w:tblCellMar>
          <w:top w:w="28" w:type="dxa"/>
          <w:left w:w="28" w:type="dxa"/>
          <w:bottom w:w="28" w:type="dxa"/>
          <w:right w:w="28" w:type="dxa"/>
        </w:tblCellMar>
      </w:tblPr>
      <w:tblGrid>
        <w:gridCol w:w="1945"/>
        <w:gridCol w:w="1670"/>
        <w:gridCol w:w="1562"/>
        <w:gridCol w:w="211"/>
        <w:gridCol w:w="66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7"/>
      </w:tblGrid>
      <w:tr>
        <w:trPr/>
        <w:tc>
          <w:tcPr>
            <w:tcW w:w="194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(less):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restructuring costs</w:t>
            </w:r>
            <w:r>
              <w:rPr>
                <w:rFonts w:ascii="Times New Roman;serif" w:hAnsi="Times New Roman;serif"/>
                <w:b w:val="false"/>
                <w:color w:val="000000"/>
                <w:sz w:val="13"/>
              </w:rPr>
              <w:t>(1)</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 remeasurement expense</w:t>
            </w:r>
            <w:r>
              <w:rPr>
                <w:rFonts w:ascii="Times New Roman;serif" w:hAnsi="Times New Roman;serif"/>
                <w:b w:val="false"/>
                <w:color w:val="000000"/>
                <w:sz w:val="13"/>
              </w:rPr>
              <w:t>(2)</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Viant Technology Inc.’s share of non-GAAP pre-tax income (loss)</w:t>
            </w:r>
            <w:r>
              <w:rPr>
                <w:rFonts w:ascii="Times New Roman;serif" w:hAnsi="Times New Roman;serif"/>
                <w:b w:val="false"/>
                <w:color w:val="000000"/>
                <w:sz w:val="13"/>
              </w:rPr>
              <w:t>(3)</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and six months ended June 30, 2026 and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(2)TRA remeasurement expense reflects the remeasurement of the TRA liability for the six months ended June 30, 2025.</w:t>
      </w:r>
    </w:p>
    <w:p>
      <w:pPr>
        <w:pStyle w:val="TextBody"/>
        <w:bidi w:val="0"/>
        <w:spacing w:lineRule="auto" w:line="288" w:before="120" w:after="283"/>
        <w:ind w:left="0" w:right="0" w:hanging="360"/>
        <w:jc w:val="left"/>
        <w:rPr/>
      </w:pPr>
      <w:r>
        <w:rPr>
          <w:rFonts w:ascii="Times New Roman;serif" w:hAnsi="Times New Roman;serif"/>
          <w:b w:val="false"/>
          <w:color w:val="231F20"/>
          <w:sz w:val="20"/>
        </w:rPr>
        <w:t>(3)</w:t>
      </w:r>
      <w:r>
        <w:rPr>
          <w:rFonts w:ascii="Times New Roman;serif" w:hAnsi="Times New Roman;serif"/>
          <w:b w:val="false"/>
          <w:color w:val="000000"/>
          <w:sz w:val="20"/>
        </w:rPr>
        <w:t>The estimated income tax effect of our share of income (loss) after non-GAAP reconciling items for the three months ended June 30, 2026 and 2025 is calculated using assumed blended tax rates of 26% and 27%, respectively, which represent our expected corporate tax rates, excluding discrete and non-recurring tax items.</w:t>
      </w:r>
    </w:p>
    <w:p>
      <w:pPr>
        <w:pStyle w:val="TextBody"/>
        <w:bidi w:val="0"/>
        <w:spacing w:lineRule="auto" w:line="288" w:before="240" w:after="283"/>
        <w:jc w:val="left"/>
        <w:rPr/>
      </w:pPr>
      <w:r>
        <w:rPr>
          <w:rFonts w:ascii="Times New Roman;serif" w:hAnsi="Times New Roman;serif"/>
          <w:b w:val="false"/>
          <w:i/>
          <w:color w:val="231F20"/>
          <w:sz w:val="20"/>
        </w:rPr>
        <w:t>Non-GAAP earnings (loss) per share of Class A common stock</w:t>
      </w:r>
      <w:r>
        <w:rPr>
          <w:color w:val="000000"/>
        </w:rPr>
        <w:t>—</w:t>
      </w:r>
      <w:r>
        <w:rPr>
          <w:rFonts w:ascii="Times New Roman;serif" w:hAnsi="Times New Roman;serif"/>
          <w:b w:val="false"/>
          <w:i/>
          <w:color w:val="000000"/>
          <w:sz w:val="20"/>
        </w:rPr>
        <w:t>basic and diluted</w:t>
      </w:r>
    </w:p>
    <w:p>
      <w:pPr>
        <w:pStyle w:val="TextBody"/>
        <w:bidi w:val="0"/>
        <w:spacing w:lineRule="auto" w:line="288" w:before="120" w:after="283"/>
        <w:ind w:left="0" w:right="0" w:firstLine="540"/>
        <w:jc w:val="left"/>
        <w:rPr/>
      </w:pPr>
      <w:r>
        <w:rPr>
          <w:rFonts w:ascii="Times New Roman;serif" w:hAnsi="Times New Roman;serif"/>
          <w:b w:val="false"/>
          <w:color w:val="231F20"/>
          <w:sz w:val="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a</w:t>
      </w:r>
      <w:r>
        <w:rPr>
          <w:rFonts w:ascii="Times New Roman;serif" w:hAnsi="Times New Roman;serif"/>
          <w:b w:val="false"/>
          <w:color w:val="000000"/>
          <w:sz w:val="20"/>
        </w:rPr>
        <w:t>cquisition and restructuring costs</w:t>
      </w:r>
      <w:r>
        <w:rPr>
          <w:rFonts w:ascii="Times New Roman;serif" w:hAnsi="Times New Roman;serif"/>
          <w:b w:val="false"/>
          <w:color w:val="231F20"/>
          <w:sz w:val="20"/>
        </w:rPr>
        <w:t>, as well as TRA remeasurement expense and the income tax effect of these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that aids in the understanding and evaluation of our results of operations in the same manner as our management and board of directors.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 xml:space="preserve">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financial measures only as supplemental to other GAAP-based financial performance measures, including earnings (loss) per share of Class A common stock—basic and diluted.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Basic non-GAAP earnings (loss) per share of Class A common stock is calculated by dividing the non-GAAP net income (loss) attributable to Class A common stockholders by the number of weighted-average shares of Class A common stock outstanding.</w:t>
      </w:r>
      <w:r>
        <w:rPr>
          <w:color w:val="231F20"/>
        </w:rPr>
        <w:t xml:space="preserve"> </w:t>
      </w:r>
      <w:r>
        <w:rPr>
          <w:rFonts w:ascii="Times New Roman;serif" w:hAnsi="Times New Roman;serif"/>
          <w:b w:val="false"/>
          <w:color w:val="231F20"/>
          <w:sz w:val="20"/>
        </w:rPr>
        <w:t>Shares of our Class B common stock do not share in our earnings or losses and are therefore not participating securities. As such, separate presentation of basic and diluted non-GAAP earnings (loss) of Class B common stock under the two-class method has not been presented.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 impact of potentially dilutive securities except to the extent their inclusion would be anti-dilutive. Shares of our Class B common stock, restricted stock units ("RSUs"), performance stock units ("PSUs"), and nonqualified stock options ("NQSOs") are considered potentially dilutive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The following tables present the reconciliation of earnings (loss) per share of Class A common stock—basic and diluted to non-GAAP earnings (loss) per share of Class A common stock—basic and diluted for the periods presented:</w:t>
      </w:r>
    </w:p>
    <w:tbl>
      <w:tblPr>
        <w:tblW w:w="10205" w:type="dxa"/>
        <w:jc w:val="center"/>
        <w:tblInd w:w="0" w:type="dxa"/>
        <w:tblLayout w:type="fixed"/>
        <w:tblCellMar>
          <w:top w:w="28" w:type="dxa"/>
          <w:left w:w="28" w:type="dxa"/>
          <w:bottom w:w="28" w:type="dxa"/>
          <w:right w:w="28" w:type="dxa"/>
        </w:tblCellMar>
      </w:tblPr>
      <w:tblGrid>
        <w:gridCol w:w="1841"/>
        <w:gridCol w:w="1297"/>
        <w:gridCol w:w="1285"/>
        <w:gridCol w:w="255"/>
        <w:gridCol w:w="791"/>
        <w:gridCol w:w="131"/>
        <w:gridCol w:w="131"/>
        <w:gridCol w:w="131"/>
        <w:gridCol w:w="131"/>
        <w:gridCol w:w="131"/>
        <w:gridCol w:w="109"/>
        <w:gridCol w:w="224"/>
        <w:gridCol w:w="690"/>
        <w:gridCol w:w="115"/>
        <w:gridCol w:w="113"/>
        <w:gridCol w:w="113"/>
        <w:gridCol w:w="113"/>
        <w:gridCol w:w="219"/>
        <w:gridCol w:w="642"/>
        <w:gridCol w:w="113"/>
        <w:gridCol w:w="109"/>
        <w:gridCol w:w="109"/>
        <w:gridCol w:w="109"/>
        <w:gridCol w:w="109"/>
        <w:gridCol w:w="109"/>
        <w:gridCol w:w="230"/>
        <w:gridCol w:w="673"/>
        <w:gridCol w:w="182"/>
      </w:tblGrid>
      <w:tr>
        <w:trPr/>
        <w:tc>
          <w:tcPr>
            <w:tcW w:w="184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630" w:type="dxa"/>
            <w:gridSpan w:val="8"/>
            <w:tcBorders/>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Acquisition and restructuring costs</w:t>
            </w:r>
            <w:r>
              <w:rPr>
                <w:rFonts w:ascii="Times New Roman;serif" w:hAnsi="Times New Roman;serif"/>
                <w:b w:val="false"/>
                <w:color w:val="000000"/>
                <w:sz w:val="13"/>
              </w:rPr>
              <w:t>(1)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Viant Technology Inc.'s share of non-GAAP pre-tax income (loss)</w:t>
            </w:r>
            <w:r>
              <w:rPr>
                <w:rFonts w:ascii="Times New Roman;serif" w:hAnsi="Times New Roman;serif"/>
                <w:b w:val="false"/>
                <w:color w:val="000000"/>
                <w:sz w:val="13"/>
              </w:rPr>
              <w:t>(2)</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10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Less: Net income (loss) attributable to noncontrolling interests</w:t>
            </w:r>
            <w:r>
              <w:rPr>
                <w:rFonts w:ascii="Times New Roman;serif" w:hAnsi="Times New Roman;serif"/>
                <w:b w:val="false"/>
                <w:color w:val="000000"/>
                <w:sz w:val="13"/>
              </w:rPr>
              <w:t>(3)</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Inc.—basic</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Reallocation of net income (loss) attributable to noncontrolling interest from the assumed exchange of RSUs and NQSOs for Class A common stock</w:t>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from the assumed exchange of dilutive securities for Class A common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Net income (loss) attributable to noncontrolling interests</w:t>
            </w:r>
            <w:r>
              <w:rPr>
                <w:rFonts w:ascii="Times New Roman;serif" w:hAnsi="Times New Roman;serif"/>
                <w:b w:val="false"/>
                <w:color w:val="000000"/>
                <w:sz w:val="13"/>
              </w:rPr>
              <w:t>(3)</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the Company's share of non-GAAP pre-tax income (loss)</w:t>
            </w:r>
            <w:r>
              <w:rPr>
                <w:rFonts w:ascii="Times New Roman;serif" w:hAnsi="Times New Roman;serif"/>
                <w:b w:val="false"/>
                <w:color w:val="000000"/>
                <w:sz w:val="13"/>
              </w:rPr>
              <w:t>(2)</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Inc.—diluted</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—basic</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—diluted</w:t>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19,903 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stock—basic</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stock—diluted</w:t>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8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excluded from earnings (loss) per share of Class A common stock—diluted:</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PSUs</w:t>
            </w:r>
            <w:r>
              <w:rPr>
                <w:rFonts w:ascii="Times New Roman;serif" w:hAnsi="Times New Roman;serif"/>
                <w:b w:val="false"/>
                <w:color w:val="000000"/>
                <w:sz w:val="13"/>
              </w:rPr>
              <w:t>(4)</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earnings (loss) per share of Class A common stock—diluted</w:t>
            </w:r>
          </w:p>
        </w:tc>
        <w:tc>
          <w:tcPr>
            <w:tcW w:w="10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months ended June 30, 2026 and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estimated income tax effect of our share of income (loss) after non-GAAP reconciling items for the three months ended June 30, 2026 and 2025 is calculated using assumed blended tax rates of 26% and 27%, respectively, which represent our expected corporate tax rates, excluding discrete and non-recurring tax items.</w:t>
      </w:r>
    </w:p>
    <w:p>
      <w:pPr>
        <w:pStyle w:val="TextBody"/>
        <w:bidi w:val="0"/>
        <w:spacing w:lineRule="auto" w:line="288" w:before="120" w:after="283"/>
        <w:ind w:left="0" w:right="0" w:hanging="360"/>
        <w:jc w:val="left"/>
        <w:rPr/>
      </w:pPr>
      <w:r>
        <w:rPr>
          <w:rFonts w:ascii="Times New Roman;serif" w:hAnsi="Times New Roman;serif"/>
          <w:b w:val="false"/>
          <w:color w:val="000000"/>
          <w:sz w:val="20"/>
        </w:rPr>
        <w:t xml:space="preserve">(3)The adjustment to net income attributable to noncontrolling interests represents stock-based compensation as well as </w:t>
      </w:r>
      <w:r>
        <w:rPr>
          <w:rFonts w:ascii="Times New Roman;serif" w:hAnsi="Times New Roman;serif"/>
          <w:b w:val="false"/>
          <w:color w:val="231F20"/>
          <w:sz w:val="20"/>
        </w:rPr>
        <w:t>a</w:t>
      </w:r>
      <w:r>
        <w:rPr>
          <w:rFonts w:ascii="Times New Roman;serif" w:hAnsi="Times New Roman;serif"/>
          <w:b w:val="false"/>
          <w:color w:val="000000"/>
          <w:sz w:val="20"/>
        </w:rPr>
        <w:t>cquisition and restructuring costs attributed to the noncontrolling interests outstanding during the period.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(4)Number of securities outstanding at the end of the period that were excluded from the computation of diluted non-GAAP earnings (loss) per share of Class A common stock because the performance conditions associated with these awards were not met assuming the end of the reporting period was the end of the performance period.</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tbl>
      <w:tblPr>
        <w:tblW w:w="10205" w:type="dxa"/>
        <w:jc w:val="center"/>
        <w:tblInd w:w="0" w:type="dxa"/>
        <w:tblLayout w:type="fixed"/>
        <w:tblCellMar>
          <w:top w:w="28" w:type="dxa"/>
          <w:left w:w="28" w:type="dxa"/>
          <w:bottom w:w="28" w:type="dxa"/>
          <w:right w:w="28" w:type="dxa"/>
        </w:tblCellMar>
      </w:tblPr>
      <w:tblGrid>
        <w:gridCol w:w="1839"/>
        <w:gridCol w:w="1399"/>
        <w:gridCol w:w="1415"/>
        <w:gridCol w:w="211"/>
        <w:gridCol w:w="648"/>
        <w:gridCol w:w="109"/>
        <w:gridCol w:w="109"/>
        <w:gridCol w:w="109"/>
        <w:gridCol w:w="109"/>
        <w:gridCol w:w="109"/>
        <w:gridCol w:w="109"/>
        <w:gridCol w:w="224"/>
        <w:gridCol w:w="767"/>
        <w:gridCol w:w="115"/>
        <w:gridCol w:w="109"/>
        <w:gridCol w:w="109"/>
        <w:gridCol w:w="109"/>
        <w:gridCol w:w="211"/>
        <w:gridCol w:w="648"/>
        <w:gridCol w:w="109"/>
        <w:gridCol w:w="109"/>
        <w:gridCol w:w="109"/>
        <w:gridCol w:w="109"/>
        <w:gridCol w:w="109"/>
        <w:gridCol w:w="109"/>
        <w:gridCol w:w="226"/>
        <w:gridCol w:w="698"/>
        <w:gridCol w:w="169"/>
      </w:tblGrid>
      <w:tr>
        <w:trPr/>
        <w:tc>
          <w:tcPr>
            <w:tcW w:w="183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c>
          <w:tcPr>
            <w:tcW w:w="1638" w:type="dxa"/>
            <w:gridSpan w:val="8"/>
            <w:tcBorders/>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Acquisition and restructuring costs</w:t>
            </w:r>
            <w:r>
              <w:rPr>
                <w:rFonts w:ascii="Times New Roman;serif" w:hAnsi="Times New Roman;serif"/>
                <w:b w:val="false"/>
                <w:color w:val="000000"/>
                <w:sz w:val="13"/>
              </w:rPr>
              <w:t>(1)</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TRA remeasurement expense</w:t>
            </w:r>
            <w:r>
              <w:rPr>
                <w:rFonts w:ascii="Times New Roman;serif" w:hAnsi="Times New Roman;serif"/>
                <w:b w:val="false"/>
                <w:color w:val="000000"/>
                <w:sz w:val="13"/>
              </w:rPr>
              <w:t>(2)</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Viant Technology Inc.'s share of non-GAAP pre-tax loss</w:t>
            </w:r>
            <w:r>
              <w:rPr>
                <w:rFonts w:ascii="Times New Roman;serif" w:hAnsi="Times New Roman;serif"/>
                <w:b w:val="false"/>
                <w:color w:val="000000"/>
                <w:sz w:val="13"/>
              </w:rPr>
              <w:t>(3)</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(loss)</w:t>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Less: Net income (loss) attributable to noncontrolling interests</w:t>
            </w:r>
            <w:r>
              <w:rPr>
                <w:rFonts w:ascii="Times New Roman;serif" w:hAnsi="Times New Roman;serif"/>
                <w:b w:val="false"/>
                <w:color w:val="000000"/>
                <w:sz w:val="13"/>
              </w:rPr>
              <w:t>(4)</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Inc.—basic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Reallocation of net loss attributable to noncontrolling interest from the assumed exchange of RSUs and NQSOs for Class A common stock</w:t>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from the assumed exchange of dilutive securities for Class A common stock</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Net income (loss) attributable to noncontrolling interests</w:t>
            </w:r>
            <w:r>
              <w:rPr>
                <w:rFonts w:ascii="Times New Roman;serif" w:hAnsi="Times New Roman;serif"/>
                <w:b w:val="false"/>
                <w:color w:val="000000"/>
                <w:sz w:val="13"/>
              </w:rPr>
              <w:t>(4)</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expense (benefit) related to the Company's share of non-GAAP pre-tax loss</w:t>
            </w:r>
            <w:r>
              <w:rPr>
                <w:rFonts w:ascii="Times New Roman;serif" w:hAnsi="Times New Roman;serif"/>
                <w:b w:val="false"/>
                <w:color w:val="000000"/>
                <w:sz w:val="13"/>
              </w:rPr>
              <w:t>(3)</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Inc.—diluted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—basic</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—diluted</w:t>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6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excluded from earnings (loss) per share of Class A common stock—diluted:</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PSUs</w:t>
            </w:r>
            <w:r>
              <w:rPr>
                <w:rFonts w:ascii="Times New Roman;serif" w:hAnsi="Times New Roman;serif"/>
                <w:b w:val="false"/>
                <w:color w:val="000000"/>
                <w:sz w:val="13"/>
              </w:rPr>
              <w:t>(5)</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earnings (loss) per share of Class A common stock—diluted</w:t>
            </w:r>
          </w:p>
        </w:tc>
        <w:tc>
          <w:tcPr>
            <w:tcW w:w="85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120" w:after="283"/>
        <w:ind w:left="0" w:right="0" w:hanging="360"/>
        <w:jc w:val="left"/>
        <w:rPr/>
      </w:pPr>
      <w:r>
        <w:rPr>
          <w:rFonts w:ascii="Times New Roman;serif" w:hAnsi="Times New Roman;serif"/>
          <w:b w:val="false"/>
          <w:color w:val="231F20"/>
          <w:sz w:val="20"/>
        </w:rPr>
        <w:t>(1)A</w:t>
      </w:r>
      <w:r>
        <w:rPr>
          <w:rFonts w:ascii="Times New Roman;serif" w:hAnsi="Times New Roman;serif"/>
          <w:b w:val="false"/>
          <w:color w:val="000000"/>
          <w:sz w:val="20"/>
        </w:rPr>
        <w:t xml:space="preserve">cquisition and restructuring costs primarily consist of costs incurred related to our contemplated and completed acquisitions for the six months ended </w:t>
      </w:r>
      <w:r>
        <w:rPr>
          <w:rFonts w:ascii="Times New Roman;serif" w:hAnsi="Times New Roman;serif"/>
          <w:b w:val="false"/>
          <w:color w:val="231F20"/>
          <w:sz w:val="20"/>
        </w:rPr>
        <w:t>June 30, 2026 and 2025.</w:t>
      </w:r>
    </w:p>
    <w:p>
      <w:pPr>
        <w:pStyle w:val="TextBody"/>
        <w:bidi w:val="0"/>
        <w:spacing w:lineRule="auto" w:line="288" w:before="120" w:after="283"/>
        <w:ind w:left="0" w:right="0" w:hanging="360"/>
        <w:jc w:val="left"/>
        <w:rPr/>
      </w:pPr>
      <w:r>
        <w:rPr>
          <w:rFonts w:ascii="Times New Roman;serif" w:hAnsi="Times New Roman;serif"/>
          <w:b w:val="false"/>
          <w:color w:val="000000"/>
          <w:sz w:val="20"/>
        </w:rPr>
        <w:t>(2)TRA remeasurement expense reflects the remeasurement of the TRA liability for the six months ended June 30, 2025</w:t>
      </w:r>
      <w:r>
        <w:rPr>
          <w:rFonts w:ascii="Times New Roman;serif" w:hAnsi="Times New Roman;serif"/>
          <w:b w:val="false"/>
          <w:color w:val="231F20"/>
          <w:sz w:val="20"/>
        </w:rPr>
        <w:t>.</w:t>
      </w:r>
    </w:p>
    <w:p>
      <w:pPr>
        <w:pStyle w:val="TextBody"/>
        <w:bidi w:val="0"/>
        <w:spacing w:lineRule="auto" w:line="288" w:before="120" w:after="283"/>
        <w:ind w:left="0" w:right="0" w:hanging="360"/>
        <w:jc w:val="left"/>
        <w:rPr/>
      </w:pPr>
      <w:r>
        <w:rPr>
          <w:rFonts w:ascii="Times New Roman;serif" w:hAnsi="Times New Roman;serif"/>
          <w:b w:val="false"/>
          <w:color w:val="231F20"/>
          <w:sz w:val="20"/>
        </w:rPr>
        <w:t xml:space="preserve">(3)The estimated income tax effect of our share of income (loss) after non-GAAP reconciling items for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months ended June 30, 2026 and 2025 is calculated using assumed blended tax rates of 26% and 27%, respectively, which represent our expected corporate tax rates, excluding discrete and non-recurring tax items.</w:t>
      </w:r>
    </w:p>
    <w:p>
      <w:pPr>
        <w:pStyle w:val="TextBody"/>
        <w:bidi w:val="0"/>
        <w:spacing w:lineRule="auto" w:line="288" w:before="120" w:after="283"/>
        <w:ind w:left="0" w:right="0" w:hanging="360"/>
        <w:jc w:val="left"/>
        <w:rPr/>
      </w:pPr>
      <w:r>
        <w:rPr>
          <w:rFonts w:ascii="Times New Roman;serif" w:hAnsi="Times New Roman;serif"/>
          <w:b w:val="false"/>
          <w:color w:val="231F20"/>
          <w:sz w:val="20"/>
        </w:rPr>
        <w:t>(4)The adjustment to net income attributable to noncontrolling interests represents stock-based compensation as well as a</w:t>
      </w:r>
      <w:r>
        <w:rPr>
          <w:rFonts w:ascii="Times New Roman;serif" w:hAnsi="Times New Roman;serif"/>
          <w:b w:val="false"/>
          <w:color w:val="000000"/>
          <w:sz w:val="20"/>
        </w:rPr>
        <w:t>cquisition and restructuring costs</w:t>
      </w:r>
      <w:r>
        <w:rPr>
          <w:color w:val="231F20"/>
        </w:rPr>
        <w:t xml:space="preserve"> </w:t>
      </w:r>
      <w:r>
        <w:rPr>
          <w:rFonts w:ascii="Times New Roman;serif" w:hAnsi="Times New Roman;serif"/>
          <w:b w:val="false"/>
          <w:color w:val="231F20"/>
          <w:sz w:val="20"/>
        </w:rPr>
        <w:t>attributed to the noncontrolling interests outstanding during the period.</w:t>
      </w:r>
    </w:p>
    <w:p>
      <w:pPr>
        <w:pStyle w:val="TextBody"/>
        <w:bidi w:val="0"/>
        <w:spacing w:lineRule="auto" w:line="288" w:before="120" w:after="283"/>
        <w:ind w:left="0" w:right="0" w:hanging="360"/>
        <w:jc w:val="left"/>
        <w:rPr/>
      </w:pPr>
      <w:r>
        <w:rPr>
          <w:rFonts w:ascii="Times New Roman;serif" w:hAnsi="Times New Roman;serif"/>
          <w:b w:val="false"/>
          <w:color w:val="231F20"/>
          <w:sz w:val="20"/>
        </w:rPr>
        <w:t>(5)</w:t>
      </w:r>
      <w:r>
        <w:rPr>
          <w:rFonts w:ascii="Times New Roman;serif" w:hAnsi="Times New Roman;serif"/>
          <w:b w:val="false"/>
          <w:color w:val="000000"/>
          <w:sz w:val="20"/>
        </w:rPr>
        <w:t>Number of securities outstanding at the end of the period that were excluded from the computation of diluted non-GAAP earnings (loss) per share of Class A common stock because the performance conditions associated with these awards were not met assuming the end of the reporting period was the end of the performance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Liquidity and Capital Resources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As of June 30, 2026, we had cash and cash equivalents of $193.1 million and working capital, consisting of current assets less current liabilities, of $200.6 million, compared to cash and cash equivalents of $191.2 million and working capital of $219.2 million as of </w:t>
      </w:r>
      <w:r>
        <w:rPr>
          <w:rFonts w:ascii="Times New Roman;serif" w:hAnsi="Times New Roman;serif"/>
          <w:b w:val="false"/>
          <w:color w:val="231F20"/>
          <w:sz w:val="20"/>
        </w:rPr>
        <w:t>December 31, 2025</w:t>
      </w:r>
      <w:r>
        <w:rPr>
          <w:rFonts w:ascii="Times New Roman;serif" w:hAnsi="Times New Roman;serif"/>
          <w:b w:val="false"/>
          <w:color w:val="000000"/>
          <w:sz w:val="20"/>
        </w:rPr>
        <w: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primary sources of cash are revenues derived from the programmatic purchase of advertising on our platform and related data, measurement, and other technology-enabled offerings,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primary uses of cash are capital expenditures to develop our technology in support of enhancing our platform; purchases of property and equipment in support of our expanding headcount as a result of our growth; other expenditures to finance our operations, platform development and rapid growth; future minimum payments under our non-cancelable operating leases; repurchases under the stock repurchase program; and acquisitions and investments. We intend to continue investing in critical areas of our business for the remainder of 2026 to further accelerate demand for our products and growth across the platform.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flows generated from our operations and the undrawn availability under our revolving credit facility will be sufficient to meet our cash requirements over the next 12 months from the date of this report. We believe we will meet longer-term expected future cash requirements and obligations beyond the next 12 months through a combination of existing cash and cash equivalents, cash flow from operations and other sources of liquidity, which could include the undrawn availability under our revolving credit facility and issuances of equity securities or debt offerings. Our ability to fund longer-term operating needs will depend on our ability to generate positive cash flows through operations, our ability to access the capital markets and other factors, including those discussed under the section titled “Risk Factors” in this Quarterly Report.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our material cash requirements from non-cancelable contractual obligations with an original duration of over one year included future minimum payments under our non-cancelable operating leases, which we estimate will be approximately $3.1 million for the remainder of 2026, $5.9 million in 2027, $4.5 million in 2028, $3.9 million in 2029, and $3.8 million in 2030, and non-cancelable contractual agreements primarily related to the hosting of our data storage, processing and other computing services, which we estimate will be approximately $7.8 million for the remainder of 2026, $12.2 million in 2027, and $3.0 million in 2028.</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did not have any other off-balance sheet arrangements as of June 30, 2026 other than the minimum payments under our hosting arrangements and the indemnification agreements described above and in Note 14—Commitments and Contingencies to our unaudited condensed consolidated financial statements included elsewhere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 and Tax Receivable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initial public offering ("IPO"), we entered into a TRA with Viant Technology LLC, continuing members of Viant Technology LLC and the TRA Representative (as defined in the TRA) on February 9, 2021, as described under Note 11—Income Taxes and Tax Receivable Agreement to our unaudited condensed consolidated financial statements included elsewhere in this Quarterly Report. As of June 30, 2026, we concluded that it was more likely than not that our deferred tax assets subject to the TRA will be realized. Therefore, we recorded a liability related to the tax savings we may realize from utilization of such deferred tax assets. As of June 30, 2026, the total liability for the TRA was approximately $12.9 million. If utilization of the deferred tax asset subject to the TRA becomes not more likely than not in the future, we may reverse the liability related to the TRA which will be recognized as a reduction in other expenses within the consolidated statements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condensed consolidated statements of cash flows.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We would not receive any proceeds from any sale of our Class A common stock by the selling securityholders.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23, 2024, our board of directors approved a stock repurchase program with authorization to purchase up to $50 million in shares of our Class A common stock or Class B units of Viant Technology LLC. On May 5, 2025, our board of directors authorized an increase to the stock repurchase program, enabling the Company to repurchase up to an additional $50 million of the Company's Class A common stock or Class B units of Viant Technology LLC. During the three months ended June 30, 2026, we did not repurchase shares of our Class A common stock. During the six months ended June 30, 2026, we repurchased 0.1 million shares of our Class A common stock for an aggregate amount of $1.0 million, including costs associated with the repurchases. As of June 30, 2026, $39.4 million remained available under the stock repurchase program for Class A common stock and Class B unit repurchases. For additional information related to share repurchases, refer to Note 10—Stockholders' Equity to our unaudited condensed consolidated financial statements included elsewhere in this Quarterly Report.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Revolving Credit Facility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our Amended Loan Agreement provided us with access to a $75.0 million senior secured revolving credit facility with a maturity date of April 4, 2028 that is collateralized by security interests in substantially all of our assets. As of June 30, 2026 and December 31, 2025, there was no outstanding balance and up to $74.1 million of undrawn availability under the revolving credit facility.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June 30, 2026, the Company was in compliance with all applicable covenants under the Amended Loan Agreement. We do not believe this covenant or any other provision in the Amended Loan Agreement will materially impact our liquidity or otherwise restrict our ability to execute on our business plan during or beyond the next 12 months from the date of this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For further discussion of our Amended Loan Agreement, refer to Note 9—Revolving Credit Facility to our unaudited condensed consolidated financial statements included elsewhere in this Quarterly Report</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flows from operating, investing and financing activities, as reflected in the unaudited consolidated statements of cash flows included in Item 1 of this Quarterly Report, are summarized in the following table for the periods presented:</w:t>
      </w:r>
    </w:p>
    <w:tbl>
      <w:tblPr>
        <w:tblW w:w="6848" w:type="dxa"/>
        <w:jc w:val="center"/>
        <w:tblInd w:w="0" w:type="dxa"/>
        <w:tblLayout w:type="fixed"/>
        <w:tblCellMar>
          <w:top w:w="28" w:type="dxa"/>
          <w:left w:w="28" w:type="dxa"/>
          <w:bottom w:w="28" w:type="dxa"/>
          <w:right w:w="28" w:type="dxa"/>
        </w:tblCellMar>
      </w:tblPr>
      <w:tblGrid>
        <w:gridCol w:w="1565"/>
        <w:gridCol w:w="1375"/>
        <w:gridCol w:w="1379"/>
        <w:gridCol w:w="211"/>
        <w:gridCol w:w="721"/>
        <w:gridCol w:w="109"/>
        <w:gridCol w:w="109"/>
        <w:gridCol w:w="109"/>
        <w:gridCol w:w="109"/>
        <w:gridCol w:w="211"/>
        <w:gridCol w:w="79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Cash Flows Data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231F20"/>
          <w:sz w:val="20"/>
        </w:rPr>
      </w:pPr>
      <w:r>
        <w:rPr>
          <w:rFonts w:ascii="Times New Roman;serif" w:hAnsi="Times New Roman;serif"/>
          <w:b w:val="false"/>
          <w:i/>
          <w:color w:val="231F20"/>
          <w:sz w:val="20"/>
        </w:rPr>
        <w:t>Cash Flows Provided by Operating Activities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period-to-period. In addition, we expect seasonality to impact cash flows from operating activities on a quarterly basis.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Cash flows provided by operating activities was $31.3 million for the six months ended June 30, 2026, resulting primarily from net loss of </w:t>
      </w:r>
      <w:r>
        <w:rPr>
          <w:rFonts w:ascii="Times New Roman;serif" w:hAnsi="Times New Roman;serif"/>
          <w:b w:val="false"/>
          <w:color w:val="231F20"/>
          <w:sz w:val="20"/>
        </w:rPr>
        <w:t xml:space="preserve">$4.0 million; noncash add back adjustments to net loss of $29.8 million, including $16.5 million for stock-based compensation, $11.0 million for depreciation and amortization, </w:t>
      </w:r>
      <w:r>
        <w:rPr>
          <w:rFonts w:ascii="Times New Roman;serif" w:hAnsi="Times New Roman;serif"/>
          <w:b w:val="false"/>
          <w:color w:val="000000"/>
          <w:sz w:val="20"/>
        </w:rPr>
        <w:t>$2.5</w:t>
      </w:r>
      <w:r>
        <w:rPr>
          <w:color w:val="231F20"/>
        </w:rPr>
        <w:t xml:space="preserve"> </w:t>
      </w:r>
      <w:r>
        <w:rPr>
          <w:rFonts w:ascii="Times New Roman;serif" w:hAnsi="Times New Roman;serif"/>
          <w:b w:val="false"/>
          <w:color w:val="231F20"/>
          <w:sz w:val="20"/>
        </w:rPr>
        <w:t xml:space="preserve">million for noncash lease expense, </w:t>
      </w:r>
      <w:r>
        <w:rPr>
          <w:rFonts w:ascii="Times New Roman;serif" w:hAnsi="Times New Roman;serif"/>
          <w:b w:val="false"/>
          <w:color w:val="000000"/>
          <w:sz w:val="20"/>
        </w:rPr>
        <w:t>$(1.4) million for deferred tax assets</w:t>
      </w:r>
      <w:r>
        <w:rPr>
          <w:rFonts w:ascii="Times New Roman;serif" w:hAnsi="Times New Roman;serif"/>
          <w:b w:val="false"/>
          <w:color w:val="231F20"/>
          <w:sz w:val="20"/>
        </w:rPr>
        <w:t>; and an increase of $5.5 million from changes in working capital, primarily including a net increase of $25.5 million in accounts receivable, prepaid assets and other assets related to higher sales and timing of customer collections due to seasonal fluctuations, as well as a net decrease of $18.1 million in accounts payable, accrued liabilities and accrued compensation related to timing of payments.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was $16.5 million for the six months ended June 30, 2025, resulting primarily from net loss of $1.5 million, noncash add back adjustments to net loss of $23.4 million, including $12.0 million for stock-based compensation, $8.9 million for depreciation and amortization and $2.1 million for noncash lease expense; and a decrease of $5.4 million from changes in working capital, primarily including a net decrease of $14.2 million in accounts receivable, prepaid assets and other assets related to the timing of customer collections due to seasonal fluctuations, as well as a net increase of $15.5 million in accounts payable, accrued liabilities and accrued compensation related to timing of payments.</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Cash Flows Used in Investing Activities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primary investing activities have consisted of capital expenditures to develop our technology in support of enhancing our platform, cash paid for acquisitions and investments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the timing of our platform development cycles. As a result of continued capitalized software development costs and the growth of our business, we expect our capital expenditures and our investment activity to continue to increase.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Cash flows used in investing activities was $25.3 million for the six months ended June 30, 2026, resulting primarily from $15.4 million in cash paid for acquisitions, $8.8 million of investments in capitalized software to develop our technology in support of enhancing our platform and </w:t>
      </w:r>
      <w:r>
        <w:rPr>
          <w:rFonts w:ascii="Times New Roman;serif" w:hAnsi="Times New Roman;serif"/>
          <w:b w:val="false"/>
          <w:color w:val="231F20"/>
          <w:sz w:val="20"/>
        </w:rPr>
        <w:t>$1.0 million of purchases of property and equipment.</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Cash flows used in investing activities was </w:t>
      </w:r>
      <w:r>
        <w:rPr>
          <w:rFonts w:ascii="Times New Roman;serif" w:hAnsi="Times New Roman;serif"/>
          <w:b w:val="false"/>
          <w:color w:val="000000"/>
          <w:sz w:val="20"/>
        </w:rPr>
        <w:t>$12.6</w:t>
      </w:r>
      <w:r>
        <w:rPr>
          <w:color w:val="231F20"/>
        </w:rPr>
        <w:t xml:space="preserve"> </w:t>
      </w:r>
      <w:r>
        <w:rPr>
          <w:rFonts w:ascii="Times New Roman;serif" w:hAnsi="Times New Roman;serif"/>
          <w:b w:val="false"/>
          <w:color w:val="231F20"/>
          <w:sz w:val="20"/>
        </w:rPr>
        <w:t xml:space="preserve">million for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 xml:space="preserve">June 30, 2025, </w:t>
      </w:r>
      <w:r>
        <w:rPr>
          <w:rFonts w:ascii="Times New Roman;serif" w:hAnsi="Times New Roman;serif"/>
          <w:b w:val="false"/>
          <w:color w:val="231F20"/>
          <w:sz w:val="20"/>
        </w:rPr>
        <w:t xml:space="preserve">resulting primarily from </w:t>
      </w:r>
      <w:r>
        <w:rPr>
          <w:rFonts w:ascii="Times New Roman;serif" w:hAnsi="Times New Roman;serif"/>
          <w:b w:val="false"/>
          <w:color w:val="000000"/>
          <w:sz w:val="20"/>
        </w:rPr>
        <w:t>$7.9</w:t>
      </w:r>
      <w:r>
        <w:rPr>
          <w:color w:val="231F20"/>
        </w:rPr>
        <w:t xml:space="preserve"> </w:t>
      </w:r>
      <w:r>
        <w:rPr>
          <w:rFonts w:ascii="Times New Roman;serif" w:hAnsi="Times New Roman;serif"/>
          <w:b w:val="false"/>
          <w:color w:val="231F20"/>
          <w:sz w:val="20"/>
        </w:rPr>
        <w:t xml:space="preserve">million of investments in capitalized software to develop our technology in support of enhancing our platform, </w:t>
      </w:r>
      <w:r>
        <w:rPr>
          <w:rFonts w:ascii="Times New Roman;serif" w:hAnsi="Times New Roman;serif"/>
          <w:b w:val="false"/>
          <w:color w:val="000000"/>
          <w:sz w:val="20"/>
        </w:rPr>
        <w:t>$3.5 million of cash paid for investments,</w:t>
      </w:r>
      <w:r>
        <w:rPr>
          <w:color w:val="231F20"/>
        </w:rPr>
        <w:t xml:space="preserve"> </w:t>
      </w:r>
      <w:r>
        <w:rPr>
          <w:rFonts w:ascii="Times New Roman;serif" w:hAnsi="Times New Roman;serif"/>
          <w:b w:val="false"/>
          <w:color w:val="000000"/>
          <w:sz w:val="20"/>
        </w:rPr>
        <w:t>$0.6</w:t>
      </w:r>
      <w:r>
        <w:rPr>
          <w:color w:val="231F20"/>
        </w:rPr>
        <w:t xml:space="preserve"> </w:t>
      </w:r>
      <w:r>
        <w:rPr>
          <w:rFonts w:ascii="Times New Roman;serif" w:hAnsi="Times New Roman;serif"/>
          <w:b w:val="false"/>
          <w:color w:val="231F20"/>
          <w:sz w:val="20"/>
        </w:rPr>
        <w:t xml:space="preserve">million of purchases of property and equipment and </w:t>
      </w:r>
      <w:r>
        <w:rPr>
          <w:rFonts w:ascii="Times New Roman;serif" w:hAnsi="Times New Roman;serif"/>
          <w:b w:val="false"/>
          <w:color w:val="000000"/>
          <w:sz w:val="20"/>
        </w:rPr>
        <w:t>$0.5</w:t>
      </w:r>
      <w:r>
        <w:rPr>
          <w:color w:val="231F20"/>
        </w:rPr>
        <w:t xml:space="preserve"> </w:t>
      </w:r>
      <w:r>
        <w:rPr>
          <w:rFonts w:ascii="Times New Roman;serif" w:hAnsi="Times New Roman;serif"/>
          <w:b w:val="false"/>
          <w:color w:val="231F20"/>
          <w:sz w:val="20"/>
        </w:rPr>
        <w:t>million of cash paid for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(unaudited; tabular dollars in thousands, except per share data)</w:t>
      </w:r>
    </w:p>
    <w:p>
      <w:pPr>
        <w:pStyle w:val="TextBody"/>
        <w:bidi w:val="0"/>
        <w:spacing w:lineRule="auto" w:line="288" w:before="240" w:after="283"/>
        <w:jc w:val="left"/>
        <w:rPr>
          <w:rFonts w:ascii="Times New Roman;serif" w:hAnsi="Times New Roman;serif"/>
          <w:b w:val="false"/>
          <w:i/>
          <w:color w:val="231F20"/>
          <w:sz w:val="20"/>
        </w:rPr>
      </w:pPr>
      <w:r>
        <w:rPr>
          <w:rFonts w:ascii="Times New Roman;serif" w:hAnsi="Times New Roman;serif"/>
          <w:b w:val="false"/>
          <w:i/>
          <w:color w:val="231F20"/>
          <w:sz w:val="20"/>
        </w:rPr>
        <w:t>Cash Flows Used in Financing Activities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financing activities have consisted primarily of payments of member distributions in accordance with their assumed tax liabilities, repurchases of stock in connection with the taxes paid related to the vesting of equity awards, repurchases of stock related to the stock repurchase program and proceeds related to the exercise of stock options. Net cash provided by or used in financing activities has been and will be used to finance our operations, capital expenditures, platform development and growth.</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Cash flows used in financing activities was $4.0 million for the six months ended June 30, 2026, resulting primarily from </w:t>
      </w:r>
      <w:r>
        <w:rPr>
          <w:rFonts w:ascii="Times New Roman;serif" w:hAnsi="Times New Roman;serif"/>
          <w:b w:val="false"/>
          <w:color w:val="231F20"/>
          <w:sz w:val="20"/>
        </w:rPr>
        <w:t>$3.1 million for the repurchase of stock in connection with the taxes paid related to the vesting of equity award</w:t>
      </w:r>
      <w:r>
        <w:rPr>
          <w:rFonts w:ascii="Times New Roman;serif" w:hAnsi="Times New Roman;serif"/>
          <w:b w:val="false"/>
          <w:color w:val="000000"/>
          <w:sz w:val="20"/>
        </w:rPr>
        <w:t>s, $1.0 million for the repurchase of stock related to the stock repurchase program, $0.7 million for payments related to member tax distributions, and $0.3 million for payments on the tax receivable agreement liability, partially offset by $1.0 million of proceeds related to the exercise of stock options.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Cash flows used in financing activities was $36.1 million for </w:t>
      </w:r>
      <w:r>
        <w:rPr>
          <w:rFonts w:ascii="Times New Roman;serif" w:hAnsi="Times New Roman;serif"/>
          <w:b w:val="false"/>
          <w:color w:val="231F20"/>
          <w:sz w:val="20"/>
        </w:rPr>
        <w:t xml:space="preserve">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June 30, 2025, resulting primarily from $28.1 million for the repurchase of stock related to the stock repurchase program, $3.2 million for the repurchase of stock in connection with the taxes paid related to the vesting of equity awards and $6.6 million for payments related to member tax distributions partially offset by $1.8 million of proceeds related to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Critical Accounting Policies and Estimates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net versus gross revenue recognition in our customer arrangements, the assumptions used in the valuation models to determine the fair value of common stock and stock-based compensation, the estimates and judgment involved in the capitalization of internal-use software development costs, the judgment in estimating deferred tax assets and liabilities, including the realizability of deferred tax assets, and the judgment in estimating the TRA liability, have the greatest potential impact on our condensed consolidated financial statements. Therefore, we consider these to be our critical accounting policies and estimates.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TVision acquisition, we made estimates regarding the fair values and useful lives of acquired intangible assets, including developed technology, trademarks and tradenames, customer relationships and panelist relationships, as well as deferred tax assets and goodwill. These estimates involved assumptions regarding future cash flows and revenue growth rates, useful lives, customer and panelist relationships, discount rates, royalty rates, and other factors. The purchase price allocation remains preliminary and may be revised during the measurement period as additional information becomes available.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Except for the estimates associated with the preliminary accounting for the TVision acquisition discussed above, since the date of our Annual Report on Form 10-K for the year ended December 31, 2025, there have been no material changes in our critical accounting policies and estimates disclosed in Part II, 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Recently Issued Accounting Pronouncements</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For information regarding recently issued accounting pronouncements, see </w:t>
      </w:r>
      <w:r>
        <w:rPr>
          <w:rFonts w:ascii="Times New Roman;serif" w:hAnsi="Times New Roman;serif"/>
          <w:b w:val="false"/>
          <w:color w:val="000000"/>
          <w:sz w:val="20"/>
        </w:rPr>
        <w:t>Note 2—Basis of Presentation and Summary of Significant Accounting Policies</w:t>
      </w:r>
      <w:r>
        <w:rPr>
          <w:color w:val="231F20"/>
        </w:rPr>
        <w:t xml:space="preserve"> </w:t>
      </w:r>
      <w:r>
        <w:rPr>
          <w:rFonts w:ascii="Times New Roman;serif" w:hAnsi="Times New Roman;serif"/>
          <w:b w:val="false"/>
          <w:color w:val="231F20"/>
          <w:sz w:val="20"/>
        </w:rPr>
        <w:t>to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have been no material changes in our exposure to market risk. For a discussion of our exposure to market risk, see Part II, Item 7A “Quantitative and Qualitative Disclosures About Market Risk” of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There were no changes in our internal control over financial reporting (as defined in Rules 13a-15(d) and 15d-15(d) under the Exchange Act) during the three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that have materially affected, or are reasonably likely to materially affect, our internal control over financial reporting.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Limitations on the Effectiveness of Disclosure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Investing in our Class A common stock involves a high degree of risk. You should carefully consider the following risks and uncertainties described below, together with all other information contained in this Quarterly Report, including our unaudited condensed consolidated financial statements and the related notes included elsewhere in this Quarterly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w:t>
      </w:r>
      <w:r>
        <w:rPr>
          <w:color w:val="000000"/>
        </w:rPr>
        <w:t xml:space="preserve"> </w:t>
      </w:r>
      <w:r>
        <w:rPr>
          <w:rFonts w:ascii="Times New Roman;serif" w:hAnsi="Times New Roman;serif"/>
          <w:b w:val="false"/>
          <w:i/>
          <w:color w:val="000000"/>
          <w:sz w:val="20"/>
        </w:rPr>
        <w:t>of your investment.</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120" w:after="283"/>
        <w:ind w:left="0" w:right="0" w:firstLine="540"/>
        <w:jc w:val="left"/>
        <w:rPr/>
      </w:pPr>
      <w:r>
        <w:rPr>
          <w:rFonts w:ascii="Times New Roman;serif" w:hAnsi="Times New Roman;serif"/>
          <w:b w:val="false"/>
          <w:color w:val="000000"/>
          <w:sz w:val="20"/>
        </w:rPr>
        <w:t>Our business is subject to numerous risks and uncertainties, including those described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of this Quarterly Report. You should carefully consider these risks and uncertainties when investing in our Class A common stock. Some of the principal risks and uncertainties include the following: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success and revenue growth are dependent on enhancing and improving our platform and effectively educating and training our customers on how to make full use of our platform;</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may not realize the expected benefits of an industry shift away from cookie-based consumer tracking;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If we fail to innovate and make the right investment decisions in our offerings and platform, we may not attract and retain customers, and our revenue and results of operations may decline;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market for programmatic advertising is evolving. If this market develops slower or differently than we expect, our business, operating results and financial condition would be adversely affected;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effects of macroeconomic conditions and geopolitical events, such as inflation, tariffs, changes in trade policies, international conflict, high interest rates, and other adverse market events, have had, and could in the future have, an adverse impact on our business, operating results and financial condition;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If our access to advertising inventory is diminished or fails to grow, our revenue could decline, and our growth could be impeded;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If our access to data is diminished, the effectiveness of our platform would be decreased, which could harm our operating results and financial condition;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We are subject to stringent and changing legal obligations related to data privacy, artificial intelligence, and security. Our actual or perceived failure to comply with such obligations could lead to regulatory investigations or actions, litigation (including class action claims) and mass arbitration demands, litigation and regulatory defense costs, fines and penalties, disruptions of our business operations, reputational harm, loss of customers or sales, revenue declines, increases to the cost of data, reductions in the availability of data, reductions to our ability to utilize or disclose data, and have adverse effects on the demand for our products and services or other adverse business consequences;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business or ability to operate our platform could be impacted by changes in technology initiated by technology companies, end users, or government regulation. Such developments, including the restriction of “third-party cookies,” and use of automated opt out signals could cause instability in the advertising technology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significant breach of or other security incident involving our IT Systems or Confidential Data (each as defined in this Item 1A), or of the security of our or our customers’, suppliers’, or other third parties’ systems or data upon which we rely could be detrimental to our business, reputation and results of operations;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use of artificial intelligence technologies may not result in the benefits we anticipate for our business and may result in a decline in the performance of our products, services and business, as well as our reputation and the reputations of our customers, or cause us to incur liability resulting from the violation of laws or contracts to which we are a party;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acquisition of TVision Insights, Inc. ("TVision") expands our operations into the audience measurement space, adding attention measurement and data capabilities that we are integrating into our platform and broader product offerings alongside our existing measurement, data, content and identity capabilities, and subjects us to additional risks, including risks relating to the integration of panel-based measurement technologies, the accuracy and reliability of measurement data, increased competition from established measurement providers, and intellectual property and other litigation;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market price of our Class A common stock has been and may continue to be volatile or may decline regardless of our operating performance;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Evolving expectations regarding environmental, social and governance matters may impact our business and reputation;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are a “controlled company” within the meaning of the listing standards of the Nasdaq Global Select Market and, as a result, qualify for, and rely on, exemptions from certain corporate governance requirements.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success and revenue growth are dependent on enhancing and improving our platform and effectively educating and training our customers on how to make full use of our platform.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or AI capabilities, we may not be successful at educating and training customers, particularly our newer customers, on how to use our platform,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realize the expected benefits of an industry shift away from cookie-based consumer tracking.</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or to the degree that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innovate and make the right investment decisions in our offerings and platform, we may not attract and retain customers, and our revenue and results of operations may decline.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 results would suffer. In addition, such new products, services or enhancements may create new, or exacerbate existing, technological, security, legal and other challenges, could cause unintended consequences, and may not perform as intended. If new or existing competitors replicate our offerings or have more attractive offerings, we may lose customers or customers may decrease their use of our platform. New customer demands, superior competitive offerings or new industry standards could require us to make unanticipated and costly 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market for programmatic advertising is evolving. If this market develops slower or differently than we expect, our business, operating results and financial condition would be adversely affected.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revenue from the programmatic purchase of advertising on our platform and related data, measurement and other technology-enabled offerings.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particular, the market for programmatic advertising across most advertising channels, including CTV, streaming audio, digital out-of-home, mobile and desktop,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CTV offering may not continue. In addition, our revenue may not necessarily grow at the same rate as spend on our platform. As the market for programmatic buying for advertising matures, growth in spend may outpace growth in our revenue due to a number of factors, including pricing competition, volume discounts and shifts in media, customer and channel mix, and the composition of offerings provided to our customers. A significant change in revenue as a percentage of spend could reflect an adverse change in our business and growth prospects. In addition, any such fluctuations, even if they reflect our strategic decisions, could cause our performance to fall below the expectations of securities analysts and investors, and adversely affect the price of our Class A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Often, we enter into separate contracts and billing relationships with the individual agencies and account for them as separate customers. However, some holding companies for these agencies may choose to exert control over the individual agencies in the future. A holding company may be acquired by, or consolidate with, another holding company that does not utilize our platform, or may otherwise reduce overall spend on our platform as a result of an acquisition or consolidation. If so, any consolidation of, or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relationships with such holding companies and, consequently, of their agencies, local branches or divisions, as customers could significantly harm our business, operating results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have exclusive relationships with advertising agencies, and we depend on agencies to work with us as they embark on advertising campaigns for their customers.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Marketers may change advertising agencies. We have in the past lost and could in the future lose revenue from marketers that switch from an agency that utilizes our platform to one that does not. In addition, some advertising agencies have strong relationships with competing ad platforms or other platforms and may direct their marketers to such other platforms. We are primarily focused on the U.S. market, while competing ad platforms may be focused on international markets. Advertising agencies who seek both domestic and international services, or otherwise limit the number or types of ad platforms used, may choose to consolidate with competing ad platforms. If a significant number of marketers and their agencies begin to utilize competing platforms for the administration of their advertising campaigns, our business, financial condition and results of operations could be adversely affected.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effects of macroeconomic conditions and geopolitical events, such as inflation, tariffs, changes in trade policies, international conflict, high interest rates and other adverse market events have had, and could in the future have, an adverse impact on our business, operating results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operations have been and could in the future be adversely affected by macroeconomic conditions and geopolitical events, such as bank failures, high interest rates, inflationary pressures, tariffs, changes in trade policies, labor shortages, shortages of goods and services, supply chain constraints, pandemics, political cycles, changes in laws and interpretations of laws, and potential disruptions from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disruptions, tariffs, tightening of credit markets, political cycles, changes in laws and interpretations of laws, changes in the volume and relative mix of U.S. government spending, cost-cutting and efficiency initiatives, and potential disruptions from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Economic uncertainty caused by macroeconomic and geopolitical conditions can also make it more difficult to forecast revenue and operating results and to make decisions regarding operational cost structures and investments. We have committed, and we plan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continue to commit, resources to grow our business, including to further develop our platform and systems, and such investments may be impacted by adverse macroeconomic conditions and geopolitical events. </w:t>
      </w:r>
    </w:p>
    <w:p>
      <w:pPr>
        <w:pStyle w:val="TextBody"/>
        <w:bidi w:val="0"/>
        <w:spacing w:lineRule="auto" w:line="288" w:before="240" w:after="283"/>
        <w:ind w:left="0" w:right="0" w:firstLine="540"/>
        <w:jc w:val="left"/>
        <w:rPr/>
      </w:pPr>
      <w:r>
        <w:rPr>
          <w:rFonts w:ascii="Times New Roman;serif" w:hAnsi="Times New Roman;serif"/>
          <w:b/>
          <w:i/>
          <w:color w:val="000000"/>
          <w:sz w:val="20"/>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w:t>
      </w:r>
      <w:r>
        <w:rPr>
          <w:color w:val="000000"/>
        </w:rPr>
        <w:t xml:space="preserve"> </w:t>
      </w:r>
      <w:r>
        <w:rPr>
          <w:rFonts w:ascii="Times New Roman;serif" w:hAnsi="Times New Roman;serif"/>
          <w:b/>
          <w:i/>
          <w:color w:val="000000"/>
          <w:sz w:val="20"/>
        </w:rPr>
        <w:t>or maintain our current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subject to payment-related risks and if our customers do not pay or dispute their invoices, our business, operating results and financial condition may be adversely affected.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this potential imbalance in our collections and payments, we may rely on our credit facility to partially or completely fund our working capital requirements or other needs. As we continue to grow, our business may not generate sufficient cash flow from operations and future borrowings may not be available to us under the credit facility in an amount sufficient to fund our working capital requirements or other needs. If our cash flows and credit facility borrowings are insufficient to fund our working capital requirements or other needs,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our access to advertising inventory is diminished or fails to grow, our revenue could decline, and our growth could be impeded.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demand side platform. Furthermore, the inventory that we access through real-time advertising exchanges may be of low quality or misrepresented to us, despite attempts by us and our suppliers to prevent fraud and conduct quality assurance checks.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new types of inventory, such as digital advertising for television, become more readily available, we will need to expend significant resources to ensure we have access to such new inventory. Although television advertising is a large market, the majority of it is not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depends on consistently adding valued inventory in a cost-effective manner. If we are unable to maintain a consistent supply of inventory for any reason, customer retention, loyalty and operating results and financial condition could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our access to data is diminished, the effectiveness of our platform would be decreased, which could harm our operating results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suppliers are generally not bound by long-term contracts. We may not have access to a consistent supply of inventory on favorable terms or at all.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Legislators, regulators, and other authorities have focused heavily on third-party data suppliers and the advertising industry in recent years, and we expect this to continue. State privacy laws and other U.S. and foreign laws governing Personal Information and privacy pose additional and material compliance risks to such suppliers and companies operating in the advertising industry. In addition, state lawmakers continue to update or enact new laws governing activities of data brokers. For example, states increasingly require companies like ours to honor requests to opt out of certain advertising related uses and disclosures of Personal Information through browser-or device-based mechanisms and California will soon require browsers to support such mechanisms, which may increase our compliance costs. Further, California will soon require data brokers to honor deletion requests made through a centralized mechanism, which may limit the availability of data on our platform. These developments could impact our business and diminish our revenue.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Individuals may increasingly resist or turn off the collection, use, and sharing of Personal Information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Information. Individuals also use controls available to them through their mobile devices to turn off “tracking” and the delivery of personalized ads through mobile apps.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color w:val="000000"/>
        </w:rPr>
        <w:t>—</w:t>
      </w:r>
      <w:r>
        <w:rPr>
          <w:rFonts w:ascii="Times New Roman;serif" w:hAnsi="Times New Roman;serif"/>
          <w:b w:val="false"/>
          <w:i/>
          <w:color w:val="000000"/>
          <w:sz w:val="20"/>
        </w:rPr>
        <w:t>Risks Related to Data Privacy and Artificial Intelligence</w:t>
      </w:r>
      <w:r>
        <w:rPr>
          <w:color w:val="000000"/>
        </w:rPr>
        <w:t xml:space="preserve">” </w:t>
      </w:r>
      <w:r>
        <w:rPr>
          <w:rFonts w:ascii="Times New Roman;serif" w:hAnsi="Times New Roman;serif"/>
          <w:b w:val="false"/>
          <w:color w:val="000000"/>
          <w:sz w:val="20"/>
        </w:rPr>
        <w:t>for additional discussion of the laws and regulations governing the collection of data to which we are or may become subject and about the risks to our business associated with such laws and regulations.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were to lose access to significant amounts of the data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do not effectively grow and train our sales and support teams, we may be unable to add new customers or increase usage of our platform by our existing customers and our business will be adversely affected.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corporate culture has contributed to our success and, if we are unable to maintain it, whether as a result of corporate growth or reduction in force, our business, operating results and financial condition could be harmed.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approximately 470 employees as of June 30, 2026.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allow our customers and suppliers to utilize application programming interfaces ("APIs") with our platform, which could result in outages or security breaches and negatively impact our business, operating results and financial condition.</w:t>
      </w:r>
    </w:p>
    <w:p>
      <w:pPr>
        <w:pStyle w:val="TextBody"/>
        <w:bidi w:val="0"/>
        <w:spacing w:lineRule="auto" w:line="288" w:before="120" w:after="283"/>
        <w:ind w:left="0" w:right="0" w:firstLine="540"/>
        <w:jc w:val="left"/>
        <w:rPr/>
      </w:pPr>
      <w:r>
        <w:rPr>
          <w:rFonts w:ascii="Times New Roman;serif" w:hAnsi="Times New Roman;serif"/>
          <w:b w:val="false"/>
          <w:color w:val="000000"/>
          <w:sz w:val="20"/>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color w:val="000000"/>
        </w:rPr>
        <w:t>—</w:t>
      </w:r>
      <w:r>
        <w:rPr>
          <w:rFonts w:ascii="Times New Roman;serif" w:hAnsi="Times New Roman;serif"/>
          <w:b w:val="false"/>
          <w:i/>
          <w:color w:val="000000"/>
          <w:sz w:val="20"/>
        </w:rPr>
        <w:t>A significant breach of our IT Systems or disclosure of our Confidential Data, or of the security of our or our customers’, suppliers’, or other third parties’ systems upon which we rely could be detrimental to our business, reputation and results of operations</w:t>
      </w:r>
      <w:r>
        <w:rPr>
          <w:color w:val="000000"/>
        </w:rPr>
        <w:t>”</w:t>
      </w:r>
      <w:r>
        <w:rPr>
          <w:rFonts w:ascii="Times New Roman;serif" w:hAnsi="Times New Roman;serif"/>
          <w:b w:val="false"/>
          <w:color w:val="000000"/>
          <w:sz w:val="20"/>
        </w:rPr>
        <w:t>).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Operational and performance issues with our platform, whether actual or perceived, including a failure to respond to technological changes or to upgrade our technology systems, may adversely affect our business, operating results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pStyle w:val="TextBody"/>
        <w:bidi w:val="0"/>
        <w:spacing w:lineRule="auto" w:line="288" w:before="120" w:after="283"/>
        <w:ind w:left="0" w:right="0" w:firstLine="540"/>
        <w:jc w:val="left"/>
        <w:rPr/>
      </w:pPr>
      <w:r>
        <w:rPr>
          <w:rFonts w:ascii="Times New Roman;serif" w:hAnsi="Times New Roman;serif"/>
          <w:b w:val="false"/>
          <w:color w:val="000000"/>
          <w:sz w:val="20"/>
        </w:rPr>
        <w:t>Our platform is complex and multifaceted, and operational and performance issues can arise both from the platform itself or from outside factors, such as cyberattacks or other third-party attacks (for more information on risks related to cyber incidents, see “</w:t>
      </w:r>
      <w:r>
        <w:rPr>
          <w:color w:val="000000"/>
        </w:rPr>
        <w:t>—</w:t>
      </w:r>
      <w:r>
        <w:rPr>
          <w:rFonts w:ascii="Times New Roman;serif" w:hAnsi="Times New Roman;serif"/>
          <w:b w:val="false"/>
          <w:i/>
          <w:color w:val="000000"/>
          <w:sz w:val="20"/>
        </w:rPr>
        <w:t>A significant breach of our IT Systems or disclosure of our Confidential Data, or of the security of our or our customers’, suppliers’, or other third parties’ systems upon which we rely could be detrimental to our business, reputation and results of operations</w:t>
      </w:r>
      <w:r>
        <w:rPr>
          <w:color w:val="000000"/>
        </w:rPr>
        <w:t>”</w:t>
      </w:r>
      <w:r>
        <w:rPr>
          <w:rFonts w:ascii="Times New Roman;serif" w:hAnsi="Times New Roman;serif"/>
          <w:b w:val="false"/>
          <w:color w:val="000000"/>
          <w:sz w:val="20"/>
        </w:rPr>
        <w:t xml:space="preserve">). Errors, failures, vulnerabilities or bugs have been found in the past and may be found in 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different operating systems, system management software, equipment and networking configurations, which may cause errors in, or failures of, our platform or such other computing environments. Operational and performance issues with our platform can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Operational and performance issues with our platform have resulted and may in the future result in unexpected costs, such as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dependent on the continued availability of third-party hosting and transmission services. Operational issues with, or changes to the costs of, our third-party data center providers could harm our business, reputation or results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damage to, or failure of, the systems of our third-party providers could result in interruptions to our platform. Despite precautions taken by third-party data center hosting facilities, the occurrence of spikes in usage volume, a natural disaster, such as earthquakes, wildfires, extreme temperatures, drought, flooding, storms, an act of terrorism, vandalism or sabotage, a decision to close a facility without adequate notice, or other unanticipated problems at a facility could result in lengthy interruptions in the availability of our platform. Climate change or other environmental or social pressures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the non-proprietary technology, software, products and services that we use are unavailable, have future terms we cannot agree to, or do not perform as we expect, our business, operating results and financial condition could be harmed.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various third-party open-source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services could result in outages or difficulties in our ability to provide our services, and our business, operating results and financial condition could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failure to meet content and inventory standards and provide services that our customers and inventory suppliers trust, could harm our brand and reputation and negatively impact our business, operating results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customers violate our ad policies or other contract terms, which could harm our business, operating results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face potential liability and harm to our business based on the human factor of inputting information into our platform.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Future acquisitions, strategic investments or alliances could disrupt our business and harm our business, operating results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acquired businesses and technologies to enhance our capabilities and grow our business, including our acquisition of TVision, which closed on May 1, 2026. The TVision acquisition expands our operations into the audience measurement space, adding attention measurement and data capabilities that we are integrating into our platform and broader product offerings alongside our existing measurement, data, content and identity capabilities, and subjects us to additional risks, including risks relating to the integration of panel-based measurement technologies, the accuracy and reliability of measurement data, increased competition from established measurement providers, and intellectual property and other litigation.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regulatory hurdles;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failure of anticipated benefits to materialize;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diversion of management time and focus from operating our business to addressing acquisition integration challenges;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retention of employees from the acquired company;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cultural challenges associated with integrating employees from the acquired company into our organization;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integration of the acquired company’s accounting, management information, human resources and other administrative and information technology systems;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integration of the acquired company's products and technology;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need to implement or improve controls, procedures and policies at a business that prior to the acquisition may have lacked effective controls, procedures and policies;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coordination of product development and sales and marketing functions;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liability for activities of the acquired company before the acquisition, including known and unknown liabilities;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litigation or other claims in connection with the acquired company, including claims from terminated employees, former stockholders or other third parties;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negative reception to an acquisition by customers, suppliers, vendors, or investors.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future success depends on the continuing efforts of our key employees, including Tim Vanderhook and Chris Vanderhook, and our ability to attract, hire, retain and motivate highly skilled employees in the future.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In addition, changes in immigration law may increase competition and increase costs associated with recruiting personnel.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face liabilities arising out of our ownership and operation of Myspace.com.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be able to recruit and retain panelist households willing to install our in-home measurement technology.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proprietary computer vision, sensor technology, and other technologies installed in panelist households to gather television, digital, and audience measurement data to track viewing attention, engagement, and co-viewing behavior from households. It may be increasingly difficult and costly to recruit households willing to permit the installation of cameras and sensors in their living spaces. Shifts in consumer sentiment around data collection, opt-in monitoring, and in-home technology, as well as heightened consumer awareness of and sensitivity to privacy, could result in greater reluctance to participate in our panels and difficulty retaining a representative panel, which could impair our ability to maintain adequate sample sizes and demographic representation. In addition, aspects of our computer vision technology that perform facial recognition may be subject to biometric privacy laws, as well as other state and local laws regulating the collection and use of biometric identifiers and other personal information. Changes in or expanded enforcement of such laws could increase compliance costs, limit our ability to collect certain data, or expose us to litigation risk. As a result, ensuring that our recruited panel mirrors the behaviors and characteristics of the broader U.S. viewing population, and covers the range of demographic segments requested by our customers, presents an ongoing challenge. Additionally, as viewing habits fragment across television, connected TV, and streaming platforms, maintaining a panel that adequately captures the full spectrum of consumption behavior becomes more complex.</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unsuccessful in recruiting and retaining appropriate panelist households, maintaining sufficient sample sizes and demographic representation, sustaining adequate participation levels, our clients may lose confidence in our measurement services. Industry partners or customers may subject our methodologies to heightened scrutiny, seek price reductions, or shift spending to competing measurement providers. Any sustained erosion of confidence in the representativeness or reliability of data obtained from panels could materially and adversely affect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Criticism of our attention measurement methodology by various industry groups and market participants could adversely affect our business.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emerging and high-profile nature of our services in the television and advertising measurement industries, we could be subject to criticism from media companies, advertisers, agencies, and other market participants regarding our measurement methodologies, panel composition, or the applicability of our attention-based metrics. We strive to be transparent, impartial, and rigorous in the production of our audience attention measurement services, and we actively engage with customers and industry stakeholders to validate and refine our approach. Criticism from industry participants, including customers with competing and often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conflicting demands regarding what our metrics should capture and how they should be reported, could result in decreased demand for our services. No assurance can be given that legislation or regulatory action will not be pursued in the future that would subject our business to additional oversight, which could increase compliance costs and adversely affect our business, results of operations, and cash flows.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market in which we participate is intensely competitive, and we may not be able to compete successfully with our current or future competitors.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 In addition, through our acquisition of TVision, we have entered the audience measurement space, where we face competition from established measurement providers that may have substantially greater financial, marketing, technological and other resources than we do and may engage in aggressive pricing action or develop products and services that are superior to or achieve greater market acceptance than ours.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derive a significant portion of our revenue from advertising in the CTV, mobile, and desktop channels, which are rapidly evolving, highly competitive, complex and fragmented. We face significant competition in these markets which we expect will intensify in the future. We face significant competition in these channels and others, such as streaming audio and digital out-of-home, which we expect will intensify in the future.</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Risks Related to Data Privacy and Artificial Intelligence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subject to stringent and changing legal obligations related to data privacy and security. Our actual or perceived failure to comply with such obligations could lead to regulatory investigations or actions, litigation (including class action claims) and mass arbitration demands, litigation and regulatory defense costs, fines and penalties, disruptions of our business operations, reputational harm, loss of customers, panelists, or sales, revenue declines, increase the cost of data, reduce the availability of data, reduce our ability to utilize or disclose data, and have adverse effects on the demand for our products and services or other adverse business consequences.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receive, store, use, transmit, disclose, or otherwise process (collectively, "Process") Personal Information and other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state, and local governments, and foreign governments have adopted or proposed numerous laws relating to the Processing of Personal Information relating to individuals and households, including contact information and pseudonymous identifiers, many with a particular focus on marketing and advertising uses of such Personal Information. The legal landscape for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privacy issues worldwide is complex, continually evolving and often conflicting, and is likely to remain uncertain for the foreseeable future. Because many of these laws are new, established interpretations and best practices are still emerging. Regulators could allege that our practices do not comply with such laws or regulations, despite our ongoing efforts to comply. Any failure or perceived failure to comply with applicable laws or regulations regarding privacy, data protection and cybersecurity could adversely affect our business, brand or reputation and may result in claims, actions, investigations or proceedings against us by regulators or individuals and require us to change our practices, all of which may result in significant costs.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 ever-increasing number of laws and regulations apply to the Processing of Personal Information. In recent years, the U.S. federal and state legislatures, along with regulatory authorities at the state and federal level, have increased their focus on the collection and use of Personal Information, including relating to “interest-based,” “cross-context behavioral,” or “targeted” advertising. For example, the FTC has been very active in bringing enforcement actions against companies that handle Personal Information it views as sensitive for advertising purposes, including location data brokers and companies that process health-related data. These enforcement actions may signal increased ongoing regulatory scrutiny of advertising practices, particularly those that involve “sensitive” categories of personal data such as health data, data related to children and teens, and precise location information. The FTC could expand this focus by acting on new authority to enforce a federal law focused on disclosures of certain information it classifies as sensitive to certain restricted countries or entities under the control of such countries.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State legislatures have also continued their focus in this area. For example,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state privacy laws also require or will require companies to respond to user-enabled opt out preference signals or "global privacy controls," such as those expressed through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Personal Information. These laws are generally enforced by each state’s attorney general with potentially steep penalties for violations.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Lawmakers and regulators are also focused on data Processing by companies that do not have direct relationships with the consumers whose Personal Information they sell or share. Several states, including California, Oregon, Texas, Connecticut, and New Jersey, have enacted or updated laws restricting the activities of data brokers. Beyond additional transparency requirements, beginning in August 2026, companies registered as data brokers in California will be required to honor deletion requests expressed by California residents through a centralized mechanism the state will create. These obligations may reduce the data available to Viant and may result in reductions in revenue.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Lawmakers, regulators, and advocates also continue to focus on activities involving the use of certain types of Personal Information perceived as especially sensitive, such as children’s and teen's data, health data, and location data, which will continue to impact the advertising industry. For example, the FTC actively enforces the Children's Online Privacy Protection Act of 1998 ("COPPA") and recently updated and expanded certain parts of the law, such as by requiring separate consent to disclose children’s personal information to third parties. Additionally, several state privacy laws have increased the age at which a consumer can be shown targeted ads (without opt-in consent) from 13 to 16 or 18 years of age, and other state laws may ban targeted advertising to minors outright.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Related to health information, the Washington state My Health My Data Act ("MHMD") introduced a host of requirements covering a very broadly defined notion of consumer health data, including obligations on disclosures of such data that will impact the advertising industry. MHMD is subject to a private right of action, and plaintiffs’ attorneys could explore claims testing the bounds of the law’s text. Other states (e.g., Nevada) have enacted similar laws (though without a private right of action), and we expect more states will follow.</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decades-old statutes, including federal wiretap and similar laws and the Video Privacy Protection Act to certain advertising and online tracking practices. Such laws, which include private causes of action, can be costly to settle or litigate, regardless of the merit of the claim, and may result in significant monetary liability. In addition, in order to help avoid data breaches that are reportable under various U.S laws, we must maintain adequate security measures, which require significant investments in resources and ongoing attention.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companies targeting their services to EEA and the UK. The applicability analysis under the GDPR is complex, but if we were deemed to operate our business in a manner subject to GDPR, the GDPR provides for significant penalties for noncompliance of up to the greater of €20 million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EU GDPR / 17.2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EU Member States may assess other penalties for noncompliance on companies subject to GDPR.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have to change our business practices to comply with any new legal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we may be unable to transfer Personal Information from Europe and other jurisdictions to the United States or other countries due to data localization requirements or limitations on cross-border transfers of Personal Information. In particular, the EEA and UK have significantly restricted the transfer of Personal Information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Information from the EEA and UK to the United States in compliance with law, these mechanisms are subject to ongoing legal challenges.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there is no lawful manner for us to transfer Personal Information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Information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our employees and personnel use, and increasingly rely on, generative AI and automated decision-making technologies to perform their work and our business offers services that utilize generative AI, and such usage may be subject to various laws and other obligations, including those related to privacy, and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the Digital Advertising Alliance, and their international counterparts, apply to many players in the advertising technology ecosystem. Some of these self-regulatory bodies can discipline members, which could result in fines, penalties, and/or public censure. See “—</w:t>
      </w:r>
      <w:r>
        <w:rPr>
          <w:rFonts w:ascii="Times New Roman;serif" w:hAnsi="Times New Roman;serif"/>
          <w:b w:val="false"/>
          <w:i/>
          <w:color w:val="000000"/>
          <w:sz w:val="20"/>
        </w:rPr>
        <w:t>Our business or ability to operate our platform could be impacted by changes in technology initiated by technology companies, end users, or government regulation. Such developments, including the restriction of “third-party cookies” and use of automated opt out signals, could cause instability in the advertising technology industry</w:t>
      </w:r>
      <w:r>
        <w:rPr>
          <w:rFonts w:ascii="Times New Roman;serif" w:hAnsi="Times New Roman;serif"/>
          <w:b w:val="false"/>
          <w:color w:val="000000"/>
          <w:sz w:val="20"/>
        </w:rPr>
        <w: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fundamentally change our business activities, information technologies, systems, and practices, and to those of any third parties that Process Personal Information on our behalf.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or AI models. Any of these events could have a material adverse effect on our reputation, business, or financial condition, including but not limited to: loss of customers, additional costs and liabilities, damage our reputation, reduction in sales and demand for our platform, and harm our business.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serif" w:hAnsi="Times New Roman;serif"/>
          <w:b w:val="false"/>
          <w:i/>
          <w:color w:val="000000"/>
          <w:sz w:val="20"/>
        </w:rPr>
        <w:t>We face liabilities arising out of our ownership and operation of Myspace.com</w:t>
      </w:r>
      <w:r>
        <w:rPr>
          <w:rFonts w:ascii="Times New Roman;serif" w:hAnsi="Times New Roman;serif"/>
          <w:b w:val="false"/>
          <w:color w:val="000000"/>
          <w:sz w:val="20"/>
        </w:rPr>
        <w: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or ability to operate our platform could be impacted by changes in technology initiated by technology companies, end users, or government regulation. Such developments, including the restriction of “third-party cookies,” and use of automated opt out signals, could cause instability in the advertising technology industry.</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have changed and may continue to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 as "cookies"). Although we believe our business is less reliant on cookies than some of our competitors because we do not need cookies for marketers and their advertising agencies to identify consumers with our identity resolution capabilities and identity graph, we do use third-party cookies in connection with obtaining information about consumers, and for delivering digital advertising. Today, Apple's Safari, Mozilla's Firefox and Microsoft's Edge already block third-party cookies by default. Google's web browser, Chrome, offers controls over third-party cookies and may introduce new browser-level controls on Chrome. Google’s ongoing development of these technologies, which may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HHID and IRIS_ID,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Privacy aspects of other channels for programmatic advertising, such as CTVs or over-the-top video, are still developing. Technical or policy changes, including regulation or industry self-regulation, could harm our growth in those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California Privacy Protection Agency, and state Attorneys General, as well as privacy advocates, have raised significant concerns around observed data and targeted advertising. This has led to an array of laws and pending legislation permitting individuals to easily opt out of targeted advertising through "universal opt out mechanisms" or "opt out preference signals" and developing such technical mannerisms and individuals are increasingly aware of these options. California recently passed legislation requiring browser manufacturers to provide easily locatable and configurable functionality that allows consumers to send such signals directly through their browsers. As a result, the number of consumers using such signals is likely to rise.</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Limitations on our or our customers’ ability to collect and use data for advertising, whether imposed by established technology companies, legislation, or otherwise, may impact the performance of our platform and our business performance.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the data collected from our panelist households is not transmitted accurately, or if panelists fail to properly configure or maintain our in-home measurement devices, the quality and reliability of our measurement data could be compromised, which could adversely affect our business.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in-home measurement business depends on the accurate and continuous collection, transmission, and other processing of viewing data from our proprietary computer vision and sensor technology installed in panelist households. A number of factors could compromise the integrity of this data, including improper installation or configuration of our devices by panelists, physical obstruction or repositioning of cameras and sensors, failure of panelists to follow setup and usage instructions, loss of internet connectivity in panelist homes, software or firmware malfunctions, and hardware degradation or failure. If panelists do not correctly position or maintain our devices, for example, by inadvertently blocking the camera's field of view, failing to keep the device powered on, or not updating device software, the data transmitted to us may be incomplete, inaccurate, or unrepresentative of actual viewing behavior. If any of these events were to occur, our business, results of operations, and financial condition could be adversely affected.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rely upon third-party service providers and technologies to operate critical IT Systems and to process Confidential Data, including, without limitation, third-party providers of cloud-based infrastructure such as Google Cloud Platform and Amazon Web Services, employee email, and other functions. We may share or receive Confidential Data with or from third parties.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IT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IT Systems and security program.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Remote work has become more common and has increased risks to our IT Systems Confidential Data, as more of our employees utilize network connections, computers and devices outside our premises or network, including working at home, while in transit and in public locations.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Data, or business. There can also be no assurance that our cybersecurity risk management program and processes, including our policies, controls, or procedures, will be fully implemented, complied with or effective in protecting our IT Systems and Confidential Data.</w:t>
      </w:r>
    </w:p>
    <w:p>
      <w:pPr>
        <w:pStyle w:val="TextBody"/>
        <w:bidi w:val="0"/>
        <w:spacing w:lineRule="auto" w:line="288" w:before="120" w:after="283"/>
        <w:ind w:left="0" w:right="0" w:firstLine="540"/>
        <w:jc w:val="left"/>
        <w:rPr/>
      </w:pPr>
      <w:r>
        <w:rPr>
          <w:rFonts w:ascii="Times New Roman;serif" w:hAnsi="Times New Roman;serif"/>
          <w:b w:val="false"/>
          <w:color w:val="000000"/>
          <w:sz w:val="20"/>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serif" w:hAnsi="Times New Roman;serif"/>
          <w:b w:val="false"/>
          <w:i/>
          <w:color w:val="000000"/>
          <w:sz w:val="20"/>
        </w:rPr>
        <w:t>We face liabilities arising out of our ownership and operation of Myspace.com.</w:t>
      </w:r>
      <w:r>
        <w:rPr>
          <w:color w:val="000000"/>
        </w:rPr>
        <w:t xml:space="preserve">” </w:t>
      </w:r>
      <w:r>
        <w:rPr>
          <w:rFonts w:ascii="Times New Roman;serif" w:hAnsi="Times New Roman;serif"/>
          <w:b w:val="false"/>
          <w:color w:val="000000"/>
          <w:sz w:val="20"/>
        </w:rPr>
        <w:t>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Data of the Company or our customers could be leaked, disclosed, or revealed as a result of or in connection with our employee’s, personnel’s, or vendor’s use of generative AI technologies.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use of artificial intelligence technologies may not result in the benefits we anticipate for our business, and may result in a decline in performance of our products, services and business, as well as our reputation and the reputations of our customers, or cause us to incur liability resulting from the violation of laws or contracts to which we are a party.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AI technologies, including our ViantAI product suite (collectively, “AI Technologies”), throughout our business, and are making significant investments in this area. For example, our ViantAI suite currently includes AI Planning, which enables media planners to design high-impact campaigns in seconds, AI Bidding, which optimizes inventory costs by lowering the effective cost per mille ("eCPM") through automated bid adjustments, AI Measurement and Analysis, which provides accessible measurement and insights via a user-friendly chat interface, and recently released, AI Decisioning, which automates planning, execution, measurement and dynamic optimization of campaigns in real time.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deployment of AI Technologies presents particular risks. For example, the models underlying our AI Technologies may be incorrectly designed or implemented and exhibit defects. ViantAI uses machine learning trained on years of data; however, in any given use case, any data on which our AI Technologies are trained may be incomplete, inadequate, inaccurate, biased or otherwise poor-quality. As a result, ViantAI could produce inaccurate, unexpected or unfavorable results or behaviors, and therefore poorly-designed or executed campaigns, sub-optimal ad placement, targeting, or bidding, or misleading insights for our customers. In turn, these effects could reduce click-through rates, conversion rates, and return-on-advertising spend. Any of the foregoing could impair the performance of our products, services and business, as well as our reputation and the reputations of our customers, and we could incur liability resulting from the violation of laws or contracts to which we are a party or civil claims.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for products and services that incorporate AI Technologies such as ViantAI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solutions that incorporate AI Technology is uncertain, and the evolution of the use of AI and machine learning in digital advertising may create challenges and further ecosystem uncertainty. Our failure to successfully develop and commercialize solutions involving AI Technologies could depress the market price of our stock and impair our ability to: raise capital; expand our business; provide, improve and diversify our solutions; continue our operations and efficiently manage our operating expenses; and respond effectively to competitive developments. There can be no assurance that our AI initiatives will enhance our platform, products, or services as expected.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our ViantAI product suite, we use AI Technologies licensed from third parties in our solutions and our operations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 In addition, the rapid adoption of generative AI and AI-powered search tools, including agentic AI systems, could reduce the volume of consumer traffic to the open web and other channels, which could in turn reduce the supply of programmatic advertising inventory available on our platform. If consumers increasingly obtain information and make purchasing decisions through AI-generated summaries or AI agents rather than by browsing publisher websites, advertising impressions available for programmatic purchase could decline, which could adversely affect our revenue and growth.</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legal and regulatory landscape for AI Technologies is rapidly evolving as many U.S. federal, state, and foreign government bodies and agencies have introduced or are currently considering additional laws and regulations. Additionally, existing laws and regulations may be interpreted in ways that would affect the operation of the AI Technologies we provide or use,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anticipate how to respond to these laws or regulations. It is possible that evolution of the legal and regulatory landscape limits our ability to use AI Technologies for our business, or require us to change the way we use AI Technologies in a manner that negatively affects the performance of our offerings. We may need to expend resources to adjust our products or services in certain jurisdictions if laws or regulations are not consistent across jurisdictions. Further, the cost to comply with such laws and regulations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the laws, procedures and restrictions may provide only limited protection, and protection may not be available for some of our technology, in particular technology that uses open-source software.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Moreover, there is significant uncertainty as to the patentability of technology created with the assistance of artificial intelligence. As a result, certain of our patents may be at risk, and pending or future patent applications may be more costly to prosecute, may result in issued patents of limited scope, if such patents are issued patents at all. The scope of patent protection can also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subject to third party claims for alleged infringement of third parties' proprietary rights, which would result in additional expense and potential damages.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significant patent and other intellectual property development activity in the digital advertising and audience measurement industries.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or expand into new areas, including through our acquisition of TVision and our entry into the audience measurement space, we may face a higher risk of being the subject of intellectual property claims from established measurement providers and other competitors with significant patent portfolios and other intellectual property rights. In addition, various "non-practicing entities" that own patents and other intellectual property rights are and may continue to aggressively assert their rights in order to extract value from us. Furthermore, from time to time we may introduce or acquire new products, including in areas where we historically have not competed, which could increase our exposure to patent and other intellectual property claims from competitors and non-practicing entities. Certain agreements with suppliers or clients may contain provisions where we indemnify the counterparty for damages suffered as a result of claims related to intellectual property infringement based on our data or technology, and such indemnification obligations could be expensive. The cost of settling or defending against intellectual property claims, whether or not the claims have merit, is significant, regardless of whether we are successful in our defense, and diverts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our acquisition of TVision, we assumed certain pending litigation with The Nielsen Company (US), LLC ("Nielsen"). Nielsen has filed multiple patent infringement actions against TVision since 2021. In June 2026, a jury returned a unanimous verdict in our favor in the 2022 action (Case No. 1:22-cv-00057, D. Del.), finding that we did not infringe the asserted patent relating to Automatic Content Recognition technology used in our measurement services. One case remains active: a 2025 action (Case No. 1:25-cv-00575, D. Del.) alleging infringement of an additional Nielsen patent. In November 2025, TVision filed antitrust counterclaims in the 2025 action alleging that Nielsen has used anticompetitive practices, including serial patent litigation, exclusionary contract terms, and monopoly power in the TV audience measurement market, to suppress competition in violation of the Sherman Antitrust Act.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believe the pending patent claims against us lack merit and that our antitrust counterclaims are well-founded, patent and antitrust litigation is inherently uncertain, complex, and costly. Nielsen may appeal the June 2026 verdict, and we cannot assure you that such appeal would not be successful. In addition, we cannot assure you that our antitrust counterclaims will result in a favorable outcome or any monetary recovery.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cost of defending and prosecuting these matters, regardless of the outcome, could be significant and could divert the attention of management and technical personnel from our business operations. Although certain of these litigation costs and potential losses are subject to indemnification and cost-sharing arrangements under our merger agreement with TVision's former equityholders, such indemnification is subject to limitations and may not fully cover all losses we incur.</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face potential liability and harm to our business based on the nature of our business and the content on our platform.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Advertising often results in litigation relating to copyright or trademark infringement, public performance royalties or other claims based on the nature and content of advertising that is distributed through our platform. Though we contractually require customers to represent to us that they have the rights necessary to serve advertisements through our platform, we do not independently verify whether we are permitted to deliver, or review the content of, such advertisements. If customers do not have the rights necessary to serve advertisements through our platform,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Risks Related to Our Capital Structure and Related Tax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principal asset is our interest in Viant Technology LLC, and accordingly, we depend on distributions from Viant Technology LLC to pay any dividends, if declared, taxes and other expenses, including payments under the Tax Receivable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holding company, and our only business is to act as the managing member of Viant Technology LLC, and our only material assets are Class A units representing approximately 31.7% of the membership interests of Viant Technology LLC as of June 30, 2026. We do not have any independent means of generating revenue or cash flow, and our ability to pay dividends in the future, if any, will depend upon the financial results and cash flows of Viant Technology LLC.</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As its sole managing member and pursuant to the Viant Technology LLC Operating Agreement,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adversely affect our ability to pay dividends and taxes and other expenses, including payments under the Tax Receivable Agreement, and affect our liquidity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 (not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 payments under the Tax Receivable Agreement are also not conditioned upon the continuing members of Viant Technology LLC maintaining a continued ownership interest in Viant Technology LLC.</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As of June 30, 2026, we concluded that it was more likely than not that our deferred tax assets subject to the Tax Receivable Agreement will be realized. Therefore, we recorded a liability related to the tax savings we may realize from utilization of such deferred tax assets. As of June 30, 2026, the total TRA liability is approximately $12.9 million. If utilization of the deferred tax asset subject to the TRA becomes not more likely than not in the future, we may reverse the liability related to the TRA.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 certain circumstances, the amounts that we may be required to pay under the Tax Receivable Agreement may be accelerated and/or significantly exceed the actual tax benefits, if any, that we actually realize.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will not be reimbursed for any payments made to the continuing members of Viant Technology LLC under the Tax Receivable Agreement in the event that any tax benefits are disallowed.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Payments under the Tax Receivable Agreement will be based on the tax reporting positions that we will determine and the Internal Revenue Service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we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 certain circumstances, Viant Technology LLC will be required to make distributions to us and the existing members of Viant Technology LLC, and the distributions that Viant Technology LLC will be required to make may be substantial.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9"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units and corresponding shares of Class A common stock as a result of any cash dividend or excess distribution or any retention of cash by us. As a result, the holders of Viant Technology LLC units (other than us) may benefit from any value attributable to such cash balances if they acquire shares of Class A common stock in exchange for their LLC units, notwithstanding that such holders may have participated previously as holders of LLC units in distributions that resulted in such excess cash balances to us.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Viant Technology LLC were to become a publicly traded partnership taxable as a corporation for U.S. federal income tax purposes, significant tax inefficiencies might result for us and Viant Technology LLC, including as a result of our inability to file a 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tax liabilities may be greater than anticipated.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Tax laws applicable to our business activities are subject to interpretation. We are subject to audit by the IRS and by taxing authorities in the state and local jurisdictions in which we operate. Our tax obligations are based on how tax authorities in such jurisdictions assess revenue-based taxes such as sales and use taxes. Taxing authorities are and may continue to challenge our tax positions and methodologies including our positions regarding the collection of sales and use taxes and the jurisdictions in which we are subject to taxes, which could expose us to additional taxes and penalties. Defending against such audits can result in significant legal and administrative costs and divert management’s attention and resources. In addition, our future tax expense could increase as a result of changes in tax laws, regulations or accounting principles, or changes in the interpretation of the same, or as a result of earning income in jurisdictions that have higher tax rates. Further, several jurisdictions have proposed or enacted taxes applicable to digital services and software. For example, California enacted legislation in June 2026 that, effective January 1, 2027, extends the state's sales and use tax to prewritten software accessed remotely. This and similar developments in other jurisdictions could increase the cost of software and technology services we purchase, require us to collect additional taxes on certain offerings, and increase our overall tax obligations and compliance costs.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the determination of our provision for income taxes and other tax liabilities requires significant estimates and judgment by management, and the tax treatment of certain transactions is uncertain. Although we believe we make reasonable estimates and judgments, the ultimate outcome of any particular issue may differ from the amounts previously recorded in our financial statements and any such occurrence could materially affect our financial position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Risks Related to Our Financial Position and Capital Requirements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experience fluctuations in our operating results, which could make our future operating results difficult to predict or cause our operating results to fall below securities analysts’ and investors’ expectations.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serif" w:hAnsi="Times New Roman;serif"/>
          <w:b w:val="false"/>
          <w:i/>
          <w:color w:val="000000"/>
          <w:sz w:val="20"/>
        </w:rPr>
        <w:t>Management’s Discussion and Analysis of Financial Condition and Results of Operations—Key Operating and Financial Performance Measures—Use of Non-GAAP Financial Measures</w:t>
      </w:r>
      <w:r>
        <w:rPr>
          <w:rFonts w:ascii="Times New Roman;serif" w:hAnsi="Times New Roman;serif"/>
          <w:b w:val="false"/>
          <w:color w:val="000000"/>
          <w:sz w:val="20"/>
        </w:rPr>
        <w:t>.” The varying nature of our pricing mix between periods may 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demand for our platform, including those related to the seasonal nature of our customers’ spending on digital advertising campaigns;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our pricing policies, the pricing policies of our competitors and the pricing or availability of inventory, data or other third-party services;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our customer base and platform offerings;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addition or loss of advertising agencies and marketers as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advertising budget allocations, agency affiliations or marketing strategies;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customer purchasing preferences that result in changes to our channel mix (including, for example, changes in demand for CTV and other emerging digital channels);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and uncertainty in the regulatory and business environment for us or customers (for example, when Apple or Google change policies for their browsers and operating systems);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the economic prospects of marketers or the economy generally (due to pandemics,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or otherwise), which could alter marketers’ spending priorities, or could increase the time or costs required to complete advertising inventory sales;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the availability of advertising inventory or in the cost of reaching end consumers through digital advertising;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disruptions or outages on our platform;</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introduction of new technologies or offerings by our competitors;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our capital expenditures as we acquire the hardware, equipment and other assets required to support our business;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timing differences between our payments for advertising inventory and our collection of related advertising revenue;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length and unpredictability of our sales cycle;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costs related to acquisitions of businesses or technologies, or employee recruiting;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shifting views and behaviors of consumers concerning use of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be able to secure additional financing on favorable terms, or at all, to meet our future capital needs, which may in turn impair our growth.</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continue to grow our business and increase our offerings, our costs will increase, and we may not be able to generate sufficient revenue to sustain profitability and failure to manage growth effectively could cause our business to suffer.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develop our platform, including by investing in our engineering team, creating, acquiring or licensing new products or features, and improving the functionality, availability and security of our platform;</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improve our technology infrastructure, including investing in internal technology development and acquiring outside technologies;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cover general and administrative expenses, including legal, accounting and other expenses necessary to support a larger organization;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cover sales and marketing expenses, including a significant expansion of our direct sales organization;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cover expenses relating to data collection and consumer privacy compliance, including additional infrastructure, automation and personnel;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explore strategic acquisitions.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Investing in the foregoing, however, may not yield anticipated returns. Consequently, as our costs increase, we may not be able to generate sufficient revenue to sustain profitability.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a party to a revolving credit agreement, which contains a number of covenants that may restrict our current and future operations and could adversely affect our ability to execute business needs.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asset-based revolving credit and security agreement (the "Amended Loan Agreement") with PNC Bank contains a number of covenants that limit our ability and our subsidiaries’ ability to, among other things, incur indebtedness, create liens, make investments, merge with or acquire other companies or the assets of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to comply with our payment requirements, or obtain a waiver from our lender if needed,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Seasonal fluctuations in advertising activity could have a material impact on our revenue, cash flow and operating results.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has been and may continue to be volatile or may decline regardless of our operating performance.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market price of equity securities of technology companies, including the price of our own Class A common stock, has historically experienced high levels of volatility. </w:t>
      </w:r>
      <w:r>
        <w:rPr>
          <w:rFonts w:ascii="Times New Roman;serif" w:hAnsi="Times New Roman;serif"/>
          <w:b w:val="false"/>
          <w:color w:val="000000"/>
          <w:sz w:val="20"/>
          <w:shd w:fill="FFFFFF" w:val="clear"/>
        </w:rPr>
        <w:t xml:space="preserve">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w:t>
      </w:r>
      <w:r>
        <w:rPr>
          <w:rFonts w:ascii="Times New Roman;serif" w:hAnsi="Times New Roman;serif"/>
          <w:b w:val="false"/>
          <w:color w:val="000000"/>
          <w:sz w:val="20"/>
        </w:rPr>
        <w:t>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Sales of substantial blocks of our Class A common stock into the public market, or the perception that such sales might occur, could cause the market price of our Class A common stock to decline.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w:t>
      </w:r>
      <w:r>
        <w:rPr>
          <w:rFonts w:ascii="Times New Roman;serif" w:hAnsi="Times New Roman;serif"/>
          <w:b w:val="false"/>
          <w:color w:val="000000"/>
          <w:sz w:val="20"/>
          <w:shd w:fill="FFFFFF" w:val="clear"/>
        </w:rPr>
        <w:t>could impair our ability to raise capital through the sale of additional equity securities.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a “controlled company” within the meaning of the listing standards of the Nasdaq Global Select Market (“Nasdaq”) and, as a result, qualify for, and rely on, exemptions from certain corporate governance requirements.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Insiders have substantial control over our company, which could limit your ability to influence the outcome of key decisions, including a change of control.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Through their ownership of common stock, the Vanderhook Parties control approximately 65% of the voting power of our common stock in the election of directors as of June 30, 2026. This control limits or precludes your ability to influence corporate matters. These stockholders will be able to influence or control matters requiring approval by our stockholders, including the election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charter documents and Delaware law could discourage takeover attempts and other corporate governance changes.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permit the board of directors to establish the number of directors and fill any vacancies and newly created directorships;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provide that, after the Triggering Event, vacancies on our board of directors may be filled only by a majority of directors then in office, even though less than a quorum;</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require super-majority voting to amend our certificate of incorporation and bylaws;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authorize the issuance of “blank check” preferred stock that our board of directors could use to implement a stockholder rights plan;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specify that special meetings of our stockholders can be called only by our board of directors, the chairman of our board of directors, or our chief executive officer with the concurrence of a majority of our board of directors;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prohibit stockholder action by written consent after the Triggering Event, which requires all stockholder actions to be taken at a meeting of our stockholders;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permit our board of directors to alter our bylaws without obtaining stockholder approval;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reflect the dual class structure of our common stock, as discussed above;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includes an exclusive forum clause, which could limit our stockholders’ ability to obtain a favorable judicial forum for disputes with us.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Purchases of shares of our Class A common stock or Class B units pursuant to our stock repurchase plan may affect the value of our Class A common stock, and there can be no assurance that our stock repurchase plan will enhance stockholder value.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2024, our board of directors approved a stock repurchase program pursuant to which we are authorized to repurchase up to $50 million of our Class A common stock or Class B units of Viant Technology LLC, including through open market purchases, privately negotiated transactions, or by other means, including through the use of Rule 10b5-1 trading plans, each in accordance with applicable securities laws and other restrictions. On May 5, 2025, our board of directors authorized an increase to the existing stock repurchase program, approving the repurchase of up to an additional $50.0 million of the Company’s Class A common stock or Class B units of Viant Technology LLC.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and reduce our cash reserves, and the program may be suspended or terminated at any time, which may result in a decrease in the trading prices of our Class A common stock.</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is subject to a wide range of laws and regulations, many of which are evolving, and failure to comply with such laws and regulations could harm our business, financial condition, and results of operations.</w:t>
      </w:r>
    </w:p>
    <w:p>
      <w:pPr>
        <w:pStyle w:val="TextBody"/>
        <w:bidi w:val="0"/>
        <w:spacing w:lineRule="auto" w:line="288" w:before="120" w:after="283"/>
        <w:ind w:left="0" w:right="0" w:firstLine="540"/>
        <w:jc w:val="left"/>
        <w:rPr>
          <w:rFonts w:ascii="Times New Roman;serif" w:hAnsi="Times New Roman;serif"/>
          <w:b w:val="false"/>
          <w:color w:val="231F20"/>
          <w:sz w:val="20"/>
        </w:rPr>
      </w:pPr>
      <w:r>
        <w:rPr>
          <w:rFonts w:ascii="Times New Roman;serif" w:hAnsi="Times New Roman;serif"/>
          <w:b w:val="false"/>
          <w:color w:val="231F20"/>
          <w:sz w:val="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New and changing laws, regulations, executive orders and enforcement priorities can also create uncertainty about how such laws and regulations will be interpreted and applied. Noncompliance with applicable laws,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Evolving expectations regarding environmental, social, and governance matters may impact our business and reputation.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Companies across industries are facing scrutiny from a variety of stakeholders related to their ESG and sustainability practices. There is no guarantee that we will be able to meet the evolving standards of such stakeholders, particularly as stakeholder expectations vary and, at times, can conflict. For example, while some policymakers, including the European Union and the State of California, have adopted disclosure and other requirements relating to ESG matters, other policymakers have sought to constrain companies’ consideration of such matters. Both advocates and opponents to certain ESG matters are increasingly resorting to a range of activism forms, including media campaigns and litigation, to advance their perspectives. For example, there have been increasingly nuanced allegations of greenwashing against companies making significant ESG claims due to a variety of perceived deficiencies in disclosures, methodology, or performance, including as stakeholder perceptions of sustainability continue to evolve.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at times, engage in initiatives to address ESG matters and associated stakeholder expectations; however, such initiatives may not have the desired effect. In addition to costs, our own approach to such matters has changed over time; we expect our approach may continue to change due to a variety of factors, which may be in or out of our control, and we cannot guarantee that our approach will align with the expectations or preferences of any particular stakeholder. ESG initiatives may be particularly prone to errors or misinterpretation, as they often involve substantial discretion given there is no consensus on specific best practices and related standards and methodologies, all of which continue to evolve. Moreover, various initiatives are subject to uncertainties associated with market, technological, or other conditions, including the actions of third-parties. Such risks can be exacerbated by the development of new environmental and social laws and regulations, or novel interpretations of existing laws and regulations, that may be promulgated in the United States and elsewhere, which may require us to incur costs (whether for compliance, stakeholder engagement, or otherwise) that may be substantial.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to successfully navigate stakeholder expectations, as well as evolving laws and regulations, may result in reputational harm; loss of customers, employees, or business partners; regulatory or investor engagement; or other adverse impacts to our business, as well as scrutiny that could heighten all of the risks identified in this risk factor. Additionally, many of our customers, business partners, and suppliers may be subject to similar expectations or risks, which may augment or create additional risks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impacts on us, including in ways that may not be known to us. Any such matters could have a material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Reduced reporting and disclosure requirements applicable to us as an emerging growth company and a smaller reporting company could make our Class A common stock less attractive to investors.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 </w:t>
      </w:r>
    </w:p>
    <w:p>
      <w:pPr>
        <w:pStyle w:val="TextBody"/>
        <w:bidi w:val="0"/>
        <w:spacing w:lineRule="auto" w:line="288" w:before="120" w:after="283"/>
        <w:ind w:left="0" w:right="0" w:firstLine="540"/>
        <w:jc w:val="left"/>
        <w:rPr/>
      </w:pPr>
      <w:r>
        <w:rPr>
          <w:rFonts w:ascii="Times New Roman;serif" w:hAnsi="Times New Roman;serif"/>
          <w:b w:val="false"/>
          <w:color w:val="231F20"/>
          <w:sz w:val="20"/>
        </w:rPr>
        <w:t xml:space="preserve">We are also a "smaller reporting company" as defined in the Exchange Act. We may take advantage of certain of the scaled disclosures available to smaller reporting companies as long as we qualify under this category, even after we are no longer an EGC, </w:t>
      </w:r>
      <w:r>
        <w:rPr>
          <w:rFonts w:ascii="Times New Roman;serif" w:hAnsi="Times New Roman;serif"/>
          <w:b w:val="false"/>
          <w:color w:val="000000"/>
          <w:sz w:val="20"/>
        </w:rPr>
        <w:t>including reduced disclosure obligations regarding executive compensation in our periodic reports and proxy statements.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reduced reporting and disclosure requirements applicable to us as an emerging growth company and a smaller reporting company could make our Class A common stock less attractive to investors.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not required to audit the effectiveness of our internal control over financial reporting until after we are no longer an EGC and do not then qualify as a non-accelerated filer. At such time, our independent registered public accounting firm may issue an opinion on our internal control over financial reporting that is adverse in the event it is not satisfied with the level at which our internal control over financial reporting is documented, designed or operating.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failure to maintain effective disclosure controls and internal control over financial reporting could have a material and adverse effect on our business and operating results and cause a decline in the market price of our Class A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publish inaccurate or unfavorable research reports about our business, our share price and trading volume could decline.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partially depends on the research and reports that securities or industry analysts publish about us or our business. We do not have any control over these analysts.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Purchases of Equity Securities by the Issuer and Affiliated Purchasers</w:t>
      </w:r>
    </w:p>
    <w:p>
      <w:pPr>
        <w:pStyle w:val="TextBody"/>
        <w:bidi w:val="0"/>
        <w:spacing w:lineRule="auto" w:line="288" w:before="120" w:after="283"/>
        <w:ind w:left="0" w:right="0" w:firstLine="540"/>
        <w:jc w:val="left"/>
        <w:rPr/>
      </w:pPr>
      <w:r>
        <w:rPr>
          <w:rFonts w:ascii="Times New Roman;serif" w:hAnsi="Times New Roman;serif"/>
          <w:b w:val="false"/>
          <w:color w:val="000000"/>
          <w:sz w:val="20"/>
          <w:shd w:fill="FFFFFF" w:val="clear"/>
        </w:rPr>
        <w:t xml:space="preserve">In April 2024, our board of directors approved a stock repurchase program with authorization to purchase up to $50.0 million of our Class A common stock or Class B units of Viant Technology LLC. </w:t>
      </w:r>
      <w:r>
        <w:rPr>
          <w:rFonts w:ascii="Times New Roman;serif" w:hAnsi="Times New Roman;serif"/>
          <w:b w:val="false"/>
          <w:color w:val="000000"/>
          <w:sz w:val="20"/>
        </w:rPr>
        <w:t>On May 5, 2025, our board of directors authorized an increase to the stock repurchase program, enabling the Company to repurchase up to an additional $50.0 million of the Company's Class A common stock or Class B units of Viant Technology LLC. For additional information related to share repurchases, refer to Note 10—Stockholders' Equity to our unaudited condensed consolidated financial statements included elsewhere in this Quarterly Report.</w:t>
      </w:r>
    </w:p>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did not repurchase any shares of Class A common stock or Class B units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(c)On June 17, 2026, Larry Madden, our Chief Financial Officer, entered into a Rule 10b5-1 trading arrangement intended to satisfy the affirmative defense conditions of Rule 10b5-1(c) for the sale of up to 144,978 shares of the Company’s Class A common stock, including up to 86,280 shares to be issued upon the vesting of restricted stock units, which will be reduced by the number of shares withheld or sold at the direction of the Company to cover taxes, if any, through March 31, 2027. During the three months ended June 30, 2026, no other director or "officer" (as defined in Rule 16a-1(f) of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5"/>
        <w:gridCol w:w="247"/>
        <w:gridCol w:w="109"/>
        <w:gridCol w:w="109"/>
        <w:gridCol w:w="109"/>
        <w:gridCol w:w="2727"/>
        <w:gridCol w:w="2628"/>
        <w:gridCol w:w="3753"/>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Viant Technology Inc. (incorporated by reference to Exhibit 3.1 to the Company’s Annual Report on Form 10-K (File No. 001-40015) for the year ended December 31, 2020, filed on March 23, 2021)</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Viant Technology Inc. (incorporated by reference to Exhibit 3.2 to the Company’s Annual Report on Form 10-K (File No. 001-40015) for the year ended December 31, 2020, filed on March 23, 2021)</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nedcompensationpolic.htm">
              <w:r>
                <w:rPr>
                  <w:rStyle w:val="InternetLink"/>
                  <w:rFonts w:ascii="Times New Roman;serif" w:hAnsi="Times New Roman;serif"/>
                  <w:b w:val="false"/>
                  <w:color w:val="0000FF"/>
                  <w:sz w:val="20"/>
                  <w:u w:val="single"/>
                </w:rPr>
                <w:t>Viant Technology Inc. Non-Employee Director Compensation Policy, effective as of June 3, 2026</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60630xexx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60630xexx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60630xexx321.htm">
              <w:r>
                <w:rPr>
                  <w:rStyle w:val="InternetLink"/>
                  <w:rFonts w:ascii="Times New Roman;serif" w:hAnsi="Times New Roman;serif"/>
                  <w:b w:val="false"/>
                  <w:color w:val="0000FF"/>
                  <w:sz w:val="20"/>
                  <w:u w:val="single"/>
                </w:rPr>
                <w:t>Certification of Principal Executive Officer Pursuant to Section 906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60630xexx322.htm">
              <w:r>
                <w:rPr>
                  <w:rStyle w:val="InternetLink"/>
                  <w:rFonts w:ascii="Times New Roman;serif" w:hAnsi="Times New Roman;serif"/>
                  <w:b w:val="false"/>
                  <w:color w:val="0000FF"/>
                  <w:sz w:val="20"/>
                  <w:u w:val="single"/>
                </w:rPr>
                <w:t>Certification of Principal Financial Officer Pursuant to Section 906 of the Sarbanes-Oxley Act of 2002</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120" w:after="283"/>
        <w:ind w:left="0" w:right="0" w:firstLine="540"/>
        <w:jc w:val="left"/>
        <w:rPr/>
      </w:pPr>
      <w:r>
        <w:rPr/>
      </w:r>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50" w:type="dxa"/>
        <w:jc w:val="left"/>
        <w:tblInd w:w="0" w:type="dxa"/>
        <w:tblLayout w:type="fixed"/>
        <w:tblCellMar>
          <w:top w:w="28" w:type="dxa"/>
          <w:left w:w="28" w:type="dxa"/>
          <w:bottom w:w="28" w:type="dxa"/>
          <w:right w:w="28" w:type="dxa"/>
        </w:tblCellMar>
      </w:tblPr>
      <w:tblGrid>
        <w:gridCol w:w="705"/>
        <w:gridCol w:w="621"/>
        <w:gridCol w:w="624"/>
        <w:gridCol w:w="390"/>
        <w:gridCol w:w="390"/>
        <w:gridCol w:w="390"/>
        <w:gridCol w:w="1151"/>
        <w:gridCol w:w="1151"/>
        <w:gridCol w:w="162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VIANT TECHNOLOGY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 Vanderhook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Tim Vanderhook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Chairman</w:t>
              <w:b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Larry Madden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Larry Madden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NED Compensation Policy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Viant Technology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Non-Employee Director Compensation Policy</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 xml:space="preserve">Amended and Restated Effective as of </w:t>
      </w:r>
      <w:r>
        <w:rPr>
          <w:rFonts w:ascii="Times New Roman;serif" w:hAnsi="Times New Roman;serif"/>
          <w:b/>
          <w:color w:val="000000"/>
          <w:sz w:val="24"/>
        </w:rPr>
        <w:t>June 3</w:t>
      </w:r>
      <w:r>
        <w:rPr>
          <w:rFonts w:ascii="Times New Roman;serif" w:hAnsi="Times New Roman;serif"/>
          <w:b/>
          <w:color w:val="000000"/>
          <w:sz w:val="22"/>
        </w:rPr>
        <w:t>, 2026</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Each member of the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who is not also serving as an employee of or consultant to Viant Technology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or any of its subsidiaries (each such member, an “</w:t>
      </w:r>
      <w:r>
        <w:rPr>
          <w:rFonts w:ascii="Times New Roman;serif" w:hAnsi="Times New Roman;serif"/>
          <w:b/>
          <w:i/>
          <w:color w:val="000000"/>
          <w:sz w:val="22"/>
        </w:rPr>
        <w:t>Eligible Director</w:t>
      </w:r>
      <w:r>
        <w:rPr>
          <w:color w:val="000000"/>
        </w:rPr>
        <w:t>”</w:t>
      </w:r>
      <w:r>
        <w:rPr>
          <w:rFonts w:ascii="Times New Roman;serif" w:hAnsi="Times New Roman;serif"/>
          <w:b w:val="false"/>
          <w:color w:val="000000"/>
          <w:sz w:val="22"/>
        </w:rPr>
        <w:t>) will receive the compensation described in this Non-Employee Director Compensation Policy for his or her Board service upon and following the date first set forth above (the “</w:t>
      </w:r>
      <w:r>
        <w:rPr>
          <w:rFonts w:ascii="Times New Roman;serif" w:hAnsi="Times New Roman;serif"/>
          <w:b/>
          <w:i/>
          <w:color w:val="000000"/>
          <w:sz w:val="22"/>
        </w:rPr>
        <w:t>Policy Effective Date</w:t>
      </w:r>
      <w:r>
        <w:rPr>
          <w:color w:val="000000"/>
        </w:rPr>
        <w:t>”</w:t>
      </w:r>
      <w:r>
        <w:rPr>
          <w:rFonts w:ascii="Times New Roman;serif" w:hAnsi="Times New Roman;serif"/>
          <w:b w:val="false"/>
          <w:color w:val="000000"/>
          <w:sz w:val="22"/>
        </w:rPr>
        <w:t>). An Eligible Director may decline all or any portion of his or her compensation by giving notice to the Company prior to the date cash may be paid or equity awards are to be granted, as the case may be. This policy, as amended and restated, is effective as of the Policy Effective Date and may be amended at any time in the sole discretion of the Board.</w:t>
      </w:r>
    </w:p>
    <w:p>
      <w:pPr>
        <w:pStyle w:val="TextBody"/>
        <w:bidi w:val="0"/>
        <w:spacing w:lineRule="auto" w:line="288" w:before="251" w:after="283"/>
        <w:jc w:val="both"/>
        <w:rPr>
          <w:rFonts w:ascii="Times New Roman;serif" w:hAnsi="Times New Roman;serif"/>
          <w:b/>
          <w:color w:val="000000"/>
          <w:sz w:val="22"/>
        </w:rPr>
      </w:pPr>
      <w:r>
        <w:rPr>
          <w:rFonts w:ascii="Times New Roman;serif" w:hAnsi="Times New Roman;serif"/>
          <w:b/>
          <w:color w:val="000000"/>
          <w:sz w:val="22"/>
        </w:rPr>
        <w:t>Annual Cash Compensation</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annual cash compensation amount set forth below is payable to Eligible Directors in equal quarterly installments in arrears, on or promptly following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or promptly following the last day of the first fiscal quarter in which the Eligible Director provides the service and regular full quarterly payments thereafter. All annual cash fees are vested upon payment.</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2"/>
        </w:rPr>
        <w:t xml:space="preserve">1. </w:t>
      </w:r>
      <w:r>
        <w:rPr>
          <w:rFonts w:ascii="Times New Roman;serif" w:hAnsi="Times New Roman;serif"/>
          <w:b w:val="false"/>
          <w:color w:val="000000"/>
          <w:sz w:val="22"/>
          <w:u w:val="single"/>
        </w:rPr>
        <w:t>Annual Board Service Retainer</w:t>
      </w:r>
      <w:r>
        <w:rPr>
          <w:rFonts w:ascii="Times New Roman;serif" w:hAnsi="Times New Roman;serif"/>
          <w:b w:val="false"/>
          <w:color w:val="000000"/>
          <w:sz w:val="22"/>
        </w:rPr>
        <w:t>:</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a. All Eligible Directors: $50,000</w:t>
      </w:r>
    </w:p>
    <w:p>
      <w:pPr>
        <w:pStyle w:val="TextBody"/>
        <w:bidi w:val="0"/>
        <w:spacing w:before="1"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2"/>
        </w:rPr>
        <w:t xml:space="preserve">2. </w:t>
      </w:r>
      <w:r>
        <w:rPr>
          <w:rFonts w:ascii="Times New Roman;serif" w:hAnsi="Times New Roman;serif"/>
          <w:b w:val="false"/>
          <w:color w:val="000000"/>
          <w:sz w:val="22"/>
          <w:u w:val="single"/>
        </w:rPr>
        <w:t>Lead Independent Director Services Retainer</w:t>
      </w:r>
      <w:r>
        <w:rPr>
          <w:rFonts w:ascii="Times New Roman;serif" w:hAnsi="Times New Roman;serif"/>
          <w:b w:val="false"/>
          <w:color w:val="000000"/>
          <w:sz w:val="22"/>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 Lead Independent Director of the Board: $20,000 </w:t>
      </w:r>
    </w:p>
    <w:p>
      <w:pPr>
        <w:pStyle w:val="TextBody"/>
        <w:bidi w:val="0"/>
        <w:spacing w:before="0" w:after="0"/>
        <w:ind w:left="0" w:right="0" w:hanging="719"/>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2"/>
        </w:rPr>
        <w:t xml:space="preserve">3. </w:t>
      </w:r>
      <w:r>
        <w:rPr>
          <w:rFonts w:ascii="Times New Roman;serif" w:hAnsi="Times New Roman;serif"/>
          <w:b w:val="false"/>
          <w:color w:val="000000"/>
          <w:sz w:val="22"/>
          <w:u w:val="single"/>
        </w:rPr>
        <w:t>Annual Committee Chair Service Retainer</w:t>
      </w:r>
      <w:r>
        <w:rPr>
          <w:rFonts w:ascii="Times New Roman;serif" w:hAnsi="Times New Roman;serif"/>
          <w:b w:val="false"/>
          <w:color w:val="000000"/>
          <w:sz w:val="22"/>
        </w:rPr>
        <w:t>:</w:t>
      </w:r>
    </w:p>
    <w:p>
      <w:pPr>
        <w:pStyle w:val="TextBody"/>
        <w:bidi w:val="0"/>
        <w:spacing w:lineRule="auto" w:line="288" w:before="2" w:after="283"/>
        <w:ind w:left="0" w:right="0" w:hanging="719"/>
        <w:jc w:val="left"/>
        <w:rPr>
          <w:rFonts w:ascii="Times New Roman;serif" w:hAnsi="Times New Roman;serif"/>
          <w:b w:val="false"/>
          <w:color w:val="000000"/>
          <w:sz w:val="22"/>
        </w:rPr>
      </w:pPr>
      <w:r>
        <w:rPr>
          <w:rFonts w:ascii="Times New Roman;serif" w:hAnsi="Times New Roman;serif"/>
          <w:b w:val="false"/>
          <w:color w:val="000000"/>
          <w:sz w:val="22"/>
        </w:rPr>
        <w:t>a. Chair of the Audit Committee: $20,000</w:t>
      </w:r>
    </w:p>
    <w:p>
      <w:pPr>
        <w:pStyle w:val="TextBody"/>
        <w:bidi w:val="0"/>
        <w:spacing w:lineRule="auto" w:line="288" w:before="0" w:after="0"/>
        <w:ind w:left="0" w:right="0" w:hanging="719"/>
        <w:jc w:val="left"/>
        <w:rPr>
          <w:rFonts w:ascii="Times New Roman;serif" w:hAnsi="Times New Roman;serif"/>
          <w:b w:val="false"/>
          <w:color w:val="000000"/>
          <w:sz w:val="22"/>
        </w:rPr>
      </w:pPr>
      <w:r>
        <w:rPr>
          <w:rFonts w:ascii="Times New Roman;serif" w:hAnsi="Times New Roman;serif"/>
          <w:b w:val="false"/>
          <w:color w:val="000000"/>
          <w:sz w:val="22"/>
        </w:rPr>
        <w:t>b. Chair of the Compensation Committee: $15,000</w:t>
      </w:r>
    </w:p>
    <w:p>
      <w:pPr>
        <w:pStyle w:val="TextBody"/>
        <w:bidi w:val="0"/>
        <w:spacing w:lineRule="auto" w:line="288" w:before="1"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 Chair of the Nominating and Corporate Governance Committee: $10,000</w:t>
      </w:r>
    </w:p>
    <w:p>
      <w:pPr>
        <w:pStyle w:val="TextBody"/>
        <w:bidi w:val="0"/>
        <w:spacing w:lineRule="auto" w:line="288" w:before="251" w:after="283"/>
        <w:ind w:left="0" w:right="0" w:hanging="719"/>
        <w:jc w:val="left"/>
        <w:rPr/>
      </w:pPr>
      <w:r>
        <w:rPr>
          <w:rFonts w:ascii="Times New Roman;serif" w:hAnsi="Times New Roman;serif"/>
          <w:b w:val="false"/>
          <w:color w:val="000000"/>
          <w:sz w:val="22"/>
        </w:rPr>
        <w:t xml:space="preserve">4. </w:t>
      </w:r>
      <w:r>
        <w:rPr>
          <w:rFonts w:ascii="Times New Roman;serif" w:hAnsi="Times New Roman;serif"/>
          <w:b w:val="false"/>
          <w:color w:val="000000"/>
          <w:sz w:val="22"/>
          <w:u w:val="single"/>
        </w:rPr>
        <w:t>Annual Committee (Non-Chair) Member Service Retainer</w:t>
      </w:r>
      <w:r>
        <w:rPr>
          <w:rFonts w:ascii="Times New Roman;serif" w:hAnsi="Times New Roman;serif"/>
          <w:b w:val="false"/>
          <w:color w:val="000000"/>
          <w:sz w:val="22"/>
        </w:rPr>
        <w:t>:</w:t>
      </w:r>
    </w:p>
    <w:p>
      <w:pPr>
        <w:pStyle w:val="TextBody"/>
        <w:bidi w:val="0"/>
        <w:spacing w:lineRule="auto" w:line="288" w:before="2" w:after="283"/>
        <w:ind w:left="0" w:right="0" w:hanging="719"/>
        <w:jc w:val="left"/>
        <w:rPr>
          <w:rFonts w:ascii="Times New Roman;serif" w:hAnsi="Times New Roman;serif"/>
          <w:b w:val="false"/>
          <w:color w:val="000000"/>
          <w:sz w:val="22"/>
        </w:rPr>
      </w:pPr>
      <w:r>
        <w:rPr>
          <w:rFonts w:ascii="Times New Roman;serif" w:hAnsi="Times New Roman;serif"/>
          <w:b w:val="false"/>
          <w:color w:val="000000"/>
          <w:sz w:val="22"/>
        </w:rPr>
        <w:t>a. Member of Audit Committee: $10,000</w:t>
      </w:r>
    </w:p>
    <w:p>
      <w:pPr>
        <w:pStyle w:val="TextBody"/>
        <w:bidi w:val="0"/>
        <w:spacing w:lineRule="auto" w:line="288" w:before="0" w:after="0"/>
        <w:ind w:left="0" w:right="0" w:hanging="719"/>
        <w:jc w:val="left"/>
        <w:rPr>
          <w:rFonts w:ascii="Times New Roman;serif" w:hAnsi="Times New Roman;serif"/>
          <w:b w:val="false"/>
          <w:color w:val="000000"/>
          <w:sz w:val="22"/>
        </w:rPr>
      </w:pPr>
      <w:r>
        <w:rPr>
          <w:rFonts w:ascii="Times New Roman;serif" w:hAnsi="Times New Roman;serif"/>
          <w:b w:val="false"/>
          <w:color w:val="000000"/>
          <w:sz w:val="22"/>
        </w:rPr>
        <w:t>b. Member of Compensation Committee: $7,500</w:t>
      </w:r>
    </w:p>
    <w:p>
      <w:pPr>
        <w:pStyle w:val="TextBody"/>
        <w:bidi w:val="0"/>
        <w:spacing w:lineRule="auto" w:line="288" w:before="1" w:after="283"/>
        <w:ind w:left="0" w:right="0" w:hanging="719"/>
        <w:jc w:val="left"/>
        <w:rPr>
          <w:rFonts w:ascii="Times New Roman;serif" w:hAnsi="Times New Roman;serif"/>
          <w:b w:val="false"/>
          <w:color w:val="000000"/>
          <w:sz w:val="22"/>
        </w:rPr>
      </w:pPr>
      <w:r>
        <w:rPr>
          <w:rFonts w:ascii="Times New Roman;serif" w:hAnsi="Times New Roman;serif"/>
          <w:b w:val="false"/>
          <w:color w:val="000000"/>
          <w:sz w:val="22"/>
        </w:rPr>
        <w:t>c. Member of Nominating and Corporate Governance Committee: $5,000</w:t>
      </w:r>
    </w:p>
    <w:p>
      <w:pPr>
        <w:pStyle w:val="TextBody"/>
        <w:bidi w:val="0"/>
        <w:spacing w:lineRule="auto" w:line="288" w:before="251" w:after="283"/>
        <w:jc w:val="left"/>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The Company will reimburse Eligible Directors for ordinary, necessary and reasonable out-of-pocket travel expenses to cover in-person attendance at and participation in Board and committee meetings; provided, that the Eligible Director timely submits to the Company appropriate documentation substantiating such expenses in accordance with the Company’s travel and expense processes.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80"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erif" w:hAnsi="Times New Roman;serif"/>
          <w:b/>
          <w:color w:val="000000"/>
          <w:sz w:val="22"/>
        </w:rPr>
      </w:pPr>
      <w:r>
        <w:rPr>
          <w:rFonts w:ascii="Times New Roman;serif" w:hAnsi="Times New Roman;serif"/>
          <w:b/>
          <w:color w:val="000000"/>
          <w:sz w:val="22"/>
        </w:rPr>
        <w:t>Equity Compensation</w:t>
      </w:r>
    </w:p>
    <w:p>
      <w:pPr>
        <w:pStyle w:val="TextBody"/>
        <w:bidi w:val="0"/>
        <w:spacing w:before="0" w:after="0"/>
        <w:jc w:val="left"/>
        <w:rPr/>
      </w:pPr>
      <w:r>
        <w:rPr/>
      </w:r>
    </w:p>
    <w:p>
      <w:pPr>
        <w:pStyle w:val="TextBody"/>
        <w:bidi w:val="0"/>
        <w:spacing w:lineRule="auto" w:line="288" w:before="1" w:after="283"/>
        <w:jc w:val="both"/>
        <w:rPr/>
      </w:pPr>
      <w:r>
        <w:rPr>
          <w:rFonts w:ascii="Times New Roman;serif" w:hAnsi="Times New Roman;serif"/>
          <w:b w:val="false"/>
          <w:color w:val="000000"/>
          <w:sz w:val="22"/>
        </w:rPr>
        <w:t>The equity compensation set forth below will be granted under the Company’s 2021 Long-Term Incentive Plan as may be amended from time-to-time, or any successor plan thereto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and a restricted stock unit (“</w:t>
      </w:r>
      <w:r>
        <w:rPr>
          <w:rFonts w:ascii="Times New Roman;serif" w:hAnsi="Times New Roman;serif"/>
          <w:b/>
          <w:i/>
          <w:color w:val="000000"/>
          <w:sz w:val="22"/>
        </w:rPr>
        <w:t>RSU</w:t>
      </w:r>
      <w:r>
        <w:rPr>
          <w:color w:val="000000"/>
        </w:rPr>
        <w:t>”</w:t>
      </w:r>
      <w:r>
        <w:rPr>
          <w:rFonts w:ascii="Times New Roman;serif" w:hAnsi="Times New Roman;serif"/>
          <w:b w:val="false"/>
          <w:color w:val="000000"/>
          <w:sz w:val="22"/>
        </w:rPr>
        <w:t>) grant notice and award agreement thereunder.</w:t>
      </w:r>
    </w:p>
    <w:p>
      <w:pPr>
        <w:pStyle w:val="TextBody"/>
        <w:bidi w:val="0"/>
        <w:spacing w:lineRule="auto" w:line="288" w:before="251" w:after="283"/>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2"/>
          <w:u w:val="single"/>
        </w:rPr>
        <w:t>Initial RSU Grants</w:t>
      </w:r>
      <w:r>
        <w:rPr>
          <w:rFonts w:ascii="Times New Roman;serif" w:hAnsi="Times New Roman;serif"/>
          <w:b w:val="false"/>
          <w:color w:val="000000"/>
          <w:sz w:val="22"/>
        </w:rPr>
        <w:t>. For each Eligible Director who is first elected or appointed to the Board following the Policy Effective Date, on the effective date of such Eligible Director’s initial election or appointment to the Board (or, if such date is not a market trading day, the first market trading day thereafter) (the “</w:t>
      </w:r>
      <w:r>
        <w:rPr>
          <w:rFonts w:ascii="Times New Roman;serif" w:hAnsi="Times New Roman;serif"/>
          <w:b/>
          <w:i/>
          <w:color w:val="000000"/>
          <w:sz w:val="22"/>
        </w:rPr>
        <w:t>Appointment Effective Date</w:t>
      </w:r>
      <w:r>
        <w:rPr>
          <w:color w:val="000000"/>
        </w:rPr>
        <w:t>”</w:t>
      </w:r>
      <w:r>
        <w:rPr>
          <w:rFonts w:ascii="Times New Roman;serif" w:hAnsi="Times New Roman;serif"/>
          <w:b w:val="false"/>
          <w:color w:val="000000"/>
          <w:sz w:val="22"/>
        </w:rPr>
        <w:t>), the Eligible Director will automatically, and without further action by the Board or the Compensation Committee of the Board, be granted RSUs with respect to shares of the Company’s common stock (“</w:t>
      </w:r>
      <w:r>
        <w:rPr>
          <w:rFonts w:ascii="Times New Roman;serif" w:hAnsi="Times New Roman;serif"/>
          <w:b/>
          <w:i/>
          <w:color w:val="000000"/>
          <w:sz w:val="22"/>
        </w:rPr>
        <w:t>Common Stock</w:t>
      </w:r>
      <w:r>
        <w:rPr>
          <w:color w:val="000000"/>
        </w:rPr>
        <w:t>”</w:t>
      </w:r>
      <w:r>
        <w:rPr>
          <w:rFonts w:ascii="Times New Roman;serif" w:hAnsi="Times New Roman;serif"/>
          <w:b w:val="false"/>
          <w:color w:val="000000"/>
          <w:sz w:val="22"/>
        </w:rPr>
        <w:t>) with an aggregate value of $400,000 (the “</w:t>
      </w:r>
      <w:r>
        <w:rPr>
          <w:rFonts w:ascii="Times New Roman;serif" w:hAnsi="Times New Roman;serif"/>
          <w:b/>
          <w:i/>
          <w:color w:val="000000"/>
          <w:sz w:val="22"/>
        </w:rPr>
        <w:t>Initial RSU Grant</w:t>
      </w:r>
      <w:r>
        <w:rPr>
          <w:color w:val="000000"/>
        </w:rPr>
        <w:t>”</w:t>
      </w:r>
      <w:r>
        <w:rPr>
          <w:rFonts w:ascii="Times New Roman;serif" w:hAnsi="Times New Roman;serif"/>
          <w:b w:val="false"/>
          <w:color w:val="000000"/>
          <w:sz w:val="22"/>
        </w:rPr>
        <w:t>). The number of RSUs subject to the Initial RSU Grant will be determined by dividing the grant value by the closing price per share of Common Stock on the applicable Appointment Effective Date, rounded to the nearest whole share. The Initial RSU Grant will vest over a three-year period, with one-third (1/3) of the Initial RSU Grant vesting on each of the first, second and third anniversaries of the Appointment Effective Date, subject to the Eligible Director’s Continuous Service (as defined in the Plan) through each such vesting date.</w:t>
      </w:r>
    </w:p>
    <w:p>
      <w:pPr>
        <w:pStyle w:val="TextBody"/>
        <w:bidi w:val="0"/>
        <w:spacing w:lineRule="auto" w:line="288" w:before="251" w:after="283"/>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2"/>
          <w:u w:val="single"/>
        </w:rPr>
        <w:t>Annual RSU Grants</w:t>
      </w:r>
      <w:r>
        <w:rPr>
          <w:rFonts w:ascii="Times New Roman;serif" w:hAnsi="Times New Roman;serif"/>
          <w:b w:val="false"/>
          <w:color w:val="000000"/>
          <w:sz w:val="22"/>
        </w:rPr>
        <w:t>. On the date of each annual stockholder meeting of the Company (each, an “</w:t>
      </w:r>
      <w:r>
        <w:rPr>
          <w:rFonts w:ascii="Times New Roman;serif" w:hAnsi="Times New Roman;serif"/>
          <w:b/>
          <w:i/>
          <w:color w:val="000000"/>
          <w:sz w:val="22"/>
        </w:rPr>
        <w:t>Annual Meeting</w:t>
      </w:r>
      <w:r>
        <w:rPr>
          <w:color w:val="000000"/>
        </w:rPr>
        <w:t>”</w:t>
      </w:r>
      <w:r>
        <w:rPr>
          <w:rFonts w:ascii="Times New Roman;serif" w:hAnsi="Times New Roman;serif"/>
          <w:b w:val="false"/>
          <w:color w:val="000000"/>
          <w:sz w:val="22"/>
        </w:rPr>
        <w:t>) held after the Policy Effective Date (“</w:t>
      </w:r>
      <w:r>
        <w:rPr>
          <w:rFonts w:ascii="Times New Roman;serif" w:hAnsi="Times New Roman;serif"/>
          <w:b/>
          <w:i/>
          <w:color w:val="000000"/>
          <w:sz w:val="22"/>
        </w:rPr>
        <w:t>Annual Grant Date</w:t>
      </w:r>
      <w:r>
        <w:rPr>
          <w:color w:val="000000"/>
        </w:rPr>
        <w:t>”</w:t>
      </w:r>
      <w:r>
        <w:rPr>
          <w:rFonts w:ascii="Times New Roman;serif" w:hAnsi="Times New Roman;serif"/>
          <w:b w:val="false"/>
          <w:color w:val="000000"/>
          <w:sz w:val="22"/>
        </w:rPr>
        <w:t>), each Eligible Director who continues to serve as a non-employee member of the Board following such Annual Meeting (including any Eligible Director who is first appointed or elected by the Board at an Annual Meeting) will automatically, and without further action by the Board or the Compensation Committee of the Board, be granted RSUs with respect to shares of the Company’s Common Stock with an aggregate value of $185,000 (the “</w:t>
      </w:r>
      <w:r>
        <w:rPr>
          <w:rFonts w:ascii="Times New Roman;serif" w:hAnsi="Times New Roman;serif"/>
          <w:b/>
          <w:i/>
          <w:color w:val="000000"/>
          <w:sz w:val="22"/>
        </w:rPr>
        <w:t>Annual RSU Grant</w:t>
      </w:r>
      <w:r>
        <w:rPr>
          <w:color w:val="000000"/>
        </w:rPr>
        <w:t>”</w:t>
      </w:r>
      <w:r>
        <w:rPr>
          <w:rFonts w:ascii="Times New Roman;serif" w:hAnsi="Times New Roman;serif"/>
          <w:b w:val="false"/>
          <w:color w:val="000000"/>
          <w:sz w:val="22"/>
        </w:rPr>
        <w:t>). The number of RSUs subject to the Annual RSU Grant will be determined by dividing the grant value by the closing price per share of Common Stock on the applicable Annual Grant Date, rounded to the nearest whole share. The Annual RSU Grant will vest in full on the earlier of (i) the date of the following year’s Annual Meeting (or the date immediately prior to the next Annual Meeting if the Non-Employee Director’s service as a director ends at such Annual Meeting due to the director’s failure to be re-elected or the director not standing for re-election); or (ii) the one-year anniversary measured from the applicable Annual Grant Date, subject to the Eligible Director’s Continuous Service through such vesting date.</w:t>
      </w:r>
    </w:p>
    <w:p>
      <w:pPr>
        <w:pStyle w:val="TextBody"/>
        <w:bidi w:val="0"/>
        <w:spacing w:lineRule="auto" w:line="288" w:before="253" w:after="283"/>
        <w:jc w:val="both"/>
        <w:rPr/>
      </w:pPr>
      <w:r>
        <w:rPr>
          <w:rFonts w:ascii="Times New Roman;serif" w:hAnsi="Times New Roman;serif"/>
          <w:b w:val="false"/>
          <w:color w:val="000000"/>
          <w:sz w:val="22"/>
        </w:rPr>
        <w:t>With respect to an Eligible Director who, following the Policy Effective Date, was first elected or appointed to the Board effective as of a date other than the date of the Annual Meeting, on the applicable Appointment Effective Date, such Eligible Director will automatically, and without further action by the Board or the Compensation Committee of the Board, receive a grant of RSUs with respect to shares of the Company’s Common Stock, the aggregate value of which will be $185,000, prorated based on the number of calendar days remaining between the applicable Appointment Effective Date and (i) the next Annual Meeting, if scheduled, or (ii) the first anniversary of the Company’s last Annual Meeting, if the next Annual Meeting is not yet scheduled (the “</w:t>
      </w:r>
      <w:r>
        <w:rPr>
          <w:rFonts w:ascii="Times New Roman;serif" w:hAnsi="Times New Roman;serif"/>
          <w:b/>
          <w:i/>
          <w:color w:val="000000"/>
          <w:sz w:val="22"/>
        </w:rPr>
        <w:t>Prorated Annual RSU Grant</w:t>
      </w:r>
      <w:r>
        <w:rPr>
          <w:color w:val="000000"/>
        </w:rPr>
        <w:t>”</w:t>
      </w:r>
      <w:r>
        <w:rPr>
          <w:rFonts w:ascii="Times New Roman;serif" w:hAnsi="Times New Roman;serif"/>
          <w:b w:val="false"/>
          <w:color w:val="000000"/>
          <w:sz w:val="22"/>
        </w:rPr>
        <w:t xml:space="preserve">). The number of RSUs subject to the Prorated Annual RSU Grant will be determined by dividing the prorated grant value by the closing price per share of Common Stock on the applicable Appointment Effective Date, rounded to the nearest whole share. The Prorated Annual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81"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53" w:after="283"/>
        <w:jc w:val="both"/>
        <w:rPr>
          <w:rFonts w:ascii="Times New Roman;serif" w:hAnsi="Times New Roman;serif"/>
          <w:b w:val="false"/>
          <w:color w:val="000000"/>
          <w:sz w:val="22"/>
        </w:rPr>
      </w:pPr>
      <w:r>
        <w:rPr>
          <w:rFonts w:ascii="Times New Roman;serif" w:hAnsi="Times New Roman;serif"/>
          <w:b w:val="false"/>
          <w:color w:val="000000"/>
          <w:sz w:val="22"/>
        </w:rPr>
        <w:t>RSU Grant will vest in full on the date of the next Annual Meeting (or the date immediately prior to the next Annual Meeting if the Non-Employee Director’s service as a director ends at such Annual Meeting due to the director’s failure to be re-elected or the director not standing for re-election), subject to the Eligible Director’s Continuous Service through such vesting date.</w:t>
      </w:r>
    </w:p>
    <w:p>
      <w:pPr>
        <w:pStyle w:val="TextBody"/>
        <w:bidi w:val="0"/>
        <w:spacing w:before="0" w:after="0"/>
        <w:jc w:val="both"/>
        <w:rPr/>
      </w:pPr>
      <w:r>
        <w:rPr/>
      </w:r>
    </w:p>
    <w:p>
      <w:pPr>
        <w:pStyle w:val="TextBody"/>
        <w:bidi w:val="0"/>
        <w:spacing w:lineRule="auto" w:line="288" w:before="78" w:after="283"/>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2"/>
          <w:u w:val="single"/>
        </w:rPr>
        <w:t>Accelerated Vesting</w:t>
      </w:r>
      <w:r>
        <w:rPr>
          <w:rFonts w:ascii="Times New Roman;serif" w:hAnsi="Times New Roman;serif"/>
          <w:b w:val="false"/>
          <w:color w:val="000000"/>
          <w:sz w:val="22"/>
        </w:rPr>
        <w:t>. Notwithstanding the foregoing, each Initial RSU Grant, Annual RSU Grant, and Prorated Annual RSU Grant will vest in full upon a Change in Control (as defined in the Plan), subject to the Eligible Director’s Continuous Service through the date of such Change in Control.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Tim Vanderhook, certify that: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Viant Technology Inc.;</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w:t>
      </w:r>
      <w:r>
        <w:rPr>
          <w:rFonts w:ascii="Times New Roman;serif" w:hAnsi="Times New Roman;serif"/>
          <w:b w:val="false"/>
          <w:color w:val="333333"/>
          <w:sz w:val="20"/>
        </w:rPr>
        <w:t xml:space="preserve">and internal control over financial reporting (as defined in Exchange Act Rules 13a-15(f) and 15d-15(f)) </w:t>
      </w:r>
      <w:r>
        <w:rPr>
          <w:rFonts w:ascii="Times New Roman;serif" w:hAnsi="Times New Roman;serif"/>
          <w:b w:val="false"/>
          <w:color w:val="000000"/>
          <w:sz w:val="20"/>
        </w:rPr>
        <w:t>for the registrant and have: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3596" w:type="dxa"/>
        <w:jc w:val="left"/>
        <w:tblInd w:w="0" w:type="dxa"/>
        <w:tblLayout w:type="fixed"/>
        <w:tblCellMar>
          <w:top w:w="28" w:type="dxa"/>
          <w:left w:w="28" w:type="dxa"/>
          <w:bottom w:w="28" w:type="dxa"/>
          <w:right w:w="28" w:type="dxa"/>
        </w:tblCellMar>
      </w:tblPr>
      <w:tblGrid>
        <w:gridCol w:w="1168"/>
        <w:gridCol w:w="1025"/>
        <w:gridCol w:w="1031"/>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 Vanderhook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Vanderhook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Larry Madden, certify that: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Viant Technology Inc.;</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w:t>
      </w:r>
      <w:r>
        <w:rPr>
          <w:rFonts w:ascii="Times New Roman;serif" w:hAnsi="Times New Roman;serif"/>
          <w:b w:val="false"/>
          <w:color w:val="333333"/>
          <w:sz w:val="20"/>
        </w:rPr>
        <w:t xml:space="preserve">and internal control over financial reporting (as defined in Exchange Act Rules 13a-15(f) and 15d-15(f)) </w:t>
      </w:r>
      <w:r>
        <w:rPr>
          <w:rFonts w:ascii="Times New Roman;serif" w:hAnsi="Times New Roman;serif"/>
          <w:b w:val="false"/>
          <w:color w:val="000000"/>
          <w:sz w:val="20"/>
        </w:rPr>
        <w:t>for the registrant and have:</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4106" w:type="dxa"/>
        <w:jc w:val="left"/>
        <w:tblInd w:w="0" w:type="dxa"/>
        <w:tblLayout w:type="fixed"/>
        <w:tblCellMar>
          <w:top w:w="28" w:type="dxa"/>
          <w:left w:w="28" w:type="dxa"/>
          <w:bottom w:w="28" w:type="dxa"/>
          <w:right w:w="28" w:type="dxa"/>
        </w:tblCellMar>
      </w:tblPr>
      <w:tblGrid>
        <w:gridCol w:w="1352"/>
        <w:gridCol w:w="1186"/>
        <w:gridCol w:w="1196"/>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Larry Madden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Larry Madden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Viant Technology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60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51"/>
        <w:gridCol w:w="951"/>
        <w:gridCol w:w="135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 Vanderhook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 Vanderhook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Viant Technology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11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102"/>
        <w:gridCol w:w="1102"/>
        <w:gridCol w:w="156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Larry Madden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Larry Madden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8791/000156459021014855/dsp-ex31_279.htm" TargetMode="External"/><Relationship Id="rId4" Type="http://schemas.openxmlformats.org/officeDocument/2006/relationships/hyperlink" Target="https://www.sec.gov/Archives/edgar/data/1828791/000156459021014855/dsp-ex32_278.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52839</Words>
  <Characters>295156</Characters>
  <CharactersWithSpaces>345573</CharactersWithSpaces>
  <Paragraphs>4298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