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Date of Report (Date of earliest event reported</w:t>
      </w:r>
      <w:r>
        <w:rPr>
          <w:rFonts w:ascii="Times New Roman;serif" w:hAnsi="Times New Roman;serif"/>
          <w:b/>
          <w:color w:val="000000"/>
          <w:sz w:val="20"/>
        </w:rPr>
        <w:t>): August 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before="120" w:after="283"/>
        <w:jc w:val="center"/>
        <w:rPr/>
      </w:pPr>
      <w:r>
        <w:rPr/>
        <w:drawing>
          <wp:inline distT="0" distB="0" distL="0" distR="0">
            <wp:extent cx="25717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4572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Viant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tbl>
      <w:tblPr>
        <w:tblW w:w="6192" w:type="dxa"/>
        <w:jc w:val="center"/>
        <w:tblInd w:w="0" w:type="dxa"/>
        <w:tblLayout w:type="fixed"/>
        <w:tblCellMar>
          <w:top w:w="28" w:type="dxa"/>
          <w:left w:w="28" w:type="dxa"/>
          <w:bottom w:w="28" w:type="dxa"/>
          <w:right w:w="28" w:type="dxa"/>
        </w:tblCellMar>
      </w:tblPr>
      <w:tblGrid>
        <w:gridCol w:w="813"/>
        <w:gridCol w:w="714"/>
        <w:gridCol w:w="722"/>
        <w:gridCol w:w="762"/>
        <w:gridCol w:w="762"/>
        <w:gridCol w:w="770"/>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001-40015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85-3447553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2722 Michelson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 92612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(949) 861-8888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87"/>
        <w:gridCol w:w="1300"/>
        <w:gridCol w:w="1316"/>
        <w:gridCol w:w="109"/>
        <w:gridCol w:w="109"/>
        <w:gridCol w:w="109"/>
        <w:gridCol w:w="557"/>
        <w:gridCol w:w="557"/>
        <w:gridCol w:w="559"/>
        <w:gridCol w:w="109"/>
        <w:gridCol w:w="109"/>
        <w:gridCol w:w="109"/>
        <w:gridCol w:w="1113"/>
        <w:gridCol w:w="1098"/>
        <w:gridCol w:w="1564"/>
      </w:tblGrid>
      <w:tr>
        <w:trPr/>
        <w:tc>
          <w:tcPr>
            <w:tcW w:w="14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Nasdaq</w:t>
            </w:r>
            <w:r>
              <w:rPr>
                <w:color w:val="000000"/>
              </w:rPr>
              <w:t xml:space="preserve"> </w:t>
            </w:r>
            <w:r>
              <w:rPr>
                <w:rFonts w:ascii="Times New Roman;serif" w:hAnsi="Times New Roman;serif"/>
                <w:b w:val="false"/>
                <w:color w:val="000000"/>
                <w:sz w:val="20"/>
              </w:rPr>
              <w:t>Stock Market LLC</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5, 2026, the Board of Directors (the “Board”) of Viant Technology Inc. (the “Company”) elected Craig Abrahams as a Class I director, effective August 10, 2026. Mr. Abrahams has also been appointed to serve as a member of the Audit Committee of the Board.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Mr. Abrahams will participate in the Company’s Non-Employee Director Compensation Policy (as amended and restated, the “Policy”). The applicable terms of the Policy are described in the Company’s definitive proxy statement filed with the Securities and Exchange Commission on April 23, 2026 under the heading “Director Compensation,” other than with respect to equity award amounts subsequently approved by the Board. The grant date fair value of Mr. Abrahams’ initial grant of restricted stock units (“RSUs”) is $400,000 and the grant date fair value of Mr. Abrahams’ additional RSU grant is his prorated portion of $185,000.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its standard form of indemnification agreement with Mr. Abrahams.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50" w:type="dxa"/>
        <w:jc w:val="center"/>
        <w:tblInd w:w="0" w:type="dxa"/>
        <w:tblLayout w:type="fixed"/>
        <w:tblCellMar>
          <w:top w:w="28" w:type="dxa"/>
          <w:left w:w="28" w:type="dxa"/>
          <w:bottom w:w="28" w:type="dxa"/>
          <w:right w:w="28" w:type="dxa"/>
        </w:tblCellMar>
      </w:tblPr>
      <w:tblGrid>
        <w:gridCol w:w="705"/>
        <w:gridCol w:w="621"/>
        <w:gridCol w:w="624"/>
        <w:gridCol w:w="390"/>
        <w:gridCol w:w="390"/>
        <w:gridCol w:w="390"/>
        <w:gridCol w:w="1151"/>
        <w:gridCol w:w="1151"/>
        <w:gridCol w:w="162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Madden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Larry Madden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533</Words>
  <Characters>3170</Characters>
  <CharactersWithSpaces>3669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