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Date of Report (Date of earliest event reported</w:t>
      </w:r>
      <w:r>
        <w:rPr>
          <w:rFonts w:ascii="Times New Roman;serif" w:hAnsi="Times New Roman;serif"/>
          <w:b/>
          <w:color w:val="000000"/>
          <w:sz w:val="20"/>
        </w:rPr>
        <w:t>): May 11,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before="120" w:after="283"/>
        <w:jc w:val="center"/>
        <w:rPr/>
      </w:pPr>
      <w:r>
        <w:rPr/>
        <w:drawing>
          <wp:inline distT="0" distB="0" distL="0" distR="0">
            <wp:extent cx="25717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6192" w:type="dxa"/>
        <w:jc w:val="center"/>
        <w:tblInd w:w="0" w:type="dxa"/>
        <w:tblLayout w:type="fixed"/>
        <w:tblCellMar>
          <w:top w:w="28" w:type="dxa"/>
          <w:left w:w="28" w:type="dxa"/>
          <w:bottom w:w="28" w:type="dxa"/>
          <w:right w:w="28" w:type="dxa"/>
        </w:tblCellMar>
      </w:tblPr>
      <w:tblGrid>
        <w:gridCol w:w="813"/>
        <w:gridCol w:w="714"/>
        <w:gridCol w:w="722"/>
        <w:gridCol w:w="762"/>
        <w:gridCol w:w="762"/>
        <w:gridCol w:w="770"/>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001-40015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85-3447553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2722 Michelson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 92612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(949) 861-8888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87"/>
        <w:gridCol w:w="1300"/>
        <w:gridCol w:w="1316"/>
        <w:gridCol w:w="109"/>
        <w:gridCol w:w="109"/>
        <w:gridCol w:w="109"/>
        <w:gridCol w:w="557"/>
        <w:gridCol w:w="557"/>
        <w:gridCol w:w="559"/>
        <w:gridCol w:w="109"/>
        <w:gridCol w:w="109"/>
        <w:gridCol w:w="109"/>
        <w:gridCol w:w="1113"/>
        <w:gridCol w:w="1098"/>
        <w:gridCol w:w="1564"/>
      </w:tblGrid>
      <w:tr>
        <w:trPr/>
        <w:tc>
          <w:tcPr>
            <w:tcW w:w="14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Nasdaq</w:t>
            </w:r>
            <w:r>
              <w:rPr>
                <w:color w:val="000000"/>
              </w:rPr>
              <w:t xml:space="preserve"> </w:t>
            </w:r>
            <w:r>
              <w:rPr>
                <w:rFonts w:ascii="Times New Roman;serif" w:hAnsi="Times New Roman;serif"/>
                <w:b w:val="false"/>
                <w:color w:val="000000"/>
                <w:sz w:val="20"/>
              </w:rPr>
              <w:t>Stock Market LLC</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11, 2026, Viant Technology Inc. (the “Company”) issued a press release announcing its financial results for the first quarter ended March 31, 2026. A copy of the press release is furnished as Exhibit 99.1 to this Current Report on Form 8-K.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738"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926"/>
        <w:gridCol w:w="1926"/>
        <w:gridCol w:w="274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dsp-20260511xexx991.htm">
              <w:r>
                <w:rPr>
                  <w:rStyle w:val="InternetLink"/>
                  <w:rFonts w:ascii="Times New Roman;serif" w:hAnsi="Times New Roman;serif"/>
                  <w:b w:val="false"/>
                  <w:color w:val="0000FF"/>
                  <w:sz w:val="20"/>
                  <w:u w:val="single"/>
                </w:rPr>
                <w:t>Press release of Viant Technology Inc., dated May 11,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15" w:type="dxa"/>
        <w:jc w:val="center"/>
        <w:tblInd w:w="0" w:type="dxa"/>
        <w:tblLayout w:type="fixed"/>
        <w:tblCellMar>
          <w:top w:w="28" w:type="dxa"/>
          <w:left w:w="28" w:type="dxa"/>
          <w:bottom w:w="28" w:type="dxa"/>
          <w:right w:w="28" w:type="dxa"/>
        </w:tblCellMar>
      </w:tblPr>
      <w:tblGrid>
        <w:gridCol w:w="629"/>
        <w:gridCol w:w="554"/>
        <w:gridCol w:w="557"/>
        <w:gridCol w:w="390"/>
        <w:gridCol w:w="390"/>
        <w:gridCol w:w="390"/>
        <w:gridCol w:w="997"/>
        <w:gridCol w:w="997"/>
        <w:gridCol w:w="141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Vanderhook</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 Vanderhook</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Viant Technology Announces First</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Quarter 2026 Financial Results</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Acquired TVision Insights, a leader in attention measurement across linear TV and CTV</w:t>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Achieved record first quarter results across all key metrics, including a 25% increase in revenue</w:t>
      </w:r>
    </w:p>
    <w:p>
      <w:pPr>
        <w:pStyle w:val="TextBody"/>
        <w:bidi w:val="0"/>
        <w:spacing w:lineRule="auto" w:line="288" w:before="120" w:after="283"/>
        <w:jc w:val="center"/>
        <w:rPr/>
      </w:pPr>
      <w:r>
        <w:rPr>
          <w:rFonts w:ascii="Times New Roman;serif" w:hAnsi="Times New Roman;serif"/>
          <w:b/>
          <w:i/>
          <w:color w:val="000000"/>
          <w:sz w:val="18"/>
        </w:rPr>
        <w:t>Generated record first quarter CTV advertiser spend</w:t>
      </w:r>
      <w:r>
        <w:rPr>
          <w:rFonts w:ascii="Times New Roman;serif" w:hAnsi="Times New Roman;serif"/>
          <w:b/>
          <w:i/>
          <w:color w:val="000000"/>
          <w:sz w:val="12"/>
        </w:rPr>
        <w:t>(1)</w:t>
      </w:r>
      <w:r>
        <w:rPr>
          <w:rFonts w:ascii="Times New Roman;serif" w:hAnsi="Times New Roman;serif"/>
          <w:b/>
          <w:i/>
          <w:color w:val="000000"/>
          <w:sz w:val="18"/>
        </w:rPr>
        <w:t>, accounting for over 50% of total ad spend</w:t>
      </w:r>
    </w:p>
    <w:p>
      <w:pPr>
        <w:pStyle w:val="TextBody"/>
        <w:bidi w:val="0"/>
        <w:spacing w:before="120" w:after="283"/>
        <w:jc w:val="center"/>
        <w:rPr/>
      </w:pPr>
      <w:r>
        <w:rPr/>
      </w:r>
    </w:p>
    <w:p>
      <w:pPr>
        <w:pStyle w:val="TextBody"/>
        <w:bidi w:val="0"/>
        <w:spacing w:lineRule="auto" w:line="288" w:before="0" w:after="0"/>
        <w:jc w:val="left"/>
        <w:rPr/>
      </w:pPr>
      <w:r>
        <w:rPr>
          <w:rFonts w:ascii="Times New Roman;serif" w:hAnsi="Times New Roman;serif"/>
          <w:b/>
          <w:color w:val="000000"/>
          <w:sz w:val="20"/>
        </w:rPr>
        <w:t>IRVINE, Calif., May 11, 2026 </w:t>
      </w:r>
      <w:r>
        <w:rPr>
          <w:color w:val="000000"/>
        </w:rPr>
        <w:t>– </w:t>
      </w:r>
      <w:r>
        <w:rPr>
          <w:rFonts w:ascii="Times New Roman;serif" w:hAnsi="Times New Roman;serif"/>
          <w:b w:val="false"/>
          <w:color w:val="000000"/>
          <w:sz w:val="20"/>
        </w:rPr>
        <w:t xml:space="preserve">Viant Technology Inc. (Nasdaq: DSP), a leader in AI-powered programmatic advertising, today reported financial results for its first quarter ended March 31,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"Viant delivered record first quarter results, exceeding the high end of our guidance range across both the top and bottom lines for the quarter," said Tim Vanderhook, Co-Founder and CEO, Viant. "Our continued success is amplified by our recent landmark acquisition of TVision, which further transforms Viant from a media execution platform into a highly differentiated advertising intelligence company, equipped with proprietary data, measurement, and activation capabilities that enables advertisers to drive optimal media decisions. By integrating TVision's measurement and proprietary attention data into our AI-powered ad platform, we have created a first-of-its-kind solution that transforms viewer attention into real-time actionable signals for planning, bidding, and optimized decisioning. Our exclusive data now spans content, identity and attention, strategically positioning Viant as the most sophisticated and effective platform delivering outcomes for advertisers. With the addition of TVision, we expect to accelerate top-line growth, improve profitability and seize market share."</w:t>
      </w:r>
    </w:p>
    <w:p>
      <w:pPr>
        <w:pStyle w:val="TextBody"/>
        <w:bidi w:val="0"/>
        <w:spacing w:lineRule="auto" w:line="288" w:before="240" w:after="283"/>
        <w:jc w:val="left"/>
        <w:rPr/>
      </w:pPr>
      <w:r>
        <w:rPr>
          <w:rFonts w:ascii="Times New Roman;serif" w:hAnsi="Times New Roman;serif"/>
          <w:b/>
          <w:color w:val="000000"/>
          <w:sz w:val="20"/>
          <w:u w:val="single"/>
        </w:rPr>
        <w:t>First Quarter 2026 Financial Highlights, year-over-year</w:t>
      </w:r>
      <w:r>
        <w:rPr>
          <w:color w:val="000000"/>
        </w:rPr>
        <w:t xml:space="preserve"> </w:t>
      </w:r>
      <w:r>
        <w:rPr>
          <w:rFonts w:ascii="Times New Roman;serif" w:hAnsi="Times New Roman;serif"/>
          <w:b w:val="false"/>
          <w:color w:val="000000"/>
          <w:sz w:val="20"/>
        </w:rPr>
        <w:t>(in thousands, except percentages and per share data):</w:t>
      </w:r>
    </w:p>
    <w:tbl>
      <w:tblPr>
        <w:tblW w:w="9735" w:type="dxa"/>
        <w:jc w:val="left"/>
        <w:tblInd w:w="0" w:type="dxa"/>
        <w:tblLayout w:type="fixed"/>
        <w:tblCellMar>
          <w:top w:w="28" w:type="dxa"/>
          <w:left w:w="28" w:type="dxa"/>
          <w:bottom w:w="28" w:type="dxa"/>
          <w:right w:w="28" w:type="dxa"/>
        </w:tblCellMar>
      </w:tblPr>
      <w:tblGrid>
        <w:gridCol w:w="1958"/>
        <w:gridCol w:w="1719"/>
        <w:gridCol w:w="1738"/>
        <w:gridCol w:w="211"/>
        <w:gridCol w:w="826"/>
        <w:gridCol w:w="271"/>
        <w:gridCol w:w="109"/>
        <w:gridCol w:w="109"/>
        <w:gridCol w:w="109"/>
        <w:gridCol w:w="211"/>
        <w:gridCol w:w="721"/>
        <w:gridCol w:w="271"/>
        <w:gridCol w:w="109"/>
        <w:gridCol w:w="109"/>
        <w:gridCol w:w="109"/>
        <w:gridCol w:w="235"/>
        <w:gridCol w:w="235"/>
        <w:gridCol w:w="685"/>
      </w:tblGrid>
      <w:tr>
        <w:trPr/>
        <w:tc>
          <w:tcPr>
            <w:tcW w:w="195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82"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(NM = Not Meaningful)</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GAAP</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as a percentage of 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Viant Technology Inc.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and Class B common shares outstanding (as of March 31)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March 31)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0"/>
              </w:rPr>
              <w:t>Non-GAAP</w:t>
            </w:r>
            <w:r>
              <w:rPr>
                <w:rFonts w:ascii="Times New Roman;serif" w:hAnsi="Times New Roman;serif"/>
                <w:b/>
                <w:color w:val="000000"/>
                <w:sz w:val="13"/>
              </w:rPr>
              <w:t>(2)</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earnings per share of Class A common stock—basic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earnings per share of Class A common stock—diluted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Recent Business Highlights: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Acquired TVision Insights, establishing Viant as an objective measurement and buying platform uniquely capable of valuing inventory across linear TV, CTV, Netflix, YouTube and Prime Video, which uniquely enables Viant to direct advertiser spend to destinations projected to maximize human engagement and deliver optimal outcomes.</w:t>
      </w:r>
    </w:p>
    <w:p>
      <w:pPr>
        <w:pStyle w:val="TextBody"/>
        <w:bidi w:val="0"/>
        <w:spacing w:lineRule="auto" w:line="288"/>
        <w:ind w:left="0" w:right="0" w:hanging="540"/>
        <w:jc w:val="left"/>
        <w:rPr/>
      </w:pPr>
      <w:r>
        <w:rPr>
          <w:color w:val="000000"/>
        </w:rPr>
        <w:t>•</w:t>
      </w:r>
      <w:r>
        <w:rPr>
          <w:rFonts w:ascii="Times New Roman;serif" w:hAnsi="Times New Roman;serif"/>
          <w:b w:val="false"/>
          <w:color w:val="000000"/>
          <w:sz w:val="20"/>
        </w:rPr>
        <w:t xml:space="preserve">Launched inaugural performance advertising campaigns within </w:t>
      </w:r>
      <w:r>
        <w:rPr>
          <w:rFonts w:ascii="Times New Roman;serif" w:hAnsi="Times New Roman;serif"/>
          <w:b w:val="false"/>
          <w:i/>
          <w:color w:val="000000"/>
          <w:sz w:val="20"/>
        </w:rPr>
        <w:t>Outcomes</w:t>
      </w:r>
      <w:r>
        <w:rPr>
          <w:rFonts w:ascii="Times New Roman;serif" w:hAnsi="Times New Roman;serif"/>
          <w:b w:val="false"/>
          <w:color w:val="000000"/>
          <w:sz w:val="20"/>
        </w:rPr>
        <w:t xml:space="preserve">, the first fully autonomous advertising solution built for the open-internet. Outcomes leverages Viant's newly developed AI Lattice Brain, a decisioning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architecture purpose-built to plan and execute campaigns autonomously by continuously evaluating proprietary data signals including Viant's Household ID, IRIS_ID, TVision attention insights, supply quality scoring models, historical campaign performance data and more.</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CTV spend reached a seasonal record high in the first quarter, representing over 50% of total advertiser spend on the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off to a strong start to the year, delivering contribution ex-TAC growth of 18%, exceeding the mid-point of our guidance, and adjusted EBITDA growth of 81%, exceeding the high end of our guidance," stated Larry Madden, CFO of Viant. "On May 1st, we closed on our acquisition of TVision, enabling the exclusive integration of proprietary attention insights directly into our AI-powered ad platform. TVision materially strengthens our targeting and measurement capabilities, which we expect will drive increased ad spend across our platform, elevate our take-rate and lead to adjusted EBITDA margin expansion over time. Reflecting strengthening advertiser demand, continued adoption of ViantAI, incremental use of our proprietary data, and increased engagement across our sales pipeline - we expect to accelerate top-line growth in each quarter throughout 2026, while delivering Adjusted EBITDA margin expansion for the year."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second quarter 2026, the Company expects: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Revenue in the range of $98.5 million to $101.5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Contribution ex-TAC in the range of $58.5 million to $60.5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Non-GAAP operating expenses in the range of $45.5 million to $46.5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Adjusted EBITDA in the range of $13.0 million to $14.0 million</w:t>
      </w:r>
    </w:p>
    <w:p>
      <w:pPr>
        <w:pStyle w:val="TextBody"/>
        <w:bidi w:val="0"/>
        <w:spacing w:lineRule="auto" w:line="288" w:before="240" w:after="283"/>
        <w:jc w:val="left"/>
        <w:rPr/>
      </w:pPr>
      <w:r>
        <w:rPr>
          <w:rFonts w:ascii="Times New Roman;serif" w:hAnsi="Times New Roman;serif"/>
          <w:b w:val="false"/>
          <w:color w:val="000000"/>
          <w:sz w:val="20"/>
        </w:rPr>
        <w:t>Contribution ex-TAC, non-GAAP operating expenses, adjusted EBITDA, adjusted EBITDA as a percentage of contribution ex-TAC, non-GAAP net income, and non-GAAP earnings (loss) per share of Class A common stock</w:t>
      </w:r>
      <w:r>
        <w:rPr>
          <w:color w:val="231F20"/>
        </w:rPr>
        <w:t>—</w:t>
      </w:r>
      <w:r>
        <w:rPr>
          <w:rFonts w:ascii="Times New Roman;serif" w:hAnsi="Times New Roman;serif"/>
          <w:b w:val="false"/>
          <w:color w:val="231F20"/>
          <w:sz w:val="20"/>
        </w:rPr>
        <w:t>basic and diluted</w:t>
      </w:r>
      <w:r>
        <w:rPr>
          <w:color w:val="000000"/>
        </w:rPr>
        <w:t xml:space="preserve"> </w:t>
      </w:r>
      <w:r>
        <w:rPr>
          <w:rFonts w:ascii="Times New Roman;serif" w:hAnsi="Times New Roman;serif"/>
          <w:b w:val="false"/>
          <w:color w:val="000000"/>
          <w:sz w:val="20"/>
        </w:rPr>
        <w:t>are non-GAAP financial measures. These non-GAAP financial measures should be considered in addition to, but not as a substitute for, the information provided in accordance with U.S. generally accepted accounting principles ("GAAP"). Reconciliations of these non-GAAP financial measures to Viant’s financial results as determined in accordance with GAAP are included at the end of this press release under “Reconciliation of Non-GAAP Financial Measures.” For a description of these non-GAAP financial measures, including the reasons management uses each measure, please see “Non-GAAP Financial Measures” in this press release. We are not able to estimate gross profit, total operating expenses or net income (loss) on a forward-looking basis or reconcile the guidance provided for contribution ex-TAC, non-GAAP operating expenses, or adjusted EBITDA to the closest corresponding GAAP financial measures on a forward-looking basis without unreasonable efforts due to the variability and complexity with respect to the charges excluded from these non-GAAP financial measures; in particular, the impact of future traffic acquisition costs and other platform operations expenses, as well as the measures and effects of our stock-based compensation related to equity grants that are directly impacted by unpredictable fluctuations in our share price and the potential forfeitures of equity grants. We expect the variability of the above charges could have a significant and potentially unpredictable impact on our future GAAP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(1)We define advertiser spend as the total amount billed to our customers for activity on our platform inclusive of the costs of advertising media, third-party data, other add-on features and our platform fee we charge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(2)For a discussion on how we define, use and calculate these non-GAAP financial measures and a reconciliation thereof to the most directly comparable GAAP financial measures, see “Non-GAAP Financial Measures” and the supplementary schedules under “Reconciliation of Non-GAAP Financial Measures” in this press release.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Financial and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financial and other information can be accessed through Viant’s Investor Relations website at investors.viantinc.com.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18,264,502 shares of the Company's Class A common stock outstanding and 45,559,716 shares of the Company's Class B common stock outstanding. For more information, please refer to our Quarterly Report on Form 10-Q expected to be filed with the Securities and Exchange Commission ("SEC") on May 11,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Conference Call and Webcast Details</w:t>
      </w:r>
      <w:r>
        <w:rPr>
          <w:rFonts w:ascii="Times New Roman;serif" w:hAnsi="Times New Roman;serif"/>
          <w:b w:val="false"/>
          <w:color w:val="000000"/>
          <w:sz w:val="20"/>
          <w:u w:val="single"/>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Viant will host a conference call and webcast to discuss its financial results on Monday, May 11, 2026 at 2:00 p.m. Pacific Time (5:00 p.m. Eastern Time). A live webcast of the call can be accessed from Viant’s Investor Relations website. An archived version of the webcast will be available from the same website after the call. Viant Technology has used,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intends to continue to use, the “Investor Relations” section of its website at investors.viantinc.com, its LinkedIn account, the LinkedIn account of its Chief Executive Officer, Tim Vanderhook, the LinkedIn account of its Chief Operating Officer, Chris Vanderhook, its X (formerly known as Twitter) account (@viant_tech), and Chris Vanderhook's X account (@cvanderhook) to post information that may be important to investors. Investors and potential investors are encouraged to consult Viant Technology’s website and the foregoing LinkedIn and X accounts regularly for important information.</w:t>
      </w:r>
    </w:p>
    <w:p>
      <w:pPr>
        <w:pStyle w:val="TextBody"/>
        <w:bidi w:val="0"/>
        <w:spacing w:lineRule="auto" w:line="288" w:before="240" w:after="283"/>
        <w:jc w:val="left"/>
        <w:rPr>
          <w:rFonts w:ascii="Times New Roman;serif" w:hAnsi="Times New Roman;serif"/>
          <w:b/>
          <w:color w:val="000000"/>
          <w:sz w:val="20"/>
          <w:shd w:fill="FEFEFE" w:val="clear"/>
        </w:rPr>
      </w:pPr>
      <w:r>
        <w:rPr>
          <w:rFonts w:ascii="Times New Roman;serif" w:hAnsi="Times New Roman;serif"/>
          <w:b/>
          <w:color w:val="000000"/>
          <w:sz w:val="20"/>
          <w:shd w:fill="FEFEFE" w:val="clear"/>
        </w:rPr>
        <w:t>About Viant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 (NASDAQ: DSP) is an exclusively buy-side AI-powered advertising platform purpose-built for CTV. Viant uniquely combines proprietary content intelligence, household-level identity resolution, and person-level attention signals to connect advertisers with real customers and drive measurable outcomes across the open internet. Through its award-winning AI solutions, Viant is building the future of autonomous advertising, where AI doesn't just assist the campaign, it delivers real results. Learn more at viantinc.com.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safe harbor provisions of the U.S. Private Securities Litigation Reform Act of 1995.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include, without limitation, any statement that may predict, forecast, indicate or imply future results, performance or achievements, and may contain words such as “guidance,” “believe,” “expect,” “estimate,” “commit,” “ensure,” “target,” “project,” “plan,” “will,” or words or phrases with similar meaning.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should not be read as a guarantee of future performance or results and will not necessarily be accurate indications of the times at, or by, which such performance or results will be achieved, if at all. Forward-looking statements contained in this press release relate to, among other things, Viant’s projected financial performance and operating results, including our guidance for revenue, contribution ex-TAC, non-GAAP operating expenses, and adjusted EBITDA, as well as statements regarding Viant’s growth prospects and drivers, strategic priorities, the benefits of Viant’s acquisition of TVision, including enhanced capabilities and expected tailwinds for Viant’s financial results, and impacts from the ViantAI product suite and other offerings. Forward-looking statements are based on current expectations, forecasts and assumptions that involve risks and uncertainties, including, but not limited to, the market for programmatic advertising may develop slower or differently than Viant’s expectations, the demands and expectations of customers, the ability to attract and retain customers, the impact of information and data privacy trends and regulations on our business and competitors, risks related to the use of artificial intelligence technologies, and other economic, competitive, governmental and technological factors outside of our control, that may cause our business, strategy or actual results to differ materially from the forward-looking statements. Investors are referred to our filings with the SEC, including our Annual Report on Form 10-K for the fiscal year ended December 31, 2025 and subsequent Quarterly Reports on Form 10-Q, for additional information regarding the risks and uncertainties that may cause actual results to differ materially from those expressed in any forward-looking statement. We do not intend and undertake no obligation to update any forward-looking statements, whether as a result of new information, future events or otherwise, except as may be required by applicable law.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Marielle Lyon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press@viantinc.com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Nick Zangler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nzangler@viantinc.com</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8650" w:type="dxa"/>
        <w:jc w:val="center"/>
        <w:tblInd w:w="0" w:type="dxa"/>
        <w:tblLayout w:type="fixed"/>
        <w:tblCellMar>
          <w:top w:w="28" w:type="dxa"/>
          <w:left w:w="28" w:type="dxa"/>
          <w:bottom w:w="28" w:type="dxa"/>
          <w:right w:w="28" w:type="dxa"/>
        </w:tblCellMar>
      </w:tblPr>
      <w:tblGrid>
        <w:gridCol w:w="1924"/>
        <w:gridCol w:w="1693"/>
        <w:gridCol w:w="1707"/>
        <w:gridCol w:w="211"/>
        <w:gridCol w:w="721"/>
        <w:gridCol w:w="109"/>
        <w:gridCol w:w="109"/>
        <w:gridCol w:w="109"/>
        <w:gridCol w:w="109"/>
        <w:gridCol w:w="211"/>
        <w:gridCol w:w="721"/>
        <w:gridCol w:w="109"/>
        <w:gridCol w:w="109"/>
        <w:gridCol w:w="109"/>
        <w:gridCol w:w="109"/>
        <w:gridCol w:w="109"/>
        <w:gridCol w:w="109"/>
        <w:gridCol w:w="109"/>
        <w:gridCol w:w="109"/>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remeasurement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shd w:fill="FFFFFF" w:val="clear"/>
        </w:rPr>
        <w:t>Stock-based compensation and depreciation and amortization included in operating expenses are as follows (in thousands):</w:t>
      </w:r>
    </w:p>
    <w:tbl>
      <w:tblPr>
        <w:tblW w:w="5425" w:type="dxa"/>
        <w:jc w:val="center"/>
        <w:tblInd w:w="0" w:type="dxa"/>
        <w:tblLayout w:type="fixed"/>
        <w:tblCellMar>
          <w:top w:w="28" w:type="dxa"/>
          <w:left w:w="28" w:type="dxa"/>
          <w:bottom w:w="28" w:type="dxa"/>
          <w:right w:w="28" w:type="dxa"/>
        </w:tblCellMar>
      </w:tblPr>
      <w:tblGrid>
        <w:gridCol w:w="996"/>
        <w:gridCol w:w="873"/>
        <w:gridCol w:w="876"/>
        <w:gridCol w:w="211"/>
        <w:gridCol w:w="616"/>
        <w:gridCol w:w="109"/>
        <w:gridCol w:w="109"/>
        <w:gridCol w:w="109"/>
        <w:gridCol w:w="109"/>
        <w:gridCol w:w="211"/>
        <w:gridCol w:w="616"/>
        <w:gridCol w:w="109"/>
        <w:gridCol w:w="109"/>
        <w:gridCol w:w="109"/>
        <w:gridCol w:w="109"/>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24" w:type="dxa"/>
        <w:jc w:val="center"/>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8116" w:type="dxa"/>
        <w:jc w:val="left"/>
        <w:tblInd w:w="0" w:type="dxa"/>
        <w:tblLayout w:type="fixed"/>
        <w:tblCellMar>
          <w:top w:w="28" w:type="dxa"/>
          <w:left w:w="28" w:type="dxa"/>
          <w:bottom w:w="28" w:type="dxa"/>
          <w:right w:w="28" w:type="dxa"/>
        </w:tblCellMar>
      </w:tblPr>
      <w:tblGrid>
        <w:gridCol w:w="1926"/>
        <w:gridCol w:w="1696"/>
        <w:gridCol w:w="1717"/>
        <w:gridCol w:w="211"/>
        <w:gridCol w:w="826"/>
        <w:gridCol w:w="109"/>
        <w:gridCol w:w="109"/>
        <w:gridCol w:w="109"/>
        <w:gridCol w:w="109"/>
        <w:gridCol w:w="231"/>
        <w:gridCol w:w="905"/>
        <w:gridCol w:w="168"/>
      </w:tblGrid>
      <w:tr>
        <w:trPr/>
        <w:tc>
          <w:tcPr>
            <w:tcW w:w="192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TRA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none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 18,820,004 and 18,271,293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18,264,502 and 17,593,198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45,559,716 and 45,717,216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555,502 and 678,095 shares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VIANT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849" w:type="dxa"/>
        <w:jc w:val="center"/>
        <w:tblInd w:w="0" w:type="dxa"/>
        <w:tblLayout w:type="fixed"/>
        <w:tblCellMar>
          <w:top w:w="28" w:type="dxa"/>
          <w:left w:w="28" w:type="dxa"/>
          <w:bottom w:w="28" w:type="dxa"/>
          <w:right w:w="28" w:type="dxa"/>
        </w:tblCellMar>
      </w:tblPr>
      <w:tblGrid>
        <w:gridCol w:w="2598"/>
        <w:gridCol w:w="2286"/>
        <w:gridCol w:w="2301"/>
        <w:gridCol w:w="211"/>
        <w:gridCol w:w="826"/>
        <w:gridCol w:w="109"/>
        <w:gridCol w:w="109"/>
        <w:gridCol w:w="109"/>
        <w:gridCol w:w="109"/>
        <w:gridCol w:w="211"/>
        <w:gridCol w:w="826"/>
        <w:gridCol w:w="154"/>
      </w:tblGrid>
      <w:tr>
        <w:trPr/>
        <w:tc>
          <w:tcPr>
            <w:tcW w:w="259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tax withholdings on vested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the stock repurchase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member tax 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tax receivable agreement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left"/>
        <w:rPr/>
      </w:pPr>
      <w:r>
        <w:rPr>
          <w:rFonts w:ascii="Times New Roman;serif" w:hAnsi="Times New Roman;serif"/>
          <w:b w:val="false"/>
          <w:color w:val="000000"/>
          <w:sz w:val="20"/>
        </w:rPr>
        <w:t xml:space="preserve">To provide investors and others with additional information regarding Viant’s results, we have included in this press release the following financial measures that are not calculated in accordance with GAAP: contribution ex-TAC, </w:t>
      </w:r>
      <w:r>
        <w:rPr>
          <w:rFonts w:ascii="Times New Roman;serif" w:hAnsi="Times New Roman;serif"/>
          <w:b w:val="false"/>
          <w:color w:val="231F20"/>
          <w:sz w:val="20"/>
        </w:rPr>
        <w:t xml:space="preserve">non-GAAP operating expenses, </w:t>
      </w:r>
      <w:r>
        <w:rPr>
          <w:rFonts w:ascii="Times New Roman;serif" w:hAnsi="Times New Roman;serif"/>
          <w:b w:val="false"/>
          <w:color w:val="000000"/>
          <w:sz w:val="20"/>
        </w:rPr>
        <w:t>adjusted EBITDA, adjusted EBITDA as a percentage of contribution ex-TAC, non-GAAP net income (loss) and non-GAAP earnings (loss) per share of Class A common stock</w:t>
      </w:r>
      <w:r>
        <w:rPr>
          <w:color w:val="231F20"/>
        </w:rPr>
        <w:t>—</w:t>
      </w:r>
      <w:r>
        <w:rPr>
          <w:rFonts w:ascii="Times New Roman;serif" w:hAnsi="Times New Roman;serif"/>
          <w:b w:val="false"/>
          <w:color w:val="231F20"/>
          <w:sz w:val="20"/>
        </w:rPr>
        <w:t>basic and diluted</w:t>
      </w:r>
      <w:r>
        <w:rPr>
          <w:rFonts w:ascii="Times New Roman;serif" w:hAnsi="Times New Roman;serif"/>
          <w:b w:val="false"/>
          <w:color w:val="000000"/>
          <w:sz w:val="20"/>
        </w:rPr>
        <w:t>. The Company’s management believes that this information can assist investors in evaluating the Company’s operational trends, financial performance, and cash generating capacity. Management believes these non-GAAP financial measures allow investors to evaluate the Company’s financial performance using some of the same measures as management.</w:t>
      </w:r>
    </w:p>
    <w:p>
      <w:pPr>
        <w:pStyle w:val="TextBody"/>
        <w:bidi w:val="0"/>
        <w:spacing w:lineRule="auto" w:line="288" w:before="120" w:after="283"/>
        <w:jc w:val="left"/>
        <w:rPr/>
      </w:pPr>
      <w:r>
        <w:rPr>
          <w:rFonts w:ascii="Times New Roman;serif" w:hAnsi="Times New Roman;serif"/>
          <w:b w:val="false"/>
          <w:color w:val="00000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“Traffic acquisition costs” or “TAC” represents </w:t>
      </w:r>
      <w:r>
        <w:rPr>
          <w:rFonts w:ascii="Times New Roman;serif" w:hAnsi="Times New Roman;serif"/>
          <w:b w:val="false"/>
          <w:color w:val="231F20"/>
          <w:sz w:val="20"/>
        </w:rPr>
        <w:t>amounts incurred and payable to suppliers for the cost of advertising media, third-party data and other add-on features related to our fixed cost per mille pricing option and certain arrangements related to our percentage of spend pricing option.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is a non-GAAP financial measure. Total operating expenses is the most comparable GAAP financial measure. Non-GAAP operating expenses is defined by us as total operating expenses plus other expense, net, less TAC, stock-based compensation, depreciation, amortization, and certain other items that are not related to our core operations, such as acquisition and restructuring costs.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Adjusted EBITDA </w:t>
      </w:r>
      <w:r>
        <w:rPr>
          <w:rFonts w:ascii="Times New Roman;serif" w:hAnsi="Times New Roman;serif"/>
          <w:b w:val="false"/>
          <w:color w:val="231F20"/>
          <w:sz w:val="20"/>
        </w:rPr>
        <w:t>is a non-GAAP financial measure</w:t>
      </w:r>
      <w:r>
        <w:rPr>
          <w:color w:val="000000"/>
        </w:rPr>
        <w:t> </w:t>
      </w:r>
      <w:r>
        <w:rPr>
          <w:rFonts w:ascii="Times New Roman;serif" w:hAnsi="Times New Roman;serif"/>
          <w:b w:val="false"/>
          <w:color w:val="000000"/>
          <w:sz w:val="20"/>
        </w:rPr>
        <w:t>defined by us as net income (loss) before interest expense (income), net, income tax benefit (expense), depreciation, amortization, stock-based compensation and certain other items that are not related to our core operations, such as acquisition and restructuring costs as well as Tax Receivable Agreement (the "TRA") remeasurement expense. Net income (loss) is the most comparable GAAP financial measure. Adjusted EBITDA as a percentage of contribution ex-TAC</w:t>
      </w:r>
      <w:r>
        <w:rPr>
          <w:color w:val="231F20"/>
        </w:rPr>
        <w:t> </w:t>
      </w:r>
      <w:r>
        <w:rPr>
          <w:rFonts w:ascii="Times New Roman;serif" w:hAnsi="Times New Roman;serif"/>
          <w:b w:val="false"/>
          <w:color w:val="231F20"/>
          <w:sz w:val="20"/>
        </w:rPr>
        <w:t>is a non-GAAP financial measure we calculate by dividing adjusted EBITDA by contribution ex-TAC for the period or periods presented. Net income (loss) as a percentage of gross profit is the most comparable GAAP financial measure.</w:t>
      </w:r>
    </w:p>
    <w:p>
      <w:pPr>
        <w:pStyle w:val="TextBody"/>
        <w:bidi w:val="0"/>
        <w:spacing w:lineRule="auto" w:line="288" w:before="120" w:after="283"/>
        <w:jc w:val="left"/>
        <w:rPr/>
      </w:pPr>
      <w:r>
        <w:rPr>
          <w:rFonts w:ascii="Times New Roman;serif" w:hAnsi="Times New Roman;serif"/>
          <w:b w:val="false"/>
          <w:color w:val="00000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w:t>
      </w:r>
      <w:r>
        <w:rPr>
          <w:rFonts w:ascii="Times New Roman;serif" w:hAnsi="Times New Roman;serif"/>
          <w:b w:val="false"/>
          <w:color w:val="231F20"/>
          <w:sz w:val="20"/>
        </w:rPr>
        <w:t>Adjusted EBITDA as a percentage of contribution ex-TAC, a non-GAAP financial measure,</w:t>
      </w:r>
      <w:r>
        <w:rPr>
          <w:color w:val="000000"/>
        </w:rPr>
        <w:t> </w:t>
      </w:r>
      <w:r>
        <w:rPr>
          <w:rFonts w:ascii="Times New Roman;serif" w:hAnsi="Times New Roman;serif"/>
          <w:b w:val="false"/>
          <w:color w:val="000000"/>
          <w:sz w:val="20"/>
        </w:rPr>
        <w:t>is used by our management and board of directors to evaluate adjusted EBITDA relative to our profitability after costs that are directly variable to revenues, which comprise TAC. </w:t>
      </w:r>
      <w:r>
        <w:rPr>
          <w:rFonts w:ascii="Times New Roman;serif" w:hAnsi="Times New Roman;serif"/>
          <w:b w:val="false"/>
          <w:color w:val="231F20"/>
          <w:sz w:val="20"/>
        </w:rPr>
        <w:t>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Non-GAAP net income (loss) is a non-GAAP financial measure defined by us as net income (loss) adjusted to eliminate the impact of stock-based compensation and certain other items that are not related to our core operations, such as acquisition and restructuring costs as well as TRA remeasurement expense and</w:t>
      </w:r>
      <w:r>
        <w:rPr>
          <w:color w:val="231F20"/>
        </w:rPr>
        <w:t xml:space="preserve"> </w:t>
      </w:r>
      <w:r>
        <w:rPr>
          <w:rFonts w:ascii="Times New Roman;serif" w:hAnsi="Times New Roman;serif"/>
          <w:b w:val="false"/>
          <w:color w:val="231F20"/>
          <w:sz w:val="20"/>
        </w:rPr>
        <w:t>the income tax effect of these adjustments</w:t>
      </w:r>
      <w:r>
        <w:rPr>
          <w:rFonts w:ascii="Times New Roman;serif" w:hAnsi="Times New Roman;serif"/>
          <w:b w:val="false"/>
          <w:color w:val="000000"/>
          <w:sz w:val="20"/>
        </w:rPr>
        <w: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Non-GAAP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is a non-GAAP financial measure defined by us as earnings (loss) per share of Class A common stock</w:t>
      </w:r>
      <w:r>
        <w:rPr>
          <w:color w:val="231F20"/>
        </w:rPr>
        <w:t>—</w:t>
      </w:r>
      <w:r>
        <w:rPr>
          <w:rFonts w:ascii="Times New Roman;serif" w:hAnsi="Times New Roman;serif"/>
          <w:b w:val="false"/>
          <w:color w:val="000000"/>
          <w:sz w:val="20"/>
        </w:rPr>
        <w:t>basic and diluted, adjusted to eliminate the impact of stock-based compensation and certain other items that are not related to our core operations, such as acquisition and restructuring costs as well as TRA remeasurement expense and</w:t>
      </w:r>
      <w:r>
        <w:rPr>
          <w:color w:val="231F20"/>
        </w:rPr>
        <w:t xml:space="preserve"> </w:t>
      </w:r>
      <w:r>
        <w:rPr>
          <w:rFonts w:ascii="Times New Roman;serif" w:hAnsi="Times New Roman;serif"/>
          <w:b w:val="false"/>
          <w:color w:val="231F20"/>
          <w:sz w:val="20"/>
        </w:rPr>
        <w:t>the income tax effect of these adjustments</w:t>
      </w:r>
      <w:r>
        <w:rPr>
          <w:rFonts w:ascii="Times New Roman;serif" w:hAnsi="Times New Roman;serif"/>
          <w:b w:val="false"/>
          <w:color w:val="000000"/>
          <w:sz w:val="20"/>
        </w:rPr>
        <w:t>.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is the most comparable GAAP financial measure. Non-GAAP earnings (loss) per share of Class A common stock</w:t>
      </w:r>
      <w:r>
        <w:rPr>
          <w:color w:val="231F20"/>
        </w:rPr>
        <w:t>—</w:t>
      </w:r>
      <w:r>
        <w:rPr>
          <w:rFonts w:ascii="Times New Roman;serif" w:hAnsi="Times New Roman;serif"/>
          <w:b w:val="false"/>
          <w:color w:val="000000"/>
          <w:sz w:val="20"/>
        </w:rPr>
        <w:t>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provides information to investors and the market generally that aids in the understanding and evaluation of our results of operations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w:t>
      </w:r>
      <w:r>
        <w:rPr>
          <w:color w:val="231F20"/>
        </w:rPr>
        <w:t xml:space="preserve"> </w:t>
      </w:r>
      <w:r>
        <w:rPr>
          <w:rFonts w:ascii="Times New Roman;serif" w:hAnsi="Times New Roman;serif"/>
          <w:b w:val="false"/>
          <w:color w:val="231F20"/>
          <w:sz w:val="20"/>
        </w:rPr>
        <w:t>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restricted stock units ("RSUs"), performance stock units ("PSUs"), and nonqualified stock options ("NQSOs") are considered potentially dilutive shares of Class A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should be considered in addition to, not as a substitute for or in isolation from, the Company’s financial information calculated in accordance with GAAP and should not be considered measures of the Company’s liquidity. Further, these non-GAAP financial measures as defined by the Company may not be comparable to similar non-GAAP financial measures presented by other companies, including peer companies, and therefore comparability may be limited. The presentation of such measures, which may include adjustments to exclude unusual or non-recurring items, should not be construed as an inference that the Company’s future results, cash flows or leverage will be unaffected by other unusual or non-recurring items. Management encourages investors and others to review Viant’s financial information in its entirety and not rely on a single financial measure.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reconciliations of the Company’s non-GAAP financial measures contained in this press release to the most directly comparable 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gross profit and the reconciliation of gross profit to contribution ex-TAC for the periods presented (unaudited; in thousands):</w:t>
      </w:r>
    </w:p>
    <w:tbl>
      <w:tblPr>
        <w:tblW w:w="5544" w:type="dxa"/>
        <w:jc w:val="center"/>
        <w:tblInd w:w="0" w:type="dxa"/>
        <w:tblLayout w:type="fixed"/>
        <w:tblCellMar>
          <w:top w:w="28" w:type="dxa"/>
          <w:left w:w="28" w:type="dxa"/>
          <w:bottom w:w="28" w:type="dxa"/>
          <w:right w:w="28" w:type="dxa"/>
        </w:tblCellMar>
      </w:tblPr>
      <w:tblGrid>
        <w:gridCol w:w="957"/>
        <w:gridCol w:w="846"/>
        <w:gridCol w:w="851"/>
        <w:gridCol w:w="211"/>
        <w:gridCol w:w="721"/>
        <w:gridCol w:w="109"/>
        <w:gridCol w:w="109"/>
        <w:gridCol w:w="109"/>
        <w:gridCol w:w="109"/>
        <w:gridCol w:w="211"/>
        <w:gridCol w:w="721"/>
        <w:gridCol w:w="109"/>
        <w:gridCol w:w="109"/>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operating expenses to non-GAAP operating expenses for the periods presented (unaudited; in thousands):</w:t>
      </w:r>
    </w:p>
    <w:tbl>
      <w:tblPr>
        <w:tblW w:w="6009" w:type="dxa"/>
        <w:jc w:val="center"/>
        <w:tblInd w:w="0" w:type="dxa"/>
        <w:tblLayout w:type="fixed"/>
        <w:tblCellMar>
          <w:top w:w="28" w:type="dxa"/>
          <w:left w:w="28" w:type="dxa"/>
          <w:bottom w:w="28" w:type="dxa"/>
          <w:right w:w="28" w:type="dxa"/>
        </w:tblCellMar>
      </w:tblPr>
      <w:tblGrid>
        <w:gridCol w:w="1130"/>
        <w:gridCol w:w="992"/>
        <w:gridCol w:w="997"/>
        <w:gridCol w:w="211"/>
        <w:gridCol w:w="721"/>
        <w:gridCol w:w="109"/>
        <w:gridCol w:w="109"/>
        <w:gridCol w:w="109"/>
        <w:gridCol w:w="109"/>
        <w:gridCol w:w="211"/>
        <w:gridCol w:w="721"/>
        <w:gridCol w:w="109"/>
        <w:gridCol w:w="109"/>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(1)Acquisition and restructuring costs primarily consist of costs incurred related to our contemplated and completed acquisitions for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EBITDA for the periods presented (unaudited; in thousands):</w:t>
      </w:r>
    </w:p>
    <w:tbl>
      <w:tblPr>
        <w:tblW w:w="6264" w:type="dxa"/>
        <w:jc w:val="center"/>
        <w:tblInd w:w="0" w:type="dxa"/>
        <w:tblLayout w:type="fixed"/>
        <w:tblCellMar>
          <w:top w:w="28" w:type="dxa"/>
          <w:left w:w="28" w:type="dxa"/>
          <w:bottom w:w="28" w:type="dxa"/>
          <w:right w:w="28" w:type="dxa"/>
        </w:tblCellMar>
      </w:tblPr>
      <w:tblGrid>
        <w:gridCol w:w="1246"/>
        <w:gridCol w:w="1087"/>
        <w:gridCol w:w="1101"/>
        <w:gridCol w:w="211"/>
        <w:gridCol w:w="691"/>
        <w:gridCol w:w="109"/>
        <w:gridCol w:w="109"/>
        <w:gridCol w:w="109"/>
        <w:gridCol w:w="109"/>
        <w:gridCol w:w="211"/>
        <w:gridCol w:w="691"/>
        <w:gridCol w:w="109"/>
        <w:gridCol w:w="109"/>
        <w:gridCol w:w="109"/>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months ended March 31,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three months ended March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net loss as a percentage of gross profit and the calculation of adjusted EBITDA as a percentage of contribution ex-TAC for the periods presented (unaudited; in thousands, except percentages):</w:t>
      </w:r>
    </w:p>
    <w:tbl>
      <w:tblPr>
        <w:tblW w:w="8059" w:type="dxa"/>
        <w:jc w:val="center"/>
        <w:tblInd w:w="0" w:type="dxa"/>
        <w:tblLayout w:type="fixed"/>
        <w:tblCellMar>
          <w:top w:w="28" w:type="dxa"/>
          <w:left w:w="28" w:type="dxa"/>
          <w:bottom w:w="28" w:type="dxa"/>
          <w:right w:w="28" w:type="dxa"/>
        </w:tblCellMar>
      </w:tblPr>
      <w:tblGrid>
        <w:gridCol w:w="1757"/>
        <w:gridCol w:w="1535"/>
        <w:gridCol w:w="1553"/>
        <w:gridCol w:w="211"/>
        <w:gridCol w:w="721"/>
        <w:gridCol w:w="271"/>
        <w:gridCol w:w="109"/>
        <w:gridCol w:w="109"/>
        <w:gridCol w:w="109"/>
        <w:gridCol w:w="211"/>
        <w:gridCol w:w="721"/>
        <w:gridCol w:w="271"/>
        <w:gridCol w:w="109"/>
        <w:gridCol w:w="10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as a percentage of 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non-GAAP net income for the periods presented (unaudited; in thousands):</w:t>
      </w:r>
    </w:p>
    <w:tbl>
      <w:tblPr>
        <w:tblW w:w="10205" w:type="dxa"/>
        <w:jc w:val="center"/>
        <w:tblInd w:w="0" w:type="dxa"/>
        <w:tblLayout w:type="fixed"/>
        <w:tblCellMar>
          <w:top w:w="28" w:type="dxa"/>
          <w:left w:w="28" w:type="dxa"/>
          <w:bottom w:w="28" w:type="dxa"/>
          <w:right w:w="28" w:type="dxa"/>
        </w:tblCellMar>
      </w:tblPr>
      <w:tblGrid>
        <w:gridCol w:w="2690"/>
        <w:gridCol w:w="2339"/>
        <w:gridCol w:w="2355"/>
        <w:gridCol w:w="211"/>
        <w:gridCol w:w="685"/>
        <w:gridCol w:w="109"/>
        <w:gridCol w:w="109"/>
        <w:gridCol w:w="109"/>
        <w:gridCol w:w="109"/>
        <w:gridCol w:w="211"/>
        <w:gridCol w:w="685"/>
        <w:gridCol w:w="109"/>
        <w:gridCol w:w="109"/>
        <w:gridCol w:w="109"/>
        <w:gridCol w:w="109"/>
        <w:gridCol w:w="157"/>
      </w:tblGrid>
      <w:tr>
        <w:trPr/>
        <w:tc>
          <w:tcPr>
            <w:tcW w:w="269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loss</w:t>
            </w:r>
            <w:r>
              <w:rPr>
                <w:rFonts w:ascii="Times New Roman;serif" w:hAnsi="Times New Roman;serif"/>
                <w:b w:val="false"/>
                <w:color w:val="000000"/>
                <w:sz w:val="13"/>
              </w:rPr>
              <w:t>(3)</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months ended March 31,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three months ended March 31,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estimated income tax effect of our share of income (loss) after non-GAAP reconciling items for the three months ended March 31, 2026 and 2025 is calculated using assumed blended tax rates of 28% and 23%, respectively, which represent our expected corporate tax rates, excluding discrete and non-recurring tax items.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earnings (loss) per share of Class A common stock—basic and diluted to non-GAAP earnings (loss) per share of Class A common stock—basic and diluted for the periods presented (unaudited;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7"/>
        <w:gridCol w:w="1291"/>
        <w:gridCol w:w="1306"/>
        <w:gridCol w:w="261"/>
        <w:gridCol w:w="813"/>
        <w:gridCol w:w="135"/>
        <w:gridCol w:w="135"/>
        <w:gridCol w:w="135"/>
        <w:gridCol w:w="135"/>
        <w:gridCol w:w="135"/>
        <w:gridCol w:w="109"/>
        <w:gridCol w:w="225"/>
        <w:gridCol w:w="693"/>
        <w:gridCol w:w="116"/>
        <w:gridCol w:w="114"/>
        <w:gridCol w:w="114"/>
        <w:gridCol w:w="114"/>
        <w:gridCol w:w="221"/>
        <w:gridCol w:w="680"/>
        <w:gridCol w:w="114"/>
        <w:gridCol w:w="109"/>
        <w:gridCol w:w="109"/>
        <w:gridCol w:w="109"/>
        <w:gridCol w:w="109"/>
        <w:gridCol w:w="109"/>
        <w:gridCol w:w="224"/>
        <w:gridCol w:w="691"/>
        <w:gridCol w:w="172"/>
      </w:tblGrid>
      <w:tr>
        <w:trPr/>
        <w:tc>
          <w:tcPr>
            <w:tcW w:w="172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632" w:type="dxa"/>
            <w:gridSpan w:val="8"/>
            <w:tcBorders/>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Acquisition and restructuring costs</w:t>
            </w:r>
            <w:r>
              <w:rPr>
                <w:rFonts w:ascii="Times New Roman;serif" w:hAnsi="Times New Roman;serif"/>
                <w:b w:val="false"/>
                <w:color w:val="000000"/>
                <w:sz w:val="13"/>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TRA remeasurement expense</w:t>
            </w:r>
            <w:r>
              <w:rPr>
                <w:rFonts w:ascii="Times New Roman;serif" w:hAnsi="Times New Roman;serif"/>
                <w:b w:val="false"/>
                <w:color w:val="000000"/>
                <w:sz w:val="13"/>
              </w:rPr>
              <w:t>(2)</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loss</w:t>
            </w:r>
            <w:r>
              <w:rPr>
                <w:rFonts w:ascii="Times New Roman;serif" w:hAnsi="Times New Roman;serif"/>
                <w:b w:val="false"/>
                <w:color w:val="000000"/>
                <w:sz w:val="13"/>
              </w:rPr>
              <w:t>(3)</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Less: Net income (loss) attributable to noncontrolling interests</w:t>
            </w:r>
            <w:r>
              <w:rPr>
                <w:rFonts w:ascii="Times New Roman;serif" w:hAnsi="Times New Roman;serif"/>
                <w:b w:val="false"/>
                <w:color w:val="000000"/>
                <w:sz w:val="13"/>
              </w:rPr>
              <w:t>(4)</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loss attributable to noncontrolling interest from the assumed exchange of RSUs and NQSOs for Class A common stock</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Net income (loss) attributable to noncontrolling interests</w:t>
            </w:r>
            <w:r>
              <w:rPr>
                <w:rFonts w:ascii="Times New Roman;serif" w:hAnsi="Times New Roman;serif"/>
                <w:b w:val="false"/>
                <w:color w:val="000000"/>
                <w:sz w:val="13"/>
              </w:rPr>
              <w:t>(4)</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the Company's share of non-GAAP pre-tax loss</w:t>
            </w:r>
            <w:r>
              <w:rPr>
                <w:rFonts w:ascii="Times New Roman;serif" w:hAnsi="Times New Roman;serif"/>
                <w:b w:val="false"/>
                <w:color w:val="000000"/>
                <w:sz w:val="13"/>
              </w:rPr>
              <w:t>(3)</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—basic</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—diluted</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(5)</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10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months ended March 31,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three months ended March 31,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estimated income tax effect of our share of income (loss) after non-GAAP reconciling items for the three months ended March 31, 2026 and 2025 is calculated using assumed blended tax rates of 28% and 23%, respectively, which represent our expected corporate tax rates, excluding discrete and non-recurring tax items.</w:t>
      </w:r>
    </w:p>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(4)The adjustment to net income attributable to noncontrolling interests represents stock-based compensation as well as </w:t>
      </w:r>
      <w:r>
        <w:rPr>
          <w:rFonts w:ascii="Times New Roman;serif" w:hAnsi="Times New Roman;serif"/>
          <w:b w:val="false"/>
          <w:color w:val="231F20"/>
          <w:sz w:val="20"/>
        </w:rPr>
        <w:t>a</w:t>
      </w:r>
      <w:r>
        <w:rPr>
          <w:rFonts w:ascii="Times New Roman;serif" w:hAnsi="Times New Roman;serif"/>
          <w:b w:val="false"/>
          <w:color w:val="000000"/>
          <w:sz w:val="20"/>
        </w:rPr>
        <w:t>cquisition and restructuring costs attributed to the noncontrolling interests outstanding during the period.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5596</Words>
  <Characters>32546</Characters>
  <CharactersWithSpaces>37590</CharactersWithSpaces>
  <Paragraphs>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