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6576504.xml.htm"/>
      <w:bookmarkStart w:id="1" w:name="kswkform4_178657650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Abrahams Craig Justin</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VIANT TECHNOLOGY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2722 MICHELSON DRIVE, SUITE 100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IRVINE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92612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Viant Technology Inc.</w:t>
              </w:r>
            </w:hyperlink>
            <w:r>
              <w:rPr/>
              <w:t xml:space="preserve"> [ </w:t>
            </w:r>
            <w:r>
              <w:rPr>
                <w:rFonts w:ascii="Times;serif" w:hAnsi="Times;serif"/>
                <w:color w:val="0000FF"/>
                <w:sz w:val="24"/>
                <w:shd w:fill="FFFFFF" w:val="clear"/>
              </w:rPr>
              <w:t>DSP</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08/10/2026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28,389</w:t>
            </w:r>
            <w:r>
              <w:rPr>
                <w:rFonts w:ascii="Times;serif" w:hAnsi="Times;serif"/>
                <w:color w:val="008000"/>
                <w:position w:val="7"/>
                <w:sz w:val="16"/>
                <w:sz w:val="20"/>
                <w:shd w:fill="FFFFFF" w:val="clear"/>
              </w:rPr>
              <w:t>(1)</w:t>
            </w:r>
          </w:p>
        </w:tc>
        <w:tc>
          <w:tcPr>
            <w:tcW w:w="4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28,389</w:t>
            </w:r>
          </w:p>
        </w:tc>
        <w:tc>
          <w:tcPr>
            <w:tcW w:w="10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08/10/2026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10,720</w:t>
            </w:r>
            <w:r>
              <w:rPr>
                <w:rFonts w:ascii="Times;serif" w:hAnsi="Times;serif"/>
                <w:color w:val="008000"/>
                <w:position w:val="7"/>
                <w:sz w:val="16"/>
                <w:sz w:val="20"/>
                <w:shd w:fill="FFFFFF" w:val="clear"/>
              </w:rPr>
              <w:t>(2)</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39,109</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Grant of restricted stock units ("RSUs") which shall vest in three equal annual installments over three (3) years, subject to the Reporting Person's continuous service through such vesting date and the terms and conditions set forth in the Issuer's Long-Term Incentive Plan. Each RSU represents the right to receive one share of the Issuer's Class A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Grant of RSUs which shall vest in full on the date of the Issuer's 2027 Annual Meeting of Stockholders, subject to the Reporting Person's continuous service through such vesting date. Each RSU represents the right to receive one share of the Issuer's Class A common stock.</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Larry Madden, Attorney-In-Fact for Craig Justin Abrahams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6746" TargetMode="External"/><Relationship Id="rId5" Type="http://schemas.openxmlformats.org/officeDocument/2006/relationships/hyperlink" Target="http://www.sec.gov/cgi-bin/browse-edgar?action=getcompany&amp;CIK=000182879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689</Words>
  <Characters>3702</Characters>
  <CharactersWithSpaces>4314</CharactersWithSpaces>
  <Paragraphs>105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