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370840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66" w:lineRule="exact"/>
        <w:rPr>
          <w:sz w:val="24"/>
          <w:szCs w:val="24"/>
          <w:color w:val="auto"/>
        </w:rPr>
      </w:pPr>
    </w:p>
    <w:p>
      <w:pPr>
        <w:ind w:left="3780" w:right="2120" w:hanging="3772"/>
        <w:spacing w:after="0" w:line="335" w:lineRule="auto"/>
        <w:tabs>
          <w:tab w:leader="none" w:pos="45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76" w:lineRule="exact"/>
        <w:rPr>
          <w:sz w:val="24"/>
          <w:szCs w:val="24"/>
          <w:color w:val="auto"/>
        </w:rPr>
      </w:pPr>
    </w:p>
    <w:p>
      <w:pPr>
        <w:ind w:left="35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3591560</wp:posOffset>
            </wp:positionH>
            <wp:positionV relativeFrom="paragraph">
              <wp:posOffset>-10795</wp:posOffset>
            </wp:positionV>
            <wp:extent cx="1313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001-40015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2091690</wp:posOffset>
            </wp:positionH>
            <wp:positionV relativeFrom="paragraph">
              <wp:posOffset>142875</wp:posOffset>
            </wp:positionV>
            <wp:extent cx="2976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6245" cy="8255"/>
                    </a:xfrm>
                    <a:prstGeom prst="rect">
                      <a:avLst/>
                    </a:prstGeom>
                    <a:noFill/>
                  </pic:spPr>
                </pic:pic>
              </a:graphicData>
            </a:graphic>
          </wp:anchor>
        </w:drawing>
        <w:drawing>
          <wp:anchor simplePos="0" relativeHeight="251657728" behindDoc="1" locked="0" layoutInCell="0" allowOverlap="1">
            <wp:simplePos x="0" y="0"/>
            <wp:positionH relativeFrom="column">
              <wp:posOffset>2647315</wp:posOffset>
            </wp:positionH>
            <wp:positionV relativeFrom="paragraph">
              <wp:posOffset>254000</wp:posOffset>
            </wp:positionV>
            <wp:extent cx="1856105" cy="32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6105" cy="325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Viant Technology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2083435</wp:posOffset>
            </wp:positionH>
            <wp:positionV relativeFrom="paragraph">
              <wp:posOffset>12700</wp:posOffset>
            </wp:positionV>
            <wp:extent cx="298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84500" cy="8255"/>
                    </a:xfrm>
                    <a:prstGeom prst="rect">
                      <a:avLst/>
                    </a:prstGeom>
                    <a:noFill/>
                  </pic:spPr>
                </pic:pic>
              </a:graphicData>
            </a:graphic>
          </wp:anchor>
        </w:drawing>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1"/>
              </w:rPr>
              <w:t>Delaware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89"/>
              </w:rPr>
              <w:t>85-3447553</w:t>
            </w:r>
          </w:p>
        </w:tc>
      </w:tr>
      <w:tr>
        <w:trPr>
          <w:trHeight w:val="255"/>
        </w:trPr>
        <w:tc>
          <w:tcPr>
            <w:tcW w:w="4280" w:type="dxa"/>
            <w:vAlign w:val="bottom"/>
            <w:gridSpan w:val="2"/>
          </w:tcPr>
          <w:p>
            <w:pPr>
              <w:jc w:val="center"/>
              <w:ind w:left="1270"/>
              <w:spacing w:after="0"/>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80" w:type="dxa"/>
            <w:vAlign w:val="bottom"/>
            <w:gridSpan w:val="2"/>
          </w:tcPr>
          <w:p>
            <w:pPr>
              <w:jc w:val="center"/>
              <w:ind w:right="124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gridSpan w:val="2"/>
          </w:tcPr>
          <w:p>
            <w:pPr>
              <w:jc w:val="center"/>
              <w:ind w:left="1270"/>
              <w:spacing w:after="0"/>
              <w:rPr>
                <w:sz w:val="20"/>
                <w:szCs w:val="20"/>
                <w:color w:val="auto"/>
              </w:rPr>
            </w:pPr>
            <w:r>
              <w:rPr>
                <w:rFonts w:ascii="Arial" w:cs="Arial" w:eastAsia="Arial" w:hAnsi="Arial"/>
                <w:sz w:val="18"/>
                <w:szCs w:val="18"/>
                <w:color w:val="auto"/>
                <w:w w:val="92"/>
              </w:rPr>
              <w:t>incorporation or organization)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gridSpan w:val="2"/>
          </w:tcPr>
          <w:p>
            <w:pPr>
              <w:jc w:val="center"/>
              <w:ind w:right="1240"/>
              <w:spacing w:after="0"/>
              <w:rPr>
                <w:sz w:val="20"/>
                <w:szCs w:val="20"/>
                <w:color w:val="auto"/>
              </w:rPr>
            </w:pPr>
            <w:r>
              <w:rPr>
                <w:rFonts w:ascii="Arial" w:cs="Arial" w:eastAsia="Arial" w:hAnsi="Arial"/>
                <w:sz w:val="18"/>
                <w:szCs w:val="18"/>
                <w:color w:val="auto"/>
                <w:w w:val="95"/>
              </w:rPr>
              <w:t>Identification No.)</w:t>
            </w:r>
          </w:p>
        </w:tc>
      </w:tr>
      <w:tr>
        <w:trPr>
          <w:trHeight w:val="291"/>
        </w:trPr>
        <w:tc>
          <w:tcPr>
            <w:tcW w:w="3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8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0"/>
              </w:rPr>
              <w:t>2722 Michelson Drive, Suite 100</w:t>
            </w:r>
          </w:p>
        </w:tc>
        <w:tc>
          <w:tcPr>
            <w:tcW w:w="1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34"/>
        </w:trPr>
        <w:tc>
          <w:tcPr>
            <w:tcW w:w="3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Irvine, CA 92612</w:t>
            </w:r>
          </w:p>
        </w:tc>
        <w:tc>
          <w:tcPr>
            <w:tcW w:w="1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69"/>
        </w:trPr>
        <w:tc>
          <w:tcPr>
            <w:tcW w:w="3300" w:type="dxa"/>
            <w:vAlign w:val="bottom"/>
          </w:tcPr>
          <w:p>
            <w:pPr>
              <w:spacing w:after="0"/>
              <w:rPr>
                <w:sz w:val="23"/>
                <w:szCs w:val="23"/>
                <w:color w:val="auto"/>
              </w:rPr>
            </w:pPr>
          </w:p>
        </w:tc>
        <w:tc>
          <w:tcPr>
            <w:tcW w:w="7940" w:type="dxa"/>
            <w:vAlign w:val="bottom"/>
            <w:gridSpan w:val="7"/>
          </w:tcPr>
          <w:p>
            <w:pPr>
              <w:jc w:val="center"/>
              <w:ind w:right="3300"/>
              <w:spacing w:after="0"/>
              <w:rPr>
                <w:sz w:val="20"/>
                <w:szCs w:val="20"/>
                <w:color w:val="auto"/>
              </w:rPr>
            </w:pPr>
            <w:r>
              <w:rPr>
                <w:rFonts w:ascii="Arial" w:cs="Arial" w:eastAsia="Arial" w:hAnsi="Arial"/>
                <w:sz w:val="18"/>
                <w:szCs w:val="18"/>
                <w:color w:val="auto"/>
                <w:w w:val="91"/>
              </w:rPr>
              <w:t>(Address of principal executive offices and zip code)</w:t>
            </w:r>
          </w:p>
        </w:tc>
      </w:tr>
      <w:tr>
        <w:trPr>
          <w:trHeight w:val="323"/>
        </w:trPr>
        <w:tc>
          <w:tcPr>
            <w:tcW w:w="3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8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0"/>
              </w:rPr>
              <w:t>(949) 861-8888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69"/>
        </w:trPr>
        <w:tc>
          <w:tcPr>
            <w:tcW w:w="3300" w:type="dxa"/>
            <w:vAlign w:val="bottom"/>
          </w:tcPr>
          <w:p>
            <w:pPr>
              <w:spacing w:after="0"/>
              <w:rPr>
                <w:sz w:val="23"/>
                <w:szCs w:val="23"/>
                <w:color w:val="auto"/>
              </w:rPr>
            </w:pPr>
          </w:p>
        </w:tc>
        <w:tc>
          <w:tcPr>
            <w:tcW w:w="7940" w:type="dxa"/>
            <w:vAlign w:val="bottom"/>
            <w:gridSpan w:val="7"/>
          </w:tcPr>
          <w:p>
            <w:pPr>
              <w:jc w:val="center"/>
              <w:ind w:right="330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54"/>
        </w:trPr>
        <w:tc>
          <w:tcPr>
            <w:tcW w:w="33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260" w:type="dxa"/>
            <w:vAlign w:val="bottom"/>
          </w:tcPr>
          <w:p>
            <w:pPr>
              <w:spacing w:after="0"/>
              <w:rPr>
                <w:sz w:val="4"/>
                <w:szCs w:val="4"/>
                <w:color w:val="auto"/>
              </w:rPr>
            </w:pPr>
          </w:p>
        </w:tc>
      </w:tr>
      <w:tr>
        <w:trPr>
          <w:trHeight w:val="317"/>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23"/>
        </w:trPr>
        <w:tc>
          <w:tcPr>
            <w:tcW w:w="42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280" w:type="dxa"/>
            <w:vAlign w:val="bottom"/>
            <w:tcBorders>
              <w:top w:val="single" w:sz="8" w:color="auto"/>
            </w:tcBorders>
            <w:gridSpan w:val="2"/>
          </w:tcPr>
          <w:p>
            <w:pPr>
              <w:jc w:val="center"/>
              <w:ind w:left="30"/>
              <w:spacing w:after="0" w:line="195" w:lineRule="exact"/>
              <w:rPr>
                <w:sz w:val="20"/>
                <w:szCs w:val="20"/>
                <w:color w:val="auto"/>
              </w:rPr>
            </w:pPr>
            <w:r>
              <w:rPr>
                <w:rFonts w:ascii="Arial" w:cs="Arial" w:eastAsia="Arial" w:hAnsi="Arial"/>
                <w:sz w:val="18"/>
                <w:szCs w:val="18"/>
                <w:color w:val="auto"/>
                <w:w w:val="89"/>
              </w:rPr>
              <w:t>Class A common stock, par value $0.001 per share</w:t>
            </w: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DSP</w:t>
            </w:r>
          </w:p>
        </w:tc>
        <w:tc>
          <w:tcPr>
            <w:tcW w:w="100" w:type="dxa"/>
            <w:vAlign w:val="bottom"/>
          </w:tcPr>
          <w:p>
            <w:pPr>
              <w:spacing w:after="0"/>
              <w:rPr>
                <w:sz w:val="16"/>
                <w:szCs w:val="16"/>
                <w:color w:val="auto"/>
              </w:rPr>
            </w:pPr>
          </w:p>
        </w:tc>
        <w:tc>
          <w:tcPr>
            <w:tcW w:w="43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gridSpan w:val="2"/>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66" w:lineRule="exact"/>
        <w:rPr>
          <w:sz w:val="24"/>
          <w:szCs w:val="24"/>
          <w:color w:val="auto"/>
        </w:rPr>
      </w:pPr>
    </w:p>
    <w:p>
      <w:pPr>
        <w:ind w:right="8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8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ind w:right="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3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9"/>
        </w:trPr>
        <w:tc>
          <w:tcPr>
            <w:tcW w:w="3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40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6"/>
        </w:trPr>
        <w:tc>
          <w:tcPr>
            <w:tcW w:w="3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53" w:lineRule="exact"/>
        <w:rPr>
          <w:sz w:val="24"/>
          <w:szCs w:val="24"/>
          <w:color w:val="auto"/>
        </w:rPr>
      </w:pPr>
    </w:p>
    <w:p>
      <w:pPr>
        <w:ind w:right="20" w:firstLine="51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8" w:lineRule="exact"/>
        <w:rPr>
          <w:sz w:val="24"/>
          <w:szCs w:val="24"/>
          <w:color w:val="auto"/>
        </w:rPr>
      </w:pPr>
    </w:p>
    <w:p>
      <w:pPr>
        <w:ind w:left="5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0" w:lineRule="exact"/>
        <w:rPr>
          <w:sz w:val="24"/>
          <w:szCs w:val="24"/>
          <w:color w:val="auto"/>
        </w:rPr>
      </w:pPr>
    </w:p>
    <w:p>
      <w:pPr>
        <w:ind w:left="520"/>
        <w:spacing w:after="0" w:line="207" w:lineRule="exact"/>
        <w:tabs>
          <w:tab w:leader="none" w:pos="11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2" w:lineRule="exact"/>
        <w:rPr>
          <w:sz w:val="24"/>
          <w:szCs w:val="24"/>
          <w:color w:val="auto"/>
        </w:rPr>
      </w:pPr>
    </w:p>
    <w:p>
      <w:pPr>
        <w:ind w:right="180"/>
        <w:spacing w:after="0" w:line="276" w:lineRule="auto"/>
        <w:rPr>
          <w:sz w:val="20"/>
          <w:szCs w:val="20"/>
          <w:color w:val="auto"/>
        </w:rPr>
      </w:pPr>
      <w:r>
        <w:rPr>
          <w:rFonts w:ascii="Arial" w:cs="Arial" w:eastAsia="Arial" w:hAnsi="Arial"/>
          <w:sz w:val="18"/>
          <w:szCs w:val="18"/>
          <w:color w:val="auto"/>
        </w:rPr>
        <w:t>As of November 7, 2022, there were 14,460,084 shares and 47,082,260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455295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40" w:type="dxa"/>
            <w:vAlign w:val="bottom"/>
            <w:gridSpan w:val="19"/>
            <w:vMerge w:val="restart"/>
          </w:tcPr>
          <w:p>
            <w:pPr>
              <w:spacing w:after="0"/>
              <w:rPr>
                <w:sz w:val="20"/>
                <w:szCs w:val="20"/>
                <w:color w:val="auto"/>
              </w:rPr>
            </w:pPr>
            <w:r>
              <w:rPr>
                <w:rFonts w:ascii="Arial" w:cs="Arial" w:eastAsia="Arial" w:hAnsi="Arial"/>
                <w:sz w:val="18"/>
                <w:szCs w:val="18"/>
                <w:color w:val="0000EE"/>
              </w:rPr>
              <w:t>FINANCIAL INFORMATION</w:t>
            </w: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140" w:type="dxa"/>
            <w:vAlign w:val="bottom"/>
            <w:gridSpan w:val="2"/>
            <w:vMerge w:val="continue"/>
          </w:tcPr>
          <w:p>
            <w:pPr>
              <w:spacing w:after="0"/>
              <w:rPr>
                <w:sz w:val="15"/>
                <w:szCs w:val="15"/>
                <w:color w:val="auto"/>
              </w:rPr>
            </w:pPr>
          </w:p>
        </w:tc>
        <w:tc>
          <w:tcPr>
            <w:tcW w:w="9540" w:type="dxa"/>
            <w:vAlign w:val="bottom"/>
            <w:gridSpan w:val="19"/>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88"/>
              </w:rPr>
              <w:t>Financial Statements</w:t>
            </w:r>
          </w:p>
        </w:tc>
        <w:tc>
          <w:tcPr>
            <w:tcW w:w="740" w:type="dxa"/>
            <w:vAlign w:val="bottom"/>
            <w:tcBorders>
              <w:top w:val="single" w:sz="8" w:color="0000EE"/>
            </w:tcBorders>
            <w:gridSpan w:val="3"/>
          </w:tcPr>
          <w:p>
            <w:pPr>
              <w:spacing w:after="0"/>
              <w:rPr>
                <w:sz w:val="18"/>
                <w:szCs w:val="18"/>
                <w:color w:val="auto"/>
              </w:rPr>
            </w:pPr>
          </w:p>
        </w:tc>
        <w:tc>
          <w:tcPr>
            <w:tcW w:w="7300" w:type="dxa"/>
            <w:vAlign w:val="bottom"/>
            <w:gridSpan w:val="10"/>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5"/>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9"/>
          </w:tcPr>
          <w:p>
            <w:pPr>
              <w:ind w:left="100"/>
              <w:spacing w:after="0" w:line="182" w:lineRule="exact"/>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color w:val="0000EE"/>
              </w:rPr>
              <w:t>Condensed Consolidated Statements of Operations</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00"/>
              <w:spacing w:after="0" w:line="195" w:lineRule="exact"/>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color w:val="0000EE"/>
              </w:rPr>
              <w:t>Condensed Consolidated Balance Sheets</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00"/>
              <w:spacing w:after="0" w:line="195" w:lineRule="exact"/>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color w:val="0000EE"/>
              </w:rPr>
              <w:t>Condensed Consolidated Statements of Convertible Preferred Units and Equity</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00"/>
              <w:spacing w:after="0" w:line="195" w:lineRule="exact"/>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color w:val="0000EE"/>
              </w:rPr>
              <w:t>Condensed Consolidated Statements of Cash Flows</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00"/>
              <w:spacing w:after="0" w:line="195" w:lineRule="exact"/>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color w:val="0000EE"/>
              </w:rPr>
              <w:t>Notes to the Condensed Consolidated Financial Statements</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9"/>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tcBorders>
              <w:top w:val="single" w:sz="8" w:color="0000EE"/>
            </w:tcBorders>
            <w:gridSpan w:val="3"/>
          </w:tcPr>
          <w:p>
            <w:pPr>
              <w:spacing w:after="0"/>
              <w:rPr>
                <w:sz w:val="18"/>
                <w:szCs w:val="18"/>
                <w:color w:val="auto"/>
              </w:rPr>
            </w:pPr>
          </w:p>
        </w:tc>
        <w:tc>
          <w:tcPr>
            <w:tcW w:w="3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19"/>
          </w:tcPr>
          <w:p>
            <w:pPr>
              <w:spacing w:after="0"/>
              <w:rPr>
                <w:sz w:val="20"/>
                <w:szCs w:val="20"/>
                <w:color w:val="auto"/>
              </w:rPr>
            </w:pPr>
            <w:r>
              <w:rPr>
                <w:rFonts w:ascii="Arial" w:cs="Arial" w:eastAsia="Arial" w:hAnsi="Arial"/>
                <w:sz w:val="18"/>
                <w:szCs w:val="18"/>
                <w:color w:val="0000EE"/>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140" w:type="dxa"/>
            <w:vAlign w:val="bottom"/>
            <w:gridSpan w:val="2"/>
            <w:vMerge w:val="continue"/>
          </w:tcPr>
          <w:p>
            <w:pPr>
              <w:spacing w:after="0"/>
              <w:rPr>
                <w:sz w:val="24"/>
                <w:szCs w:val="24"/>
                <w:color w:val="auto"/>
              </w:rPr>
            </w:pPr>
          </w:p>
        </w:tc>
        <w:tc>
          <w:tcPr>
            <w:tcW w:w="18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5"/>
              </w:rPr>
              <w:t>OTHER INFORMATION</w:t>
            </w:r>
          </w:p>
        </w:tc>
        <w:tc>
          <w:tcPr>
            <w:tcW w:w="766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9"/>
          </w:tcPr>
          <w:p>
            <w:pPr>
              <w:spacing w:after="0"/>
              <w:rPr>
                <w:sz w:val="20"/>
                <w:szCs w:val="20"/>
                <w:color w:val="auto"/>
              </w:rPr>
            </w:pPr>
            <w:r>
              <w:rPr>
                <w:rFonts w:ascii="Arial" w:cs="Arial" w:eastAsia="Arial" w:hAnsi="Arial"/>
                <w:sz w:val="18"/>
                <w:szCs w:val="18"/>
                <w:color w:val="0000EE"/>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Risk Factors</w:t>
            </w:r>
          </w:p>
        </w:tc>
        <w:tc>
          <w:tcPr>
            <w:tcW w:w="822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Unregistered Sales of Equity Securities and Use of Proceeds</w:t>
            </w:r>
          </w:p>
        </w:tc>
        <w:tc>
          <w:tcPr>
            <w:tcW w:w="520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Defaults Upon Senior Securities</w:t>
            </w:r>
          </w:p>
        </w:tc>
        <w:tc>
          <w:tcPr>
            <w:tcW w:w="72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19"/>
          </w:tcPr>
          <w:p>
            <w:pPr>
              <w:spacing w:after="0"/>
              <w:rPr>
                <w:sz w:val="20"/>
                <w:szCs w:val="20"/>
                <w:color w:val="auto"/>
              </w:rPr>
            </w:pPr>
            <w:r>
              <w:rPr>
                <w:rFonts w:ascii="Arial" w:cs="Arial" w:eastAsia="Arial" w:hAnsi="Arial"/>
                <w:sz w:val="18"/>
                <w:szCs w:val="18"/>
                <w:color w:val="0000EE"/>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778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Exhibits</w:t>
            </w:r>
          </w:p>
        </w:tc>
        <w:tc>
          <w:tcPr>
            <w:tcW w:w="824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0000EE"/>
              </w:rPr>
              <w:t>Signatures</w:t>
            </w: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2"/>
        </w:trPr>
        <w:tc>
          <w:tcPr>
            <w:tcW w:w="524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142,659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Platform operations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development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182,713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extinguishment of debt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22"/>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(income), net</w:t>
            </w:r>
          </w:p>
        </w:tc>
        <w:tc>
          <w:tcPr>
            <w:tcW w:w="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(30,362)</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(35,829)</w:t>
            </w:r>
          </w:p>
        </w:tc>
        <w:tc>
          <w:tcPr>
            <w:tcW w:w="0" w:type="dxa"/>
            <w:vAlign w:val="bottom"/>
          </w:tcPr>
          <w:p>
            <w:pPr>
              <w:spacing w:after="0"/>
              <w:rPr>
                <w:sz w:val="1"/>
                <w:szCs w:val="1"/>
                <w:color w:val="auto"/>
              </w:rPr>
            </w:pPr>
          </w:p>
        </w:tc>
      </w:tr>
      <w:tr>
        <w:trPr>
          <w:trHeight w:val="222"/>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Viant Technology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Loss per share of Class A common stock:</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(0.20)</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40" w:type="dxa"/>
            <w:vAlign w:val="bottom"/>
            <w:tcBorders>
              <w:bottom w:val="single" w:sz="8" w:color="CFF0FC"/>
            </w:tcBorders>
            <w:vMerge w:val="continue"/>
          </w:tcPr>
          <w:p>
            <w:pPr>
              <w:spacing w:after="0"/>
              <w:rPr>
                <w:sz w:val="21"/>
                <w:szCs w:val="21"/>
                <w:color w:val="auto"/>
              </w:rPr>
            </w:pPr>
          </w:p>
        </w:tc>
        <w:tc>
          <w:tcPr>
            <w:tcW w:w="6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of Class A common stock outstanding:</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6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14,306</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12,489</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14,078</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6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As of September 30,</w:t>
            </w:r>
          </w:p>
        </w:tc>
        <w:tc>
          <w:tcPr>
            <w:tcW w:w="12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As of December 31,</w:t>
            </w:r>
          </w:p>
        </w:tc>
      </w:tr>
      <w:tr>
        <w:trPr>
          <w:trHeight w:val="222"/>
        </w:trPr>
        <w:tc>
          <w:tcPr>
            <w:tcW w:w="63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2"/>
        </w:trPr>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199,665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238,480</w:t>
            </w: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ind w:left="260"/>
              <w:spacing w:after="0"/>
              <w:rPr>
                <w:sz w:val="20"/>
                <w:szCs w:val="20"/>
                <w:color w:val="auto"/>
              </w:rPr>
            </w:pPr>
            <w:r>
              <w:rPr>
                <w:rFonts w:ascii="Arial" w:cs="Arial" w:eastAsia="Arial" w:hAnsi="Arial"/>
                <w:sz w:val="18"/>
                <w:szCs w:val="18"/>
                <w:color w:val="auto"/>
              </w:rPr>
              <w:t>Accounts receivable, net of allowances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93,609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110,739</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120" w:type="dxa"/>
            <w:vAlign w:val="bottom"/>
            <w:shd w:val="clear" w:color="auto" w:fill="CFF0FC"/>
          </w:tcPr>
          <w:p>
            <w:pPr>
              <w:spacing w:after="0"/>
              <w:rPr>
                <w:sz w:val="19"/>
                <w:szCs w:val="19"/>
                <w:color w:val="auto"/>
              </w:rPr>
            </w:pPr>
          </w:p>
        </w:tc>
      </w:tr>
      <w:tr>
        <w:trPr>
          <w:trHeight w:val="222"/>
        </w:trPr>
        <w:tc>
          <w:tcPr>
            <w:tcW w:w="63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299,284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352,186</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software, net</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22,331</w:t>
            </w: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22,816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12,422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12,422</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9"/>
                <w:szCs w:val="19"/>
                <w:color w:val="auto"/>
              </w:rPr>
            </w:pPr>
          </w:p>
        </w:tc>
      </w:tr>
      <w:tr>
        <w:trPr>
          <w:trHeight w:val="262"/>
        </w:trPr>
        <w:tc>
          <w:tcPr>
            <w:tcW w:w="6340" w:type="dxa"/>
            <w:vAlign w:val="bottom"/>
            <w:tcBorders>
              <w:bottom w:val="single" w:sz="8" w:color="CFF0FC"/>
            </w:tcBorders>
          </w:tcPr>
          <w:p>
            <w:pPr>
              <w:ind w:left="98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358,496</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389,131</w:t>
            </w:r>
          </w:p>
        </w:tc>
        <w:tc>
          <w:tcPr>
            <w:tcW w:w="120" w:type="dxa"/>
            <w:vAlign w:val="bottom"/>
            <w:tcBorders>
              <w:bottom w:val="single" w:sz="8" w:color="CFF0FC"/>
            </w:tcBorders>
          </w:tcPr>
          <w:p>
            <w:pPr>
              <w:spacing w:after="0"/>
              <w:rPr>
                <w:sz w:val="22"/>
                <w:szCs w:val="22"/>
                <w:color w:val="auto"/>
              </w:rPr>
            </w:pPr>
          </w:p>
        </w:tc>
      </w:tr>
      <w:tr>
        <w:trPr>
          <w:trHeight w:val="209"/>
        </w:trPr>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29,897</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32,877</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34,086</w:t>
            </w: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8,235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12,247</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revenue</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0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20" w:type="dxa"/>
            <w:vAlign w:val="bottom"/>
            <w:shd w:val="clear" w:color="auto" w:fill="CFF0FC"/>
          </w:tcPr>
          <w:p>
            <w:pPr>
              <w:spacing w:after="0"/>
              <w:rPr>
                <w:sz w:val="19"/>
                <w:szCs w:val="19"/>
                <w:color w:val="auto"/>
              </w:rPr>
            </w:pPr>
          </w:p>
        </w:tc>
      </w:tr>
      <w:tr>
        <w:trPr>
          <w:trHeight w:val="222"/>
        </w:trPr>
        <w:tc>
          <w:tcPr>
            <w:tcW w:w="63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70,635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83,058</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Long-term portion of deferred revenue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Long-term portion of operating lease liabilities</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r>
      <w:tr>
        <w:trPr>
          <w:trHeight w:val="222"/>
        </w:trPr>
        <w:tc>
          <w:tcPr>
            <w:tcW w:w="63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0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92,602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Preferred stock, $0.001 par value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shares — 10,000,000</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ind w:left="260"/>
              <w:spacing w:after="0"/>
              <w:rPr>
                <w:sz w:val="20"/>
                <w:szCs w:val="20"/>
                <w:color w:val="auto"/>
              </w:rPr>
            </w:pPr>
            <w:r>
              <w:rPr>
                <w:rFonts w:ascii="Arial" w:cs="Arial" w:eastAsia="Arial" w:hAnsi="Arial"/>
                <w:sz w:val="18"/>
                <w:szCs w:val="18"/>
                <w:color w:val="auto"/>
              </w:rPr>
              <w:t>Issued and outstanding — none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Class A common stock, $0.001 par value</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ind w:left="260"/>
              <w:spacing w:after="0"/>
              <w:rPr>
                <w:sz w:val="20"/>
                <w:szCs w:val="20"/>
                <w:color w:val="auto"/>
              </w:rPr>
            </w:pPr>
            <w:r>
              <w:rPr>
                <w:rFonts w:ascii="Arial" w:cs="Arial" w:eastAsia="Arial" w:hAnsi="Arial"/>
                <w:sz w:val="18"/>
                <w:szCs w:val="18"/>
                <w:color w:val="auto"/>
              </w:rPr>
              <w:t>Authorized shares — 450,000,000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Issued — 14,604,257 and 13,920,868</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ind w:left="260"/>
              <w:spacing w:after="0"/>
              <w:rPr>
                <w:sz w:val="20"/>
                <w:szCs w:val="20"/>
                <w:color w:val="auto"/>
              </w:rPr>
            </w:pPr>
            <w:r>
              <w:rPr>
                <w:rFonts w:ascii="Arial" w:cs="Arial" w:eastAsia="Arial" w:hAnsi="Arial"/>
                <w:sz w:val="18"/>
                <w:szCs w:val="18"/>
                <w:color w:val="auto"/>
              </w:rPr>
              <w:t>Outstanding — 14,460,084 and 13,704,638</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Class B common stock, $0.001 par value</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ind w:left="260"/>
              <w:spacing w:after="0"/>
              <w:rPr>
                <w:sz w:val="20"/>
                <w:szCs w:val="20"/>
                <w:color w:val="auto"/>
              </w:rPr>
            </w:pPr>
            <w:r>
              <w:rPr>
                <w:rFonts w:ascii="Arial" w:cs="Arial" w:eastAsia="Arial" w:hAnsi="Arial"/>
                <w:sz w:val="18"/>
                <w:szCs w:val="18"/>
                <w:color w:val="auto"/>
              </w:rPr>
              <w:t>Authorized shares — 150,000,000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Issued and outstanding — 47,082,260 and 47,107,130</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92,736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82,888</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(33,367)</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(20,139)</w:t>
            </w: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Treasury stock, at cost; 144,173 and 216,230 shares held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(2,648)</w:t>
            </w:r>
          </w:p>
        </w:tc>
      </w:tr>
      <w:tr>
        <w:trPr>
          <w:trHeight w:val="222"/>
        </w:trPr>
        <w:tc>
          <w:tcPr>
            <w:tcW w:w="63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stockholders’ equity attributable to Viant Technology Inc.</w:t>
            </w:r>
          </w:p>
        </w:tc>
        <w:tc>
          <w:tcPr>
            <w:tcW w:w="10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58,729</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10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207,165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222,412</w:t>
            </w:r>
          </w:p>
        </w:tc>
        <w:tc>
          <w:tcPr>
            <w:tcW w:w="120" w:type="dxa"/>
            <w:vAlign w:val="bottom"/>
            <w:tcBorders>
              <w:bottom w:val="single" w:sz="8" w:color="CFF0FC"/>
            </w:tcBorders>
          </w:tcPr>
          <w:p>
            <w:pPr>
              <w:spacing w:after="0"/>
              <w:rPr>
                <w:sz w:val="19"/>
                <w:szCs w:val="19"/>
                <w:color w:val="auto"/>
              </w:rPr>
            </w:pPr>
          </w:p>
        </w:tc>
      </w:tr>
      <w:tr>
        <w:trPr>
          <w:trHeight w:val="222"/>
        </w:trPr>
        <w:tc>
          <w:tcPr>
            <w:tcW w:w="63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equity</w:t>
            </w:r>
          </w:p>
        </w:tc>
        <w:tc>
          <w:tcPr>
            <w:tcW w:w="10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265,894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282,574</w:t>
            </w:r>
          </w:p>
        </w:tc>
        <w:tc>
          <w:tcPr>
            <w:tcW w:w="120" w:type="dxa"/>
            <w:vAlign w:val="bottom"/>
            <w:shd w:val="clear" w:color="auto" w:fill="CFF0FC"/>
          </w:tcPr>
          <w:p>
            <w:pPr>
              <w:spacing w:after="0"/>
              <w:rPr>
                <w:sz w:val="19"/>
                <w:szCs w:val="19"/>
                <w:color w:val="auto"/>
              </w:rPr>
            </w:pPr>
          </w:p>
        </w:tc>
      </w:tr>
      <w:tr>
        <w:trPr>
          <w:trHeight w:val="222"/>
        </w:trPr>
        <w:tc>
          <w:tcPr>
            <w:tcW w:w="6340" w:type="dxa"/>
            <w:vAlign w:val="bottom"/>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358,496</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389,131</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UNITS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10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89"/>
              </w:rPr>
              <w:t>Class A</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280" w:type="dxa"/>
            <w:vAlign w:val="bottom"/>
            <w:gridSpan w:val="5"/>
          </w:tcPr>
          <w:p>
            <w:pPr>
              <w:jc w:val="center"/>
              <w:ind w:right="99"/>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4"/>
                <w:szCs w:val="14"/>
                <w:color w:val="auto"/>
              </w:rPr>
            </w:pP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4"/>
              </w:rPr>
              <w:t>Noncontrolling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89"/>
              </w:rPr>
              <w:t>Stock</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Shares</w:t>
            </w:r>
          </w:p>
        </w:tc>
        <w:tc>
          <w:tcPr>
            <w:tcW w:w="720" w:type="dxa"/>
            <w:vAlign w:val="bottom"/>
            <w:gridSpan w:val="3"/>
          </w:tcPr>
          <w:p>
            <w:pPr>
              <w:ind w:left="220"/>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7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4"/>
              </w:rPr>
              <w:t>Shares</w:t>
            </w:r>
          </w:p>
        </w:tc>
        <w:tc>
          <w:tcPr>
            <w:tcW w:w="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6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2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December 31, 2021</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13,921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14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47,107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47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82,888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(20,139)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0"/>
              </w:rPr>
              <w:t>(2,648</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222,412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7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282,574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ind w:left="260"/>
              <w:spacing w:after="0"/>
              <w:rPr>
                <w:sz w:val="20"/>
                <w:szCs w:val="20"/>
                <w:color w:val="auto"/>
              </w:rPr>
            </w:pPr>
            <w:r>
              <w:rPr>
                <w:rFonts w:ascii="Arial" w:cs="Arial" w:eastAsia="Arial" w:hAnsi="Arial"/>
                <w:sz w:val="14"/>
                <w:szCs w:val="14"/>
                <w:color w:val="auto"/>
              </w:rPr>
              <w:t>Exchange of Class B common</w:t>
            </w: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6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60"/>
              <w:spacing w:after="0"/>
              <w:rPr>
                <w:sz w:val="20"/>
                <w:szCs w:val="20"/>
                <w:color w:val="auto"/>
              </w:rPr>
            </w:pPr>
            <w:r>
              <w:rPr>
                <w:rFonts w:ascii="Arial" w:cs="Arial" w:eastAsia="Arial" w:hAnsi="Arial"/>
                <w:sz w:val="14"/>
                <w:szCs w:val="14"/>
                <w:color w:val="auto"/>
                <w:w w:val="99"/>
              </w:rPr>
              <w:t>stock for Class A common stock</w:t>
            </w: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(25)</w:t>
            </w: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Class A common</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stock in connection with equity-</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based compensation plans</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60" w:type="dxa"/>
            <w:vAlign w:val="bottom"/>
          </w:tcPr>
          <w:p>
            <w:pPr>
              <w:ind w:left="260"/>
              <w:spacing w:after="0" w:line="143" w:lineRule="exact"/>
              <w:rPr>
                <w:sz w:val="20"/>
                <w:szCs w:val="20"/>
                <w:color w:val="auto"/>
              </w:rPr>
            </w:pPr>
            <w:r>
              <w:rPr>
                <w:rFonts w:ascii="Arial" w:cs="Arial" w:eastAsia="Arial" w:hAnsi="Arial"/>
                <w:sz w:val="14"/>
                <w:szCs w:val="14"/>
                <w:color w:val="auto"/>
              </w:rPr>
              <w:t>Reissuance of treasury stock in</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60"/>
              <w:spacing w:after="0" w:line="148" w:lineRule="exact"/>
              <w:rPr>
                <w:sz w:val="20"/>
                <w:szCs w:val="20"/>
                <w:color w:val="auto"/>
              </w:rPr>
            </w:pPr>
            <w:r>
              <w:rPr>
                <w:rFonts w:ascii="Arial" w:cs="Arial" w:eastAsia="Arial" w:hAnsi="Arial"/>
                <w:sz w:val="14"/>
                <w:szCs w:val="14"/>
                <w:color w:val="auto"/>
              </w:rPr>
              <w:t>connection with equity-based</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60"/>
              <w:spacing w:after="0"/>
              <w:rPr>
                <w:sz w:val="20"/>
                <w:szCs w:val="20"/>
                <w:color w:val="auto"/>
              </w:rPr>
            </w:pPr>
            <w:r>
              <w:rPr>
                <w:rFonts w:ascii="Arial" w:cs="Arial" w:eastAsia="Arial" w:hAnsi="Arial"/>
                <w:sz w:val="14"/>
                <w:szCs w:val="14"/>
                <w:color w:val="auto"/>
              </w:rPr>
              <w:t>compensation plans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(2,648)</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Allocation of equity to</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(4,276)</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4,276</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60" w:type="dxa"/>
            <w:vAlign w:val="bottom"/>
          </w:tcPr>
          <w:p>
            <w:pPr>
              <w:ind w:left="260"/>
              <w:spacing w:after="0" w:line="143" w:lineRule="exact"/>
              <w:rPr>
                <w:sz w:val="20"/>
                <w:szCs w:val="20"/>
                <w:color w:val="auto"/>
              </w:rPr>
            </w:pPr>
            <w:r>
              <w:rPr>
                <w:rFonts w:ascii="Arial" w:cs="Arial" w:eastAsia="Arial" w:hAnsi="Arial"/>
                <w:sz w:val="14"/>
                <w:szCs w:val="14"/>
                <w:color w:val="auto"/>
              </w:rPr>
              <w:t>Accrued member tax</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60"/>
              <w:spacing w:after="0"/>
              <w:rPr>
                <w:sz w:val="20"/>
                <w:szCs w:val="20"/>
                <w:color w:val="auto"/>
              </w:rPr>
            </w:pPr>
            <w:r>
              <w:rPr>
                <w:rFonts w:ascii="Arial" w:cs="Arial" w:eastAsia="Arial" w:hAnsi="Arial"/>
                <w:sz w:val="14"/>
                <w:szCs w:val="14"/>
                <w:color w:val="auto"/>
              </w:rPr>
              <w:t>distributions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(3,192)</w:t>
            </w: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(10,371)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(13,563)</w:t>
            </w:r>
          </w:p>
        </w:tc>
        <w:tc>
          <w:tcPr>
            <w:tcW w:w="0" w:type="dxa"/>
            <w:vAlign w:val="bottom"/>
          </w:tcPr>
          <w:p>
            <w:pPr>
              <w:spacing w:after="0"/>
              <w:rPr>
                <w:sz w:val="1"/>
                <w:szCs w:val="1"/>
                <w:color w:val="auto"/>
              </w:rPr>
            </w:pPr>
          </w:p>
        </w:tc>
      </w:tr>
      <w:tr>
        <w:trPr>
          <w:trHeight w:val="155"/>
        </w:trPr>
        <w:tc>
          <w:tcPr>
            <w:tcW w:w="22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March 31, 2022</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14,072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14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47,082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47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85,926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(25,979)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216,317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7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276,325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ind w:left="260"/>
              <w:spacing w:after="0"/>
              <w:rPr>
                <w:sz w:val="20"/>
                <w:szCs w:val="20"/>
                <w:color w:val="auto"/>
              </w:rPr>
            </w:pPr>
            <w:r>
              <w:rPr>
                <w:rFonts w:ascii="Arial" w:cs="Arial" w:eastAsia="Arial" w:hAnsi="Arial"/>
                <w:sz w:val="14"/>
                <w:szCs w:val="14"/>
                <w:color w:val="auto"/>
              </w:rPr>
              <w:t>Issuance of Class A common</w:t>
            </w: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26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60"/>
              <w:spacing w:after="0" w:line="148" w:lineRule="exact"/>
              <w:rPr>
                <w:sz w:val="20"/>
                <w:szCs w:val="20"/>
                <w:color w:val="auto"/>
              </w:rPr>
            </w:pPr>
            <w:r>
              <w:rPr>
                <w:rFonts w:ascii="Arial" w:cs="Arial" w:eastAsia="Arial" w:hAnsi="Arial"/>
                <w:sz w:val="14"/>
                <w:szCs w:val="14"/>
                <w:color w:val="auto"/>
              </w:rPr>
              <w:t>stock in connection with equity-</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60"/>
              <w:spacing w:after="0"/>
              <w:rPr>
                <w:sz w:val="20"/>
                <w:szCs w:val="20"/>
                <w:color w:val="auto"/>
              </w:rPr>
            </w:pPr>
            <w:r>
              <w:rPr>
                <w:rFonts w:ascii="Arial" w:cs="Arial" w:eastAsia="Arial" w:hAnsi="Arial"/>
                <w:sz w:val="14"/>
                <w:szCs w:val="14"/>
                <w:color w:val="auto"/>
              </w:rPr>
              <w:t>based compensation plans</w:t>
            </w:r>
          </w:p>
        </w:tc>
        <w:tc>
          <w:tcPr>
            <w:tcW w:w="520" w:type="dxa"/>
            <w:vAlign w:val="bottom"/>
          </w:tcPr>
          <w:p>
            <w:pPr>
              <w:jc w:val="right"/>
              <w:spacing w:after="0"/>
              <w:rPr>
                <w:sz w:val="20"/>
                <w:szCs w:val="20"/>
                <w:color w:val="auto"/>
              </w:rPr>
            </w:pPr>
            <w:r>
              <w:rPr>
                <w:rFonts w:ascii="Arial" w:cs="Arial" w:eastAsia="Arial" w:hAnsi="Arial"/>
                <w:sz w:val="14"/>
                <w:szCs w:val="14"/>
                <w:color w:val="auto"/>
              </w:rPr>
              <w:t>322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Repurchase of treasury stock in</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connection with the taxes paid</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w w:val="96"/>
              </w:rPr>
              <w:t>related to net share settlement of</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equity awards</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(140)</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(861)</w:t>
            </w:r>
          </w:p>
        </w:tc>
        <w:tc>
          <w:tcPr>
            <w:tcW w:w="0" w:type="dxa"/>
            <w:vAlign w:val="bottom"/>
          </w:tcPr>
          <w:p>
            <w:pPr>
              <w:spacing w:after="0"/>
              <w:rPr>
                <w:sz w:val="1"/>
                <w:szCs w:val="1"/>
                <w:color w:val="auto"/>
              </w:rPr>
            </w:pPr>
          </w:p>
        </w:tc>
      </w:tr>
      <w:tr>
        <w:trPr>
          <w:trHeight w:val="143"/>
        </w:trPr>
        <w:tc>
          <w:tcPr>
            <w:tcW w:w="2260" w:type="dxa"/>
            <w:vAlign w:val="bottom"/>
          </w:tcPr>
          <w:p>
            <w:pPr>
              <w:ind w:left="260"/>
              <w:spacing w:after="0" w:line="143" w:lineRule="exact"/>
              <w:rPr>
                <w:sz w:val="20"/>
                <w:szCs w:val="20"/>
                <w:color w:val="auto"/>
              </w:rPr>
            </w:pPr>
            <w:r>
              <w:rPr>
                <w:rFonts w:ascii="Arial" w:cs="Arial" w:eastAsia="Arial" w:hAnsi="Arial"/>
                <w:sz w:val="14"/>
                <w:szCs w:val="14"/>
                <w:color w:val="auto"/>
              </w:rPr>
              <w:t>Allocation of equity to</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60"/>
              <w:spacing w:after="0"/>
              <w:rPr>
                <w:sz w:val="20"/>
                <w:szCs w:val="20"/>
                <w:color w:val="auto"/>
              </w:rPr>
            </w:pPr>
            <w:r>
              <w:rPr>
                <w:rFonts w:ascii="Arial" w:cs="Arial" w:eastAsia="Arial" w:hAnsi="Arial"/>
                <w:sz w:val="14"/>
                <w:szCs w:val="14"/>
                <w:color w:val="auto"/>
              </w:rPr>
              <w:t>noncontrolling interests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(5,455)</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5,455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Accrued member tax</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distributions</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226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(3,401)</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(10,691)</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(14,092)</w:t>
            </w:r>
          </w:p>
        </w:tc>
        <w:tc>
          <w:tcPr>
            <w:tcW w:w="0" w:type="dxa"/>
            <w:vAlign w:val="bottom"/>
          </w:tcPr>
          <w:p>
            <w:pPr>
              <w:spacing w:after="0"/>
              <w:rPr>
                <w:sz w:val="1"/>
                <w:szCs w:val="1"/>
                <w:color w:val="auto"/>
              </w:rPr>
            </w:pPr>
          </w:p>
        </w:tc>
      </w:tr>
      <w:tr>
        <w:trPr>
          <w:trHeight w:val="195"/>
        </w:trPr>
        <w:tc>
          <w:tcPr>
            <w:tcW w:w="22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as of June 30, 2022</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14,394</w:t>
            </w:r>
          </w:p>
        </w:tc>
        <w:tc>
          <w:tcPr>
            <w:tcW w:w="220" w:type="dxa"/>
            <w:vAlign w:val="bottom"/>
            <w:tcBorders>
              <w:bottom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14</w:t>
            </w:r>
          </w:p>
        </w:tc>
        <w:tc>
          <w:tcPr>
            <w:tcW w:w="220" w:type="dxa"/>
            <w:vAlign w:val="bottom"/>
            <w:tcBorders>
              <w:bottom w:val="single" w:sz="8" w:color="CFF0FC"/>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47,082</w:t>
            </w:r>
          </w:p>
        </w:tc>
        <w:tc>
          <w:tcPr>
            <w:tcW w:w="200" w:type="dxa"/>
            <w:vAlign w:val="bottom"/>
            <w:tcBorders>
              <w:bottom w:val="single" w:sz="8" w:color="CFF0FC"/>
            </w:tcBorders>
          </w:tcPr>
          <w:p>
            <w:pPr>
              <w:spacing w:after="0"/>
              <w:rPr>
                <w:sz w:val="16"/>
                <w:szCs w:val="16"/>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47</w:t>
            </w:r>
          </w:p>
        </w:tc>
        <w:tc>
          <w:tcPr>
            <w:tcW w:w="22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89,276</w:t>
            </w:r>
          </w:p>
        </w:tc>
        <w:tc>
          <w:tcPr>
            <w:tcW w:w="220" w:type="dxa"/>
            <w:vAlign w:val="bottom"/>
            <w:tcBorders>
              <w:bottom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(29,380)</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w:t>
            </w:r>
          </w:p>
        </w:tc>
        <w:tc>
          <w:tcPr>
            <w:tcW w:w="200" w:type="dxa"/>
            <w:vAlign w:val="bottom"/>
            <w:tcBorders>
              <w:bottom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(861</w:t>
            </w:r>
          </w:p>
        </w:tc>
        <w:tc>
          <w:tcPr>
            <w:tcW w:w="120" w:type="dxa"/>
            <w:vAlign w:val="bottom"/>
            <w:tcBorders>
              <w:bottom w:val="single" w:sz="8" w:color="CFF0FC"/>
            </w:tcBorders>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211,081</w:t>
            </w:r>
          </w:p>
        </w:tc>
        <w:tc>
          <w:tcPr>
            <w:tcW w:w="2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270,177</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260" w:type="dxa"/>
            <w:vAlign w:val="bottom"/>
            <w:shd w:val="clear" w:color="auto" w:fill="CFF0FC"/>
          </w:tcPr>
          <w:p>
            <w:pPr>
              <w:ind w:left="260"/>
              <w:spacing w:after="0" w:line="123" w:lineRule="exact"/>
              <w:rPr>
                <w:sz w:val="20"/>
                <w:szCs w:val="20"/>
                <w:color w:val="auto"/>
              </w:rPr>
            </w:pPr>
            <w:r>
              <w:rPr>
                <w:rFonts w:ascii="Arial" w:cs="Arial" w:eastAsia="Arial" w:hAnsi="Arial"/>
                <w:sz w:val="14"/>
                <w:szCs w:val="14"/>
                <w:color w:val="auto"/>
              </w:rPr>
              <w:t>Issuance of Class A common</w:t>
            </w: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stock in connection with equity-</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based compensation plans</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60" w:type="dxa"/>
            <w:vAlign w:val="bottom"/>
          </w:tcPr>
          <w:p>
            <w:pPr>
              <w:ind w:left="260"/>
              <w:spacing w:after="0" w:line="143" w:lineRule="exact"/>
              <w:rPr>
                <w:sz w:val="20"/>
                <w:szCs w:val="20"/>
                <w:color w:val="auto"/>
              </w:rPr>
            </w:pPr>
            <w:r>
              <w:rPr>
                <w:rFonts w:ascii="Arial" w:cs="Arial" w:eastAsia="Arial" w:hAnsi="Arial"/>
                <w:sz w:val="14"/>
                <w:szCs w:val="14"/>
                <w:color w:val="auto"/>
              </w:rPr>
              <w:t>Repurchase of treasury stock in</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60"/>
              <w:spacing w:after="0" w:line="148" w:lineRule="exact"/>
              <w:rPr>
                <w:sz w:val="20"/>
                <w:szCs w:val="20"/>
                <w:color w:val="auto"/>
              </w:rPr>
            </w:pPr>
            <w:r>
              <w:rPr>
                <w:rFonts w:ascii="Arial" w:cs="Arial" w:eastAsia="Arial" w:hAnsi="Arial"/>
                <w:sz w:val="14"/>
                <w:szCs w:val="14"/>
                <w:color w:val="auto"/>
              </w:rPr>
              <w:t>connection with the taxes paid</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60"/>
              <w:spacing w:after="0" w:line="148" w:lineRule="exact"/>
              <w:rPr>
                <w:sz w:val="20"/>
                <w:szCs w:val="20"/>
                <w:color w:val="auto"/>
              </w:rPr>
            </w:pPr>
            <w:r>
              <w:rPr>
                <w:rFonts w:ascii="Arial" w:cs="Arial" w:eastAsia="Arial" w:hAnsi="Arial"/>
                <w:sz w:val="14"/>
                <w:szCs w:val="14"/>
                <w:color w:val="auto"/>
                <w:w w:val="96"/>
              </w:rPr>
              <w:t>related to net share settlement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60"/>
              <w:spacing w:after="0"/>
              <w:rPr>
                <w:sz w:val="20"/>
                <w:szCs w:val="20"/>
                <w:color w:val="auto"/>
              </w:rPr>
            </w:pPr>
            <w:r>
              <w:rPr>
                <w:rFonts w:ascii="Arial" w:cs="Arial" w:eastAsia="Arial" w:hAnsi="Arial"/>
                <w:sz w:val="14"/>
                <w:szCs w:val="14"/>
                <w:color w:val="auto"/>
              </w:rPr>
              <w:t>equity awards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(144)</w:t>
            </w:r>
          </w:p>
        </w:tc>
        <w:tc>
          <w:tcPr>
            <w:tcW w:w="140" w:type="dxa"/>
            <w:vAlign w:val="bottom"/>
          </w:tcPr>
          <w:p>
            <w:pPr>
              <w:spacing w:after="0"/>
              <w:rPr>
                <w:sz w:val="14"/>
                <w:szCs w:val="14"/>
                <w:color w:val="auto"/>
              </w:rPr>
            </w:pPr>
          </w:p>
        </w:tc>
        <w:tc>
          <w:tcPr>
            <w:tcW w:w="520" w:type="dxa"/>
            <w:vAlign w:val="bottom"/>
            <w:gridSpan w:val="2"/>
          </w:tcPr>
          <w:p>
            <w:pPr>
              <w:jc w:val="right"/>
              <w:ind w:right="39"/>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43"/>
        </w:trPr>
        <w:tc>
          <w:tcPr>
            <w:tcW w:w="2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Reissuance of treasury stock in</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connection with equity-based</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compensation plans</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(861)</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60" w:type="dxa"/>
            <w:vAlign w:val="bottom"/>
          </w:tcPr>
          <w:p>
            <w:pPr>
              <w:ind w:left="260"/>
              <w:spacing w:after="0" w:line="143" w:lineRule="exact"/>
              <w:rPr>
                <w:sz w:val="20"/>
                <w:szCs w:val="20"/>
                <w:color w:val="auto"/>
              </w:rPr>
            </w:pPr>
            <w:r>
              <w:rPr>
                <w:rFonts w:ascii="Arial" w:cs="Arial" w:eastAsia="Arial" w:hAnsi="Arial"/>
                <w:sz w:val="14"/>
                <w:szCs w:val="14"/>
                <w:color w:val="auto"/>
              </w:rPr>
              <w:t>Allocation of equity to</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260"/>
              <w:spacing w:after="0"/>
              <w:rPr>
                <w:sz w:val="20"/>
                <w:szCs w:val="20"/>
                <w:color w:val="auto"/>
              </w:rPr>
            </w:pPr>
            <w:r>
              <w:rPr>
                <w:rFonts w:ascii="Arial" w:cs="Arial" w:eastAsia="Arial" w:hAnsi="Arial"/>
                <w:sz w:val="14"/>
                <w:szCs w:val="14"/>
                <w:color w:val="auto"/>
              </w:rPr>
              <w:t>noncontrolling interests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(5,384)</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5,384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Accrued member tax</w:t>
            </w: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distributions</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8,826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85"/>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(3,126)</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(9,300)</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(12,426)</w:t>
            </w:r>
          </w:p>
        </w:tc>
        <w:tc>
          <w:tcPr>
            <w:tcW w:w="0" w:type="dxa"/>
            <w:vAlign w:val="bottom"/>
          </w:tcPr>
          <w:p>
            <w:pPr>
              <w:spacing w:after="0"/>
              <w:rPr>
                <w:sz w:val="1"/>
                <w:szCs w:val="1"/>
                <w:color w:val="auto"/>
              </w:rPr>
            </w:pPr>
          </w:p>
        </w:tc>
      </w:tr>
      <w:tr>
        <w:trPr>
          <w:trHeight w:val="155"/>
        </w:trPr>
        <w:tc>
          <w:tcPr>
            <w:tcW w:w="2260" w:type="dxa"/>
            <w:vAlign w:val="bottom"/>
          </w:tcPr>
          <w:p>
            <w:pPr>
              <w:spacing w:after="0" w:line="155" w:lineRule="exact"/>
              <w:rPr>
                <w:sz w:val="20"/>
                <w:szCs w:val="20"/>
                <w:color w:val="auto"/>
              </w:rPr>
            </w:pPr>
            <w:r>
              <w:rPr>
                <w:rFonts w:ascii="Arial" w:cs="Arial" w:eastAsia="Arial" w:hAnsi="Arial"/>
                <w:sz w:val="14"/>
                <w:szCs w:val="14"/>
                <w:b w:val="1"/>
                <w:bCs w:val="1"/>
                <w:color w:val="auto"/>
                <w:w w:val="99"/>
              </w:rPr>
              <w:t>Balance as of September 30, 2022</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14,604</w:t>
            </w:r>
          </w:p>
        </w:tc>
        <w:tc>
          <w:tcPr>
            <w:tcW w:w="22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14</w:t>
            </w:r>
          </w:p>
        </w:tc>
        <w:tc>
          <w:tcPr>
            <w:tcW w:w="2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47,082</w:t>
            </w:r>
          </w:p>
        </w:tc>
        <w:tc>
          <w:tcPr>
            <w:tcW w:w="2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47</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92,736</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(33,367)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(701</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207,165</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265,894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CONVERTIBLE PREFERRED UNITS AND EQUITY – (continued)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14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c>
          <w:tcPr>
            <w:tcW w:w="60" w:type="dxa"/>
            <w:vAlign w:val="bottom"/>
          </w:tcPr>
          <w:p>
            <w:pPr>
              <w:spacing w:after="0"/>
              <w:rPr>
                <w:sz w:val="14"/>
                <w:szCs w:val="14"/>
                <w:color w:val="auto"/>
              </w:rPr>
            </w:pPr>
          </w:p>
        </w:tc>
        <w:tc>
          <w:tcPr>
            <w:tcW w:w="80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89"/>
              </w:rPr>
              <w:t>Class A</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ind w:left="320"/>
              <w:spacing w:after="0"/>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9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Members'</w:t>
            </w:r>
          </w:p>
        </w:tc>
        <w:tc>
          <w:tcPr>
            <w:tcW w:w="40" w:type="dxa"/>
            <w:vAlign w:val="bottom"/>
          </w:tcPr>
          <w:p>
            <w:pPr>
              <w:spacing w:after="0"/>
              <w:rPr>
                <w:sz w:val="14"/>
                <w:szCs w:val="14"/>
                <w:color w:val="auto"/>
              </w:rPr>
            </w:pPr>
          </w:p>
        </w:tc>
        <w:tc>
          <w:tcPr>
            <w:tcW w:w="11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Treasury</w:t>
            </w:r>
          </w:p>
        </w:tc>
        <w:tc>
          <w:tcPr>
            <w:tcW w:w="10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140" w:type="dxa"/>
            <w:vAlign w:val="bottom"/>
            <w:tcBorders>
              <w:right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4"/>
              </w:rPr>
              <w:t>Preferred Units</w:t>
            </w:r>
          </w:p>
        </w:tc>
        <w:tc>
          <w:tcPr>
            <w:tcW w:w="60" w:type="dxa"/>
            <w:vAlign w:val="bottom"/>
          </w:tcPr>
          <w:p>
            <w:pPr>
              <w:spacing w:after="0"/>
              <w:rPr>
                <w:sz w:val="14"/>
                <w:szCs w:val="14"/>
                <w:color w:val="auto"/>
              </w:rPr>
            </w:pPr>
          </w:p>
        </w:tc>
        <w:tc>
          <w:tcPr>
            <w:tcW w:w="80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91"/>
              </w:rPr>
              <w:t>Units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12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Paid-In</w:t>
            </w:r>
          </w:p>
        </w:tc>
        <w:tc>
          <w:tcPr>
            <w:tcW w:w="940" w:type="dxa"/>
            <w:vAlign w:val="bottom"/>
            <w:gridSpan w:val="4"/>
            <w:vMerge w:val="continue"/>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6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1"/>
              </w:rPr>
              <w:t>Units</w:t>
            </w:r>
          </w:p>
        </w:tc>
        <w:tc>
          <w:tcPr>
            <w:tcW w:w="5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1"/>
              </w:rPr>
              <w:t>Units</w:t>
            </w:r>
          </w:p>
        </w:tc>
        <w:tc>
          <w:tcPr>
            <w:tcW w:w="5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3"/>
                <w:szCs w:val="13"/>
                <w:color w:val="auto"/>
              </w:rPr>
            </w:pPr>
          </w:p>
        </w:tc>
        <w:tc>
          <w:tcPr>
            <w:tcW w:w="5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3"/>
                <w:szCs w:val="13"/>
                <w:color w:val="auto"/>
              </w:rPr>
            </w:pPr>
          </w:p>
        </w:tc>
        <w:tc>
          <w:tcPr>
            <w:tcW w:w="560" w:type="dxa"/>
            <w:vAlign w:val="bottom"/>
            <w:tcBorders>
              <w:top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85"/>
              </w:rPr>
              <w:t>Shares</w:t>
            </w:r>
          </w:p>
        </w:tc>
        <w:tc>
          <w:tcPr>
            <w:tcW w:w="54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3"/>
                <w:szCs w:val="13"/>
                <w:color w:val="auto"/>
              </w:rPr>
            </w:pPr>
          </w:p>
        </w:tc>
        <w:tc>
          <w:tcPr>
            <w:tcW w:w="54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85"/>
              </w:rPr>
              <w:t>Shares</w:t>
            </w:r>
          </w:p>
        </w:tc>
        <w:tc>
          <w:tcPr>
            <w:tcW w:w="5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9"/>
              </w:rPr>
              <w:t>Interests</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32"/>
        </w:trPr>
        <w:tc>
          <w:tcPr>
            <w:tcW w:w="120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as of</w:t>
            </w:r>
          </w:p>
        </w:tc>
        <w:tc>
          <w:tcPr>
            <w:tcW w:w="3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right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spacing w:after="0" w:line="148" w:lineRule="exact"/>
              <w:rPr>
                <w:sz w:val="20"/>
                <w:szCs w:val="20"/>
                <w:color w:val="auto"/>
              </w:rPr>
            </w:pPr>
            <w:r>
              <w:rPr>
                <w:rFonts w:ascii="Arial" w:cs="Arial" w:eastAsia="Arial" w:hAnsi="Arial"/>
                <w:sz w:val="14"/>
                <w:szCs w:val="14"/>
                <w:b w:val="1"/>
                <w:bCs w:val="1"/>
                <w:color w:val="auto"/>
              </w:rPr>
              <w:t>December 31,</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2020</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w:t>
            </w:r>
          </w:p>
        </w:tc>
        <w:tc>
          <w:tcPr>
            <w:tcW w:w="14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center"/>
              <w:ind w:right="220"/>
              <w:spacing w:after="0"/>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FF0FC"/>
          </w:tcPr>
          <w:p>
            <w:pPr>
              <w:jc w:val="right"/>
              <w:ind w:right="144"/>
              <w:spacing w:after="0"/>
              <w:rPr>
                <w:sz w:val="20"/>
                <w:szCs w:val="20"/>
                <w:color w:val="auto"/>
              </w:rPr>
            </w:pPr>
            <w:r>
              <w:rPr>
                <w:rFonts w:ascii="Arial" w:cs="Arial" w:eastAsia="Arial" w:hAnsi="Arial"/>
                <w:sz w:val="14"/>
                <w:szCs w:val="14"/>
                <w:color w:val="auto"/>
              </w:rPr>
              <w:t>—  $</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20,117</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20,117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Net income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prior to</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w w:val="97"/>
              </w:rPr>
              <w:t>Reorganization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260"/>
              <w:spacing w:after="0"/>
              <w:rPr>
                <w:sz w:val="20"/>
                <w:szCs w:val="20"/>
                <w:color w:val="auto"/>
              </w:rPr>
            </w:pPr>
            <w:r>
              <w:rPr>
                <w:rFonts w:ascii="Arial" w:cs="Arial" w:eastAsia="Arial" w:hAnsi="Arial"/>
                <w:sz w:val="14"/>
                <w:szCs w:val="14"/>
                <w:color w:val="auto"/>
              </w:rPr>
              <w:t>Transactions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Effect of</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w w:val="97"/>
              </w:rPr>
              <w:t>Reorganization</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Transactions</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(600)</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w w:val="99"/>
              </w:rPr>
              <w:t>(7,500)</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(400)</w:t>
            </w: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48,936</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28,237</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(20,786)</w:t>
            </w:r>
          </w:p>
        </w:tc>
        <w:tc>
          <w:tcPr>
            <w:tcW w:w="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0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Class A</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common stock</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in initial public</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offering, net of</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underwriting</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and offering</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260"/>
              <w:spacing w:after="0"/>
              <w:rPr>
                <w:sz w:val="20"/>
                <w:szCs w:val="20"/>
                <w:color w:val="auto"/>
              </w:rPr>
            </w:pPr>
            <w:r>
              <w:rPr>
                <w:rFonts w:ascii="Arial" w:cs="Arial" w:eastAsia="Arial" w:hAnsi="Arial"/>
                <w:sz w:val="14"/>
                <w:szCs w:val="14"/>
                <w:color w:val="auto"/>
              </w:rPr>
              <w:t>costs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11,500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(1,500)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228,175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228,185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Allocation of</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equity to</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noncontrolling</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interests</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(208,587)</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208,587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200" w:type="dxa"/>
            <w:vAlign w:val="bottom"/>
          </w:tcPr>
          <w:p>
            <w:pPr>
              <w:ind w:left="260"/>
              <w:spacing w:after="0" w:line="143" w:lineRule="exact"/>
              <w:rPr>
                <w:sz w:val="20"/>
                <w:szCs w:val="20"/>
                <w:color w:val="auto"/>
              </w:rPr>
            </w:pPr>
            <w:r>
              <w:rPr>
                <w:rFonts w:ascii="Arial" w:cs="Arial" w:eastAsia="Arial" w:hAnsi="Arial"/>
                <w:sz w:val="14"/>
                <w:szCs w:val="14"/>
                <w:color w:val="auto"/>
              </w:rPr>
              <w:t>Accrued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member tax</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260"/>
              <w:spacing w:after="0"/>
              <w:rPr>
                <w:sz w:val="20"/>
                <w:szCs w:val="20"/>
                <w:color w:val="auto"/>
              </w:rPr>
            </w:pPr>
            <w:r>
              <w:rPr>
                <w:rFonts w:ascii="Arial" w:cs="Arial" w:eastAsia="Arial" w:hAnsi="Arial"/>
                <w:sz w:val="14"/>
                <w:szCs w:val="14"/>
                <w:color w:val="auto"/>
              </w:rPr>
              <w:t>distributions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compensation</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19,756</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19,756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200" w:type="dxa"/>
            <w:vAlign w:val="bottom"/>
          </w:tcPr>
          <w:p>
            <w:pPr>
              <w:ind w:left="260"/>
              <w:spacing w:after="0" w:line="143" w:lineRule="exact"/>
              <w:rPr>
                <w:sz w:val="20"/>
                <w:szCs w:val="20"/>
                <w:color w:val="auto"/>
              </w:rPr>
            </w:pPr>
            <w:r>
              <w:rPr>
                <w:rFonts w:ascii="Arial" w:cs="Arial" w:eastAsia="Arial" w:hAnsi="Arial"/>
                <w:sz w:val="14"/>
                <w:szCs w:val="14"/>
                <w:color w:val="auto"/>
              </w:rPr>
              <w:t>Net loss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subsequent to</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w w:val="97"/>
              </w:rPr>
              <w:t>Reorganization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260"/>
              <w:spacing w:after="0"/>
              <w:rPr>
                <w:sz w:val="20"/>
                <w:szCs w:val="20"/>
                <w:color w:val="auto"/>
              </w:rPr>
            </w:pPr>
            <w:r>
              <w:rPr>
                <w:rFonts w:ascii="Arial" w:cs="Arial" w:eastAsia="Arial" w:hAnsi="Arial"/>
                <w:sz w:val="14"/>
                <w:szCs w:val="14"/>
                <w:color w:val="auto"/>
              </w:rPr>
              <w:t>Transactions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(3,104)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(12,435)</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(15,539)</w:t>
            </w:r>
          </w:p>
        </w:tc>
        <w:tc>
          <w:tcPr>
            <w:tcW w:w="0" w:type="dxa"/>
            <w:vAlign w:val="bottom"/>
          </w:tcPr>
          <w:p>
            <w:pPr>
              <w:spacing w:after="0"/>
              <w:rPr>
                <w:sz w:val="1"/>
                <w:szCs w:val="1"/>
                <w:color w:val="auto"/>
              </w:rPr>
            </w:pPr>
          </w:p>
        </w:tc>
      </w:tr>
      <w:tr>
        <w:trPr>
          <w:trHeight w:val="132"/>
        </w:trPr>
        <w:tc>
          <w:tcPr>
            <w:tcW w:w="120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as of</w:t>
            </w:r>
          </w:p>
        </w:tc>
        <w:tc>
          <w:tcPr>
            <w:tcW w:w="3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right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March 31, 2021</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center"/>
              <w:ind w:right="220"/>
              <w:spacing w:after="0"/>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11,500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4"/>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47,436</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67,656</w:t>
            </w:r>
          </w:p>
        </w:tc>
        <w:tc>
          <w:tcPr>
            <w:tcW w:w="8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(3,104)</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196,152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260,763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Accrued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member tax</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260"/>
              <w:spacing w:after="0"/>
              <w:rPr>
                <w:sz w:val="20"/>
                <w:szCs w:val="20"/>
                <w:color w:val="auto"/>
              </w:rPr>
            </w:pPr>
            <w:r>
              <w:rPr>
                <w:rFonts w:ascii="Arial" w:cs="Arial" w:eastAsia="Arial" w:hAnsi="Arial"/>
                <w:sz w:val="14"/>
                <w:szCs w:val="14"/>
                <w:color w:val="auto"/>
              </w:rPr>
              <w:t>distributions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(192)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compensation</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34,576</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34,576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(3,655)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(14,440)</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(18,095)</w:t>
            </w:r>
          </w:p>
        </w:tc>
        <w:tc>
          <w:tcPr>
            <w:tcW w:w="0" w:type="dxa"/>
            <w:vAlign w:val="bottom"/>
          </w:tcPr>
          <w:p>
            <w:pPr>
              <w:spacing w:after="0"/>
              <w:rPr>
                <w:sz w:val="1"/>
                <w:szCs w:val="1"/>
                <w:color w:val="auto"/>
              </w:rPr>
            </w:pPr>
          </w:p>
        </w:tc>
      </w:tr>
      <w:tr>
        <w:trPr>
          <w:trHeight w:val="132"/>
        </w:trPr>
        <w:tc>
          <w:tcPr>
            <w:tcW w:w="120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as of</w:t>
            </w:r>
          </w:p>
        </w:tc>
        <w:tc>
          <w:tcPr>
            <w:tcW w:w="3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right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June 30, 2021</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center"/>
              <w:ind w:right="220"/>
              <w:spacing w:after="0"/>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11,500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4"/>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47,436</w:t>
            </w: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102,040</w:t>
            </w:r>
          </w:p>
        </w:tc>
        <w:tc>
          <w:tcPr>
            <w:tcW w:w="8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(6,759)</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181,712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277,052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Exchange of</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Class B</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common stock</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for Class A</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260"/>
              <w:spacing w:after="0"/>
              <w:rPr>
                <w:sz w:val="20"/>
                <w:szCs w:val="20"/>
                <w:color w:val="auto"/>
              </w:rPr>
            </w:pPr>
            <w:r>
              <w:rPr>
                <w:rFonts w:ascii="Arial" w:cs="Arial" w:eastAsia="Arial" w:hAnsi="Arial"/>
                <w:sz w:val="14"/>
                <w:szCs w:val="14"/>
                <w:color w:val="auto"/>
              </w:rPr>
              <w:t>common stock</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(299)</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Class A</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common stock</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in connection</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with equity-</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based</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compensation</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plans</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2,092</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200" w:type="dxa"/>
            <w:vAlign w:val="bottom"/>
          </w:tcPr>
          <w:p>
            <w:pPr>
              <w:ind w:left="260"/>
              <w:spacing w:after="0" w:line="143" w:lineRule="exact"/>
              <w:rPr>
                <w:sz w:val="20"/>
                <w:szCs w:val="20"/>
                <w:color w:val="auto"/>
              </w:rPr>
            </w:pPr>
            <w:r>
              <w:rPr>
                <w:rFonts w:ascii="Arial" w:cs="Arial" w:eastAsia="Arial" w:hAnsi="Arial"/>
                <w:sz w:val="14"/>
                <w:szCs w:val="14"/>
                <w:color w:val="auto"/>
              </w:rPr>
              <w:t>Repurchase of</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treasury stock</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in connection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with the taxes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paid related to</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net share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settlement of</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260"/>
              <w:spacing w:after="0"/>
              <w:rPr>
                <w:sz w:val="20"/>
                <w:szCs w:val="20"/>
                <w:color w:val="auto"/>
              </w:rPr>
            </w:pPr>
            <w:r>
              <w:rPr>
                <w:rFonts w:ascii="Arial" w:cs="Arial" w:eastAsia="Arial" w:hAnsi="Arial"/>
                <w:sz w:val="14"/>
                <w:szCs w:val="14"/>
                <w:color w:val="auto"/>
              </w:rPr>
              <w:t>equity awards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rPr>
              <w:t>(773)</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(13,703)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(13,703)</w:t>
            </w: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Reissuance of</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treasury stock</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in connection</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with equity-</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based</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compensation</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plans</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(6,464)</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6,464</w:t>
            </w: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200" w:type="dxa"/>
            <w:vAlign w:val="bottom"/>
          </w:tcPr>
          <w:p>
            <w:pPr>
              <w:ind w:left="260"/>
              <w:spacing w:after="0" w:line="143" w:lineRule="exact"/>
              <w:rPr>
                <w:sz w:val="20"/>
                <w:szCs w:val="20"/>
                <w:color w:val="auto"/>
              </w:rPr>
            </w:pPr>
            <w:r>
              <w:rPr>
                <w:rFonts w:ascii="Arial" w:cs="Arial" w:eastAsia="Arial" w:hAnsi="Arial"/>
                <w:sz w:val="14"/>
                <w:szCs w:val="14"/>
                <w:color w:val="auto"/>
              </w:rPr>
              <w:t>Allocation of</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equity to</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8" w:lineRule="exact"/>
              <w:rPr>
                <w:sz w:val="20"/>
                <w:szCs w:val="20"/>
                <w:color w:val="auto"/>
              </w:rPr>
            </w:pPr>
            <w:r>
              <w:rPr>
                <w:rFonts w:ascii="Arial" w:cs="Arial" w:eastAsia="Arial" w:hAnsi="Arial"/>
                <w:sz w:val="14"/>
                <w:szCs w:val="14"/>
                <w:color w:val="auto"/>
              </w:rPr>
              <w:t>noncontrolling</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260"/>
              <w:spacing w:after="0"/>
              <w:rPr>
                <w:sz w:val="20"/>
                <w:szCs w:val="20"/>
                <w:color w:val="auto"/>
              </w:rPr>
            </w:pPr>
            <w:r>
              <w:rPr>
                <w:rFonts w:ascii="Arial" w:cs="Arial" w:eastAsia="Arial" w:hAnsi="Arial"/>
                <w:sz w:val="14"/>
                <w:szCs w:val="14"/>
                <w:color w:val="auto"/>
              </w:rPr>
              <w:t>interests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(40,427)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40,427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Accrued</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line="148" w:lineRule="exact"/>
              <w:rPr>
                <w:sz w:val="20"/>
                <w:szCs w:val="20"/>
                <w:color w:val="auto"/>
              </w:rPr>
            </w:pPr>
            <w:r>
              <w:rPr>
                <w:rFonts w:ascii="Arial" w:cs="Arial" w:eastAsia="Arial" w:hAnsi="Arial"/>
                <w:sz w:val="14"/>
                <w:szCs w:val="14"/>
                <w:color w:val="auto"/>
              </w:rPr>
              <w:t>member tax</w:t>
            </w: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distributions</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(337)</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3"/>
        </w:trPr>
        <w:tc>
          <w:tcPr>
            <w:tcW w:w="1200" w:type="dxa"/>
            <w:vAlign w:val="bottom"/>
          </w:tcPr>
          <w:p>
            <w:pPr>
              <w:ind w:left="260"/>
              <w:spacing w:after="0" w:line="143" w:lineRule="exact"/>
              <w:rPr>
                <w:sz w:val="20"/>
                <w:szCs w:val="20"/>
                <w:color w:val="auto"/>
              </w:rPr>
            </w:pPr>
            <w:r>
              <w:rPr>
                <w:rFonts w:ascii="Arial" w:cs="Arial" w:eastAsia="Arial" w:hAnsi="Arial"/>
                <w:sz w:val="14"/>
                <w:szCs w:val="14"/>
                <w:color w:val="auto"/>
              </w:rPr>
              <w:t>Stock-based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17,976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17,976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(2,537)</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(9,623)</w:t>
            </w: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w w:val="99"/>
              </w:rPr>
              <w:t>(12,160)</w:t>
            </w:r>
          </w:p>
        </w:tc>
        <w:tc>
          <w:tcPr>
            <w:tcW w:w="0" w:type="dxa"/>
            <w:vAlign w:val="bottom"/>
          </w:tcPr>
          <w:p>
            <w:pPr>
              <w:spacing w:after="0"/>
              <w:rPr>
                <w:sz w:val="1"/>
                <w:szCs w:val="1"/>
                <w:color w:val="auto"/>
              </w:rPr>
            </w:pPr>
          </w:p>
        </w:tc>
      </w:tr>
      <w:tr>
        <w:trPr>
          <w:trHeight w:val="132"/>
        </w:trPr>
        <w:tc>
          <w:tcPr>
            <w:tcW w:w="120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as of</w:t>
            </w: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line="148"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center"/>
              <w:ind w:right="220"/>
              <w:spacing w:after="0"/>
              <w:rPr>
                <w:sz w:val="20"/>
                <w:szCs w:val="20"/>
                <w:color w:val="auto"/>
              </w:rPr>
            </w:pPr>
            <w:r>
              <w:rPr>
                <w:rFonts w:ascii="Arial" w:cs="Arial" w:eastAsia="Arial" w:hAnsi="Arial"/>
                <w:sz w:val="14"/>
                <w:szCs w:val="14"/>
                <w:color w:val="auto"/>
                <w:w w:val="76"/>
              </w:rPr>
              <w:t>$</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13,891</w:t>
            </w:r>
          </w:p>
        </w:tc>
        <w:tc>
          <w:tcPr>
            <w:tcW w:w="120" w:type="dxa"/>
            <w:vAlign w:val="bottom"/>
          </w:tcPr>
          <w:p>
            <w:pPr>
              <w:spacing w:after="0"/>
              <w:rPr>
                <w:sz w:val="14"/>
                <w:szCs w:val="14"/>
                <w:color w:val="auto"/>
              </w:rPr>
            </w:pPr>
          </w:p>
        </w:tc>
        <w:tc>
          <w:tcPr>
            <w:tcW w:w="260" w:type="dxa"/>
            <w:vAlign w:val="bottom"/>
          </w:tcPr>
          <w:p>
            <w:pPr>
              <w:jc w:val="right"/>
              <w:ind w:right="144"/>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47,137</w:t>
            </w:r>
          </w:p>
        </w:tc>
        <w:tc>
          <w:tcPr>
            <w:tcW w:w="10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79,250</w:t>
            </w:r>
          </w:p>
        </w:tc>
        <w:tc>
          <w:tcPr>
            <w:tcW w:w="80" w:type="dxa"/>
            <w:vAlign w:val="bottom"/>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(15,760)</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(408) $</w:t>
            </w:r>
          </w:p>
        </w:tc>
        <w:tc>
          <w:tcPr>
            <w:tcW w:w="720" w:type="dxa"/>
            <w:vAlign w:val="bottom"/>
            <w:gridSpan w:val="4"/>
          </w:tcPr>
          <w:p>
            <w:pPr>
              <w:jc w:val="right"/>
              <w:ind w:right="60"/>
              <w:spacing w:after="0"/>
              <w:rPr>
                <w:sz w:val="20"/>
                <w:szCs w:val="20"/>
                <w:color w:val="auto"/>
              </w:rPr>
            </w:pPr>
            <w:r>
              <w:rPr>
                <w:rFonts w:ascii="Arial" w:cs="Arial" w:eastAsia="Arial" w:hAnsi="Arial"/>
                <w:sz w:val="14"/>
                <w:szCs w:val="14"/>
                <w:color w:val="auto"/>
              </w:rPr>
              <w:t>(7,239) $</w:t>
            </w:r>
          </w:p>
        </w:tc>
        <w:tc>
          <w:tcPr>
            <w:tcW w:w="800" w:type="dxa"/>
            <w:vAlign w:val="bottom"/>
          </w:tcPr>
          <w:p>
            <w:pPr>
              <w:jc w:val="right"/>
              <w:spacing w:after="0"/>
              <w:rPr>
                <w:sz w:val="20"/>
                <w:szCs w:val="20"/>
                <w:color w:val="auto"/>
              </w:rPr>
            </w:pPr>
            <w:r>
              <w:rPr>
                <w:rFonts w:ascii="Arial" w:cs="Arial" w:eastAsia="Arial" w:hAnsi="Arial"/>
                <w:sz w:val="14"/>
                <w:szCs w:val="14"/>
                <w:color w:val="auto"/>
              </w:rPr>
              <w:t>212,516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268,828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552" w:right="239" w:bottom="682"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60" w:type="dxa"/>
            <w:vAlign w:val="bottom"/>
          </w:tcPr>
          <w:p>
            <w:pPr>
              <w:spacing w:after="0"/>
              <w:rPr>
                <w:sz w:val="18"/>
                <w:szCs w:val="18"/>
                <w:color w:val="auto"/>
              </w:rPr>
            </w:pPr>
          </w:p>
        </w:tc>
        <w:tc>
          <w:tcPr>
            <w:tcW w:w="2760" w:type="dxa"/>
            <w:vAlign w:val="bottom"/>
            <w:gridSpan w:val="4"/>
          </w:tcPr>
          <w:p>
            <w:pPr>
              <w:jc w:val="right"/>
              <w:ind w:right="245"/>
              <w:spacing w:after="0"/>
              <w:rPr>
                <w:sz w:val="20"/>
                <w:szCs w:val="20"/>
                <w:color w:val="auto"/>
              </w:rPr>
            </w:pPr>
            <w:r>
              <w:rPr>
                <w:rFonts w:ascii="Arial" w:cs="Arial" w:eastAsia="Arial" w:hAnsi="Arial"/>
                <w:sz w:val="18"/>
                <w:szCs w:val="18"/>
                <w:b w:val="1"/>
                <w:bCs w:val="1"/>
                <w:color w:val="auto"/>
              </w:rPr>
              <w:t>Nine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65"/>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(40,081)</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(45,127)</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9,746</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Provision for (recovery of) doubtful accounts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assets</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Gain on extinguishment of debt</w:t>
            </w:r>
          </w:p>
        </w:tc>
        <w:tc>
          <w:tcPr>
            <w:tcW w:w="9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operating lease assets</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(2,982)</w:t>
            </w: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(2,955)</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9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(5,885)</w:t>
            </w: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(4,171)</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(6,486)</w:t>
            </w: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(964)</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(900)</w:t>
            </w: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(13,314)</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(553)</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Capitalized software development costs</w:t>
            </w:r>
          </w:p>
        </w:tc>
        <w:tc>
          <w:tcPr>
            <w:tcW w:w="9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(5,872)</w:t>
            </w: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22"/>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(6,425)</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net of underwriting discounts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232,500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Taxes paid related to net share settlement of equity awards</w:t>
            </w:r>
          </w:p>
        </w:tc>
        <w:tc>
          <w:tcPr>
            <w:tcW w:w="9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(1,561)</w:t>
            </w: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(13,703)</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member tax distributions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Payment of offering costs</w:t>
            </w:r>
          </w:p>
        </w:tc>
        <w:tc>
          <w:tcPr>
            <w:tcW w:w="9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revolving credit facility</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2"/>
              </w:rPr>
              <w:t>(17,500)</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(19,076)</w:t>
            </w:r>
          </w:p>
        </w:tc>
        <w:tc>
          <w:tcPr>
            <w:tcW w:w="30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208,859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(38,815)</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232,981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238,480</w:t>
            </w:r>
          </w:p>
        </w:tc>
        <w:tc>
          <w:tcPr>
            <w:tcW w:w="3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4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199,665</w:t>
            </w:r>
          </w:p>
        </w:tc>
        <w:tc>
          <w:tcPr>
            <w:tcW w:w="3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242,610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included in capitalized software development costs</w:t>
            </w: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assets obtained in exchange for operating lease liabilities</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3,778</w:t>
            </w:r>
          </w:p>
        </w:tc>
        <w:tc>
          <w:tcPr>
            <w:tcW w:w="300" w:type="dxa"/>
            <w:vAlign w:val="bottom"/>
          </w:tcPr>
          <w:p>
            <w:pPr>
              <w:spacing w:after="0"/>
              <w:rPr>
                <w:sz w:val="19"/>
                <w:szCs w:val="19"/>
                <w:color w:val="auto"/>
              </w:rPr>
            </w:pP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assets financed by accounts payable and accrued liabilities</w:t>
            </w: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Accrued member tax distributions</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gain on extinguishment of debt related to Paycheck Protection Program loan</w:t>
            </w: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vMerge w:val="restart"/>
          </w:tcPr>
          <w:p>
            <w:pPr>
              <w:spacing w:after="0"/>
              <w:rPr>
                <w:sz w:val="20"/>
                <w:szCs w:val="20"/>
                <w:color w:val="auto"/>
              </w:rPr>
            </w:pPr>
            <w:r>
              <w:rPr>
                <w:rFonts w:ascii="Arial" w:cs="Arial" w:eastAsia="Arial" w:hAnsi="Arial"/>
                <w:sz w:val="18"/>
                <w:szCs w:val="18"/>
                <w:color w:val="auto"/>
              </w:rPr>
              <w:t>Note 1</w:t>
            </w:r>
          </w:p>
        </w:tc>
        <w:tc>
          <w:tcPr>
            <w:tcW w:w="1520" w:type="dxa"/>
            <w:vAlign w:val="bottom"/>
            <w:gridSpan w:val="5"/>
            <w:vMerge w:val="restart"/>
          </w:tcPr>
          <w:p>
            <w:pPr>
              <w:spacing w:after="0"/>
              <w:rPr>
                <w:sz w:val="20"/>
                <w:szCs w:val="20"/>
                <w:color w:val="auto"/>
              </w:rPr>
            </w:pPr>
            <w:r>
              <w:rPr>
                <w:rFonts w:ascii="Arial" w:cs="Arial" w:eastAsia="Arial" w:hAnsi="Arial"/>
                <w:sz w:val="18"/>
                <w:szCs w:val="18"/>
                <w:color w:val="0000EE"/>
                <w:w w:val="89"/>
              </w:rPr>
              <w:t>Nature of Operations</w:t>
            </w:r>
          </w:p>
        </w:tc>
        <w:tc>
          <w:tcPr>
            <w:tcW w:w="8260" w:type="dxa"/>
            <w:vAlign w:val="bottom"/>
            <w:gridSpan w:val="9"/>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960" w:type="dxa"/>
            <w:vAlign w:val="bottom"/>
            <w:vMerge w:val="continue"/>
          </w:tcPr>
          <w:p>
            <w:pPr>
              <w:spacing w:after="0"/>
              <w:rPr>
                <w:sz w:val="15"/>
                <w:szCs w:val="15"/>
                <w:color w:val="auto"/>
              </w:rPr>
            </w:pPr>
          </w:p>
        </w:tc>
        <w:tc>
          <w:tcPr>
            <w:tcW w:w="1520" w:type="dxa"/>
            <w:vAlign w:val="bottom"/>
            <w:tcBorders>
              <w:bottom w:val="single" w:sz="8" w:color="0000EE"/>
            </w:tcBorders>
            <w:gridSpan w:val="5"/>
            <w:vMerge w:val="continue"/>
          </w:tcPr>
          <w:p>
            <w:pPr>
              <w:spacing w:after="0"/>
              <w:rPr>
                <w:sz w:val="15"/>
                <w:szCs w:val="15"/>
                <w:color w:val="auto"/>
              </w:rPr>
            </w:pPr>
          </w:p>
        </w:tc>
        <w:tc>
          <w:tcPr>
            <w:tcW w:w="8260" w:type="dxa"/>
            <w:vAlign w:val="bottom"/>
            <w:gridSpan w:val="9"/>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2</w:t>
            </w:r>
          </w:p>
        </w:tc>
        <w:tc>
          <w:tcPr>
            <w:tcW w:w="9780" w:type="dxa"/>
            <w:vAlign w:val="bottom"/>
            <w:gridSpan w:val="14"/>
          </w:tcPr>
          <w:p>
            <w:pPr>
              <w:spacing w:after="0"/>
              <w:rPr>
                <w:sz w:val="20"/>
                <w:szCs w:val="20"/>
                <w:color w:val="auto"/>
              </w:rPr>
            </w:pPr>
            <w:r>
              <w:rPr>
                <w:rFonts w:ascii="Arial" w:cs="Arial" w:eastAsia="Arial" w:hAnsi="Arial"/>
                <w:sz w:val="18"/>
                <w:szCs w:val="18"/>
                <w:color w:val="0000EE"/>
              </w:rPr>
              <w:t>Basis of Presentation and Summary of Significant Accounting Policies</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3</w:t>
            </w: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5"/>
              </w:rPr>
              <w:t>Revenue</w:t>
            </w:r>
          </w:p>
        </w:tc>
        <w:tc>
          <w:tcPr>
            <w:tcW w:w="4440" w:type="dxa"/>
            <w:vAlign w:val="bottom"/>
            <w:tcBorders>
              <w:top w:val="single" w:sz="8" w:color="0000EE"/>
            </w:tcBorders>
            <w:gridSpan w:val="11"/>
          </w:tcPr>
          <w:p>
            <w:pPr>
              <w:spacing w:after="0"/>
              <w:rPr>
                <w:sz w:val="18"/>
                <w:szCs w:val="18"/>
                <w:color w:val="auto"/>
              </w:rPr>
            </w:pPr>
          </w:p>
        </w:tc>
        <w:tc>
          <w:tcPr>
            <w:tcW w:w="4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4</w:t>
            </w:r>
          </w:p>
        </w:tc>
        <w:tc>
          <w:tcPr>
            <w:tcW w:w="28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Property, Equipment, and Software, Net</w:t>
            </w:r>
          </w:p>
        </w:tc>
        <w:tc>
          <w:tcPr>
            <w:tcW w:w="690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5</w:t>
            </w:r>
          </w:p>
        </w:tc>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2"/>
              </w:rPr>
              <w:t>Leases</w:t>
            </w:r>
          </w:p>
        </w:tc>
        <w:tc>
          <w:tcPr>
            <w:tcW w:w="9280" w:type="dxa"/>
            <w:vAlign w:val="bottom"/>
            <w:gridSpan w:val="1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6</w:t>
            </w:r>
          </w:p>
        </w:tc>
        <w:tc>
          <w:tcPr>
            <w:tcW w:w="16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Intangible Assets, Net</w:t>
            </w:r>
          </w:p>
        </w:tc>
        <w:tc>
          <w:tcPr>
            <w:tcW w:w="8180" w:type="dxa"/>
            <w:vAlign w:val="bottom"/>
            <w:gridSpan w:val="8"/>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7</w:t>
            </w:r>
          </w:p>
        </w:tc>
        <w:tc>
          <w:tcPr>
            <w:tcW w:w="9780" w:type="dxa"/>
            <w:vAlign w:val="bottom"/>
            <w:gridSpan w:val="14"/>
          </w:tcPr>
          <w:p>
            <w:pPr>
              <w:spacing w:after="0"/>
              <w:rPr>
                <w:sz w:val="20"/>
                <w:szCs w:val="20"/>
                <w:color w:val="auto"/>
              </w:rPr>
            </w:pPr>
            <w:r>
              <w:rPr>
                <w:rFonts w:ascii="Arial" w:cs="Arial" w:eastAsia="Arial" w:hAnsi="Arial"/>
                <w:sz w:val="18"/>
                <w:szCs w:val="18"/>
                <w:color w:val="0000EE"/>
              </w:rPr>
              <w:t>Accrued Liabilities</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8</w:t>
            </w:r>
          </w:p>
        </w:tc>
        <w:tc>
          <w:tcPr>
            <w:tcW w:w="9780" w:type="dxa"/>
            <w:vAlign w:val="bottom"/>
            <w:gridSpan w:val="14"/>
          </w:tcPr>
          <w:p>
            <w:pPr>
              <w:spacing w:after="0"/>
              <w:rPr>
                <w:sz w:val="20"/>
                <w:szCs w:val="20"/>
                <w:color w:val="auto"/>
              </w:rPr>
            </w:pPr>
            <w:r>
              <w:rPr>
                <w:rFonts w:ascii="Arial" w:cs="Arial" w:eastAsia="Arial" w:hAnsi="Arial"/>
                <w:sz w:val="18"/>
                <w:szCs w:val="18"/>
                <w:color w:val="0000EE"/>
              </w:rPr>
              <w:t>Revolving Credit Facility and PPP Loan</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9</w:t>
            </w:r>
          </w:p>
        </w:tc>
        <w:tc>
          <w:tcPr>
            <w:tcW w:w="20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88"/>
              </w:rPr>
              <w:t>Stock-Based Compensation</w:t>
            </w:r>
          </w:p>
        </w:tc>
        <w:tc>
          <w:tcPr>
            <w:tcW w:w="900" w:type="dxa"/>
            <w:vAlign w:val="bottom"/>
            <w:tcBorders>
              <w:top w:val="single" w:sz="8" w:color="0000EE"/>
            </w:tcBorders>
            <w:gridSpan w:val="3"/>
          </w:tcPr>
          <w:p>
            <w:pPr>
              <w:spacing w:after="0"/>
              <w:rPr>
                <w:sz w:val="18"/>
                <w:szCs w:val="18"/>
                <w:color w:val="auto"/>
              </w:rPr>
            </w:pPr>
          </w:p>
        </w:tc>
        <w:tc>
          <w:tcPr>
            <w:tcW w:w="688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10</w:t>
            </w:r>
          </w:p>
        </w:tc>
        <w:tc>
          <w:tcPr>
            <w:tcW w:w="9780" w:type="dxa"/>
            <w:vAlign w:val="bottom"/>
            <w:gridSpan w:val="14"/>
          </w:tcPr>
          <w:p>
            <w:pPr>
              <w:spacing w:after="0"/>
              <w:rPr>
                <w:sz w:val="20"/>
                <w:szCs w:val="20"/>
                <w:color w:val="auto"/>
              </w:rPr>
            </w:pPr>
            <w:r>
              <w:rPr>
                <w:rFonts w:ascii="Arial" w:cs="Arial" w:eastAsia="Arial" w:hAnsi="Arial"/>
                <w:sz w:val="18"/>
                <w:szCs w:val="18"/>
                <w:color w:val="0000EE"/>
              </w:rPr>
              <w:t>Income Taxes and Tax Receivable Agreement</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11</w:t>
            </w:r>
          </w:p>
        </w:tc>
        <w:tc>
          <w:tcPr>
            <w:tcW w:w="330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Loss Per Share</w:t>
            </w:r>
          </w:p>
        </w:tc>
        <w:tc>
          <w:tcPr>
            <w:tcW w:w="648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3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12</w:t>
            </w:r>
          </w:p>
        </w:tc>
        <w:tc>
          <w:tcPr>
            <w:tcW w:w="17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Noncontrolling Interests</w:t>
            </w:r>
          </w:p>
        </w:tc>
        <w:tc>
          <w:tcPr>
            <w:tcW w:w="8020" w:type="dxa"/>
            <w:vAlign w:val="bottom"/>
            <w:gridSpan w:val="7"/>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Note 13</w:t>
            </w:r>
          </w:p>
        </w:tc>
        <w:tc>
          <w:tcPr>
            <w:tcW w:w="24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9"/>
              </w:rPr>
              <w:t>Commitments and Contingencies</w:t>
            </w:r>
          </w:p>
        </w:tc>
        <w:tc>
          <w:tcPr>
            <w:tcW w:w="738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Nature of Operations</w:t>
      </w:r>
    </w:p>
    <w:p>
      <w:pPr>
        <w:spacing w:after="0" w:line="104"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231F20"/>
        </w:rPr>
        <w:t>Viant Technology Inc. (the “Company,” “we,” “us,” “our” or “Viant”) was incorporated in the State of Delaware on October 9, 2020</w:t>
      </w:r>
      <w:r>
        <w:rPr>
          <w:rFonts w:ascii="Arial" w:cs="Arial" w:eastAsia="Arial" w:hAnsi="Arial"/>
          <w:sz w:val="16"/>
          <w:szCs w:val="16"/>
          <w:color w:val="000000"/>
        </w:rPr>
        <w:t>.</w:t>
      </w:r>
      <w:r>
        <w:rPr>
          <w:rFonts w:ascii="Arial" w:cs="Arial" w:eastAsia="Arial" w:hAnsi="Arial"/>
          <w:sz w:val="16"/>
          <w:szCs w:val="16"/>
          <w:color w:val="231F20"/>
        </w:rPr>
        <w:t xml:space="preserve"> The Company operates a demand side platform, Adelphic, used by marketers and their advertising agencies to centralize the planning, buying and measurement of their advertising across multiple channels, including desktop, mobile, connected TV, linear TV, in-game, streaming audio and digital billboards.</w:t>
      </w:r>
    </w:p>
    <w:p>
      <w:pPr>
        <w:spacing w:after="0" w:line="39"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231F20"/>
        </w:rPr>
        <w:t>On February 9, 2021, the Securities and Exchange Commission (“SEC”) declared effective the Company’s Form S-1 related to the initial public offering (“IPO”) of its Class A common stock. The closing date of the IPO was February 12, 2021, and in connection with the closing and the corporate reorganization (the “Reorganization Transactions”), the following actions were taken:</w:t>
      </w:r>
    </w:p>
    <w:p>
      <w:pPr>
        <w:spacing w:after="0" w:line="74" w:lineRule="exact"/>
        <w:rPr>
          <w:sz w:val="20"/>
          <w:szCs w:val="20"/>
          <w:color w:val="auto"/>
        </w:rPr>
      </w:pPr>
    </w:p>
    <w:p>
      <w:pPr>
        <w:ind w:left="1000" w:right="40" w:hanging="494"/>
        <w:spacing w:after="0" w:line="306" w:lineRule="auto"/>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231F20"/>
        </w:rPr>
        <w:t>The Company amended and restated its certificate of incorporation, under which the Company is authorized to issue up to 450,000,000 shares of Class A common stock, up to 150,000,000 shares of Class B common stock, and up to 10,000,000 shares of preferred stock;</w:t>
      </w:r>
    </w:p>
    <w:p>
      <w:pPr>
        <w:spacing w:after="0" w:line="40" w:lineRule="exact"/>
        <w:rPr>
          <w:rFonts w:ascii="Arial" w:cs="Arial" w:eastAsia="Arial" w:hAnsi="Arial"/>
          <w:sz w:val="17"/>
          <w:szCs w:val="17"/>
          <w:color w:val="231F20"/>
        </w:rPr>
      </w:pPr>
    </w:p>
    <w:p>
      <w:pPr>
        <w:ind w:left="1000" w:right="500" w:hanging="494"/>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spacing w:after="0" w:line="73" w:lineRule="exact"/>
        <w:rPr>
          <w:rFonts w:ascii="Arial" w:cs="Arial" w:eastAsia="Arial" w:hAnsi="Arial"/>
          <w:sz w:val="18"/>
          <w:szCs w:val="18"/>
          <w:color w:val="auto"/>
        </w:rPr>
      </w:pPr>
    </w:p>
    <w:p>
      <w:pPr>
        <w:ind w:left="1000" w:right="20" w:hanging="494"/>
        <w:spacing w:after="0" w:line="293"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Viant Technology LLC Agreement classified the interests acquired by the Company as Class A units, reclassified the interests held by the continuing members of Viant Technology LLC as Class B units, and permits the continuing members of Viant Technology LLC to exchange Class B units for shares of Class A common stock of Viant Technology Inc. on a one-for-one basis or, at the election of Viant Technology Inc., for cash at the current fair value on the date of the exchange. Immediately following such reclassification, the continuing members held 48,935,559 Class B units. For each membership unit of Viant Technology LLC that was reclassified as a Class B unit, the Company issued one corresponding share of our Class B common stock to the continuing members, or 48,935,559 shares of Class B common stock in total;</w:t>
      </w:r>
    </w:p>
    <w:p>
      <w:pPr>
        <w:spacing w:after="0" w:line="53" w:lineRule="exact"/>
        <w:rPr>
          <w:rFonts w:ascii="Arial" w:cs="Arial" w:eastAsia="Arial" w:hAnsi="Arial"/>
          <w:sz w:val="16"/>
          <w:szCs w:val="16"/>
          <w:color w:val="auto"/>
        </w:rPr>
      </w:pPr>
    </w:p>
    <w:p>
      <w:pPr>
        <w:ind w:left="1000" w:right="360" w:hanging="494"/>
        <w:spacing w:after="0" w:line="276"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issued and sold 10,000,000 shares of its Class A common stock to the underwriters at an IPO price of $25.00 per share, for gross proceeds of $250.0 million before deducting underwriting discounts and commissions of $17.5 million;</w:t>
      </w:r>
    </w:p>
    <w:p>
      <w:pPr>
        <w:spacing w:after="0" w:line="62" w:lineRule="exact"/>
        <w:rPr>
          <w:rFonts w:ascii="Arial" w:cs="Arial" w:eastAsia="Arial" w:hAnsi="Arial"/>
          <w:sz w:val="18"/>
          <w:szCs w:val="18"/>
          <w:color w:val="auto"/>
        </w:rPr>
      </w:pPr>
    </w:p>
    <w:p>
      <w:pPr>
        <w:ind w:left="1000" w:right="220" w:hanging="494"/>
        <w:spacing w:after="0" w:line="276"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used the net proceeds of $232.5 million to acquire 10,000,000 newly issued Class A units of Viant Technology LLC at a per-unit price equal to the per-share price paid by the underwriters for shares of our Class A common stock;</w:t>
      </w:r>
    </w:p>
    <w:p>
      <w:pPr>
        <w:spacing w:after="0" w:line="62" w:lineRule="exact"/>
        <w:rPr>
          <w:rFonts w:ascii="Arial" w:cs="Arial" w:eastAsia="Arial" w:hAnsi="Arial"/>
          <w:sz w:val="18"/>
          <w:szCs w:val="18"/>
          <w:color w:val="auto"/>
        </w:rPr>
      </w:pPr>
    </w:p>
    <w:p>
      <w:pPr>
        <w:ind w:left="1000" w:right="40" w:hanging="494"/>
        <w:spacing w:after="0" w:line="30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underwriters exercised their option to purchase 1,500,000 additional shares of Class A common stock from the selling stockholders in the IPO.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00" w:lineRule="exact"/>
        <w:rPr>
          <w:sz w:val="20"/>
          <w:szCs w:val="20"/>
          <w:color w:val="auto"/>
        </w:rPr>
      </w:pPr>
    </w:p>
    <w:p>
      <w:pPr>
        <w:spacing w:after="0" w:line="238" w:lineRule="exact"/>
        <w:rPr>
          <w:sz w:val="20"/>
          <w:szCs w:val="20"/>
          <w:color w:val="auto"/>
        </w:rPr>
      </w:pPr>
    </w:p>
    <w:p>
      <w:pPr>
        <w:ind w:left="1000" w:right="40" w:hanging="494"/>
        <w:spacing w:after="0" w:line="27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Class B stockholders and Class A stockholders initially had 80.5% and 19.5%, respectively, of the combined voting power of the Company’s common stock. The Class A common stock outstanding represents 100% of the 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spacing w:after="0" w:line="64" w:lineRule="exact"/>
        <w:rPr>
          <w:rFonts w:ascii="Arial" w:cs="Arial" w:eastAsia="Arial" w:hAnsi="Arial"/>
          <w:sz w:val="17"/>
          <w:szCs w:val="17"/>
          <w:color w:val="auto"/>
        </w:rPr>
      </w:pPr>
    </w:p>
    <w:p>
      <w:pPr>
        <w:ind w:left="1000" w:right="140" w:hanging="494"/>
        <w:spacing w:after="0" w:line="276" w:lineRule="auto"/>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The Company entered into a Registration Rights Agreement with the Class B stockholders to provide for certain rights and restrictions after the IPO; and</w:t>
      </w:r>
    </w:p>
    <w:p>
      <w:pPr>
        <w:spacing w:after="0" w:line="62" w:lineRule="exact"/>
        <w:rPr>
          <w:rFonts w:ascii="Arial" w:cs="Arial" w:eastAsia="Arial" w:hAnsi="Arial"/>
          <w:sz w:val="18"/>
          <w:szCs w:val="18"/>
          <w:color w:val="231F20"/>
        </w:rPr>
      </w:pPr>
    </w:p>
    <w:p>
      <w:pPr>
        <w:ind w:left="1000" w:right="140" w:hanging="494"/>
        <w:spacing w:after="0" w:line="276" w:lineRule="auto"/>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Viant Technology LLC’s 2020 Equity Based Incentive Compensation Plan (the “Phantom Unit Plan”) was terminated and replaced with the Company’s 2021 Long Term Incentive Plan (the “LTIP”).</w:t>
      </w:r>
    </w:p>
    <w:p>
      <w:pPr>
        <w:spacing w:after="0" w:line="170"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Immediately following the closing of the IPO, Viant Technology LLC became the predecessor of the Company for financial reporting purposes. Viant Technology Inc.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condensed consolidated financial statements of the Company recognize the assets and liabilities received in the Reorganization Transactions at their historical carrying amounts, as reflected in the historical consolidated financial statements of Viant Technology LLC. The Company consolidates Viant Technology LLC in its condensed consolidated financial statements and records a noncontrolling interest related to the Class B units held by the Class B stockholders on its condensed consolidated balance sheets and statements of operations.</w:t>
      </w:r>
    </w:p>
    <w:p>
      <w:pPr>
        <w:spacing w:after="0" w:line="29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Basis of Presentation and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6"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231F20"/>
        </w:rPr>
        <w:t xml:space="preserve">The </w:t>
      </w:r>
      <w:r>
        <w:rPr>
          <w:rFonts w:ascii="Arial" w:cs="Arial" w:eastAsia="Arial" w:hAnsi="Arial"/>
          <w:sz w:val="16"/>
          <w:szCs w:val="16"/>
          <w:color w:val="000000"/>
        </w:rPr>
        <w:t>accompanying condensed consolidated financial statements are prepared in accordance with accounting principles generally accepted in the</w:t>
      </w:r>
      <w:r>
        <w:rPr>
          <w:rFonts w:ascii="Arial" w:cs="Arial" w:eastAsia="Arial" w:hAnsi="Arial"/>
          <w:sz w:val="16"/>
          <w:szCs w:val="16"/>
          <w:color w:val="231F20"/>
        </w:rPr>
        <w:t xml:space="preserve"> </w:t>
      </w:r>
      <w:r>
        <w:rPr>
          <w:rFonts w:ascii="Arial" w:cs="Arial" w:eastAsia="Arial" w:hAnsi="Arial"/>
          <w:sz w:val="16"/>
          <w:szCs w:val="16"/>
          <w:color w:val="000000"/>
        </w:rPr>
        <w:t>United States of America (“GAAP”) for interim financial information which are unaudited and include the operations of the Company, Viant Technology LLC and its wholly owned subsidiaries. Viant Technology LLC is considered a variable interest entity.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w:t>
      </w:r>
    </w:p>
    <w:p>
      <w:pPr>
        <w:spacing w:after="0" w:line="5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231F20"/>
        </w:rPr>
        <w:t xml:space="preserve">Viant </w:t>
      </w:r>
      <w:r>
        <w:rPr>
          <w:rFonts w:ascii="Arial" w:cs="Arial" w:eastAsia="Arial" w:hAnsi="Arial"/>
          <w:sz w:val="16"/>
          <w:szCs w:val="16"/>
          <w:color w:val="000000"/>
        </w:rPr>
        <w:t>Technology LLC has been determined to be the predecessor for accounting purposes and, accordingly, the condensed consolidated financial</w:t>
      </w:r>
      <w:r>
        <w:rPr>
          <w:rFonts w:ascii="Arial" w:cs="Arial" w:eastAsia="Arial" w:hAnsi="Arial"/>
          <w:sz w:val="16"/>
          <w:szCs w:val="16"/>
          <w:color w:val="231F20"/>
        </w:rPr>
        <w:t xml:space="preserve"> </w:t>
      </w:r>
      <w:r>
        <w:rPr>
          <w:rFonts w:ascii="Arial" w:cs="Arial" w:eastAsia="Arial" w:hAnsi="Arial"/>
          <w:sz w:val="16"/>
          <w:szCs w:val="16"/>
          <w:color w:val="000000"/>
        </w:rPr>
        <w:t>statements for periods prior to the IPO and the related Reorganization Transactions have been adjusted to combine the previously separate entities for presentation purposes. Amounts for the period from January 1, 2021 through February 11, 2021 presented in the condensed consolidated financial statements and notes to condensed consolidated financial statements herein represent the historical operations of Viant Technology LLC. The amounts as of September 30, 2022 and December 31, 2021 and the operations since February 12, 2021 reflect the consolidated operations of the Company.</w:t>
      </w:r>
    </w:p>
    <w:p>
      <w:pPr>
        <w:spacing w:after="0" w:line="5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231F20"/>
        </w:rPr>
        <w:t xml:space="preserve">Management </w:t>
      </w:r>
      <w:r>
        <w:rPr>
          <w:rFonts w:ascii="Arial" w:cs="Arial" w:eastAsia="Arial" w:hAnsi="Arial"/>
          <w:sz w:val="16"/>
          <w:szCs w:val="16"/>
          <w:color w:val="000000"/>
        </w:rPr>
        <w:t>believes that the accompanying condensed consolidated financial statements reflect the adjustments necessary for the fair statement of</w:t>
      </w:r>
      <w:r>
        <w:rPr>
          <w:rFonts w:ascii="Arial" w:cs="Arial" w:eastAsia="Arial" w:hAnsi="Arial"/>
          <w:sz w:val="16"/>
          <w:szCs w:val="16"/>
          <w:color w:val="231F20"/>
        </w:rPr>
        <w:t xml:space="preserve"> </w:t>
      </w:r>
      <w:r>
        <w:rPr>
          <w:rFonts w:ascii="Arial" w:cs="Arial" w:eastAsia="Arial" w:hAnsi="Arial"/>
          <w:sz w:val="16"/>
          <w:szCs w:val="16"/>
          <w:color w:val="000000"/>
        </w:rPr>
        <w:t>its condensed consolidated balance sheets as of September 30, 2022 and December 31, 2021, statements of operations for the three and nine months ended September 30, 2022 and 2021, and cash flows for the nine months ended September 30, 2022 and 2021. The condensed consolidated balance sheet as of December 31, 2021 was derived from the audited annual financial statements but does not contain all of the footnote disclosures from the annual financial statements. Certain information and disclosures normally included in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2021.</w:t>
      </w:r>
    </w:p>
    <w:p>
      <w:pPr>
        <w:spacing w:after="0" w:line="55" w:lineRule="exact"/>
        <w:rPr>
          <w:sz w:val="20"/>
          <w:szCs w:val="20"/>
          <w:color w:val="auto"/>
        </w:rPr>
      </w:pPr>
    </w:p>
    <w:p>
      <w:pPr>
        <w:ind w:right="140" w:firstLine="510"/>
        <w:spacing w:after="0" w:line="306" w:lineRule="auto"/>
        <w:rPr>
          <w:sz w:val="20"/>
          <w:szCs w:val="20"/>
          <w:color w:val="auto"/>
        </w:rPr>
      </w:pPr>
      <w:r>
        <w:rPr>
          <w:rFonts w:ascii="Arial" w:cs="Arial" w:eastAsia="Arial" w:hAnsi="Arial"/>
          <w:sz w:val="17"/>
          <w:szCs w:val="17"/>
          <w:color w:val="auto"/>
        </w:rPr>
        <w:t>The condensed consolidated statements of operations for the three and nine months ended September 30, 2022 are not necessarily indicative of the results to be expected for the year ending December 31, 2022 (“fiscal 2022”), or for any other future annual or interim period.</w:t>
      </w:r>
    </w:p>
    <w:p>
      <w:pPr>
        <w:spacing w:after="0" w:line="40" w:lineRule="exact"/>
        <w:rPr>
          <w:sz w:val="20"/>
          <w:szCs w:val="20"/>
          <w:color w:val="auto"/>
        </w:rPr>
      </w:pPr>
    </w:p>
    <w:p>
      <w:pPr>
        <w:ind w:right="560" w:firstLine="510"/>
        <w:spacing w:after="0" w:line="276" w:lineRule="auto"/>
        <w:rPr>
          <w:sz w:val="20"/>
          <w:szCs w:val="20"/>
          <w:color w:val="auto"/>
        </w:rPr>
      </w:pPr>
      <w:r>
        <w:rPr>
          <w:rFonts w:ascii="Arial" w:cs="Arial" w:eastAsia="Arial" w:hAnsi="Arial"/>
          <w:sz w:val="18"/>
          <w:szCs w:val="18"/>
          <w:color w:val="231F20"/>
        </w:rPr>
        <w:t xml:space="preserve">Certain </w:t>
      </w:r>
      <w:r>
        <w:rPr>
          <w:rFonts w:ascii="Arial" w:cs="Arial" w:eastAsia="Arial" w:hAnsi="Arial"/>
          <w:sz w:val="18"/>
          <w:szCs w:val="18"/>
          <w:color w:val="000000"/>
        </w:rPr>
        <w:t>reclassifications have been made within the condensed consolidated financial statements for the prior period to conform with current</w:t>
      </w:r>
      <w:r>
        <w:rPr>
          <w:rFonts w:ascii="Arial" w:cs="Arial" w:eastAsia="Arial" w:hAnsi="Arial"/>
          <w:sz w:val="18"/>
          <w:szCs w:val="18"/>
          <w:color w:val="231F20"/>
        </w:rPr>
        <w:t xml:space="preserve"> </w:t>
      </w:r>
      <w:r>
        <w:rPr>
          <w:rFonts w:ascii="Arial" w:cs="Arial" w:eastAsia="Arial" w:hAnsi="Arial"/>
          <w:sz w:val="18"/>
          <w:szCs w:val="18"/>
          <w:color w:val="000000"/>
        </w:rPr>
        <w:t>presentation.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10" w:lineRule="exact"/>
        <w:rPr>
          <w:sz w:val="20"/>
          <w:szCs w:val="20"/>
          <w:color w:val="auto"/>
        </w:rPr>
      </w:pPr>
    </w:p>
    <w:p>
      <w:pPr>
        <w:ind w:right="300" w:firstLine="510"/>
        <w:spacing w:after="0" w:line="276" w:lineRule="auto"/>
        <w:rPr>
          <w:sz w:val="20"/>
          <w:szCs w:val="20"/>
          <w:color w:val="auto"/>
        </w:rPr>
      </w:pPr>
      <w:r>
        <w:rPr>
          <w:rFonts w:ascii="Arial" w:cs="Arial" w:eastAsia="Arial" w:hAnsi="Arial"/>
          <w:sz w:val="18"/>
          <w:szCs w:val="18"/>
          <w:color w:val="auto"/>
        </w:rPr>
        <w:t>There have been no material changes to our significant accounting policies as described in our Annual Report on Form 10-K for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Arial" w:cs="Arial" w:eastAsia="Arial" w:hAnsi="Arial"/>
          <w:sz w:val="17"/>
          <w:szCs w:val="17"/>
          <w:color w:val="000000"/>
        </w:rPr>
        <w:t>On an ongoing basis, management</w:t>
      </w:r>
      <w:r>
        <w:rPr>
          <w:rFonts w:ascii="Arial" w:cs="Arial" w:eastAsia="Arial" w:hAnsi="Arial"/>
          <w:sz w:val="17"/>
          <w:szCs w:val="17"/>
          <w:color w:val="231F20"/>
        </w:rPr>
        <w:t xml:space="preserve"> </w:t>
      </w:r>
      <w:r>
        <w:rPr>
          <w:rFonts w:ascii="Arial" w:cs="Arial" w:eastAsia="Arial" w:hAnsi="Arial"/>
          <w:sz w:val="17"/>
          <w:szCs w:val="17"/>
          <w:color w:val="000000"/>
        </w:rPr>
        <w:t>evaluates its estimates, primarily those related to revenue recognition, operating lease assets and liabilities, stock-based 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As of September 30, 2022, the impact of widespread macroeconomic uncertainties, including the continuing impact of COVID-19, labor shortages, inflation and monetary supply shifts, rising interest rates, tightening of credit markets, recession risks, and potential disruptions from the Russia-Ukraine conflict, on our business continues to evolve. As a result, many of our estimates and assumptions consider macroeconomic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periods presented, net loss is equal to comprehensive 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6"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 xml:space="preserve">For purposes of balance sheet presentation and reporting of cash flows, the Company considers </w:t>
      </w:r>
      <w:r>
        <w:rPr>
          <w:rFonts w:ascii="Arial" w:cs="Arial" w:eastAsia="Arial" w:hAnsi="Arial"/>
          <w:sz w:val="18"/>
          <w:szCs w:val="18"/>
          <w:color w:val="231F20"/>
        </w:rPr>
        <w:t>cash in bank accounts, money market funds, and</w:t>
      </w:r>
      <w:r>
        <w:rPr>
          <w:rFonts w:ascii="Arial" w:cs="Arial" w:eastAsia="Arial" w:hAnsi="Arial"/>
          <w:sz w:val="18"/>
          <w:szCs w:val="18"/>
          <w:color w:val="auto"/>
        </w:rPr>
        <w:t xml:space="preserve"> </w:t>
      </w:r>
      <w:r>
        <w:rPr>
          <w:rFonts w:ascii="Arial" w:cs="Arial" w:eastAsia="Arial" w:hAnsi="Arial"/>
          <w:sz w:val="18"/>
          <w:szCs w:val="18"/>
          <w:color w:val="231F20"/>
        </w:rPr>
        <w:t>highly liquid debt instruments with an original maturity of less than 90 days to be cash and cash equivalents. The carrying amounts of the cash and cash equivalents approximate fair value due to their short-term nature.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changes in the allowance for doubtful accounts for the three and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90170</wp:posOffset>
            </wp:positionV>
            <wp:extent cx="14109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149" w:lineRule="exact"/>
        <w:rPr>
          <w:sz w:val="20"/>
          <w:szCs w:val="20"/>
          <w:color w:val="auto"/>
        </w:rPr>
      </w:pPr>
    </w:p>
    <w:tbl>
      <w:tblPr>
        <w:tblLayout w:type="fixed"/>
        <w:tblInd w:w="170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(in thousands)</w:t>
            </w:r>
          </w:p>
        </w:tc>
      </w:tr>
      <w:tr>
        <w:trPr>
          <w:trHeight w:val="225"/>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w:t>
            </w: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r>
      <w:tr>
        <w:trPr>
          <w:trHeight w:val="229"/>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Write-offs, net of recoveries</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Balance as of March 31</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r>
      <w:tr>
        <w:trPr>
          <w:trHeight w:val="229"/>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Provision for doubtful accounts</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Write-offs, net of recoveries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w:t>
            </w: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9"/>
                <w:szCs w:val="19"/>
                <w:color w:val="auto"/>
              </w:rPr>
            </w:pPr>
          </w:p>
        </w:tc>
      </w:tr>
      <w:tr>
        <w:trPr>
          <w:trHeight w:val="229"/>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Write-offs, net of recoveries</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Balance as of September 30</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6" w:lineRule="exact"/>
        <w:rPr>
          <w:sz w:val="20"/>
          <w:szCs w:val="20"/>
          <w:color w:val="auto"/>
        </w:rPr>
      </w:pPr>
    </w:p>
    <w:p>
      <w:pPr>
        <w:ind w:right="340" w:firstLine="510"/>
        <w:spacing w:after="0" w:line="285" w:lineRule="auto"/>
        <w:rPr>
          <w:sz w:val="20"/>
          <w:szCs w:val="20"/>
          <w:color w:val="auto"/>
        </w:rPr>
      </w:pPr>
      <w:r>
        <w:rPr>
          <w:rFonts w:ascii="Arial" w:cs="Arial" w:eastAsia="Arial" w:hAnsi="Arial"/>
          <w:sz w:val="17"/>
          <w:szCs w:val="17"/>
          <w:color w:val="auto"/>
        </w:rPr>
        <w:t>Financial instruments that potentially subject the Company to concentration of risk consist principally of cash and accounts receivable. The Company maintains its cash with financial institutions and its cash levels exceed the Federal Deposit Insurance Corporation’s federally insured limits. Accounts receivable include amounts due from customers with principal operations primarily in the United States.</w:t>
      </w:r>
    </w:p>
    <w:p>
      <w:pPr>
        <w:spacing w:after="0" w:line="58" w:lineRule="exact"/>
        <w:rPr>
          <w:sz w:val="20"/>
          <w:szCs w:val="20"/>
          <w:color w:val="auto"/>
        </w:rPr>
      </w:pPr>
    </w:p>
    <w:p>
      <w:pPr>
        <w:ind w:right="120" w:firstLine="510"/>
        <w:spacing w:after="0" w:line="276" w:lineRule="auto"/>
        <w:rPr>
          <w:sz w:val="20"/>
          <w:szCs w:val="20"/>
          <w:color w:val="auto"/>
        </w:rPr>
      </w:pPr>
      <w:r>
        <w:rPr>
          <w:rFonts w:ascii="Arial" w:cs="Arial" w:eastAsia="Arial" w:hAnsi="Arial"/>
          <w:sz w:val="18"/>
          <w:szCs w:val="18"/>
          <w:color w:val="auto"/>
        </w:rPr>
        <w:t>As of September 30, 2022, no individual customer accounted for 10.0% or greater of consolidated accounts receivable. As of December 31, 2021, two individual customers accounted for 13.2% and 12.3% of consolidated accounts receivable.</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10" w:lineRule="exact"/>
        <w:rPr>
          <w:sz w:val="20"/>
          <w:szCs w:val="20"/>
          <w:color w:val="auto"/>
        </w:rPr>
      </w:pPr>
    </w:p>
    <w:p>
      <w:pPr>
        <w:ind w:right="200" w:firstLine="510"/>
        <w:spacing w:after="0" w:line="276" w:lineRule="auto"/>
        <w:rPr>
          <w:sz w:val="20"/>
          <w:szCs w:val="20"/>
          <w:color w:val="auto"/>
        </w:rPr>
      </w:pPr>
      <w:r>
        <w:rPr>
          <w:rFonts w:ascii="Arial" w:cs="Arial" w:eastAsia="Arial" w:hAnsi="Arial"/>
          <w:sz w:val="18"/>
          <w:szCs w:val="18"/>
          <w:color w:val="auto"/>
        </w:rPr>
        <w:t>As of September 30, 2022, one individual supplier accounted for 15.3% of consolidated accounts payable and accrued liabilities. As of December 31, 2021, one individual supplier accounted for 16.8% of consolidated accounts payable and accrued liabilities.</w:t>
      </w:r>
    </w:p>
    <w:p>
      <w:pPr>
        <w:spacing w:after="0" w:line="63"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The following table provides the Company’s concentrations of risk with respect to advertising agency holding companies as a percentage of the Company’s total revenues. There was no individual customer that accounted for 10.0% or more of the Company’s total revenues in any of the periods reported below.</w:t>
      </w:r>
    </w:p>
    <w:p>
      <w:pPr>
        <w:spacing w:after="0" w:line="83"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420" w:type="dxa"/>
            <w:vAlign w:val="bottom"/>
          </w:tcPr>
          <w:p>
            <w:pPr>
              <w:spacing w:after="0"/>
              <w:rPr>
                <w:sz w:val="18"/>
                <w:szCs w:val="18"/>
                <w:color w:val="auto"/>
              </w:rPr>
            </w:pPr>
          </w:p>
        </w:tc>
        <w:tc>
          <w:tcPr>
            <w:tcW w:w="260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0"/>
              </w:rPr>
              <w:t>Three Months Ended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34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2"/>
        </w:trPr>
        <w:tc>
          <w:tcPr>
            <w:tcW w:w="3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7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9"/>
                <w:szCs w:val="19"/>
                <w:color w:val="auto"/>
              </w:rPr>
            </w:pPr>
          </w:p>
        </w:tc>
      </w:tr>
      <w:tr>
        <w:trPr>
          <w:trHeight w:val="222"/>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Advertising Agency Holding Company</w:t>
            </w:r>
          </w:p>
        </w:tc>
        <w:tc>
          <w:tcPr>
            <w:tcW w:w="9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8"/>
                <w:szCs w:val="18"/>
                <w:color w:val="auto"/>
              </w:rPr>
              <w:t>A</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9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29"/>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7"/>
              </w:rPr>
              <w:t>&lt;10.0%</w:t>
            </w:r>
          </w:p>
        </w:tc>
        <w:tc>
          <w:tcPr>
            <w:tcW w:w="9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&lt;10.0%</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&lt;10.0%</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 xml:space="preserve">See </w:t>
      </w:r>
      <w:r>
        <w:rPr>
          <w:rFonts w:ascii="Arial" w:cs="Arial" w:eastAsia="Arial" w:hAnsi="Arial"/>
          <w:sz w:val="18"/>
          <w:szCs w:val="18"/>
          <w:color w:val="000000"/>
        </w:rPr>
        <w:t>Note 5—Leases.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Election as an Emerging Growth Company</w:t>
      </w:r>
    </w:p>
    <w:p>
      <w:pPr>
        <w:spacing w:after="0" w:line="11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Arial" w:cs="Arial" w:eastAsia="Arial" w:hAnsi="Arial"/>
          <w:sz w:val="17"/>
          <w:szCs w:val="17"/>
          <w:color w:val="231F20"/>
        </w:rPr>
        <w:t>Company</w:t>
      </w:r>
      <w:r>
        <w:rPr>
          <w:rFonts w:ascii="Arial" w:cs="Arial" w:eastAsia="Arial" w:hAnsi="Arial"/>
          <w:sz w:val="17"/>
          <w:szCs w:val="17"/>
          <w:color w:val="auto"/>
        </w:rPr>
        <w:t xml:space="preserve"> 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sales, has less than $700 million in market value of its shares of common stock held by non-affiliates and issues less than $1 billion of non-convertible debt over a three-year period. The Company may take advantage of this extended transition period until the first to occur of the date that it (i) is no longer an “emerging growth company” or (ii) affirmatively and irrevocably opts out of this extended transition period.</w:t>
      </w:r>
    </w:p>
    <w:p>
      <w:pPr>
        <w:spacing w:after="0" w:line="71" w:lineRule="exact"/>
        <w:rPr>
          <w:sz w:val="20"/>
          <w:szCs w:val="20"/>
          <w:color w:val="auto"/>
        </w:rPr>
      </w:pPr>
    </w:p>
    <w:p>
      <w:pPr>
        <w:ind w:right="120" w:firstLine="510"/>
        <w:spacing w:after="0" w:line="278" w:lineRule="auto"/>
        <w:rPr>
          <w:sz w:val="20"/>
          <w:szCs w:val="20"/>
          <w:color w:val="auto"/>
        </w:rPr>
      </w:pPr>
      <w:r>
        <w:rPr>
          <w:rFonts w:ascii="Arial" w:cs="Arial" w:eastAsia="Arial" w:hAnsi="Arial"/>
          <w:sz w:val="17"/>
          <w:szCs w:val="17"/>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116"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 The ASU revises the impairment model to utilize an expected loss methodology in place of the currently used</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loss methodology, which will result in more timely recognition of losses on financial instruments, including, but not limited to, available for sale debt securities and accounts receivable. The guidance is effective for the Company’s annual reporting period beginning after December 15, 2022 and interim reporting periods within that annual reporting period. The Company does not expect the adoption of this ASU to have a material impact on its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Codification Improvements</w:t>
      </w:r>
    </w:p>
    <w:p>
      <w:pPr>
        <w:spacing w:after="0" w:line="116" w:lineRule="exact"/>
        <w:rPr>
          <w:sz w:val="20"/>
          <w:szCs w:val="20"/>
          <w:color w:val="auto"/>
        </w:rPr>
      </w:pPr>
    </w:p>
    <w:p>
      <w:pPr>
        <w:ind w:firstLine="510"/>
        <w:spacing w:after="0" w:line="258" w:lineRule="auto"/>
        <w:rPr>
          <w:sz w:val="20"/>
          <w:szCs w:val="20"/>
          <w:color w:val="auto"/>
        </w:rPr>
      </w:pPr>
      <w:r>
        <w:rPr>
          <w:rFonts w:ascii="Arial" w:cs="Arial" w:eastAsia="Arial" w:hAnsi="Arial"/>
          <w:sz w:val="18"/>
          <w:szCs w:val="18"/>
          <w:color w:val="auto"/>
        </w:rPr>
        <w:t xml:space="preserve">In October 2020, the FASB issued ASU No.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updates various codification topics by clarifying disclosure requirements to align with the SEC’s regulations. The guidance is effective for the Company’s annual reporting period beginning after December 15, 2021 and interim reporting periods within the annual period beginning after December 15, 2022. The Company is currently assessing the impact this guidance will have on its condensed consolidated financial statements.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which requires an entity to recognize operating lease assets and lease liabilities on its balance sheet and disclose key information about leasing arrangements. We adopted this standard at the beginning of fiscal 2022. See Note 5—Leases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Issuer’s Accounting for Certain Modifications or Exchanges of Freestanding Equity-Classified Written Call Options</w:t>
      </w:r>
    </w:p>
    <w:p>
      <w:pPr>
        <w:spacing w:after="0" w:line="116"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In May 2021, the FASB issued ASU No. 2021-04, </w:t>
      </w:r>
      <w:r>
        <w:rPr>
          <w:rFonts w:ascii="Arial" w:cs="Arial" w:eastAsia="Arial" w:hAnsi="Arial"/>
          <w:sz w:val="16"/>
          <w:szCs w:val="16"/>
          <w:i w:val="1"/>
          <w:iCs w:val="1"/>
          <w:color w:val="auto"/>
        </w:rPr>
        <w:t>Issuer’s Accounting for Certain Modifications or Exchanges of Freestanding Equity-Classified</w:t>
      </w:r>
      <w:r>
        <w:rPr>
          <w:rFonts w:ascii="Arial" w:cs="Arial" w:eastAsia="Arial" w:hAnsi="Arial"/>
          <w:sz w:val="16"/>
          <w:szCs w:val="16"/>
          <w:color w:val="auto"/>
        </w:rPr>
        <w:t xml:space="preserve"> </w:t>
      </w:r>
      <w:r>
        <w:rPr>
          <w:rFonts w:ascii="Arial" w:cs="Arial" w:eastAsia="Arial" w:hAnsi="Arial"/>
          <w:sz w:val="16"/>
          <w:szCs w:val="16"/>
          <w:i w:val="1"/>
          <w:iCs w:val="1"/>
          <w:color w:val="auto"/>
        </w:rPr>
        <w:t>Written Call Options</w:t>
      </w:r>
      <w:r>
        <w:rPr>
          <w:rFonts w:ascii="Arial" w:cs="Arial" w:eastAsia="Arial" w:hAnsi="Arial"/>
          <w:sz w:val="16"/>
          <w:szCs w:val="16"/>
          <w:color w:val="auto"/>
        </w:rPr>
        <w:t>, which clarifies an issuer’s accounting for modifications or exchanges of freestanding equity-classified written call options that remain</w:t>
      </w:r>
      <w:r>
        <w:rPr>
          <w:rFonts w:ascii="Arial" w:cs="Arial" w:eastAsia="Arial" w:hAnsi="Arial"/>
          <w:sz w:val="16"/>
          <w:szCs w:val="16"/>
          <w:i w:val="1"/>
          <w:iCs w:val="1"/>
          <w:color w:val="auto"/>
        </w:rPr>
        <w:t xml:space="preserve"> </w:t>
      </w:r>
      <w:r>
        <w:rPr>
          <w:rFonts w:ascii="Arial" w:cs="Arial" w:eastAsia="Arial" w:hAnsi="Arial"/>
          <w:sz w:val="16"/>
          <w:szCs w:val="16"/>
          <w:color w:val="auto"/>
        </w:rPr>
        <w:t>equity classified after modifications or exchanges. The ASU requires issuers to account for the modifications or exchanges based on the economic substance of the modification or exchange and whether the transaction was done to issue equity, to issue or modify debt, or for other reasons. We adopted this standard prospectively on January 1, 2022. The adoption did not have an impact on our condensed consolidated financial statements.</w:t>
      </w:r>
    </w:p>
    <w:p>
      <w:pPr>
        <w:spacing w:after="0" w:line="259"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2"/>
          <w:szCs w:val="22"/>
          <w:b w:val="1"/>
          <w:bCs w:val="1"/>
          <w:color w:val="231F20"/>
        </w:rPr>
      </w:pPr>
      <w:r>
        <w:rPr>
          <w:rFonts w:ascii="Arial" w:cs="Arial" w:eastAsia="Arial" w:hAnsi="Arial"/>
          <w:sz w:val="22"/>
          <w:szCs w:val="22"/>
          <w:b w:val="1"/>
          <w:bCs w:val="1"/>
          <w:i w:val="1"/>
          <w:iCs w:val="1"/>
          <w:color w:val="231F20"/>
        </w:rPr>
        <w:t>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disaggregation of revenue was as follows: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2980" w:type="dxa"/>
            <w:vAlign w:val="bottom"/>
            <w:gridSpan w:val="4"/>
          </w:tcPr>
          <w:p>
            <w:pPr>
              <w:jc w:val="right"/>
              <w:ind w:right="327"/>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Nine Months 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587"/>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2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19"/>
                <w:szCs w:val="19"/>
                <w:color w:val="auto"/>
              </w:rPr>
            </w:pPr>
          </w:p>
        </w:tc>
        <w:tc>
          <w:tcPr>
            <w:tcW w:w="134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r>
      <w:tr>
        <w:trPr>
          <w:trHeight w:val="222"/>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Over-time revenue</w:t>
            </w:r>
          </w:p>
        </w:tc>
        <w:tc>
          <w:tcPr>
            <w:tcW w:w="1060" w:type="dxa"/>
            <w:vAlign w:val="bottom"/>
            <w:tcBorders>
              <w:top w:val="single" w:sz="8" w:color="auto"/>
            </w:tcBorders>
            <w:shd w:val="clear" w:color="auto" w:fill="CFF0FC"/>
          </w:tcPr>
          <w:p>
            <w:pPr>
              <w:jc w:val="right"/>
              <w:ind w:right="89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Point-in-time revenue</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48,697</w:t>
            </w: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49,721</w:t>
            </w: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142,165</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138,068</w:t>
            </w:r>
          </w:p>
        </w:tc>
        <w:tc>
          <w:tcPr>
            <w:tcW w:w="120" w:type="dxa"/>
            <w:vAlign w:val="bottom"/>
            <w:tcBorders>
              <w:bottom w:val="single" w:sz="8" w:color="CFF0FC"/>
            </w:tcBorders>
          </w:tcPr>
          <w:p>
            <w:pPr>
              <w:spacing w:after="0"/>
              <w:rPr>
                <w:sz w:val="19"/>
                <w:szCs w:val="19"/>
                <w:color w:val="auto"/>
              </w:rPr>
            </w:pPr>
          </w:p>
        </w:tc>
      </w:tr>
      <w:tr>
        <w:trPr>
          <w:trHeight w:val="222"/>
        </w:trPr>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06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48,830</w:t>
            </w:r>
          </w:p>
        </w:tc>
        <w:tc>
          <w:tcPr>
            <w:tcW w:w="2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50,857</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142,659</w:t>
            </w: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141,412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231F20"/>
        </w:rPr>
        <w:t>Revenue for unsatisfied performance obligations expected to be recognized in the future for contracts with an original expected duration of greater than one year was de minimis as of September 30, 2022 and $6.6 million as of December 31, 2021. These amounts do not include contracts with an original expected duration of less than one year, which is the majority of the Company’s contracts. The decrease from the prior year end was primarily due to an agreement modification whereby the Company agreed to a $</w:t>
      </w:r>
      <w:r>
        <w:rPr>
          <w:rFonts w:ascii="Arial" w:cs="Arial" w:eastAsia="Arial" w:hAnsi="Arial"/>
          <w:sz w:val="18"/>
          <w:szCs w:val="18"/>
          <w:color w:val="000000"/>
        </w:rPr>
        <w:t>6.2</w:t>
      </w:r>
      <w:r>
        <w:rPr>
          <w:rFonts w:ascii="Arial" w:cs="Arial" w:eastAsia="Arial" w:hAnsi="Arial"/>
          <w:sz w:val="18"/>
          <w:szCs w:val="18"/>
          <w:color w:val="231F20"/>
        </w:rPr>
        <w:t xml:space="preserve"> million cash settlement with one of its customers in exchange for the full, final and immediate termination of certain deferred revenue liabilities. The remaining decrease was due to the recognition of revenue during the normal course of business.</w:t>
      </w:r>
    </w:p>
    <w:p>
      <w:pPr>
        <w:spacing w:after="0" w:line="81" w:lineRule="exact"/>
        <w:rPr>
          <w:sz w:val="20"/>
          <w:szCs w:val="20"/>
          <w:color w:val="auto"/>
        </w:rPr>
      </w:pPr>
    </w:p>
    <w:p>
      <w:pPr>
        <w:ind w:right="40" w:firstLine="510"/>
        <w:spacing w:after="0" w:line="276" w:lineRule="auto"/>
        <w:rPr>
          <w:sz w:val="20"/>
          <w:szCs w:val="20"/>
          <w:color w:val="auto"/>
        </w:rPr>
      </w:pPr>
      <w:r>
        <w:rPr>
          <w:rFonts w:ascii="Arial" w:cs="Arial" w:eastAsia="Arial" w:hAnsi="Arial"/>
          <w:sz w:val="18"/>
          <w:szCs w:val="18"/>
          <w:color w:val="231F20"/>
        </w:rPr>
        <w:t xml:space="preserve">Remaining deferred revenue that is anticipated to be recognized during the succeeding 12-month period is recorded in the current portion of </w:t>
      </w:r>
      <w:r>
        <w:rPr>
          <w:rFonts w:ascii="Arial" w:cs="Arial" w:eastAsia="Arial" w:hAnsi="Arial"/>
          <w:sz w:val="18"/>
          <w:szCs w:val="18"/>
          <w:color w:val="000000"/>
        </w:rPr>
        <w:t>deferred</w:t>
      </w:r>
      <w:r>
        <w:rPr>
          <w:rFonts w:ascii="Arial" w:cs="Arial" w:eastAsia="Arial" w:hAnsi="Arial"/>
          <w:sz w:val="18"/>
          <w:szCs w:val="18"/>
          <w:color w:val="231F20"/>
        </w:rPr>
        <w:t xml:space="preserve"> revenue within the condensed consolidated balance sheets.</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 xml:space="preserve">4. </w:t>
      </w:r>
      <w:r>
        <w:rPr>
          <w:rFonts w:ascii="Arial" w:cs="Arial" w:eastAsia="Arial" w:hAnsi="Arial"/>
          <w:sz w:val="22"/>
          <w:szCs w:val="22"/>
          <w:b w:val="1"/>
          <w:bCs w:val="1"/>
          <w:i w:val="1"/>
          <w:iCs w:val="1"/>
          <w:color w:val="231F20"/>
        </w:rPr>
        <w:t>Property, Equipment and Software, Net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ind w:left="520"/>
              <w:spacing w:after="0"/>
              <w:rPr>
                <w:sz w:val="20"/>
                <w:szCs w:val="20"/>
                <w:color w:val="auto"/>
              </w:rPr>
            </w:pPr>
            <w:r>
              <w:rPr>
                <w:rFonts w:ascii="Arial" w:cs="Arial" w:eastAsia="Arial" w:hAnsi="Arial"/>
                <w:sz w:val="18"/>
                <w:szCs w:val="18"/>
                <w:color w:val="231F20"/>
                <w:w w:val="91"/>
              </w:rPr>
              <w:t xml:space="preserve">Major </w:t>
            </w:r>
            <w:r>
              <w:rPr>
                <w:rFonts w:ascii="Arial" w:cs="Arial" w:eastAsia="Arial" w:hAnsi="Arial"/>
                <w:sz w:val="18"/>
                <w:szCs w:val="18"/>
                <w:color w:val="000000"/>
                <w:w w:val="91"/>
              </w:rPr>
              <w:t>classes</w:t>
            </w:r>
            <w:r>
              <w:rPr>
                <w:rFonts w:ascii="Arial" w:cs="Arial" w:eastAsia="Arial" w:hAnsi="Arial"/>
                <w:sz w:val="18"/>
                <w:szCs w:val="18"/>
                <w:color w:val="231F20"/>
                <w:w w:val="91"/>
              </w:rPr>
              <w:t xml:space="preserve"> of property, equipment and software were as follows: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As of September 30,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As of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432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development costs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69,782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61,490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Computer equipment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Purchased software</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2,463</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ind w:left="1140"/>
              <w:spacing w:after="0"/>
              <w:rPr>
                <w:sz w:val="20"/>
                <w:szCs w:val="20"/>
                <w:color w:val="auto"/>
              </w:rPr>
            </w:pPr>
            <w:r>
              <w:rPr>
                <w:rFonts w:ascii="Arial" w:cs="Arial" w:eastAsia="Arial" w:hAnsi="Arial"/>
                <w:sz w:val="18"/>
                <w:szCs w:val="18"/>
                <w:color w:val="auto"/>
              </w:rPr>
              <w:t>Total property, equipment and software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74,534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66,682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(44,351)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ind w:left="1140"/>
              <w:spacing w:after="0"/>
              <w:rPr>
                <w:sz w:val="20"/>
                <w:szCs w:val="20"/>
                <w:color w:val="auto"/>
              </w:rPr>
            </w:pPr>
            <w:r>
              <w:rPr>
                <w:rFonts w:ascii="Arial" w:cs="Arial" w:eastAsia="Arial" w:hAnsi="Arial"/>
                <w:sz w:val="18"/>
                <w:szCs w:val="18"/>
                <w:color w:val="auto"/>
              </w:rPr>
              <w:t>Total property, equipment and software, net</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22,681</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vMerge w:val="restart"/>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Depreciation recorded in the condensed consolidated statements of operations was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40" w:type="dxa"/>
            <w:vAlign w:val="bottom"/>
            <w:gridSpan w:val="4"/>
          </w:tcPr>
          <w:p>
            <w:pPr>
              <w:jc w:val="right"/>
              <w:ind w:right="101"/>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30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2"/>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99"/>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2,510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2,080</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99"/>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7,219</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5,424</w:t>
            </w:r>
          </w:p>
        </w:tc>
        <w:tc>
          <w:tcPr>
            <w:tcW w:w="100" w:type="dxa"/>
            <w:vAlign w:val="bottom"/>
            <w:shd w:val="clear" w:color="auto" w:fill="CFF0FC"/>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1,250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1,185</w:t>
            </w:r>
          </w:p>
        </w:tc>
        <w:tc>
          <w:tcPr>
            <w:tcW w:w="100" w:type="dxa"/>
            <w:vAlign w:val="bottom"/>
            <w:shd w:val="clear" w:color="auto" w:fill="CFF0FC"/>
          </w:tcPr>
          <w:p>
            <w:pPr>
              <w:spacing w:after="0"/>
              <w:rPr>
                <w:sz w:val="19"/>
                <w:szCs w:val="19"/>
                <w:color w:val="auto"/>
              </w:rPr>
            </w:pPr>
          </w:p>
        </w:tc>
      </w:tr>
      <w:tr>
        <w:trPr>
          <w:trHeight w:val="229"/>
        </w:trPr>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FF0FC"/>
            </w:tcBorders>
          </w:tcPr>
          <w:p>
            <w:pPr>
              <w:spacing w:after="0"/>
              <w:rPr>
                <w:sz w:val="19"/>
                <w:szCs w:val="19"/>
                <w:color w:val="auto"/>
              </w:rPr>
            </w:pPr>
          </w:p>
        </w:tc>
      </w:tr>
      <w:tr>
        <w:trPr>
          <w:trHeight w:val="222"/>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3,089</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1"/>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2,665</w:t>
            </w:r>
          </w:p>
        </w:tc>
        <w:tc>
          <w:tcPr>
            <w:tcW w:w="2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8,905</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7,103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For the three months ended September 30, 2022 and 2021, total interest cost incurred was $0.1 million and $0.2 million, respectively. For the nine months ended September 30, 2022 and 2021, total interest cost incurred was $0.4 million and $0.7 million, respectively. Interest costs capitalized during the three and nine months ended September 30, 2022 and 2021 were de minimis.</w:t>
      </w:r>
    </w:p>
    <w:p>
      <w:pPr>
        <w:spacing w:after="0" w:line="282" w:lineRule="exact"/>
        <w:rPr>
          <w:sz w:val="20"/>
          <w:szCs w:val="20"/>
          <w:color w:val="auto"/>
        </w:rPr>
      </w:pPr>
    </w:p>
    <w:p>
      <w:pPr>
        <w:ind w:left="220" w:hanging="212"/>
        <w:spacing w:after="0"/>
        <w:tabs>
          <w:tab w:leader="none" w:pos="2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Leases</w:t>
      </w:r>
    </w:p>
    <w:p>
      <w:pPr>
        <w:spacing w:after="0" w:line="104"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At the beginning of fiscal 2022, the Company adopted new lease accounting guidance issued by the FASB. The most significant change requires lessees to record the present value of operating lease payments as operating lease assets and lease liabilities on its balance sheet and disclose key information about leasing arrangements.</w:t>
      </w:r>
    </w:p>
    <w:p>
      <w:pPr>
        <w:spacing w:after="0" w:line="74" w:lineRule="exact"/>
        <w:rPr>
          <w:sz w:val="20"/>
          <w:szCs w:val="20"/>
          <w:color w:val="auto"/>
        </w:rPr>
      </w:pPr>
    </w:p>
    <w:p>
      <w:pPr>
        <w:ind w:right="60" w:firstLine="510"/>
        <w:spacing w:after="0" w:line="285" w:lineRule="auto"/>
        <w:rPr>
          <w:sz w:val="20"/>
          <w:szCs w:val="20"/>
          <w:color w:val="auto"/>
        </w:rPr>
      </w:pPr>
      <w:r>
        <w:rPr>
          <w:rFonts w:ascii="Arial" w:cs="Arial" w:eastAsia="Arial" w:hAnsi="Arial"/>
          <w:sz w:val="17"/>
          <w:szCs w:val="17"/>
          <w:color w:val="auto"/>
        </w:rPr>
        <w:t>We adopted the new guidance using the modified retrospective method at the beginning of fiscal 2022. As such, the condensed consolidated balance sheets for prior periods are not comparable to our fiscal 2022 periods. The Company adopted the new guidance by applying the package of practical expedients permitted under the transition guidance, which allowed the Company to carry forward its original assessment of whether:</w:t>
      </w:r>
    </w:p>
    <w:p>
      <w:pPr>
        <w:spacing w:after="0" w:line="58" w:lineRule="exact"/>
        <w:rPr>
          <w:sz w:val="20"/>
          <w:szCs w:val="20"/>
          <w:color w:val="auto"/>
        </w:rPr>
      </w:pPr>
    </w:p>
    <w:p>
      <w:pPr>
        <w:ind w:left="1240" w:hanging="357"/>
        <w:spacing w:after="0"/>
        <w:tabs>
          <w:tab w:leader="none" w:pos="1240" w:val="left"/>
        </w:tabs>
        <w:numPr>
          <w:ilvl w:val="0"/>
          <w:numId w:val="9"/>
        </w:numPr>
        <w:rPr>
          <w:rFonts w:ascii="Arial" w:cs="Arial" w:eastAsia="Arial" w:hAnsi="Arial"/>
          <w:sz w:val="18"/>
          <w:szCs w:val="18"/>
          <w:color w:val="252525"/>
        </w:rPr>
      </w:pPr>
      <w:r>
        <w:rPr>
          <w:rFonts w:ascii="Arial" w:cs="Arial" w:eastAsia="Arial" w:hAnsi="Arial"/>
          <w:sz w:val="18"/>
          <w:szCs w:val="18"/>
          <w:color w:val="auto"/>
        </w:rPr>
        <w:t>our existing arrangements are or contain leases;</w:t>
      </w:r>
    </w:p>
    <w:p>
      <w:pPr>
        <w:spacing w:after="0" w:line="22" w:lineRule="exact"/>
        <w:rPr>
          <w:rFonts w:ascii="Arial" w:cs="Arial" w:eastAsia="Arial" w:hAnsi="Arial"/>
          <w:sz w:val="18"/>
          <w:szCs w:val="18"/>
          <w:color w:val="252525"/>
        </w:rPr>
      </w:pPr>
    </w:p>
    <w:p>
      <w:pPr>
        <w:ind w:left="1240" w:hanging="357"/>
        <w:spacing w:after="0"/>
        <w:tabs>
          <w:tab w:leader="none" w:pos="1240" w:val="left"/>
        </w:tabs>
        <w:numPr>
          <w:ilvl w:val="0"/>
          <w:numId w:val="9"/>
        </w:numPr>
        <w:rPr>
          <w:rFonts w:ascii="Arial" w:cs="Arial" w:eastAsia="Arial" w:hAnsi="Arial"/>
          <w:sz w:val="18"/>
          <w:szCs w:val="18"/>
          <w:color w:val="252525"/>
        </w:rPr>
      </w:pPr>
      <w:r>
        <w:rPr>
          <w:rFonts w:ascii="Arial" w:cs="Arial" w:eastAsia="Arial" w:hAnsi="Arial"/>
          <w:sz w:val="18"/>
          <w:szCs w:val="18"/>
          <w:color w:val="auto"/>
        </w:rPr>
        <w:t>our existing arrangements are operating or finance leases; and</w:t>
      </w:r>
    </w:p>
    <w:p>
      <w:pPr>
        <w:spacing w:after="0" w:line="8" w:lineRule="exact"/>
        <w:rPr>
          <w:rFonts w:ascii="Arial" w:cs="Arial" w:eastAsia="Arial" w:hAnsi="Arial"/>
          <w:sz w:val="18"/>
          <w:szCs w:val="18"/>
          <w:color w:val="252525"/>
        </w:rPr>
      </w:pPr>
    </w:p>
    <w:p>
      <w:pPr>
        <w:ind w:left="1240" w:hanging="357"/>
        <w:spacing w:after="0"/>
        <w:tabs>
          <w:tab w:leader="none" w:pos="1240" w:val="left"/>
        </w:tabs>
        <w:numPr>
          <w:ilvl w:val="0"/>
          <w:numId w:val="9"/>
        </w:numPr>
        <w:rPr>
          <w:rFonts w:ascii="Arial" w:cs="Arial" w:eastAsia="Arial" w:hAnsi="Arial"/>
          <w:sz w:val="18"/>
          <w:szCs w:val="18"/>
          <w:color w:val="252525"/>
        </w:rPr>
      </w:pPr>
      <w:r>
        <w:rPr>
          <w:rFonts w:ascii="Arial" w:cs="Arial" w:eastAsia="Arial" w:hAnsi="Arial"/>
          <w:sz w:val="18"/>
          <w:szCs w:val="18"/>
          <w:color w:val="auto"/>
        </w:rPr>
        <w:t>to capitalize initial direct costs.</w:t>
      </w:r>
    </w:p>
    <w:p>
      <w:pPr>
        <w:spacing w:after="0" w:line="10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 xml:space="preserve">The adoption of the new guidance resulted in the recognition of operating lease assets of approximately $21.0 million and operating lease liabilities of approximately $22.0 million, which were measured by the present value of the remaining minimum lease payments. In accordance with the guidance, the Company elected the practical expedient to exclude leases with a term of less than one year from the measurement of operating lease assets and lease liabilities. The Company also elected the practical expedient that allows lessees the option to account for lease and non-lease components together as a single component for all real estate classes of underlying assets. At adoption, in the condensed consolidated balance sheet, we also reclassified deferred rent of approximately $1.0 million for operating leases at the end of the fiscal year ended December 31, 2021 from other current liabilities (current portion) and other long-term liabilities (non-current portion) to current portion of operating lease liabilities and long-term portion of operating lease liabilities, respectively. </w:t>
      </w:r>
      <w:r>
        <w:rPr>
          <w:rFonts w:ascii="Arial" w:cs="Arial" w:eastAsia="Arial" w:hAnsi="Arial"/>
          <w:sz w:val="16"/>
          <w:szCs w:val="16"/>
          <w:color w:val="252525"/>
        </w:rPr>
        <w:t>The impact on the Company’s condensed consolidated statements of operations and cash flows was not material.</w:t>
      </w:r>
    </w:p>
    <w:p>
      <w:pPr>
        <w:spacing w:after="0" w:line="5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252525"/>
        </w:rPr>
        <w:t xml:space="preserve">The present value of the lease payments was calculated using the Company’s incremental borrowing rate applicable to the lease, which is </w:t>
      </w:r>
      <w:r>
        <w:rPr>
          <w:rFonts w:ascii="Arial" w:cs="Arial" w:eastAsia="Arial" w:hAnsi="Arial"/>
          <w:sz w:val="18"/>
          <w:szCs w:val="18"/>
          <w:color w:val="000000"/>
        </w:rPr>
        <w:t>determined</w:t>
      </w:r>
      <w:r>
        <w:rPr>
          <w:rFonts w:ascii="Arial" w:cs="Arial" w:eastAsia="Arial" w:hAnsi="Arial"/>
          <w:sz w:val="18"/>
          <w:szCs w:val="18"/>
          <w:color w:val="252525"/>
        </w:rPr>
        <w:t xml:space="preserve"> by estimating what it would cost the Company to borrow a collateralized amount equal to the total lease payments over the lease term based on the contractual terms of the lease and the location of the leased asset.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116" w:lineRule="exact"/>
        <w:rPr>
          <w:sz w:val="20"/>
          <w:szCs w:val="20"/>
          <w:color w:val="auto"/>
        </w:rPr>
      </w:pPr>
    </w:p>
    <w:p>
      <w:pPr>
        <w:ind w:right="200" w:firstLine="510"/>
        <w:spacing w:after="0" w:line="306" w:lineRule="auto"/>
        <w:rPr>
          <w:sz w:val="20"/>
          <w:szCs w:val="20"/>
          <w:color w:val="auto"/>
        </w:rPr>
      </w:pPr>
      <w:r>
        <w:rPr>
          <w:rFonts w:ascii="Arial" w:cs="Arial" w:eastAsia="Arial" w:hAnsi="Arial"/>
          <w:sz w:val="17"/>
          <w:szCs w:val="17"/>
          <w:color w:val="auto"/>
        </w:rPr>
        <w:t>The Company has operating leases for its office space, which have remaining lease terms of up to nine years. The Company does not have finance leases. The Company entered into one lease during the three and nine months ended September 30, 2022, as described below.</w:t>
      </w:r>
    </w:p>
    <w:p>
      <w:pPr>
        <w:spacing w:after="0" w:line="40" w:lineRule="exact"/>
        <w:rPr>
          <w:sz w:val="20"/>
          <w:szCs w:val="20"/>
          <w:color w:val="auto"/>
        </w:rPr>
      </w:pPr>
    </w:p>
    <w:p>
      <w:pPr>
        <w:jc w:val="both"/>
        <w:ind w:right="60" w:firstLine="510"/>
        <w:spacing w:after="0" w:line="301" w:lineRule="auto"/>
        <w:rPr>
          <w:sz w:val="20"/>
          <w:szCs w:val="20"/>
          <w:color w:val="auto"/>
        </w:rPr>
      </w:pPr>
      <w:r>
        <w:rPr>
          <w:rFonts w:ascii="Arial" w:cs="Arial" w:eastAsia="Arial" w:hAnsi="Arial"/>
          <w:sz w:val="16"/>
          <w:szCs w:val="16"/>
          <w:color w:val="auto"/>
        </w:rPr>
        <w:t>We determine whether an arrangement is a lease at the contract inception date. Our leases may require us to make fixed rental payments or variable lease payments, which are based on a variety of factors including property values, tax and utility rates, property services fees, and other factors. Since these costs are variable in nature, they are excluded from the measurement of the reported operating lease assets and liabilities and are expensed as incurred. The Company records rent expense for operating leases, some of which have escalating rent payments, on a straight-line basis over the lease term.</w:t>
      </w:r>
    </w:p>
    <w:p>
      <w:pPr>
        <w:spacing w:after="0" w:line="47" w:lineRule="exact"/>
        <w:rPr>
          <w:sz w:val="20"/>
          <w:szCs w:val="20"/>
          <w:color w:val="auto"/>
        </w:rPr>
      </w:pPr>
    </w:p>
    <w:p>
      <w:pPr>
        <w:ind w:right="320" w:firstLine="510"/>
        <w:spacing w:after="0" w:line="276" w:lineRule="auto"/>
        <w:rPr>
          <w:sz w:val="20"/>
          <w:szCs w:val="20"/>
          <w:color w:val="auto"/>
        </w:rPr>
      </w:pPr>
      <w:r>
        <w:rPr>
          <w:rFonts w:ascii="Arial" w:cs="Arial" w:eastAsia="Arial" w:hAnsi="Arial"/>
          <w:sz w:val="18"/>
          <w:szCs w:val="18"/>
          <w:color w:val="auto"/>
        </w:rPr>
        <w:t>Some of our leases include renewal options to extend the leases for up to five years and/or termination options to terminate the leases within one year. If it is reasonably certain that a renewal or termination option will be exercised, the exercise of the option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10" w:lineRule="exact"/>
        <w:rPr>
          <w:sz w:val="20"/>
          <w:szCs w:val="20"/>
          <w:color w:val="auto"/>
        </w:rPr>
      </w:pPr>
    </w:p>
    <w:p>
      <w:pPr>
        <w:ind w:right="940"/>
        <w:spacing w:after="0" w:line="276" w:lineRule="auto"/>
        <w:rPr>
          <w:sz w:val="20"/>
          <w:szCs w:val="20"/>
          <w:color w:val="auto"/>
        </w:rPr>
      </w:pPr>
      <w:r>
        <w:rPr>
          <w:rFonts w:ascii="Arial" w:cs="Arial" w:eastAsia="Arial" w:hAnsi="Arial"/>
          <w:sz w:val="18"/>
          <w:szCs w:val="18"/>
          <w:color w:val="auto"/>
        </w:rPr>
        <w:t>considered in calculating the term of the lease. As of September 30, 2022, our operating leases had a weighted-average remaining lease term of approximately eight years and a weighted-average incremental borrowing rate of 3.1%.</w:t>
      </w:r>
    </w:p>
    <w:p>
      <w:pPr>
        <w:spacing w:after="0" w:line="63"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 xml:space="preserve">As of September 30, 2022, the Company had entered into an operating lease for office space in New York with total estimated future lease payments of $5.0 million that had not yet commenced and therefore is not included in the measurement of the operating right-of-use asset and operating lease liability on the condensed consolidated balance sheet. The lease term is expected to commence in the fourth quarter of fiscal 2022. In conjunction with this lease, </w:t>
      </w:r>
      <w:r>
        <w:rPr>
          <w:rFonts w:ascii="Arial" w:cs="Arial" w:eastAsia="Arial" w:hAnsi="Arial"/>
          <w:sz w:val="18"/>
          <w:szCs w:val="18"/>
          <w:color w:val="231F20"/>
        </w:rPr>
        <w:t xml:space="preserve">PNC Bank, National Association (“PNC Bank”) </w:t>
      </w:r>
      <w:r>
        <w:rPr>
          <w:rFonts w:ascii="Arial" w:cs="Arial" w:eastAsia="Arial" w:hAnsi="Arial"/>
          <w:sz w:val="18"/>
          <w:szCs w:val="18"/>
          <w:color w:val="000000"/>
        </w:rPr>
        <w:t>will issue a standby letter of credit for the amount of $0.4 million in favor of the lessor, to satisfy the</w:t>
      </w:r>
      <w:r>
        <w:rPr>
          <w:rFonts w:ascii="Arial" w:cs="Arial" w:eastAsia="Arial" w:hAnsi="Arial"/>
          <w:sz w:val="18"/>
          <w:szCs w:val="18"/>
          <w:color w:val="231F20"/>
        </w:rPr>
        <w:t xml:space="preserve"> </w:t>
      </w:r>
      <w:r>
        <w:rPr>
          <w:rFonts w:ascii="Arial" w:cs="Arial" w:eastAsia="Arial" w:hAnsi="Arial"/>
          <w:sz w:val="18"/>
          <w:szCs w:val="18"/>
          <w:color w:val="000000"/>
        </w:rPr>
        <w:t>security deposit of the leased property.</w:t>
      </w:r>
    </w:p>
    <w:p>
      <w:pPr>
        <w:spacing w:after="0" w:line="81" w:lineRule="exact"/>
        <w:rPr>
          <w:sz w:val="20"/>
          <w:szCs w:val="20"/>
          <w:color w:val="auto"/>
        </w:rPr>
      </w:pPr>
    </w:p>
    <w:p>
      <w:pPr>
        <w:ind w:right="240" w:firstLine="510"/>
        <w:spacing w:after="0" w:line="276" w:lineRule="auto"/>
        <w:rPr>
          <w:sz w:val="20"/>
          <w:szCs w:val="20"/>
          <w:color w:val="auto"/>
        </w:rPr>
      </w:pPr>
      <w:r>
        <w:rPr>
          <w:rFonts w:ascii="Arial" w:cs="Arial" w:eastAsia="Arial" w:hAnsi="Arial"/>
          <w:sz w:val="18"/>
          <w:szCs w:val="18"/>
          <w:color w:val="auto"/>
        </w:rPr>
        <w:t>Cash paid for amounts included in the operating lease liabilities was $0.3 million and $1.5 million for the three and nine months ended September 30, 2022, respectively.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September 30,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22"/>
        </w:trPr>
        <w:tc>
          <w:tcPr>
            <w:tcW w:w="33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Borders>
              <w:bottom w:val="single" w:sz="8" w:color="CFF0FC"/>
            </w:tcBorders>
          </w:tcPr>
          <w:p>
            <w:pPr>
              <w:spacing w:after="0"/>
              <w:rPr>
                <w:sz w:val="19"/>
                <w:szCs w:val="19"/>
                <w:color w:val="auto"/>
              </w:rPr>
            </w:pPr>
          </w:p>
        </w:tc>
      </w:tr>
      <w:tr>
        <w:trPr>
          <w:trHeight w:val="222"/>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w:t>
            </w:r>
          </w:p>
        </w:tc>
        <w:tc>
          <w:tcPr>
            <w:tcW w:w="80" w:type="dxa"/>
            <w:vAlign w:val="bottom"/>
            <w:shd w:val="clear" w:color="auto" w:fill="CFF0FC"/>
          </w:tcPr>
          <w:p>
            <w:pPr>
              <w:spacing w:after="0"/>
              <w:rPr>
                <w:sz w:val="19"/>
                <w:szCs w:val="19"/>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Short-term lease cost</w:t>
            </w: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9"/>
                <w:szCs w:val="19"/>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6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9"/>
                <w:szCs w:val="19"/>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Total lease cost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8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as of September 30, 2022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As of September 30,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20" w:type="dxa"/>
            <w:vAlign w:val="bottom"/>
            <w:gridSpan w:val="2"/>
          </w:tcPr>
          <w:p>
            <w:pPr>
              <w:ind w:left="1700"/>
              <w:spacing w:after="0"/>
              <w:rPr>
                <w:sz w:val="20"/>
                <w:szCs w:val="20"/>
                <w:color w:val="auto"/>
              </w:rPr>
            </w:pPr>
            <w:r>
              <w:rPr>
                <w:rFonts w:ascii="Arial" w:cs="Arial" w:eastAsia="Arial" w:hAnsi="Arial"/>
                <w:sz w:val="18"/>
                <w:szCs w:val="18"/>
                <w:b w:val="1"/>
                <w:bCs w:val="1"/>
                <w:color w:val="auto"/>
              </w:rPr>
              <w:t>Year</w:t>
            </w:r>
          </w:p>
        </w:tc>
        <w:tc>
          <w:tcPr>
            <w:tcW w:w="2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2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2023</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4,506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2025</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4,270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14,992</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3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undiscounted future lease payments</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1"/>
              </w:rPr>
              <w:t>Less: Commitments for leases not yet commenced</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(5,016)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Present value of operating lease liabilities</w:t>
            </w:r>
          </w:p>
        </w:tc>
        <w:tc>
          <w:tcPr>
            <w:tcW w:w="2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Less: Operating lease liabilities, current</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0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40" w:type="dxa"/>
            <w:vAlign w:val="bottom"/>
            <w:vMerge w:val="restart"/>
          </w:tcPr>
          <w:p>
            <w:pPr>
              <w:jc w:val="right"/>
              <w:ind w:right="165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Disclosures related to periods prior to the adoption of ASC 842</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Rent expense on operating leases was $1.2 million and $3.2 million for the three and nine months ended September 30, 2021, respectively.</w:t>
      </w:r>
    </w:p>
    <w:p>
      <w:pPr>
        <w:spacing w:after="0" w:line="128" w:lineRule="exact"/>
        <w:rPr>
          <w:sz w:val="20"/>
          <w:szCs w:val="20"/>
          <w:color w:val="auto"/>
        </w:rPr>
      </w:pPr>
    </w:p>
    <w:p>
      <w:pPr>
        <w:ind w:right="140" w:firstLine="510"/>
        <w:spacing w:after="0" w:line="276" w:lineRule="auto"/>
        <w:rPr>
          <w:sz w:val="20"/>
          <w:szCs w:val="20"/>
          <w:color w:val="auto"/>
        </w:rPr>
      </w:pPr>
      <w:r>
        <w:rPr>
          <w:rFonts w:ascii="Arial" w:cs="Arial" w:eastAsia="Arial" w:hAnsi="Arial"/>
          <w:sz w:val="18"/>
          <w:szCs w:val="18"/>
          <w:color w:val="auto"/>
        </w:rPr>
        <w:t>Future minimum payments under the Company’s non-cancelable operating leases, primarily related to office space, as of December 31, 2021 are as follows: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b w:val="1"/>
                <w:bCs w:val="1"/>
                <w:color w:val="auto"/>
              </w:rPr>
              <w:t>As of December 31,</w:t>
            </w:r>
          </w:p>
        </w:tc>
      </w:tr>
      <w:tr>
        <w:trPr>
          <w:trHeight w:val="222"/>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Year</w:t>
            </w:r>
          </w:p>
        </w:tc>
        <w:tc>
          <w:tcPr>
            <w:tcW w:w="17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FF0FC"/>
            </w:tcBorders>
          </w:tcPr>
          <w:p>
            <w:pPr>
              <w:spacing w:after="0"/>
              <w:rPr>
                <w:sz w:val="19"/>
                <w:szCs w:val="19"/>
                <w:color w:val="auto"/>
              </w:rPr>
            </w:pPr>
          </w:p>
        </w:tc>
      </w:tr>
      <w:tr>
        <w:trPr>
          <w:trHeight w:val="222"/>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FF0FC"/>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2023</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3,953</w:t>
            </w:r>
          </w:p>
        </w:tc>
        <w:tc>
          <w:tcPr>
            <w:tcW w:w="8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FF0FC"/>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2025</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2,991</w:t>
            </w:r>
          </w:p>
        </w:tc>
        <w:tc>
          <w:tcPr>
            <w:tcW w:w="8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w:t>
            </w:r>
          </w:p>
        </w:tc>
        <w:tc>
          <w:tcPr>
            <w:tcW w:w="80" w:type="dxa"/>
            <w:vAlign w:val="bottom"/>
            <w:shd w:val="clear" w:color="auto" w:fill="CFF0FC"/>
          </w:tcPr>
          <w:p>
            <w:pPr>
              <w:spacing w:after="0"/>
              <w:rPr>
                <w:sz w:val="19"/>
                <w:szCs w:val="19"/>
                <w:color w:val="auto"/>
              </w:rPr>
            </w:pPr>
          </w:p>
        </w:tc>
      </w:tr>
      <w:tr>
        <w:trPr>
          <w:trHeight w:val="229"/>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7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13,739</w:t>
            </w:r>
          </w:p>
        </w:tc>
        <w:tc>
          <w:tcPr>
            <w:tcW w:w="80" w:type="dxa"/>
            <w:vAlign w:val="bottom"/>
            <w:tcBorders>
              <w:bottom w:val="single" w:sz="8" w:color="CFF0FC"/>
            </w:tcBorders>
          </w:tcPr>
          <w:p>
            <w:pPr>
              <w:spacing w:after="0"/>
              <w:rPr>
                <w:sz w:val="19"/>
                <w:szCs w:val="19"/>
                <w:color w:val="auto"/>
              </w:rPr>
            </w:pPr>
          </w:p>
        </w:tc>
      </w:tr>
      <w:tr>
        <w:trPr>
          <w:trHeight w:val="222"/>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payments</w:t>
            </w:r>
          </w:p>
        </w:tc>
        <w:tc>
          <w:tcPr>
            <w:tcW w:w="17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 xml:space="preserve">6. </w:t>
      </w:r>
      <w:r>
        <w:rPr>
          <w:rFonts w:ascii="Arial" w:cs="Arial" w:eastAsia="Arial" w:hAnsi="Arial"/>
          <w:sz w:val="22"/>
          <w:szCs w:val="22"/>
          <w:b w:val="1"/>
          <w:bCs w:val="1"/>
          <w:i w:val="1"/>
          <w:iCs w:val="1"/>
          <w:color w:val="231F20"/>
        </w:rPr>
        <w:t>Intangible Assets, Net</w:t>
      </w:r>
    </w:p>
    <w:p>
      <w:pPr>
        <w:spacing w:after="0" w:line="11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620" w:type="dxa"/>
            <w:vAlign w:val="bottom"/>
            <w:gridSpan w:val="7"/>
          </w:tcPr>
          <w:p>
            <w:pPr>
              <w:jc w:val="right"/>
              <w:ind w:right="870"/>
              <w:spacing w:after="0"/>
              <w:rPr>
                <w:sz w:val="20"/>
                <w:szCs w:val="20"/>
                <w:color w:val="auto"/>
              </w:rPr>
            </w:pPr>
            <w:r>
              <w:rPr>
                <w:rFonts w:ascii="Arial" w:cs="Arial" w:eastAsia="Arial" w:hAnsi="Arial"/>
                <w:sz w:val="18"/>
                <w:szCs w:val="18"/>
                <w:color w:val="auto"/>
                <w:w w:val="89"/>
              </w:rPr>
              <w:t>The balances of intangible assets and accumulated amortization are as follows: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4"/>
        </w:trPr>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center"/>
              <w:ind w:right="1200"/>
              <w:spacing w:after="0"/>
              <w:rPr>
                <w:sz w:val="20"/>
                <w:szCs w:val="20"/>
                <w:color w:val="auto"/>
              </w:rPr>
            </w:pPr>
            <w:r>
              <w:rPr>
                <w:rFonts w:ascii="Arial" w:cs="Arial" w:eastAsia="Arial" w:hAnsi="Arial"/>
                <w:sz w:val="18"/>
                <w:szCs w:val="18"/>
                <w:b w:val="1"/>
                <w:bCs w:val="1"/>
                <w:color w:val="auto"/>
                <w:w w:val="88"/>
              </w:rPr>
              <w:t>As of September 30, 2022</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4"/>
        </w:trPr>
        <w:tc>
          <w:tcPr>
            <w:tcW w:w="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340" w:type="dxa"/>
            <w:vAlign w:val="bottom"/>
            <w:gridSpan w:val="2"/>
          </w:tcPr>
          <w:p>
            <w:pPr>
              <w:jc w:val="center"/>
              <w:ind w:right="100"/>
              <w:spacing w:after="0" w:line="204" w:lineRule="exact"/>
              <w:rPr>
                <w:sz w:val="20"/>
                <w:szCs w:val="20"/>
                <w:color w:val="auto"/>
              </w:rPr>
            </w:pPr>
            <w:r>
              <w:rPr>
                <w:rFonts w:ascii="Arial" w:cs="Arial" w:eastAsia="Arial" w:hAnsi="Arial"/>
                <w:sz w:val="18"/>
                <w:szCs w:val="18"/>
                <w:b w:val="1"/>
                <w:bCs w:val="1"/>
                <w:color w:val="auto"/>
                <w:w w:val="91"/>
              </w:rPr>
              <w:t>Remaining Weighted-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60"/>
              <w:spacing w:after="0" w:line="204"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70"/>
              <w:spacing w:after="0" w:line="204" w:lineRule="exact"/>
              <w:rPr>
                <w:sz w:val="20"/>
                <w:szCs w:val="20"/>
                <w:color w:val="auto"/>
              </w:rPr>
            </w:pPr>
            <w:r>
              <w:rPr>
                <w:rFonts w:ascii="Arial" w:cs="Arial" w:eastAsia="Arial" w:hAnsi="Arial"/>
                <w:sz w:val="18"/>
                <w:szCs w:val="18"/>
                <w:b w:val="1"/>
                <w:bCs w:val="1"/>
                <w:color w:val="auto"/>
                <w:w w:val="94"/>
              </w:rPr>
              <w:t>Net Carrying</w:t>
            </w:r>
          </w:p>
        </w:tc>
        <w:tc>
          <w:tcPr>
            <w:tcW w:w="120" w:type="dxa"/>
            <w:vAlign w:val="bottom"/>
          </w:tcPr>
          <w:p>
            <w:pPr>
              <w:spacing w:after="0"/>
              <w:rPr>
                <w:sz w:val="17"/>
                <w:szCs w:val="17"/>
                <w:color w:val="auto"/>
              </w:rPr>
            </w:pPr>
          </w:p>
        </w:tc>
      </w:tr>
      <w:tr>
        <w:trPr>
          <w:trHeight w:val="234"/>
        </w:trPr>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Average Useful Life (years)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Gross Amount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22"/>
        </w:trPr>
        <w:tc>
          <w:tcPr>
            <w:tcW w:w="60" w:type="dxa"/>
            <w:vAlign w:val="bottom"/>
          </w:tcPr>
          <w:p>
            <w:pPr>
              <w:spacing w:after="0"/>
              <w:rPr>
                <w:sz w:val="19"/>
                <w:szCs w:val="19"/>
                <w:color w:val="auto"/>
              </w:rPr>
            </w:pPr>
          </w:p>
        </w:tc>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24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0"/>
              </w:rPr>
              <w:t>(4,693)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40" w:type="dxa"/>
            <w:vAlign w:val="bottom"/>
          </w:tcPr>
          <w:p>
            <w:pPr>
              <w:jc w:val="right"/>
              <w:ind w:right="8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820"/>
              <w:spacing w:after="0"/>
              <w:rPr>
                <w:sz w:val="20"/>
                <w:szCs w:val="20"/>
                <w:color w:val="auto"/>
              </w:rPr>
            </w:pPr>
            <w:r>
              <w:rPr>
                <w:rFonts w:ascii="Arial" w:cs="Arial" w:eastAsia="Arial" w:hAnsi="Arial"/>
                <w:sz w:val="18"/>
                <w:szCs w:val="18"/>
                <w:color w:val="auto"/>
              </w:rPr>
              <w:t>(1,862)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224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(1,127)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9"/>
                <w:szCs w:val="19"/>
                <w:color w:val="auto"/>
              </w:rPr>
            </w:pPr>
          </w:p>
        </w:tc>
      </w:tr>
      <w:tr>
        <w:trPr>
          <w:trHeight w:val="222"/>
        </w:trPr>
        <w:tc>
          <w:tcPr>
            <w:tcW w:w="268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0"/>
              </w:rPr>
              <w:t>(7,682)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center"/>
              <w:ind w:right="1180"/>
              <w:spacing w:after="0"/>
              <w:rPr>
                <w:sz w:val="20"/>
                <w:szCs w:val="20"/>
                <w:color w:val="auto"/>
              </w:rPr>
            </w:pPr>
            <w:r>
              <w:rPr>
                <w:rFonts w:ascii="Arial" w:cs="Arial" w:eastAsia="Arial" w:hAnsi="Arial"/>
                <w:sz w:val="18"/>
                <w:szCs w:val="18"/>
                <w:b w:val="1"/>
                <w:bCs w:val="1"/>
                <w:color w:val="auto"/>
                <w:w w:val="88"/>
              </w:rPr>
              <w:t>As of 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4"/>
        </w:trPr>
        <w:tc>
          <w:tcPr>
            <w:tcW w:w="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340" w:type="dxa"/>
            <w:vAlign w:val="bottom"/>
            <w:gridSpan w:val="2"/>
          </w:tcPr>
          <w:p>
            <w:pPr>
              <w:jc w:val="center"/>
              <w:ind w:right="100"/>
              <w:spacing w:after="0" w:line="204" w:lineRule="exact"/>
              <w:rPr>
                <w:sz w:val="20"/>
                <w:szCs w:val="20"/>
                <w:color w:val="auto"/>
              </w:rPr>
            </w:pPr>
            <w:r>
              <w:rPr>
                <w:rFonts w:ascii="Arial" w:cs="Arial" w:eastAsia="Arial" w:hAnsi="Arial"/>
                <w:sz w:val="18"/>
                <w:szCs w:val="18"/>
                <w:b w:val="1"/>
                <w:bCs w:val="1"/>
                <w:color w:val="auto"/>
                <w:w w:val="91"/>
              </w:rPr>
              <w:t>Remaining Weighted-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60"/>
              <w:spacing w:after="0" w:line="204"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70"/>
              <w:spacing w:after="0" w:line="204" w:lineRule="exact"/>
              <w:rPr>
                <w:sz w:val="20"/>
                <w:szCs w:val="20"/>
                <w:color w:val="auto"/>
              </w:rPr>
            </w:pPr>
            <w:r>
              <w:rPr>
                <w:rFonts w:ascii="Arial" w:cs="Arial" w:eastAsia="Arial" w:hAnsi="Arial"/>
                <w:sz w:val="18"/>
                <w:szCs w:val="18"/>
                <w:b w:val="1"/>
                <w:bCs w:val="1"/>
                <w:color w:val="auto"/>
                <w:w w:val="94"/>
              </w:rPr>
              <w:t>Net Carrying</w:t>
            </w:r>
          </w:p>
        </w:tc>
        <w:tc>
          <w:tcPr>
            <w:tcW w:w="120" w:type="dxa"/>
            <w:vAlign w:val="bottom"/>
          </w:tcPr>
          <w:p>
            <w:pPr>
              <w:spacing w:after="0"/>
              <w:rPr>
                <w:sz w:val="17"/>
                <w:szCs w:val="17"/>
                <w:color w:val="auto"/>
              </w:rPr>
            </w:pPr>
          </w:p>
        </w:tc>
      </w:tr>
      <w:tr>
        <w:trPr>
          <w:trHeight w:val="234"/>
        </w:trPr>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Average Useful Life (years)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Gross Amount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r>
      <w:tr>
        <w:trPr>
          <w:trHeight w:val="222"/>
        </w:trPr>
        <w:tc>
          <w:tcPr>
            <w:tcW w:w="60" w:type="dxa"/>
            <w:vAlign w:val="bottom"/>
          </w:tcPr>
          <w:p>
            <w:pPr>
              <w:spacing w:after="0"/>
              <w:rPr>
                <w:sz w:val="19"/>
                <w:szCs w:val="19"/>
                <w:color w:val="auto"/>
              </w:rPr>
            </w:pPr>
          </w:p>
        </w:tc>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24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0"/>
              </w:rPr>
              <w:t>(4,169)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40" w:type="dxa"/>
            <w:vAlign w:val="bottom"/>
          </w:tcPr>
          <w:p>
            <w:pPr>
              <w:jc w:val="right"/>
              <w:ind w:right="8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820"/>
              <w:spacing w:after="0"/>
              <w:rPr>
                <w:sz w:val="20"/>
                <w:szCs w:val="20"/>
                <w:color w:val="auto"/>
              </w:rPr>
            </w:pPr>
            <w:r>
              <w:rPr>
                <w:rFonts w:ascii="Arial" w:cs="Arial" w:eastAsia="Arial" w:hAnsi="Arial"/>
                <w:sz w:val="18"/>
                <w:szCs w:val="18"/>
                <w:color w:val="auto"/>
              </w:rPr>
              <w:t>(1,615)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224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(1,057)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FF0FC"/>
          </w:tcPr>
          <w:p>
            <w:pPr>
              <w:spacing w:after="0"/>
              <w:rPr>
                <w:sz w:val="19"/>
                <w:szCs w:val="19"/>
                <w:color w:val="auto"/>
              </w:rPr>
            </w:pPr>
          </w:p>
        </w:tc>
      </w:tr>
      <w:tr>
        <w:trPr>
          <w:trHeight w:val="222"/>
        </w:trPr>
        <w:tc>
          <w:tcPr>
            <w:tcW w:w="268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0"/>
              </w:rPr>
              <w:t>(6,841)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2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intangible assets recorded in the condensed consolidated statements of operations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60" w:type="dxa"/>
            <w:vAlign w:val="bottom"/>
            <w:gridSpan w:val="4"/>
          </w:tcPr>
          <w:p>
            <w:pPr>
              <w:jc w:val="right"/>
              <w:ind w:right="327"/>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5"/>
          </w:tcPr>
          <w:p>
            <w:pPr>
              <w:ind w:left="540"/>
              <w:spacing w:after="0"/>
              <w:rPr>
                <w:sz w:val="20"/>
                <w:szCs w:val="20"/>
                <w:color w:val="auto"/>
              </w:rPr>
            </w:pPr>
            <w:r>
              <w:rPr>
                <w:rFonts w:ascii="Arial" w:cs="Arial" w:eastAsia="Arial" w:hAnsi="Arial"/>
                <w:sz w:val="18"/>
                <w:szCs w:val="18"/>
                <w:b w:val="1"/>
                <w:bCs w:val="1"/>
                <w:color w:val="auto"/>
              </w:rPr>
              <w:t>Nine Months Ended</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07"/>
              <w:spacing w:after="0"/>
              <w:rPr>
                <w:sz w:val="20"/>
                <w:szCs w:val="20"/>
                <w:color w:val="auto"/>
              </w:rPr>
            </w:pPr>
            <w:r>
              <w:rPr>
                <w:rFonts w:ascii="Arial" w:cs="Arial" w:eastAsia="Arial" w:hAnsi="Arial"/>
                <w:sz w:val="18"/>
                <w:szCs w:val="18"/>
                <w:b w:val="1"/>
                <w:bCs w:val="1"/>
                <w:color w:val="auto"/>
                <w:w w:val="94"/>
              </w:rPr>
              <w:t>September 30,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9"/>
                <w:szCs w:val="19"/>
                <w:color w:val="auto"/>
              </w:rPr>
            </w:pPr>
          </w:p>
        </w:tc>
        <w:tc>
          <w:tcPr>
            <w:tcW w:w="13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5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3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gridSpan w:val="2"/>
          </w:tcPr>
          <w:p>
            <w:pPr>
              <w:jc w:val="right"/>
              <w:ind w:right="767"/>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231F20"/>
              </w:rPr>
              <w:t xml:space="preserve">Estimated future </w:t>
            </w:r>
            <w:r>
              <w:rPr>
                <w:rFonts w:ascii="Arial" w:cs="Arial" w:eastAsia="Arial" w:hAnsi="Arial"/>
                <w:sz w:val="18"/>
                <w:szCs w:val="18"/>
                <w:color w:val="000000"/>
              </w:rPr>
              <w:t>amortization</w:t>
            </w:r>
            <w:r>
              <w:rPr>
                <w:rFonts w:ascii="Arial" w:cs="Arial" w:eastAsia="Arial" w:hAnsi="Arial"/>
                <w:sz w:val="18"/>
                <w:szCs w:val="18"/>
                <w:color w:val="231F20"/>
              </w:rPr>
              <w:t xml:space="preserve"> of intangible assets is as follows:</w:t>
            </w: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44"/>
        </w:trPr>
        <w:tc>
          <w:tcPr>
            <w:tcW w:w="17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As of September 30,</w:t>
            </w:r>
          </w:p>
        </w:tc>
      </w:tr>
      <w:tr>
        <w:trPr>
          <w:trHeight w:val="222"/>
        </w:trPr>
        <w:tc>
          <w:tcPr>
            <w:tcW w:w="1740" w:type="dxa"/>
            <w:vAlign w:val="bottom"/>
          </w:tcPr>
          <w:p>
            <w:pPr>
              <w:spacing w:after="0"/>
              <w:rPr>
                <w:sz w:val="19"/>
                <w:szCs w:val="19"/>
                <w:color w:val="auto"/>
              </w:rPr>
            </w:pPr>
          </w:p>
        </w:tc>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Year</w:t>
            </w:r>
          </w:p>
        </w:tc>
        <w:tc>
          <w:tcPr>
            <w:tcW w:w="20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FF0FC"/>
            </w:tcBorders>
          </w:tcPr>
          <w:p>
            <w:pPr>
              <w:spacing w:after="0"/>
              <w:rPr>
                <w:sz w:val="19"/>
                <w:szCs w:val="19"/>
                <w:color w:val="auto"/>
              </w:rPr>
            </w:pPr>
          </w:p>
        </w:tc>
      </w:tr>
      <w:tr>
        <w:trPr>
          <w:trHeight w:val="222"/>
        </w:trPr>
        <w:tc>
          <w:tcPr>
            <w:tcW w:w="174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FF0FC"/>
          </w:tcPr>
          <w:p>
            <w:pPr>
              <w:spacing w:after="0"/>
              <w:rPr>
                <w:sz w:val="19"/>
                <w:szCs w:val="19"/>
                <w:color w:val="auto"/>
              </w:rPr>
            </w:pPr>
          </w:p>
        </w:tc>
      </w:tr>
      <w:tr>
        <w:trPr>
          <w:trHeight w:val="229"/>
        </w:trPr>
        <w:tc>
          <w:tcPr>
            <w:tcW w:w="17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9"/>
                <w:szCs w:val="19"/>
                <w:color w:val="auto"/>
              </w:rPr>
            </w:pPr>
          </w:p>
        </w:tc>
      </w:tr>
      <w:tr>
        <w:trPr>
          <w:trHeight w:val="229"/>
        </w:trPr>
        <w:tc>
          <w:tcPr>
            <w:tcW w:w="174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19"/>
                <w:szCs w:val="19"/>
                <w:color w:val="auto"/>
              </w:rPr>
            </w:pPr>
          </w:p>
        </w:tc>
      </w:tr>
      <w:tr>
        <w:trPr>
          <w:trHeight w:val="229"/>
        </w:trPr>
        <w:tc>
          <w:tcPr>
            <w:tcW w:w="17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r>
      <w:tr>
        <w:trPr>
          <w:trHeight w:val="229"/>
        </w:trPr>
        <w:tc>
          <w:tcPr>
            <w:tcW w:w="174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29"/>
        </w:trPr>
        <w:tc>
          <w:tcPr>
            <w:tcW w:w="17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1740" w:type="dxa"/>
            <w:vAlign w:val="bottom"/>
          </w:tcPr>
          <w:p>
            <w:pPr>
              <w:spacing w:after="0"/>
              <w:rPr>
                <w:sz w:val="19"/>
                <w:szCs w:val="19"/>
                <w:color w:val="auto"/>
              </w:rPr>
            </w:pPr>
          </w:p>
        </w:tc>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 xml:space="preserve">7. </w:t>
      </w:r>
      <w:r>
        <w:rPr>
          <w:rFonts w:ascii="Arial" w:cs="Arial" w:eastAsia="Arial" w:hAnsi="Arial"/>
          <w:sz w:val="22"/>
          <w:szCs w:val="22"/>
          <w:b w:val="1"/>
          <w:bCs w:val="1"/>
          <w:i w:val="1"/>
          <w:iCs w:val="1"/>
          <w:color w:val="231F20"/>
        </w:rPr>
        <w:t>Accrued Liabilities</w:t>
      </w:r>
    </w:p>
    <w:p>
      <w:pPr>
        <w:spacing w:after="0" w:line="11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231F20"/>
              </w:rPr>
              <w:t>The Company’s accrued liabilities consisted of the following:</w:t>
            </w: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0"/>
        </w:trPr>
        <w:tc>
          <w:tcPr>
            <w:tcW w:w="6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As of September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As of December 31,</w:t>
            </w:r>
          </w:p>
        </w:tc>
      </w:tr>
      <w:tr>
        <w:trPr>
          <w:trHeight w:val="222"/>
        </w:trPr>
        <w:tc>
          <w:tcPr>
            <w:tcW w:w="620" w:type="dxa"/>
            <w:vAlign w:val="bottom"/>
          </w:tcPr>
          <w:p>
            <w:pPr>
              <w:spacing w:after="0"/>
              <w:rPr>
                <w:sz w:val="19"/>
                <w:szCs w:val="19"/>
                <w:color w:val="auto"/>
              </w:rPr>
            </w:pPr>
          </w:p>
        </w:tc>
        <w:tc>
          <w:tcPr>
            <w:tcW w:w="46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2"/>
        </w:trPr>
        <w:tc>
          <w:tcPr>
            <w:tcW w:w="6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traffic acquisition costs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30,942</w:t>
            </w:r>
          </w:p>
        </w:tc>
        <w:tc>
          <w:tcPr>
            <w:tcW w:w="100" w:type="dxa"/>
            <w:vAlign w:val="bottom"/>
            <w:shd w:val="clear" w:color="auto" w:fill="CFF0FC"/>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FF0FC"/>
            </w:tcBorders>
          </w:tcPr>
          <w:p>
            <w:pPr>
              <w:spacing w:after="0"/>
              <w:rPr>
                <w:sz w:val="19"/>
                <w:szCs w:val="19"/>
                <w:color w:val="auto"/>
              </w:rPr>
            </w:pPr>
          </w:p>
        </w:tc>
      </w:tr>
      <w:tr>
        <w:trPr>
          <w:trHeight w:val="222"/>
        </w:trPr>
        <w:tc>
          <w:tcPr>
            <w:tcW w:w="6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28,202</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20" w:firstLine="510"/>
        <w:spacing w:after="0" w:line="256" w:lineRule="auto"/>
        <w:rPr>
          <w:sz w:val="20"/>
          <w:szCs w:val="20"/>
          <w:color w:val="auto"/>
        </w:rPr>
      </w:pPr>
      <w:r>
        <w:rPr>
          <w:rFonts w:ascii="Arial" w:cs="Arial" w:eastAsia="Arial" w:hAnsi="Arial"/>
          <w:sz w:val="18"/>
          <w:szCs w:val="18"/>
          <w:color w:val="auto"/>
        </w:rPr>
        <w:t>The Company had a balance of $0.2 million and $0.3 million as of September 30, 2022 and December 31, 2021, respectively, payable to related parties for expenses they incurred on our behalf, which was recorded within accrued liabilities on the condensed consolidated balance sheets. The related expense incurred by the Company was $0.3 million and $0.8 million for the three and nine months ended September 30, 2022, respectively, and $0.2 million for the nine months ended September 30, 2021. The related expense incurred by the Company was de minimis for the three months ended September 30, 2021.</w:t>
      </w:r>
    </w:p>
    <w:p>
      <w:pPr>
        <w:spacing w:after="0" w:line="290"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22"/>
          <w:szCs w:val="22"/>
          <w:b w:val="1"/>
          <w:bCs w:val="1"/>
          <w:color w:val="231F20"/>
        </w:rPr>
      </w:pPr>
      <w:r>
        <w:rPr>
          <w:rFonts w:ascii="Arial" w:cs="Arial" w:eastAsia="Arial" w:hAnsi="Arial"/>
          <w:sz w:val="22"/>
          <w:szCs w:val="22"/>
          <w:b w:val="1"/>
          <w:bCs w:val="1"/>
          <w:i w:val="1"/>
          <w:iCs w:val="1"/>
          <w:color w:val="231F20"/>
        </w:rPr>
        <w:t>Revolving Credit Facility and PPP Loan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6"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231F20"/>
        </w:rPr>
        <w:t>On October 31, 2019, we entered into an asset-based revolving credit and security agreement (the “Loan Agreement”) with PNC Bank. The Loan Agreement provides a senior secured revolving credit facility of up to $40.0 million with a maturity date of October 31, 2024. The Loan Agreement is collateralized by security interests in substantially all of our assets.</w:t>
      </w:r>
    </w:p>
    <w:p>
      <w:pPr>
        <w:spacing w:after="0" w:line="74"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231F20"/>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231F20"/>
        </w:rPr>
        <w:t xml:space="preserve">The effective weighted-average interest rate for the nine months ended September 30, 2022 </w:t>
      </w:r>
      <w:r>
        <w:rPr>
          <w:rFonts w:ascii="Arial" w:cs="Arial" w:eastAsia="Arial" w:hAnsi="Arial"/>
          <w:sz w:val="16"/>
          <w:szCs w:val="16"/>
          <w:color w:val="000000"/>
        </w:rPr>
        <w:t>was</w:t>
      </w:r>
      <w:r>
        <w:rPr>
          <w:rFonts w:ascii="Arial" w:cs="Arial" w:eastAsia="Arial" w:hAnsi="Arial"/>
          <w:sz w:val="16"/>
          <w:szCs w:val="16"/>
          <w:color w:val="231F20"/>
        </w:rPr>
        <w:t xml:space="preserve"> 0.92%. The Company did not have an outstanding balance during the three months ended September 30, 2022. The applicable margin is between 0.75% to 1.25% for Domestic Rate Loans and between 1.75% and 2.25% for LIBOR Rate Loans based on maintaining certain undrawn availability ratios. The applicable margin as of September 30, 2022 was equal to</w:t>
      </w:r>
    </w:p>
    <w:p>
      <w:pPr>
        <w:spacing w:after="0"/>
        <w:rPr>
          <w:sz w:val="20"/>
          <w:szCs w:val="20"/>
          <w:color w:val="auto"/>
        </w:rPr>
      </w:pPr>
      <w:r>
        <w:rPr>
          <w:rFonts w:ascii="Arial" w:cs="Arial" w:eastAsia="Arial" w:hAnsi="Arial"/>
          <w:sz w:val="16"/>
          <w:szCs w:val="16"/>
          <w:color w:val="231F20"/>
        </w:rPr>
        <w:t>0.75% for Domestic Rate Loans and 1.75% for LIBOR Rate Loans. The facility fee for undrawn amounts under the Loan Agreement is 0.375% per annum.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We will be required to pay customary letter of credit fees, as necessary. Refer to Note 5</w:t>
      </w:r>
      <w:r>
        <w:rPr>
          <w:rFonts w:ascii="Arial" w:cs="Arial" w:eastAsia="Arial" w:hAnsi="Arial"/>
          <w:sz w:val="18"/>
          <w:szCs w:val="18"/>
          <w:color w:val="000000"/>
        </w:rPr>
        <w:t>—</w:t>
      </w:r>
      <w:r>
        <w:rPr>
          <w:rFonts w:ascii="Arial" w:cs="Arial" w:eastAsia="Arial" w:hAnsi="Arial"/>
          <w:sz w:val="18"/>
          <w:szCs w:val="18"/>
          <w:color w:val="231F20"/>
        </w:rPr>
        <w:t>Leases for additional information.</w:t>
      </w:r>
    </w:p>
    <w:p>
      <w:pPr>
        <w:spacing w:after="0" w:line="102"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231F20"/>
        </w:rPr>
        <w:t xml:space="preserve">The </w:t>
      </w:r>
      <w:r>
        <w:rPr>
          <w:rFonts w:ascii="Arial" w:cs="Arial" w:eastAsia="Arial" w:hAnsi="Arial"/>
          <w:sz w:val="17"/>
          <w:szCs w:val="17"/>
          <w:color w:val="000000"/>
        </w:rPr>
        <w:t>Loan</w:t>
      </w:r>
      <w:r>
        <w:rPr>
          <w:rFonts w:ascii="Arial" w:cs="Arial" w:eastAsia="Arial" w:hAnsi="Arial"/>
          <w:sz w:val="17"/>
          <w:szCs w:val="17"/>
          <w:color w:val="231F20"/>
        </w:rPr>
        <w:t xml:space="preserve">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 any time undrawn availability under the Loan Agreement is less than 25%. As of September 30, 2022, we were in compliance with all covenants.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10" w:lineRule="exact"/>
        <w:rPr>
          <w:sz w:val="20"/>
          <w:szCs w:val="20"/>
          <w:color w:val="auto"/>
        </w:rPr>
      </w:pPr>
    </w:p>
    <w:p>
      <w:pPr>
        <w:ind w:right="320" w:firstLine="510"/>
        <w:spacing w:after="0" w:line="276" w:lineRule="auto"/>
        <w:rPr>
          <w:sz w:val="20"/>
          <w:szCs w:val="20"/>
          <w:color w:val="auto"/>
        </w:rPr>
      </w:pPr>
      <w:r>
        <w:rPr>
          <w:rFonts w:ascii="Arial" w:cs="Arial" w:eastAsia="Arial" w:hAnsi="Arial"/>
          <w:sz w:val="18"/>
          <w:szCs w:val="18"/>
          <w:color w:val="auto"/>
        </w:rPr>
        <w:t>On May 6, 2022, the Company fully paid off the outstanding balance of advances under our revolving credit facility, and the carrying value as of September 30, 2022 was zero.</w:t>
      </w:r>
    </w:p>
    <w:p>
      <w:pPr>
        <w:spacing w:after="0" w:line="63" w:lineRule="exact"/>
        <w:rPr>
          <w:sz w:val="20"/>
          <w:szCs w:val="20"/>
          <w:color w:val="auto"/>
        </w:rPr>
      </w:pPr>
    </w:p>
    <w:p>
      <w:pPr>
        <w:ind w:right="40" w:firstLine="510"/>
        <w:spacing w:after="0" w:line="258" w:lineRule="auto"/>
        <w:rPr>
          <w:sz w:val="20"/>
          <w:szCs w:val="20"/>
          <w:color w:val="auto"/>
        </w:rPr>
      </w:pPr>
      <w:r>
        <w:rPr>
          <w:rFonts w:ascii="Arial" w:cs="Arial" w:eastAsia="Arial" w:hAnsi="Arial"/>
          <w:sz w:val="18"/>
          <w:szCs w:val="18"/>
          <w:color w:val="231F20"/>
        </w:rPr>
        <w:t xml:space="preserve">The carrying value as of December 31, 2021 was $17.5 million, which was recorded in “Long-term debt” on the condensed consolidated balance sheet </w:t>
      </w:r>
      <w:r>
        <w:rPr>
          <w:rFonts w:ascii="Arial" w:cs="Arial" w:eastAsia="Arial" w:hAnsi="Arial"/>
          <w:sz w:val="18"/>
          <w:szCs w:val="18"/>
          <w:color w:val="000000"/>
        </w:rPr>
        <w:t>and</w:t>
      </w:r>
      <w:r>
        <w:rPr>
          <w:rFonts w:ascii="Arial" w:cs="Arial" w:eastAsia="Arial" w:hAnsi="Arial"/>
          <w:sz w:val="18"/>
          <w:szCs w:val="18"/>
          <w:color w:val="231F20"/>
        </w:rPr>
        <w:t xml:space="preserve"> approximated its fair value </w:t>
      </w:r>
      <w:r>
        <w:rPr>
          <w:rFonts w:ascii="Arial" w:cs="Arial" w:eastAsia="Arial" w:hAnsi="Arial"/>
          <w:sz w:val="18"/>
          <w:szCs w:val="18"/>
          <w:color w:val="000000"/>
        </w:rPr>
        <w:t>as the interest rate is variable and approximates prevailing market interest rates for similar debt arrangements. The fair</w:t>
      </w:r>
      <w:r>
        <w:rPr>
          <w:rFonts w:ascii="Arial" w:cs="Arial" w:eastAsia="Arial" w:hAnsi="Arial"/>
          <w:sz w:val="18"/>
          <w:szCs w:val="18"/>
          <w:color w:val="231F20"/>
        </w:rPr>
        <w:t xml:space="preserve"> </w:t>
      </w:r>
      <w:r>
        <w:rPr>
          <w:rFonts w:ascii="Arial" w:cs="Arial" w:eastAsia="Arial" w:hAnsi="Arial"/>
          <w:sz w:val="18"/>
          <w:szCs w:val="18"/>
          <w:color w:val="000000"/>
        </w:rPr>
        <w:t>value of debt was estimated using primarily level 2 inputs including quoted market prices or discounted cash flow analyses, based on estimated incremental borrowing rates for similar types of borrowing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 xml:space="preserve">On April 14, 2020, the Company received proceeds from a </w:t>
      </w:r>
      <w:r>
        <w:rPr>
          <w:rFonts w:ascii="Arial" w:cs="Arial" w:eastAsia="Arial" w:hAnsi="Arial"/>
          <w:sz w:val="16"/>
          <w:szCs w:val="16"/>
          <w:color w:val="000000"/>
        </w:rPr>
        <w:t>Paycheck Protection Program Loan (the “</w:t>
      </w:r>
      <w:r>
        <w:rPr>
          <w:rFonts w:ascii="Arial" w:cs="Arial" w:eastAsia="Arial" w:hAnsi="Arial"/>
          <w:sz w:val="16"/>
          <w:szCs w:val="16"/>
          <w:color w:val="231F20"/>
        </w:rPr>
        <w:t>PPP Loan”) in the amount of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$6.0 million from PNC Bank, as lender, pursuant to the </w:t>
      </w:r>
      <w:r>
        <w:rPr>
          <w:rFonts w:ascii="Arial" w:cs="Arial" w:eastAsia="Arial" w:hAnsi="Arial"/>
          <w:sz w:val="16"/>
          <w:szCs w:val="16"/>
          <w:color w:val="000000"/>
        </w:rPr>
        <w:t>Paycheck Protection Program</w:t>
      </w:r>
      <w:r>
        <w:rPr>
          <w:rFonts w:ascii="Arial" w:cs="Arial" w:eastAsia="Arial" w:hAnsi="Arial"/>
          <w:sz w:val="16"/>
          <w:szCs w:val="16"/>
          <w:color w:val="231F20"/>
        </w:rPr>
        <w:t xml:space="preserve"> of the Coronavirus Aid, Relief, and Economic Security Act (“CARES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31F20"/>
        </w:rPr>
        <w:t>Act”). The PPP Loan, which was evidenced by a note dated April 11, 2020, bore interest at an annual rate of 1.0% and matured on April 11, 2022. No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231F20"/>
        </w:rPr>
        <w:t>interest or principal was due during the first fifteen months after April 11, 2020, although interest continued to accrue over this fifteen-month deferral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31F20"/>
        </w:rPr>
        <w:t>period.</w:t>
      </w:r>
    </w:p>
    <w:p>
      <w:pPr>
        <w:spacing w:after="0" w:line="10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231F20"/>
        </w:rPr>
        <w:t xml:space="preserve">Proceeds from loans granted under the CARES Act were to be used for payroll, costs to continue employee group health care benefits, rent, </w:t>
      </w:r>
      <w:r>
        <w:rPr>
          <w:rFonts w:ascii="Arial" w:cs="Arial" w:eastAsia="Arial" w:hAnsi="Arial"/>
          <w:sz w:val="16"/>
          <w:szCs w:val="16"/>
          <w:color w:val="000000"/>
        </w:rPr>
        <w:t>utilities</w:t>
      </w:r>
      <w:r>
        <w:rPr>
          <w:rFonts w:ascii="Arial" w:cs="Arial" w:eastAsia="Arial" w:hAnsi="Arial"/>
          <w:sz w:val="16"/>
          <w:szCs w:val="16"/>
          <w:color w:val="231F20"/>
        </w:rPr>
        <w:t xml:space="preserve"> and certain other qualified costs (collectively, “qualifying expenses”). The Company used the PPP Loan proceeds for qualifying expenses. In June 2021, </w:t>
      </w:r>
      <w:r>
        <w:rPr>
          <w:rFonts w:ascii="Arial" w:cs="Arial" w:eastAsia="Arial" w:hAnsi="Arial"/>
          <w:sz w:val="16"/>
          <w:szCs w:val="16"/>
          <w:color w:val="000000"/>
        </w:rPr>
        <w:t>the</w:t>
      </w:r>
      <w:r>
        <w:rPr>
          <w:rFonts w:ascii="Arial" w:cs="Arial" w:eastAsia="Arial" w:hAnsi="Arial"/>
          <w:sz w:val="16"/>
          <w:szCs w:val="16"/>
          <w:color w:val="231F20"/>
        </w:rPr>
        <w:t xml:space="preserve"> </w:t>
      </w:r>
      <w:r>
        <w:rPr>
          <w:rFonts w:ascii="Arial" w:cs="Arial" w:eastAsia="Arial" w:hAnsi="Arial"/>
          <w:sz w:val="16"/>
          <w:szCs w:val="16"/>
          <w:color w:val="000000"/>
        </w:rPr>
        <w:t>Company received notice of forgiveness of the PPP Loan in whole, including all accrued unpaid interest and recorded the forgiveness of approximately $6.0 million of principal and $0.1 million of accrued interest in “Gain on extinguishment of debt” in the condensed consolidated statements of operations.</w:t>
      </w:r>
    </w:p>
    <w:p>
      <w:pPr>
        <w:spacing w:after="0" w:line="255"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22"/>
          <w:szCs w:val="22"/>
          <w:b w:val="1"/>
          <w:bCs w:val="1"/>
          <w:color w:val="231F20"/>
        </w:rPr>
      </w:pPr>
      <w:r>
        <w:rPr>
          <w:rFonts w:ascii="Arial" w:cs="Arial" w:eastAsia="Arial" w:hAnsi="Arial"/>
          <w:sz w:val="22"/>
          <w:szCs w:val="22"/>
          <w:b w:val="1"/>
          <w:bCs w:val="1"/>
          <w:i w:val="1"/>
          <w:iCs w:val="1"/>
          <w:color w:val="231F20"/>
        </w:rPr>
        <w:t>Stock-Based Compensation</w:t>
      </w:r>
    </w:p>
    <w:p>
      <w:pPr>
        <w:spacing w:after="0" w:line="104"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231F20"/>
        </w:rPr>
        <w:t xml:space="preserve">In connection with the IPO, which occurred on February 12, 2021, the Phantom Unit Plan was replaced by the LTIP. On February 12, 2021, 6.2 million restricted stock units (“RSUs”) were granted under the LTIP. The Company is authorized to grant RSUs, incentive stock options, nonqualified stock options, stock appreciation rights, restricted stock awards, and performance stock awards under its LTIP. As of September 30, 2022, the Company had only granted RSUs and nonqualified stock options under the LTIP. Under the LTIP, </w:t>
      </w:r>
      <w:r>
        <w:rPr>
          <w:rFonts w:ascii="Arial" w:cs="Arial" w:eastAsia="Arial" w:hAnsi="Arial"/>
          <w:sz w:val="18"/>
          <w:szCs w:val="18"/>
          <w:color w:val="000000"/>
        </w:rPr>
        <w:t>3.9</w:t>
      </w:r>
      <w:r>
        <w:rPr>
          <w:rFonts w:ascii="Arial" w:cs="Arial" w:eastAsia="Arial" w:hAnsi="Arial"/>
          <w:sz w:val="18"/>
          <w:szCs w:val="18"/>
          <w:color w:val="231F20"/>
        </w:rPr>
        <w:t xml:space="preserve"> million shares of Class A common stock remained available for grant as of September 30, 2022.</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Stock-based compensation recorded in the condensed consolidated statements of operations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520" w:type="dxa"/>
            <w:vAlign w:val="bottom"/>
            <w:gridSpan w:val="5"/>
          </w:tcPr>
          <w:p>
            <w:pPr>
              <w:jc w:val="right"/>
              <w:ind w:right="127"/>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60"/>
              <w:spacing w:after="0"/>
              <w:rPr>
                <w:sz w:val="20"/>
                <w:szCs w:val="20"/>
                <w:color w:val="auto"/>
              </w:rPr>
            </w:pPr>
            <w:r>
              <w:rPr>
                <w:rFonts w:ascii="Arial" w:cs="Arial" w:eastAsia="Arial" w:hAnsi="Arial"/>
                <w:sz w:val="18"/>
                <w:szCs w:val="18"/>
                <w:b w:val="1"/>
                <w:bCs w:val="1"/>
                <w:color w:val="auto"/>
              </w:rPr>
              <w:t>Nine Months Ended</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Platform operations</w:t>
            </w:r>
          </w:p>
        </w:tc>
        <w:tc>
          <w:tcPr>
            <w:tcW w:w="92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1,233</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3,142</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3,622</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11,843</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9"/>
                <w:szCs w:val="19"/>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88"/>
              </w:rPr>
              <w:t>2,324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4,859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6,929</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23,586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1,430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2,724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15,780</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4"/>
              </w:rPr>
              <w:t>7,711</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15,415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21,855</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62,192</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7"/>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RSUs</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231F20"/>
              </w:rPr>
              <w:t>The following summarizes RSU activity:</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Number of 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8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Grant Date Fair Value</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 December 31, 2021</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2,284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Canceled/forfeited</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 March 31, 2022</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0" w:type="dxa"/>
            <w:vAlign w:val="bottom"/>
            <w:vMerge w:val="restart"/>
          </w:tcPr>
          <w:p>
            <w:pPr>
              <w:ind w:left="140"/>
              <w:spacing w:after="0"/>
              <w:rPr>
                <w:sz w:val="20"/>
                <w:szCs w:val="20"/>
                <w:color w:val="auto"/>
              </w:rPr>
            </w:pPr>
            <w:r>
              <w:rPr>
                <w:rFonts w:ascii="Arial" w:cs="Arial" w:eastAsia="Arial" w:hAnsi="Arial"/>
                <w:sz w:val="18"/>
                <w:szCs w:val="18"/>
                <w:color w:val="auto"/>
              </w:rPr>
              <w:t>Granted</w:t>
            </w: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Canceled/forfeited</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 June 30, 2022</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0" w:type="dxa"/>
            <w:vAlign w:val="bottom"/>
            <w:vMerge w:val="restart"/>
          </w:tcPr>
          <w:p>
            <w:pPr>
              <w:ind w:left="140"/>
              <w:spacing w:after="0"/>
              <w:rPr>
                <w:sz w:val="20"/>
                <w:szCs w:val="20"/>
                <w:color w:val="auto"/>
              </w:rPr>
            </w:pPr>
            <w:r>
              <w:rPr>
                <w:rFonts w:ascii="Arial" w:cs="Arial" w:eastAsia="Arial" w:hAnsi="Arial"/>
                <w:sz w:val="18"/>
                <w:szCs w:val="18"/>
                <w:color w:val="auto"/>
              </w:rPr>
              <w:t>Granted</w:t>
            </w: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Canceled/forfeited</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 September 30, 2022</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20" w:firstLine="510"/>
        <w:spacing w:after="0" w:line="276" w:lineRule="auto"/>
        <w:rPr>
          <w:sz w:val="20"/>
          <w:szCs w:val="20"/>
          <w:color w:val="auto"/>
        </w:rPr>
      </w:pPr>
      <w:r>
        <w:rPr>
          <w:rFonts w:ascii="Arial" w:cs="Arial" w:eastAsia="Arial" w:hAnsi="Arial"/>
          <w:sz w:val="18"/>
          <w:szCs w:val="18"/>
          <w:color w:val="auto"/>
        </w:rPr>
        <w:t>As of September 30, 2022, the Company had unrecognized stock-based compensation relating to RSUs of approximately $50.9 million, which is expected to be recognized over a weighted-average period of 2.6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nonqualified stock option activity: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Weighted-Average</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17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Number of Options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Weighted-Average</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Contractual Term</w:t>
            </w:r>
          </w:p>
        </w:tc>
        <w:tc>
          <w:tcPr>
            <w:tcW w:w="18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 Price</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(years)</w:t>
            </w:r>
          </w:p>
        </w:tc>
        <w:tc>
          <w:tcPr>
            <w:tcW w:w="18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22"/>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2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3,565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Canceled</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12.02</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as of March 31, 2022</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Borders>
              <w:bottom w:val="single" w:sz="8" w:color="CFF0FC"/>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Exercised</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Canceled</w:t>
            </w: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Expired</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3,898</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Granted</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Canceled</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8.58</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Arial" w:cs="Arial" w:eastAsia="Arial" w:hAnsi="Arial"/>
                <w:sz w:val="18"/>
                <w:szCs w:val="18"/>
                <w:color w:val="auto"/>
              </w:rPr>
              <w:t>Outstanding as of September 30, 2022</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6.35</w:t>
            </w:r>
          </w:p>
        </w:tc>
        <w:tc>
          <w:tcPr>
            <w:tcW w:w="26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2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Vested and exercisable</w:t>
            </w:r>
          </w:p>
        </w:tc>
        <w:tc>
          <w:tcPr>
            <w:tcW w:w="16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19.23</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3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9"/>
              </w:rPr>
              <w:t>18</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00" w:lineRule="exact"/>
        <w:rPr>
          <w:sz w:val="20"/>
          <w:szCs w:val="20"/>
          <w:color w:val="auto"/>
        </w:rPr>
      </w:pPr>
    </w:p>
    <w:p>
      <w:pPr>
        <w:spacing w:after="0" w:line="225"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The weighted-average grant date fair value of the nonqualified stock options granted during the three and nine months ended September 30, 2022 was $2.78 and $3.50, respectively. The Company had unrecognized stock-based compensation relating to unvested nonqualified stock options of approximately $12.2 million, which is expected to be recognized over a weighted-average period of 3.5 years, as of September 30, 2022.</w:t>
      </w:r>
    </w:p>
    <w:p>
      <w:pPr>
        <w:spacing w:after="0" w:line="39" w:lineRule="exact"/>
        <w:rPr>
          <w:sz w:val="20"/>
          <w:szCs w:val="20"/>
          <w:color w:val="auto"/>
        </w:rPr>
      </w:pPr>
    </w:p>
    <w:p>
      <w:pPr>
        <w:ind w:right="20" w:firstLine="510"/>
        <w:spacing w:after="0" w:line="276" w:lineRule="auto"/>
        <w:rPr>
          <w:sz w:val="20"/>
          <w:szCs w:val="20"/>
          <w:color w:val="auto"/>
        </w:rPr>
      </w:pPr>
      <w:r>
        <w:rPr>
          <w:rFonts w:ascii="Arial" w:cs="Arial" w:eastAsia="Arial" w:hAnsi="Arial"/>
          <w:sz w:val="18"/>
          <w:szCs w:val="18"/>
          <w:color w:val="231F20"/>
        </w:rPr>
        <w:t>The following table presents the assumptions used in the Black-Scholes model to determine the fair value of nonqualified stock options for the three and nine months ended September 30, 2022 and 2021.</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3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and Nine Months Ended</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1"/>
              </w:rPr>
              <w:t>Three and Nine Months Ended</w:t>
            </w:r>
          </w:p>
        </w:tc>
      </w:tr>
      <w:tr>
        <w:trPr>
          <w:trHeight w:val="234"/>
        </w:trPr>
        <w:tc>
          <w:tcPr>
            <w:tcW w:w="3720" w:type="dxa"/>
            <w:vAlign w:val="bottom"/>
          </w:tcPr>
          <w:p>
            <w:pPr>
              <w:spacing w:after="0"/>
              <w:rPr>
                <w:sz w:val="20"/>
                <w:szCs w:val="20"/>
                <w:color w:val="auto"/>
              </w:rPr>
            </w:pPr>
          </w:p>
        </w:tc>
        <w:tc>
          <w:tcPr>
            <w:tcW w:w="3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September 30,</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2"/>
        </w:trPr>
        <w:tc>
          <w:tcPr>
            <w:tcW w:w="3720" w:type="dxa"/>
            <w:vAlign w:val="bottom"/>
            <w:tcBorders>
              <w:bottom w:val="single" w:sz="8" w:color="CFF0FC"/>
            </w:tcBorders>
          </w:tcPr>
          <w:p>
            <w:pPr>
              <w:spacing w:after="0"/>
              <w:rPr>
                <w:sz w:val="19"/>
                <w:szCs w:val="19"/>
                <w:color w:val="auto"/>
              </w:rPr>
            </w:pPr>
          </w:p>
        </w:tc>
        <w:tc>
          <w:tcPr>
            <w:tcW w:w="3160" w:type="dxa"/>
            <w:vAlign w:val="bottom"/>
            <w:tcBorders>
              <w:top w:val="single" w:sz="8" w:color="auto"/>
              <w:bottom w:val="single" w:sz="8" w:color="auto"/>
            </w:tcBorders>
            <w:gridSpan w:val="2"/>
          </w:tcPr>
          <w:p>
            <w:pPr>
              <w:jc w:val="right"/>
              <w:ind w:right="13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FF0FC"/>
            </w:tcBorders>
          </w:tcPr>
          <w:p>
            <w:pPr>
              <w:spacing w:after="0"/>
              <w:rPr>
                <w:sz w:val="19"/>
                <w:szCs w:val="19"/>
                <w:color w:val="auto"/>
              </w:rPr>
            </w:pPr>
          </w:p>
        </w:tc>
        <w:tc>
          <w:tcPr>
            <w:tcW w:w="3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2"/>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- 2.0%</w:t>
            </w:r>
          </w:p>
        </w:tc>
        <w:tc>
          <w:tcPr>
            <w:tcW w:w="220" w:type="dxa"/>
            <w:vAlign w:val="bottom"/>
            <w:shd w:val="clear" w:color="auto" w:fill="CFF0FC"/>
          </w:tcPr>
          <w:p>
            <w:pPr>
              <w:spacing w:after="0"/>
              <w:rPr>
                <w:sz w:val="19"/>
                <w:szCs w:val="19"/>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1.2%</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tcPr>
          <w:p>
            <w:pPr>
              <w:jc w:val="right"/>
              <w:spacing w:after="0"/>
              <w:rPr>
                <w:sz w:val="20"/>
                <w:szCs w:val="20"/>
                <w:color w:val="auto"/>
              </w:rPr>
            </w:pPr>
            <w:r>
              <w:rPr>
                <w:rFonts w:ascii="Arial" w:cs="Arial" w:eastAsia="Arial" w:hAnsi="Arial"/>
                <w:sz w:val="18"/>
                <w:szCs w:val="18"/>
                <w:color w:val="auto"/>
              </w:rPr>
              <w:t>61.5%</w:t>
            </w:r>
          </w:p>
        </w:tc>
        <w:tc>
          <w:tcPr>
            <w:tcW w:w="1640" w:type="dxa"/>
            <w:vAlign w:val="bottom"/>
          </w:tcPr>
          <w:p>
            <w:pPr>
              <w:ind w:left="40"/>
              <w:spacing w:after="0"/>
              <w:rPr>
                <w:sz w:val="20"/>
                <w:szCs w:val="20"/>
                <w:color w:val="auto"/>
              </w:rPr>
            </w:pPr>
            <w:r>
              <w:rPr>
                <w:rFonts w:ascii="Arial" w:cs="Arial" w:eastAsia="Arial" w:hAnsi="Arial"/>
                <w:sz w:val="18"/>
                <w:szCs w:val="18"/>
                <w:color w:val="auto"/>
              </w:rPr>
              <w:t>- 62.7%</w:t>
            </w:r>
          </w:p>
        </w:tc>
        <w:tc>
          <w:tcPr>
            <w:tcW w:w="22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61.1%</w:t>
            </w: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- 6.0</w:t>
            </w:r>
          </w:p>
        </w:tc>
        <w:tc>
          <w:tcPr>
            <w:tcW w:w="220" w:type="dxa"/>
            <w:vAlign w:val="bottom"/>
            <w:shd w:val="clear" w:color="auto" w:fill="CFF0FC"/>
          </w:tcPr>
          <w:p>
            <w:pPr>
              <w:spacing w:after="0"/>
              <w:rPr>
                <w:sz w:val="19"/>
                <w:szCs w:val="19"/>
                <w:color w:val="auto"/>
              </w:rPr>
            </w:pPr>
          </w:p>
        </w:tc>
        <w:tc>
          <w:tcPr>
            <w:tcW w:w="3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5.9</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160" w:type="dxa"/>
            <w:vAlign w:val="bottom"/>
            <w:gridSpan w:val="2"/>
          </w:tcPr>
          <w:p>
            <w:pPr>
              <w:jc w:val="right"/>
              <w:ind w:right="131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200" w:lineRule="exact"/>
        <w:rPr>
          <w:sz w:val="20"/>
          <w:szCs w:val="20"/>
          <w:color w:val="auto"/>
        </w:rPr>
      </w:pPr>
    </w:p>
    <w:p>
      <w:pPr>
        <w:ind w:right="240" w:firstLine="510"/>
        <w:spacing w:after="0" w:line="276" w:lineRule="auto"/>
        <w:rPr>
          <w:sz w:val="20"/>
          <w:szCs w:val="20"/>
          <w:color w:val="auto"/>
        </w:rPr>
      </w:pPr>
      <w:r>
        <w:rPr>
          <w:rFonts w:ascii="Arial" w:cs="Arial" w:eastAsia="Arial" w:hAnsi="Arial"/>
          <w:sz w:val="18"/>
          <w:szCs w:val="18"/>
          <w:i w:val="1"/>
          <w:iCs w:val="1"/>
          <w:color w:val="231F20"/>
        </w:rPr>
        <w:t xml:space="preserve">Risk-Free Interest Rate. </w:t>
      </w:r>
      <w:r>
        <w:rPr>
          <w:rFonts w:ascii="Arial" w:cs="Arial" w:eastAsia="Arial" w:hAnsi="Arial"/>
          <w:sz w:val="18"/>
          <w:szCs w:val="18"/>
          <w:color w:val="231F20"/>
        </w:rPr>
        <w:t>The Company bases the risk-free interest rate assumption for equity awards on the rates for U.S. Treasury securities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maturities similar to those of the expected term of the award being valued.</w:t>
      </w:r>
    </w:p>
    <w:p>
      <w:pPr>
        <w:spacing w:after="0" w:line="63" w:lineRule="exact"/>
        <w:rPr>
          <w:sz w:val="20"/>
          <w:szCs w:val="20"/>
          <w:color w:val="auto"/>
        </w:rPr>
      </w:pPr>
    </w:p>
    <w:p>
      <w:pPr>
        <w:ind w:right="420" w:firstLine="510"/>
        <w:spacing w:after="0" w:line="285" w:lineRule="auto"/>
        <w:rPr>
          <w:sz w:val="20"/>
          <w:szCs w:val="20"/>
          <w:color w:val="auto"/>
        </w:rPr>
      </w:pPr>
      <w:r>
        <w:rPr>
          <w:rFonts w:ascii="Arial" w:cs="Arial" w:eastAsia="Arial" w:hAnsi="Arial"/>
          <w:sz w:val="17"/>
          <w:szCs w:val="17"/>
          <w:i w:val="1"/>
          <w:iCs w:val="1"/>
          <w:color w:val="231F20"/>
        </w:rPr>
        <w:t xml:space="preserve">Expected Volatility. </w:t>
      </w:r>
      <w:r>
        <w:rPr>
          <w:rFonts w:ascii="Arial" w:cs="Arial" w:eastAsia="Arial" w:hAnsi="Arial"/>
          <w:sz w:val="17"/>
          <w:szCs w:val="17"/>
          <w:color w:val="231F20"/>
        </w:rPr>
        <w:t>Due to the limited trading history of the Company’s Class A common stock, the expected volatility assumption is based on</w:t>
      </w:r>
      <w:r>
        <w:rPr>
          <w:rFonts w:ascii="Arial" w:cs="Arial" w:eastAsia="Arial" w:hAnsi="Arial"/>
          <w:sz w:val="17"/>
          <w:szCs w:val="17"/>
          <w:i w:val="1"/>
          <w:iCs w:val="1"/>
          <w:color w:val="231F20"/>
        </w:rPr>
        <w:t xml:space="preserve"> </w:t>
      </w:r>
      <w:r>
        <w:rPr>
          <w:rFonts w:ascii="Arial" w:cs="Arial" w:eastAsia="Arial" w:hAnsi="Arial"/>
          <w:sz w:val="17"/>
          <w:szCs w:val="17"/>
          <w:color w:val="231F20"/>
        </w:rPr>
        <w:t>volatilities of a peer group of similar companies whose share prices are publicly available. The Company will continue to apply this process until a sufficient amount of historical information regarding the volatility of the Company’s own stock price becomes available.</w:t>
      </w:r>
    </w:p>
    <w:p>
      <w:pPr>
        <w:spacing w:after="0" w:line="58" w:lineRule="exact"/>
        <w:rPr>
          <w:sz w:val="20"/>
          <w:szCs w:val="20"/>
          <w:color w:val="auto"/>
        </w:rPr>
      </w:pPr>
    </w:p>
    <w:p>
      <w:pPr>
        <w:ind w:right="80" w:firstLine="510"/>
        <w:spacing w:after="0" w:line="285" w:lineRule="auto"/>
        <w:rPr>
          <w:sz w:val="20"/>
          <w:szCs w:val="20"/>
          <w:color w:val="auto"/>
        </w:rPr>
      </w:pPr>
      <w:r>
        <w:rPr>
          <w:rFonts w:ascii="Arial" w:cs="Arial" w:eastAsia="Arial" w:hAnsi="Arial"/>
          <w:sz w:val="17"/>
          <w:szCs w:val="17"/>
          <w:i w:val="1"/>
          <w:iCs w:val="1"/>
          <w:color w:val="231F20"/>
        </w:rPr>
        <w:t xml:space="preserve">Expected Term. </w:t>
      </w:r>
      <w:r>
        <w:rPr>
          <w:rFonts w:ascii="Arial" w:cs="Arial" w:eastAsia="Arial" w:hAnsi="Arial"/>
          <w:sz w:val="17"/>
          <w:szCs w:val="17"/>
          <w:color w:val="231F20"/>
        </w:rPr>
        <w:t>Given the insufficient historical data relating to nonqualified stock option exercises, the expected term assumption is based on</w:t>
      </w:r>
      <w:r>
        <w:rPr>
          <w:rFonts w:ascii="Arial" w:cs="Arial" w:eastAsia="Arial" w:hAnsi="Arial"/>
          <w:sz w:val="17"/>
          <w:szCs w:val="17"/>
          <w:i w:val="1"/>
          <w:iCs w:val="1"/>
          <w:color w:val="231F20"/>
        </w:rPr>
        <w:t xml:space="preserve"> </w:t>
      </w:r>
      <w:r>
        <w:rPr>
          <w:rFonts w:ascii="Arial" w:cs="Arial" w:eastAsia="Arial" w:hAnsi="Arial"/>
          <w:sz w:val="17"/>
          <w:szCs w:val="17"/>
          <w:color w:val="231F20"/>
        </w:rPr>
        <w:t>expected terms of a peer group of similar companies whose expected terms are publicly available. The Company will continue to apply this process until a sufficient amount of historical information regarding the Company’s nonqualified stock option exercises becomes available.</w:t>
      </w:r>
    </w:p>
    <w:p>
      <w:pPr>
        <w:spacing w:after="0" w:line="58" w:lineRule="exact"/>
        <w:rPr>
          <w:sz w:val="20"/>
          <w:szCs w:val="20"/>
          <w:color w:val="auto"/>
        </w:rPr>
      </w:pPr>
    </w:p>
    <w:p>
      <w:pPr>
        <w:ind w:right="120" w:firstLine="510"/>
        <w:spacing w:after="0" w:line="276" w:lineRule="auto"/>
        <w:rPr>
          <w:sz w:val="20"/>
          <w:szCs w:val="20"/>
          <w:color w:val="auto"/>
        </w:rPr>
      </w:pPr>
      <w:r>
        <w:rPr>
          <w:rFonts w:ascii="Arial" w:cs="Arial" w:eastAsia="Arial" w:hAnsi="Arial"/>
          <w:sz w:val="18"/>
          <w:szCs w:val="18"/>
          <w:i w:val="1"/>
          <w:iCs w:val="1"/>
          <w:color w:val="231F20"/>
        </w:rPr>
        <w:t xml:space="preserve">Expected Dividend Yield. </w:t>
      </w:r>
      <w:r>
        <w:rPr>
          <w:rFonts w:ascii="Arial" w:cs="Arial" w:eastAsia="Arial" w:hAnsi="Arial"/>
          <w:sz w:val="18"/>
          <w:szCs w:val="18"/>
          <w:color w:val="231F20"/>
        </w:rPr>
        <w:t>The Company’s expected dividend yield assumption is zero as it has never paid dividends and has no present intention to</w:t>
      </w:r>
      <w:r>
        <w:rPr>
          <w:rFonts w:ascii="Arial" w:cs="Arial" w:eastAsia="Arial" w:hAnsi="Arial"/>
          <w:sz w:val="18"/>
          <w:szCs w:val="18"/>
          <w:i w:val="1"/>
          <w:iCs w:val="1"/>
          <w:color w:val="231F20"/>
        </w:rPr>
        <w:t xml:space="preserve"> </w:t>
      </w:r>
      <w:r>
        <w:rPr>
          <w:rFonts w:ascii="Arial" w:cs="Arial" w:eastAsia="Arial" w:hAnsi="Arial"/>
          <w:sz w:val="18"/>
          <w:szCs w:val="18"/>
          <w:color w:val="231F20"/>
        </w:rPr>
        <w:t>do so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Shares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Upon vesting of shares under the LTIP, we will issue treasury stock. If treasury stock is not available, Class A common stock will be issued.</w:t>
      </w:r>
    </w:p>
    <w:p>
      <w:pPr>
        <w:spacing w:after="0" w:line="22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2"/>
          <w:szCs w:val="22"/>
          <w:b w:val="1"/>
          <w:bCs w:val="1"/>
          <w:color w:val="231F20"/>
        </w:rPr>
      </w:pPr>
      <w:r>
        <w:rPr>
          <w:rFonts w:ascii="Arial" w:cs="Arial" w:eastAsia="Arial" w:hAnsi="Arial"/>
          <w:sz w:val="22"/>
          <w:szCs w:val="22"/>
          <w:b w:val="1"/>
          <w:bCs w:val="1"/>
          <w:i w:val="1"/>
          <w:iCs w:val="1"/>
          <w:color w:val="231F20"/>
        </w:rPr>
        <w:t>Income Taxes and Tax Receivable Agreement</w:t>
      </w:r>
    </w:p>
    <w:p>
      <w:pPr>
        <w:spacing w:after="0" w:line="10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as well as a pass-through permanent difference related to the forgiveness of the PPP Loan in the prior-year periods. The Company did not recognize an income tax benefit (expense) on its share of pre-tax book income (loss), exclusive of the noncontrolling interest of 76.5% due to the full valuation allowance against its deferred tax assets, resulting in an effective tax rate of 0.0% for each of the three and nine months ended September 30, 2022 and 2021.</w:t>
      </w:r>
    </w:p>
    <w:p>
      <w:pPr>
        <w:spacing w:after="0" w:line="6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As of September 30, 2022, management determined based on applicable accounting standards and the weight of all available evidence, it was not more likely than not (“MLTN”) that the Company will generate sufficient taxable income to realize our deferred tax assets including the difference in our tax basis in excess of the financial reporting value for our investment in Viant Technology LLC. Consequently, we have established a full valuation allowance against our deferred tax assets as of September 30, 2022. In the event that management subsequently determines that it is MLTN that we will realize our deferred tax assets in the future over the recorded amount, a decrease to the valuation allowance will be made, which will reduce the provision for income taxes.</w:t>
      </w:r>
    </w:p>
    <w:p>
      <w:pPr>
        <w:spacing w:after="0" w:line="95"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The Company has concluded based on applicable accounting standards and the weight of all available evidence, that it was MLTN that its deferred tax assets subject to the Tax Receivable Agreement entered into with Viant Technology LLC, continuing members of Viant Technology LLC and the TRA Representative (as defined in the TRA) on February 9, 2021 (“TRA”) would not be realized as of September 30, 2022. Therefore, the Company has not recorded a liability related to the remaining tax savings it may realize from utilization of such deferred tax assets after concluding it was not probable that such TRA liability would be paid based on its estimates of future taxable income. As of the September 30, 2022, the total unrecorded TRA liability is approximately $10.3 million. If utilization of the deferred tax assets subject to the TRA becomes MLTN in the future, the Company will record a liability related to the TRA, to the extent probable at that time, which will be recognized as an expense within its condensed consolidated statements of operations.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w:t>
      </w:r>
      <w:r>
        <w:rPr>
          <w:rFonts w:ascii="Arial" w:cs="Arial" w:eastAsia="Arial" w:hAnsi="Arial"/>
          <w:sz w:val="22"/>
          <w:szCs w:val="22"/>
          <w:b w:val="1"/>
          <w:bCs w:val="1"/>
          <w:color w:val="231F20"/>
        </w:rPr>
        <w:t>1.</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231F20"/>
        </w:rPr>
        <w:t>Loss Per Share</w:t>
      </w:r>
    </w:p>
    <w:p>
      <w:pPr>
        <w:spacing w:after="0" w:line="110"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231F20"/>
        </w:rPr>
        <w:t xml:space="preserve">For the three and nine months ended September 30, 2022 and 2021, basic net loss per share has been calculated by dividing net loss attributable to Class A common stockholders by the weighted-average number of shares of Class A common stock outstanding for the same period. </w:t>
      </w:r>
      <w:r>
        <w:rPr>
          <w:rFonts w:ascii="Arial" w:cs="Arial" w:eastAsia="Arial" w:hAnsi="Arial"/>
          <w:sz w:val="16"/>
          <w:szCs w:val="16"/>
          <w:color w:val="000000"/>
        </w:rPr>
        <w:t>Shares</w:t>
      </w:r>
      <w:r>
        <w:rPr>
          <w:rFonts w:ascii="Arial" w:cs="Arial" w:eastAsia="Arial" w:hAnsi="Arial"/>
          <w:sz w:val="16"/>
          <w:szCs w:val="16"/>
          <w:color w:val="231F20"/>
        </w:rPr>
        <w:t xml:space="preserve"> of Class A 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 xml:space="preserve">The </w:t>
      </w:r>
      <w:r>
        <w:rPr>
          <w:rFonts w:ascii="Arial" w:cs="Arial" w:eastAsia="Arial" w:hAnsi="Arial"/>
          <w:sz w:val="16"/>
          <w:szCs w:val="16"/>
          <w:color w:val="000000"/>
        </w:rPr>
        <w:t>following</w:t>
      </w:r>
      <w:r>
        <w:rPr>
          <w:rFonts w:ascii="Arial" w:cs="Arial" w:eastAsia="Arial" w:hAnsi="Arial"/>
          <w:sz w:val="16"/>
          <w:szCs w:val="16"/>
          <w:color w:val="231F20"/>
        </w:rPr>
        <w:t xml:space="preserve"> table presents the calculation of basic and diluted net loss per share for the three and nine months ended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5"/>
              </w:rPr>
              <w:t>Three Months Ended</w:t>
            </w:r>
          </w:p>
        </w:tc>
        <w:tc>
          <w:tcPr>
            <w:tcW w:w="180" w:type="dxa"/>
            <w:vAlign w:val="bottom"/>
          </w:tcPr>
          <w:p>
            <w:pPr>
              <w:spacing w:after="0"/>
              <w:rPr>
                <w:sz w:val="18"/>
                <w:szCs w:val="18"/>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1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63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2"/>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(12,426)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(12,160)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(40,081)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(45,127)</w:t>
            </w: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(9,300)</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(9,623)</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(30,362)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(35,829)</w:t>
            </w:r>
          </w:p>
        </w:tc>
      </w:tr>
      <w:tr>
        <w:trPr>
          <w:trHeight w:val="262"/>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Viant Technology Inc.</w:t>
            </w:r>
          </w:p>
        </w:tc>
        <w:tc>
          <w:tcPr>
            <w:tcW w:w="1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2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(9,719)</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(9,298)</w:t>
            </w:r>
          </w:p>
        </w:tc>
        <w:tc>
          <w:tcPr>
            <w:tcW w:w="120" w:type="dxa"/>
            <w:vAlign w:val="bottom"/>
            <w:tcBorders>
              <w:bottom w:val="single" w:sz="8" w:color="CFF0FC"/>
            </w:tcBorders>
          </w:tcPr>
          <w:p>
            <w:pPr>
              <w:spacing w:after="0"/>
              <w:rPr>
                <w:sz w:val="22"/>
                <w:szCs w:val="22"/>
                <w:color w:val="auto"/>
              </w:rPr>
            </w:pPr>
          </w:p>
        </w:tc>
      </w:tr>
      <w:tr>
        <w:trPr>
          <w:trHeight w:val="209"/>
        </w:trPr>
        <w:tc>
          <w:tcPr>
            <w:tcW w:w="6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2"/>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Weighted-average shares of Class A common stock outstanding—basic and diluted</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14,306</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12,489</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14,078</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120" w:type="dxa"/>
            <w:vAlign w:val="bottom"/>
            <w:tcBorders>
              <w:bottom w:val="single" w:sz="8" w:color="CFF0FC"/>
            </w:tcBorders>
          </w:tcPr>
          <w:p>
            <w:pPr>
              <w:spacing w:after="0"/>
              <w:rPr>
                <w:sz w:val="22"/>
                <w:szCs w:val="22"/>
                <w:color w:val="auto"/>
              </w:rPr>
            </w:pPr>
          </w:p>
        </w:tc>
      </w:tr>
      <w:tr>
        <w:trPr>
          <w:trHeight w:val="209"/>
        </w:trPr>
        <w:tc>
          <w:tcPr>
            <w:tcW w:w="6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9"/>
        </w:trPr>
        <w:tc>
          <w:tcPr>
            <w:tcW w:w="6360" w:type="dxa"/>
            <w:vAlign w:val="bottom"/>
          </w:tcPr>
          <w:p>
            <w:pPr>
              <w:spacing w:after="0"/>
              <w:rPr>
                <w:sz w:val="20"/>
                <w:szCs w:val="20"/>
                <w:color w:val="auto"/>
              </w:rPr>
            </w:pPr>
            <w:r>
              <w:rPr>
                <w:rFonts w:ascii="Arial" w:cs="Arial" w:eastAsia="Arial" w:hAnsi="Arial"/>
                <w:sz w:val="18"/>
                <w:szCs w:val="18"/>
                <w:color w:val="auto"/>
              </w:rPr>
              <w:t>Loss per share of Class A common stock—basic</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r>
      <w:tr>
        <w:trPr>
          <w:trHeight w:val="209"/>
        </w:trPr>
        <w:tc>
          <w:tcPr>
            <w:tcW w:w="6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per share of Class A common stock—diluted</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w w:val="94"/>
              </w:rPr>
              <w:t>Anti-dilutive shares excluded from loss per share of Class A common stock—diluted:</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19"/>
                <w:szCs w:val="19"/>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Nonqualified stock options</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r>
      <w:tr>
        <w:trPr>
          <w:trHeight w:val="229"/>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of Class B common stock</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47,137</w:t>
            </w:r>
          </w:p>
        </w:tc>
        <w:tc>
          <w:tcPr>
            <w:tcW w:w="120" w:type="dxa"/>
            <w:vAlign w:val="bottom"/>
            <w:tcBorders>
              <w:bottom w:val="single" w:sz="8" w:color="CFF0FC"/>
            </w:tcBorders>
          </w:tcPr>
          <w:p>
            <w:pPr>
              <w:spacing w:after="0"/>
              <w:rPr>
                <w:sz w:val="19"/>
                <w:szCs w:val="19"/>
                <w:color w:val="auto"/>
              </w:rPr>
            </w:pPr>
          </w:p>
        </w:tc>
      </w:tr>
      <w:tr>
        <w:trPr>
          <w:trHeight w:val="222"/>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shares excluded from loss per share of Class A common stock—diluted</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50,669</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2"/>
          <w:szCs w:val="22"/>
          <w:b w:val="1"/>
          <w:bCs w:val="1"/>
          <w:color w:val="231F20"/>
        </w:rPr>
      </w:pPr>
      <w:r>
        <w:rPr>
          <w:rFonts w:ascii="Arial" w:cs="Arial" w:eastAsia="Arial" w:hAnsi="Arial"/>
          <w:sz w:val="22"/>
          <w:szCs w:val="22"/>
          <w:b w:val="1"/>
          <w:bCs w:val="1"/>
          <w:i w:val="1"/>
          <w:iCs w:val="1"/>
          <w:color w:val="231F20"/>
        </w:rPr>
        <w:t>Noncontrolling Interests</w:t>
      </w:r>
    </w:p>
    <w:p>
      <w:pPr>
        <w:spacing w:after="0" w:line="104"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231F20"/>
        </w:rPr>
        <w:t xml:space="preserve">We are the sole managing member of Viant Technology LLC and, as a result, consolidate the financial results of Viant Technology LLC. We report noncontrolling interests representing the economic interests in Viant Technology LLC held by the other members of Viant Technology LLC. </w:t>
      </w:r>
      <w:r>
        <w:rPr>
          <w:rFonts w:ascii="Arial" w:cs="Arial" w:eastAsia="Arial" w:hAnsi="Arial"/>
          <w:sz w:val="17"/>
          <w:szCs w:val="17"/>
          <w:color w:val="000000"/>
        </w:rPr>
        <w:t>The Viant</w:t>
      </w:r>
      <w:r>
        <w:rPr>
          <w:rFonts w:ascii="Arial" w:cs="Arial" w:eastAsia="Arial" w:hAnsi="Arial"/>
          <w:sz w:val="17"/>
          <w:szCs w:val="17"/>
          <w:color w:val="231F20"/>
        </w:rPr>
        <w:t xml:space="preserve"> </w:t>
      </w:r>
      <w:r>
        <w:rPr>
          <w:rFonts w:ascii="Arial" w:cs="Arial" w:eastAsia="Arial" w:hAnsi="Arial"/>
          <w:sz w:val="17"/>
          <w:szCs w:val="17"/>
          <w:color w:val="000000"/>
        </w:rPr>
        <w:t xml:space="preserve">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Arial" w:cs="Arial" w:eastAsia="Arial" w:hAnsi="Arial"/>
          <w:sz w:val="17"/>
          <w:szCs w:val="17"/>
          <w:color w:val="231F20"/>
        </w:rPr>
        <w:t>Changes in</w:t>
      </w:r>
      <w:r>
        <w:rPr>
          <w:rFonts w:ascii="Arial" w:cs="Arial" w:eastAsia="Arial" w:hAnsi="Arial"/>
          <w:sz w:val="17"/>
          <w:szCs w:val="17"/>
          <w:color w:val="000000"/>
        </w:rPr>
        <w:t xml:space="preserve"> </w:t>
      </w:r>
      <w:r>
        <w:rPr>
          <w:rFonts w:ascii="Arial" w:cs="Arial" w:eastAsia="Arial" w:hAnsi="Arial"/>
          <w:sz w:val="17"/>
          <w:szCs w:val="17"/>
          <w:color w:val="231F20"/>
        </w:rPr>
        <w:t>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tabular dollars in thousands, except for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5"/>
          </w:tcPr>
          <w:p>
            <w:pPr>
              <w:ind w:left="520"/>
              <w:spacing w:after="0"/>
              <w:rPr>
                <w:sz w:val="20"/>
                <w:szCs w:val="20"/>
                <w:color w:val="auto"/>
              </w:rPr>
            </w:pPr>
            <w:r>
              <w:rPr>
                <w:rFonts w:ascii="Arial" w:cs="Arial" w:eastAsia="Arial" w:hAnsi="Arial"/>
                <w:sz w:val="18"/>
                <w:szCs w:val="18"/>
                <w:color w:val="auto"/>
              </w:rPr>
              <w:t>The following table summarizes the ownership of Viant Technology LLC:</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960" w:type="dxa"/>
            <w:vAlign w:val="bottom"/>
          </w:tcPr>
          <w:p>
            <w:pPr>
              <w:spacing w:after="0"/>
              <w:rPr>
                <w:sz w:val="24"/>
                <w:szCs w:val="24"/>
                <w:color w:val="auto"/>
              </w:rPr>
            </w:pPr>
          </w:p>
        </w:tc>
        <w:tc>
          <w:tcPr>
            <w:tcW w:w="4240" w:type="dxa"/>
            <w:vAlign w:val="bottom"/>
            <w:gridSpan w:val="4"/>
          </w:tcPr>
          <w:p>
            <w:pPr>
              <w:ind w:left="960"/>
              <w:spacing w:after="0"/>
              <w:rPr>
                <w:sz w:val="20"/>
                <w:szCs w:val="20"/>
                <w:color w:val="auto"/>
              </w:rPr>
            </w:pPr>
            <w:r>
              <w:rPr>
                <w:rFonts w:ascii="Arial" w:cs="Arial" w:eastAsia="Arial" w:hAnsi="Arial"/>
                <w:sz w:val="18"/>
                <w:szCs w:val="18"/>
                <w:b w:val="1"/>
                <w:bCs w:val="1"/>
                <w:color w:val="auto"/>
              </w:rPr>
              <w:t>As of September 30, 2022</w:t>
            </w:r>
          </w:p>
        </w:tc>
        <w:tc>
          <w:tcPr>
            <w:tcW w:w="4040" w:type="dxa"/>
            <w:vAlign w:val="bottom"/>
            <w:gridSpan w:val="4"/>
          </w:tcPr>
          <w:p>
            <w:pPr>
              <w:jc w:val="right"/>
              <w:ind w:right="1160"/>
              <w:spacing w:after="0"/>
              <w:rPr>
                <w:sz w:val="20"/>
                <w:szCs w:val="20"/>
                <w:color w:val="auto"/>
              </w:rPr>
            </w:pPr>
            <w:r>
              <w:rPr>
                <w:rFonts w:ascii="Arial" w:cs="Arial" w:eastAsia="Arial" w:hAnsi="Arial"/>
                <w:sz w:val="18"/>
                <w:szCs w:val="18"/>
                <w:b w:val="1"/>
                <w:bCs w:val="1"/>
                <w:color w:val="auto"/>
              </w:rPr>
              <w:t>As of December 31, 2021</w:t>
            </w:r>
          </w:p>
        </w:tc>
        <w:tc>
          <w:tcPr>
            <w:tcW w:w="0" w:type="dxa"/>
            <w:vAlign w:val="bottom"/>
          </w:tcPr>
          <w:p>
            <w:pPr>
              <w:spacing w:after="0"/>
              <w:rPr>
                <w:sz w:val="1"/>
                <w:szCs w:val="1"/>
                <w:color w:val="auto"/>
              </w:rPr>
            </w:pPr>
          </w:p>
        </w:tc>
      </w:tr>
      <w:tr>
        <w:trPr>
          <w:trHeight w:val="222"/>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Owner</w:t>
            </w:r>
          </w:p>
        </w:tc>
        <w:tc>
          <w:tcPr>
            <w:tcW w:w="1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Units Owned</w:t>
            </w:r>
          </w:p>
        </w:tc>
        <w:tc>
          <w:tcPr>
            <w:tcW w:w="300" w:type="dxa"/>
            <w:vAlign w:val="bottom"/>
            <w:tcBorders>
              <w:top w:val="single" w:sz="8" w:color="auto"/>
              <w:bottom w:val="single" w:sz="8" w:color="CFF0FC"/>
            </w:tcBorders>
          </w:tcPr>
          <w:p>
            <w:pPr>
              <w:spacing w:after="0"/>
              <w:rPr>
                <w:sz w:val="19"/>
                <w:szCs w:val="19"/>
                <w:color w:val="auto"/>
              </w:rPr>
            </w:pPr>
          </w:p>
        </w:tc>
        <w:tc>
          <w:tcPr>
            <w:tcW w:w="1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Ownership Percentage</w:t>
            </w:r>
          </w:p>
        </w:tc>
        <w:tc>
          <w:tcPr>
            <w:tcW w:w="380" w:type="dxa"/>
            <w:vAlign w:val="bottom"/>
            <w:tcBorders>
              <w:bottom w:val="single" w:sz="8" w:color="CFF0FC"/>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Units Owned</w:t>
            </w:r>
          </w:p>
        </w:tc>
        <w:tc>
          <w:tcPr>
            <w:tcW w:w="300" w:type="dxa"/>
            <w:vAlign w:val="bottom"/>
            <w:tcBorders>
              <w:top w:val="single" w:sz="8" w:color="auto"/>
              <w:bottom w:val="single" w:sz="8" w:color="CFF0FC"/>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Ownership Percentage</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Viant Technology Inc.</w:t>
            </w:r>
          </w:p>
        </w:tc>
        <w:tc>
          <w:tcPr>
            <w:tcW w:w="1780" w:type="dxa"/>
            <w:vAlign w:val="bottom"/>
            <w:shd w:val="clear" w:color="auto" w:fill="CFF0FC"/>
          </w:tcPr>
          <w:p>
            <w:pPr>
              <w:ind w:left="960"/>
              <w:spacing w:after="0"/>
              <w:rPr>
                <w:sz w:val="20"/>
                <w:szCs w:val="20"/>
                <w:color w:val="auto"/>
              </w:rPr>
            </w:pPr>
            <w:r>
              <w:rPr>
                <w:rFonts w:ascii="Arial" w:cs="Arial" w:eastAsia="Arial" w:hAnsi="Arial"/>
                <w:sz w:val="18"/>
                <w:szCs w:val="18"/>
                <w:color w:val="auto"/>
                <w:w w:val="88"/>
              </w:rPr>
              <w:t>14,460,084</w:t>
            </w:r>
          </w:p>
        </w:tc>
        <w:tc>
          <w:tcPr>
            <w:tcW w:w="30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23.5%</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13,704,638</w:t>
            </w:r>
          </w:p>
        </w:tc>
        <w:tc>
          <w:tcPr>
            <w:tcW w:w="3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780" w:type="dxa"/>
            <w:vAlign w:val="bottom"/>
          </w:tcPr>
          <w:p>
            <w:pPr>
              <w:ind w:left="960"/>
              <w:spacing w:after="0"/>
              <w:rPr>
                <w:sz w:val="20"/>
                <w:szCs w:val="20"/>
                <w:color w:val="auto"/>
              </w:rPr>
            </w:pPr>
            <w:r>
              <w:rPr>
                <w:rFonts w:ascii="Arial" w:cs="Arial" w:eastAsia="Arial" w:hAnsi="Arial"/>
                <w:sz w:val="18"/>
                <w:szCs w:val="18"/>
                <w:color w:val="auto"/>
                <w:w w:val="88"/>
              </w:rPr>
              <w:t>47,082,260</w:t>
            </w:r>
          </w:p>
        </w:tc>
        <w:tc>
          <w:tcPr>
            <w:tcW w:w="300" w:type="dxa"/>
            <w:vAlign w:val="bottom"/>
          </w:tcPr>
          <w:p>
            <w:pPr>
              <w:spacing w:after="0"/>
              <w:rPr>
                <w:sz w:val="19"/>
                <w:szCs w:val="19"/>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1780" w:type="dxa"/>
            <w:vAlign w:val="bottom"/>
          </w:tcPr>
          <w:p>
            <w:pPr>
              <w:jc w:val="right"/>
              <w:spacing w:after="0"/>
              <w:rPr>
                <w:sz w:val="20"/>
                <w:szCs w:val="20"/>
                <w:color w:val="auto"/>
              </w:rPr>
            </w:pPr>
            <w:r>
              <w:rPr>
                <w:rFonts w:ascii="Arial" w:cs="Arial" w:eastAsia="Arial" w:hAnsi="Arial"/>
                <w:sz w:val="18"/>
                <w:szCs w:val="18"/>
                <w:color w:val="auto"/>
              </w:rPr>
              <w:t>47,107,130</w:t>
            </w:r>
          </w:p>
        </w:tc>
        <w:tc>
          <w:tcPr>
            <w:tcW w:w="300" w:type="dxa"/>
            <w:vAlign w:val="bottom"/>
          </w:tcPr>
          <w:p>
            <w:pPr>
              <w:spacing w:after="0"/>
              <w:rPr>
                <w:sz w:val="19"/>
                <w:szCs w:val="19"/>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vMerge w:val="continue"/>
            <w:shd w:val="clear" w:color="auto" w:fill="CFF0FC"/>
          </w:tcPr>
          <w:p>
            <w:pPr>
              <w:spacing w:after="0"/>
              <w:rPr>
                <w:sz w:val="19"/>
                <w:szCs w:val="19"/>
                <w:color w:val="auto"/>
              </w:rPr>
            </w:pPr>
          </w:p>
        </w:tc>
        <w:tc>
          <w:tcPr>
            <w:tcW w:w="1780" w:type="dxa"/>
            <w:vAlign w:val="bottom"/>
            <w:shd w:val="clear" w:color="auto" w:fill="CFF0FC"/>
          </w:tcPr>
          <w:p>
            <w:pPr>
              <w:ind w:left="960"/>
              <w:spacing w:after="0"/>
              <w:rPr>
                <w:sz w:val="20"/>
                <w:szCs w:val="20"/>
                <w:color w:val="auto"/>
              </w:rPr>
            </w:pPr>
            <w:r>
              <w:rPr>
                <w:rFonts w:ascii="Arial" w:cs="Arial" w:eastAsia="Arial" w:hAnsi="Arial"/>
                <w:sz w:val="18"/>
                <w:szCs w:val="18"/>
                <w:color w:val="auto"/>
                <w:w w:val="88"/>
              </w:rPr>
              <w:t>61,542,344</w:t>
            </w:r>
          </w:p>
        </w:tc>
        <w:tc>
          <w:tcPr>
            <w:tcW w:w="30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60,811,768</w:t>
            </w:r>
          </w:p>
        </w:tc>
        <w:tc>
          <w:tcPr>
            <w:tcW w:w="3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510"/>
        <w:spacing w:after="0" w:line="278" w:lineRule="auto"/>
        <w:rPr>
          <w:sz w:val="20"/>
          <w:szCs w:val="20"/>
          <w:color w:val="auto"/>
        </w:rPr>
      </w:pPr>
      <w:r>
        <w:rPr>
          <w:rFonts w:ascii="Arial" w:cs="Arial" w:eastAsia="Arial" w:hAnsi="Arial"/>
          <w:sz w:val="17"/>
          <w:szCs w:val="17"/>
          <w:color w:val="231F20"/>
        </w:rPr>
        <w:t xml:space="preserve">During the nine months ended September 30, 2022, noncontrolling interests exchanged 24,870 Class B units of Viant Technology LLC for 24,870 shares of </w:t>
      </w:r>
      <w:r>
        <w:rPr>
          <w:rFonts w:ascii="Arial" w:cs="Arial" w:eastAsia="Arial" w:hAnsi="Arial"/>
          <w:sz w:val="17"/>
          <w:szCs w:val="17"/>
          <w:color w:val="000000"/>
        </w:rPr>
        <w:t>the</w:t>
      </w:r>
      <w:r>
        <w:rPr>
          <w:rFonts w:ascii="Arial" w:cs="Arial" w:eastAsia="Arial" w:hAnsi="Arial"/>
          <w:sz w:val="17"/>
          <w:szCs w:val="17"/>
          <w:color w:val="231F20"/>
        </w:rPr>
        <w:t xml:space="preserve"> Company’s Class A common stock, which also resulted in the cancellation of 24,870 shares of the Company’s Class B common stock that was previously held by noncontrolling interests with no additional consideration provided. There were no exchanges of Class B units of Viant Technology LLC for shares of the Company’s Class A common stock during the three months ended September 30, 2022.</w:t>
      </w:r>
    </w:p>
    <w:p>
      <w:pPr>
        <w:spacing w:after="0" w:line="64" w:lineRule="exact"/>
        <w:rPr>
          <w:sz w:val="20"/>
          <w:szCs w:val="20"/>
          <w:color w:val="auto"/>
        </w:rPr>
      </w:pPr>
    </w:p>
    <w:p>
      <w:pPr>
        <w:ind w:right="220" w:firstLine="510"/>
        <w:spacing w:after="0" w:line="276" w:lineRule="auto"/>
        <w:rPr>
          <w:sz w:val="20"/>
          <w:szCs w:val="20"/>
          <w:color w:val="auto"/>
        </w:rPr>
      </w:pPr>
      <w:r>
        <w:rPr>
          <w:rFonts w:ascii="Arial" w:cs="Arial" w:eastAsia="Arial" w:hAnsi="Arial"/>
          <w:sz w:val="18"/>
          <w:szCs w:val="18"/>
          <w:color w:val="auto"/>
        </w:rPr>
        <w:t>The following table presents the effect of changes in the Company’s ownership interest in Viant Technology LLC on the Company’s equity for the periods indicated.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1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6"/>
          </w:tcPr>
          <w:p>
            <w:pPr>
              <w:ind w:left="3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5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2"/>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Viant Technology Inc.</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0"/>
              </w:rPr>
              <w:t>(3,126)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0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Transfers to noncontrolling interests: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Decrease in the additional-paid-in-capital of Viant Technology Inc.</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resulting from ownership changes in Viant Technology LLC</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(5,384)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(40,427)</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(15,115)</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(40,427)</w:t>
            </w:r>
          </w:p>
        </w:tc>
      </w:tr>
      <w:tr>
        <w:trPr>
          <w:trHeight w:val="208"/>
        </w:trPr>
        <w:tc>
          <w:tcPr>
            <w:tcW w:w="5280" w:type="dxa"/>
            <w:vAlign w:val="bottom"/>
          </w:tcPr>
          <w:p>
            <w:pPr>
              <w:spacing w:after="0"/>
              <w:rPr>
                <w:sz w:val="20"/>
                <w:szCs w:val="20"/>
                <w:color w:val="auto"/>
              </w:rPr>
            </w:pPr>
            <w:r>
              <w:rPr>
                <w:rFonts w:ascii="Arial" w:cs="Arial" w:eastAsia="Arial" w:hAnsi="Arial"/>
                <w:sz w:val="18"/>
                <w:szCs w:val="18"/>
                <w:color w:val="auto"/>
              </w:rPr>
              <w:t>Change from net loss attributable to Viant Technology Inc. and</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to noncontrolling interests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(8,510)</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(42,964)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(24,834)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(49,725)</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Commitments and Contingencies</w:t>
      </w:r>
    </w:p>
    <w:p>
      <w:pPr>
        <w:spacing w:after="0" w:line="104" w:lineRule="exact"/>
        <w:rPr>
          <w:sz w:val="20"/>
          <w:szCs w:val="20"/>
          <w:color w:val="auto"/>
        </w:rPr>
      </w:pPr>
    </w:p>
    <w:p>
      <w:pPr>
        <w:ind w:right="380" w:firstLine="510"/>
        <w:spacing w:after="0" w:line="276" w:lineRule="auto"/>
        <w:rPr>
          <w:sz w:val="20"/>
          <w:szCs w:val="20"/>
          <w:color w:val="auto"/>
        </w:rPr>
      </w:pPr>
      <w:r>
        <w:rPr>
          <w:rFonts w:ascii="Arial" w:cs="Arial" w:eastAsia="Arial" w:hAnsi="Arial"/>
          <w:sz w:val="18"/>
          <w:szCs w:val="18"/>
          <w:color w:val="auto"/>
        </w:rPr>
        <w:t>As of September 30, 2022, the Company had non-cancelable operating lease commitments for office space that have been recorded as operating lease liabilities. Refer to Note 5—Leases for additional information regarding lease commitments.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6"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Indemnities</w:t>
      </w:r>
    </w:p>
    <w:p>
      <w:pPr>
        <w:spacing w:after="0" w:line="116"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line="265"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(unaudited; tabular dollars in thousands, except for percentages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i w:val="1"/>
          <w:iCs w:val="1"/>
          <w:color w:val="231F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Quarterly Report on Form 10-Q and our audited consolidated financial statements and notes thereto and the related Management’s Discussion and Analysis of Financial Condition and Results of Operations included in our Annual Report on Form 10-K for the year ended December 31, 2021, which was filed with the Securities and Exchange Commission (“SEC”) on March 10,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Forward-Looking Statements</w:t>
      </w:r>
    </w:p>
    <w:p>
      <w:pPr>
        <w:spacing w:after="0" w:line="120"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i w:val="1"/>
          <w:iCs w:val="1"/>
          <w:color w:val="231F20"/>
        </w:rPr>
        <w:t>This Quarterly Report on Form 10-Q contains forward-looking statements within the meaning of Section 27A of the Securities Act of 1933, as amended, and Section 21E of the Securities Exchange Act of 1934, as amended (the “Exchange Act”). Forward-looking statements generally relate to future events or our future financial or operating performance and may include statements concerning, among other things, our business strategy (including anticipated trends and developments in, and management plans for, our business and the markets in which we operate), financial results, the sufficiency of our cash and cash equivalents and cash provided by sales of our products and services to meet our liquidity needs, the impact of the ongoing COVID-19 pandemic on our business, operations, and the markets and communities in which we, our clients, and partners operate, results of operations, revenues, operating expenses, capital expenditures, sales and marketing initiatives and competition.</w:t>
      </w:r>
    </w:p>
    <w:p>
      <w:pPr>
        <w:spacing w:after="0" w:line="71"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i w:val="1"/>
          <w:iCs w:val="1"/>
          <w:color w:val="231F20"/>
        </w:rPr>
        <w:t>In some cases, you can identify forward-looking statements by words such as “may,” “will,”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are not guarantees of future performance. All of our forward-looking statements are subject to a number of risks, uncertainties and other factors, including but not limited to our ability to add new customers, our ability to realize the expected benefits of an industry shift away from cookie-based consumer tracking, the ongoing impact of the COVID-19 pandemic, the development of the market for programmatic advertising, our access to advertising inventory and people-based data, updates to the regulatory landscape regarding the protection of personal information, and changes in the technology industry. This is not a complete list of factors or events that could cause actual results to differ from our expectations and we cannot predict all of them. All written and oral forward-looking statements attributable to us are qualified in their entirety by the cautionary statements disclosed under the section titled “Risk Factors” appearing in our Annual Report on Form 10-K for the year ended December 31, 2021, as such disclosures may be amended, supplemented or superseded from time to time by other reports filed with the SEC. Except as required by law, we do not intend to update or revise any forward-looking statements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0"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231F20"/>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74" w:lineRule="exact"/>
        <w:rPr>
          <w:sz w:val="20"/>
          <w:szCs w:val="20"/>
          <w:color w:val="auto"/>
        </w:rPr>
      </w:pPr>
    </w:p>
    <w:p>
      <w:pPr>
        <w:ind w:right="480" w:firstLine="510"/>
        <w:spacing w:after="0" w:line="263" w:lineRule="auto"/>
        <w:rPr>
          <w:sz w:val="20"/>
          <w:szCs w:val="20"/>
          <w:color w:val="auto"/>
        </w:rPr>
      </w:pPr>
      <w:r>
        <w:rPr>
          <w:rFonts w:ascii="Arial" w:cs="Arial" w:eastAsia="Arial" w:hAnsi="Arial"/>
          <w:sz w:val="18"/>
          <w:szCs w:val="18"/>
          <w:color w:val="231F20"/>
        </w:rPr>
        <w:t>Our demand side platform (“DSP”), Adelphic, is an enterprise software platform that is used by marketers and their advertising agencies to centralize the planning, buying and measurement of their advertising across most channels. Through our technology, a marketer can easily buy ads on desktop, mobile, connected TV, linear TV, in-game, streaming audio and digital billboards.</w:t>
      </w:r>
    </w:p>
    <w:p>
      <w:pPr>
        <w:spacing w:after="0" w:line="74"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231F20"/>
        </w:rPr>
        <w:t>We serve marketers and their advertising agencies by enabling them to plan, buy and measure programmatic campaigns. We provide an easy-to-use self-service programmatic platform that delivers transparency and control. Our platform offers customers unique visibility across a variety of advertising channels with the ability to create customized audience segments leveraging our people-based and strategic partner data to reach target audiences at scale. Our people-based approach is in contrast to the inefficient approach of cookie-based tracking. People-based data enables marketers to use first-party data for both the targeting and measurement of their ad campaigns in a manner that we believe is more accurate than utilizing a cookie-based approach.</w:t>
      </w:r>
    </w:p>
    <w:p>
      <w:pPr>
        <w:spacing w:after="0" w:line="51" w:lineRule="exact"/>
        <w:rPr>
          <w:sz w:val="20"/>
          <w:szCs w:val="20"/>
          <w:color w:val="auto"/>
        </w:rPr>
      </w:pPr>
    </w:p>
    <w:p>
      <w:pPr>
        <w:ind w:right="60" w:firstLine="510"/>
        <w:spacing w:after="0" w:line="276" w:lineRule="auto"/>
        <w:rPr>
          <w:sz w:val="20"/>
          <w:szCs w:val="20"/>
          <w:color w:val="auto"/>
        </w:rPr>
      </w:pPr>
      <w:r>
        <w:rPr>
          <w:rFonts w:ascii="Arial" w:cs="Arial" w:eastAsia="Arial" w:hAnsi="Arial"/>
          <w:sz w:val="18"/>
          <w:szCs w:val="18"/>
          <w:color w:val="231F20"/>
        </w:rPr>
        <w:t xml:space="preserve">We generate revenue by charging </w:t>
      </w:r>
      <w:r>
        <w:rPr>
          <w:rFonts w:ascii="Arial" w:cs="Arial" w:eastAsia="Arial" w:hAnsi="Arial"/>
          <w:sz w:val="18"/>
          <w:szCs w:val="18"/>
          <w:color w:val="000000"/>
        </w:rPr>
        <w:t>platform fees and service fees pursuant to agreements that enable a wide variety of marketers and their agencies to</w:t>
      </w:r>
      <w:r>
        <w:rPr>
          <w:rFonts w:ascii="Arial" w:cs="Arial" w:eastAsia="Arial" w:hAnsi="Arial"/>
          <w:sz w:val="18"/>
          <w:szCs w:val="18"/>
          <w:color w:val="231F20"/>
        </w:rPr>
        <w:t xml:space="preserve"> </w:t>
      </w:r>
      <w:r>
        <w:rPr>
          <w:rFonts w:ascii="Arial" w:cs="Arial" w:eastAsia="Arial" w:hAnsi="Arial"/>
          <w:sz w:val="18"/>
          <w:szCs w:val="18"/>
          <w:color w:val="000000"/>
        </w:rPr>
        <w:t xml:space="preserve">select the mix of pricing and service options that suits their unique business and </w:t>
      </w:r>
      <w:r>
        <w:rPr>
          <w:rFonts w:ascii="Arial" w:cs="Arial" w:eastAsia="Arial" w:hAnsi="Arial"/>
          <w:sz w:val="18"/>
          <w:szCs w:val="18"/>
          <w:color w:val="231F20"/>
        </w:rPr>
        <w:t>advertising budget</w:t>
      </w:r>
      <w:r>
        <w:rPr>
          <w:rFonts w:ascii="Arial" w:cs="Arial" w:eastAsia="Arial" w:hAnsi="Arial"/>
          <w:sz w:val="18"/>
          <w:szCs w:val="18"/>
          <w:color w:val="000000"/>
        </w:rPr>
        <w:t>.</w:t>
      </w:r>
    </w:p>
    <w:p>
      <w:pPr>
        <w:spacing w:after="0" w:line="63"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231F20"/>
        </w:rPr>
        <w:t>These options consist of a percentage of spend pricing option, a monthly subscription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231F20"/>
        </w:rPr>
        <w:t xml:space="preserve">is either a </w:t>
      </w:r>
      <w:r>
        <w:rPr>
          <w:rFonts w:ascii="Arial" w:cs="Arial" w:eastAsia="Arial" w:hAnsi="Arial"/>
          <w:sz w:val="16"/>
          <w:szCs w:val="16"/>
          <w:color w:val="000000"/>
        </w:rPr>
        <w:t>percentage of spend or a flat monthly subscription. Customers who prefer to use our fixed CPM pricing option enter into insertion order (“IO”)</w:t>
      </w:r>
      <w:r>
        <w:rPr>
          <w:rFonts w:ascii="Arial" w:cs="Arial" w:eastAsia="Arial" w:hAnsi="Arial"/>
          <w:sz w:val="16"/>
          <w:szCs w:val="16"/>
          <w:color w:val="231F20"/>
        </w:rPr>
        <w:t xml:space="preserve"> </w:t>
      </w:r>
      <w:r>
        <w:rPr>
          <w:rFonts w:ascii="Arial" w:cs="Arial" w:eastAsia="Arial" w:hAnsi="Arial"/>
          <w:sz w:val="16"/>
          <w:szCs w:val="16"/>
          <w:color w:val="000000"/>
        </w:rPr>
        <w:t xml:space="preserve">arrangements with us, </w:t>
      </w:r>
      <w:r>
        <w:rPr>
          <w:rFonts w:ascii="Arial" w:cs="Arial" w:eastAsia="Arial" w:hAnsi="Arial"/>
          <w:sz w:val="16"/>
          <w:szCs w:val="16"/>
          <w:color w:val="231F20"/>
        </w:rPr>
        <w:t>and we generate revenue by charging these customers a platform fee at a price for every 1,000 impressions an ad receives. We also</w:t>
      </w:r>
      <w:r>
        <w:rPr>
          <w:rFonts w:ascii="Arial" w:cs="Arial" w:eastAsia="Arial" w:hAnsi="Arial"/>
          <w:sz w:val="16"/>
          <w:szCs w:val="16"/>
          <w:color w:val="000000"/>
        </w:rPr>
        <w:t xml:space="preserve"> </w:t>
      </w:r>
      <w:r>
        <w:rPr>
          <w:rFonts w:ascii="Arial" w:cs="Arial" w:eastAsia="Arial" w:hAnsi="Arial"/>
          <w:sz w:val="16"/>
          <w:szCs w:val="16"/>
          <w:color w:val="231F20"/>
        </w:rPr>
        <w:t>offer different service options to our customers accessing our platform under an MSA or an IO to enable them to use our services to aid them in data management, media execution and advanced reporting. When customers utilize our services, we generate revenue by charging a service fee separate from the platform fee consisting of (1) a fee that represents a percentage of spend; (2) a flat monthly fee covering services in connection with data management and advanced reporting; or (3) a fixed CPM that is inclusive of media, other direct costs and services.</w:t>
      </w:r>
    </w:p>
    <w:p>
      <w:pPr>
        <w:spacing w:after="0" w:line="53"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231F20"/>
        </w:rPr>
        <w:t>We believe that offering a mix of pricing and service options provides greater flexibility and access to our platform for marketers and their advertising agencies seeking to plan, buy, and measure programmatic campaigns. Some of our pricing and service options are relatively new to the market and are not yet material to our business from a financial perspective.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financial results for the three months ended September 30, 2022 and 2021, respectively, include:</w:t>
      </w:r>
    </w:p>
    <w:p>
      <w:pPr>
        <w:spacing w:after="0" w:line="116" w:lineRule="exact"/>
        <w:rPr>
          <w:sz w:val="20"/>
          <w:szCs w:val="20"/>
          <w:color w:val="auto"/>
        </w:rPr>
      </w:pPr>
    </w:p>
    <w:p>
      <w:pPr>
        <w:ind w:left="1120" w:hanging="372"/>
        <w:spacing w:after="0"/>
        <w:tabs>
          <w:tab w:leader="none" w:pos="11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Revenue of $48.8 million and $50.9 million, representing a decrease of 4.0%;</w:t>
      </w:r>
    </w:p>
    <w:p>
      <w:pPr>
        <w:spacing w:after="0" w:line="116" w:lineRule="exact"/>
        <w:rPr>
          <w:rFonts w:ascii="Arial" w:cs="Arial" w:eastAsia="Arial" w:hAnsi="Arial"/>
          <w:sz w:val="18"/>
          <w:szCs w:val="18"/>
          <w:color w:val="231F20"/>
        </w:rPr>
      </w:pPr>
    </w:p>
    <w:p>
      <w:pPr>
        <w:ind w:left="1120" w:hanging="372"/>
        <w:spacing w:after="0"/>
        <w:tabs>
          <w:tab w:leader="none" w:pos="11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Gross profit of $21.3 million and $21.9 million, representing a decrease of 2.7%;</w:t>
      </w:r>
    </w:p>
    <w:p>
      <w:pPr>
        <w:spacing w:after="0" w:line="116" w:lineRule="exact"/>
        <w:rPr>
          <w:rFonts w:ascii="Arial" w:cs="Arial" w:eastAsia="Arial" w:hAnsi="Arial"/>
          <w:sz w:val="18"/>
          <w:szCs w:val="18"/>
          <w:color w:val="231F20"/>
        </w:rPr>
      </w:pPr>
    </w:p>
    <w:p>
      <w:pPr>
        <w:ind w:left="1120" w:hanging="372"/>
        <w:spacing w:after="0"/>
        <w:tabs>
          <w:tab w:leader="none" w:pos="11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Contribution ex-TAC* of $32.1 million and $34.1 million, representing a decrease of 5.9%;</w:t>
      </w:r>
    </w:p>
    <w:p>
      <w:pPr>
        <w:spacing w:after="0" w:line="116" w:lineRule="exact"/>
        <w:rPr>
          <w:rFonts w:ascii="Arial" w:cs="Arial" w:eastAsia="Arial" w:hAnsi="Arial"/>
          <w:sz w:val="18"/>
          <w:szCs w:val="18"/>
          <w:color w:val="231F20"/>
        </w:rPr>
      </w:pPr>
    </w:p>
    <w:p>
      <w:pPr>
        <w:ind w:left="1120" w:hanging="372"/>
        <w:spacing w:after="0"/>
        <w:tabs>
          <w:tab w:leader="none" w:pos="11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Net loss of $12.4 million and $12.2 million, representing an increase of 2.2%;</w:t>
      </w:r>
    </w:p>
    <w:p>
      <w:pPr>
        <w:spacing w:after="0" w:line="116" w:lineRule="exact"/>
        <w:rPr>
          <w:rFonts w:ascii="Arial" w:cs="Arial" w:eastAsia="Arial" w:hAnsi="Arial"/>
          <w:sz w:val="18"/>
          <w:szCs w:val="18"/>
          <w:color w:val="231F20"/>
        </w:rPr>
      </w:pPr>
    </w:p>
    <w:p>
      <w:pPr>
        <w:ind w:left="1120" w:hanging="372"/>
        <w:spacing w:after="0"/>
        <w:tabs>
          <w:tab w:leader="none" w:pos="11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Non-GAAP net income (loss)* of $(4.4) million and $3.1 million, representing a decrease of 243.4%; and</w:t>
      </w:r>
    </w:p>
    <w:p>
      <w:pPr>
        <w:spacing w:after="0" w:line="116" w:lineRule="exact"/>
        <w:rPr>
          <w:rFonts w:ascii="Arial" w:cs="Arial" w:eastAsia="Arial" w:hAnsi="Arial"/>
          <w:sz w:val="18"/>
          <w:szCs w:val="18"/>
          <w:color w:val="231F20"/>
        </w:rPr>
      </w:pPr>
    </w:p>
    <w:p>
      <w:pPr>
        <w:ind w:left="1120" w:hanging="372"/>
        <w:spacing w:after="0"/>
        <w:tabs>
          <w:tab w:leader="none" w:pos="11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Adjusted EBITDA* of $(1.8) million and $6.5 million, representing a decrease of 128.0%.</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financial results for the nine months ended September 30, 2022 and 2021, respectively, include:</w:t>
      </w:r>
    </w:p>
    <w:p>
      <w:pPr>
        <w:spacing w:after="0" w:line="116" w:lineRule="exact"/>
        <w:rPr>
          <w:sz w:val="20"/>
          <w:szCs w:val="20"/>
          <w:color w:val="auto"/>
        </w:rPr>
      </w:pPr>
    </w:p>
    <w:p>
      <w:pPr>
        <w:ind w:left="1120" w:hanging="372"/>
        <w:spacing w:after="0"/>
        <w:tabs>
          <w:tab w:leader="none" w:pos="1120" w:val="left"/>
        </w:tabs>
        <w:numPr>
          <w:ilvl w:val="1"/>
          <w:numId w:val="16"/>
        </w:numPr>
        <w:rPr>
          <w:rFonts w:ascii="Arial" w:cs="Arial" w:eastAsia="Arial" w:hAnsi="Arial"/>
          <w:sz w:val="18"/>
          <w:szCs w:val="18"/>
          <w:color w:val="231F20"/>
        </w:rPr>
      </w:pPr>
      <w:r>
        <w:rPr>
          <w:rFonts w:ascii="Arial" w:cs="Arial" w:eastAsia="Arial" w:hAnsi="Arial"/>
          <w:sz w:val="18"/>
          <w:szCs w:val="18"/>
          <w:color w:val="231F20"/>
        </w:rPr>
        <w:t>Revenue of $142.7 million and $141.4 million, representing an increase of 0.9%;</w:t>
      </w:r>
    </w:p>
    <w:p>
      <w:pPr>
        <w:spacing w:after="0" w:line="116" w:lineRule="exact"/>
        <w:rPr>
          <w:rFonts w:ascii="Arial" w:cs="Arial" w:eastAsia="Arial" w:hAnsi="Arial"/>
          <w:sz w:val="18"/>
          <w:szCs w:val="18"/>
          <w:color w:val="231F20"/>
        </w:rPr>
      </w:pPr>
    </w:p>
    <w:p>
      <w:pPr>
        <w:ind w:left="1120" w:hanging="372"/>
        <w:spacing w:after="0"/>
        <w:tabs>
          <w:tab w:leader="none" w:pos="1120" w:val="left"/>
        </w:tabs>
        <w:numPr>
          <w:ilvl w:val="1"/>
          <w:numId w:val="16"/>
        </w:numPr>
        <w:rPr>
          <w:rFonts w:ascii="Arial" w:cs="Arial" w:eastAsia="Arial" w:hAnsi="Arial"/>
          <w:sz w:val="18"/>
          <w:szCs w:val="18"/>
          <w:color w:val="231F20"/>
        </w:rPr>
      </w:pPr>
      <w:r>
        <w:rPr>
          <w:rFonts w:ascii="Arial" w:cs="Arial" w:eastAsia="Arial" w:hAnsi="Arial"/>
          <w:sz w:val="18"/>
          <w:szCs w:val="18"/>
          <w:color w:val="231F20"/>
        </w:rPr>
        <w:t>Gross profit of $58.0 million and $56.4 million, representing an increase of 2.8%;</w:t>
      </w:r>
    </w:p>
    <w:p>
      <w:pPr>
        <w:spacing w:after="0" w:line="116" w:lineRule="exact"/>
        <w:rPr>
          <w:rFonts w:ascii="Arial" w:cs="Arial" w:eastAsia="Arial" w:hAnsi="Arial"/>
          <w:sz w:val="18"/>
          <w:szCs w:val="18"/>
          <w:color w:val="231F20"/>
        </w:rPr>
      </w:pPr>
    </w:p>
    <w:p>
      <w:pPr>
        <w:ind w:left="1120" w:hanging="372"/>
        <w:spacing w:after="0"/>
        <w:tabs>
          <w:tab w:leader="none" w:pos="1120" w:val="left"/>
        </w:tabs>
        <w:numPr>
          <w:ilvl w:val="1"/>
          <w:numId w:val="16"/>
        </w:numPr>
        <w:rPr>
          <w:rFonts w:ascii="Arial" w:cs="Arial" w:eastAsia="Arial" w:hAnsi="Arial"/>
          <w:sz w:val="18"/>
          <w:szCs w:val="18"/>
          <w:color w:val="231F20"/>
        </w:rPr>
      </w:pPr>
      <w:r>
        <w:rPr>
          <w:rFonts w:ascii="Arial" w:cs="Arial" w:eastAsia="Arial" w:hAnsi="Arial"/>
          <w:sz w:val="18"/>
          <w:szCs w:val="18"/>
          <w:color w:val="231F20"/>
        </w:rPr>
        <w:t>Contribution ex-TAC* of $91.4 million and $93.0 million, representing a decrease of 1.8%;</w:t>
      </w:r>
    </w:p>
    <w:p>
      <w:pPr>
        <w:spacing w:after="0" w:line="116" w:lineRule="exact"/>
        <w:rPr>
          <w:rFonts w:ascii="Arial" w:cs="Arial" w:eastAsia="Arial" w:hAnsi="Arial"/>
          <w:sz w:val="18"/>
          <w:szCs w:val="18"/>
          <w:color w:val="231F20"/>
        </w:rPr>
      </w:pPr>
    </w:p>
    <w:p>
      <w:pPr>
        <w:ind w:left="1120" w:hanging="372"/>
        <w:spacing w:after="0"/>
        <w:tabs>
          <w:tab w:leader="none" w:pos="1120" w:val="left"/>
        </w:tabs>
        <w:numPr>
          <w:ilvl w:val="1"/>
          <w:numId w:val="16"/>
        </w:numPr>
        <w:rPr>
          <w:rFonts w:ascii="Arial" w:cs="Arial" w:eastAsia="Arial" w:hAnsi="Arial"/>
          <w:sz w:val="18"/>
          <w:szCs w:val="18"/>
          <w:color w:val="231F20"/>
        </w:rPr>
      </w:pPr>
      <w:r>
        <w:rPr>
          <w:rFonts w:ascii="Arial" w:cs="Arial" w:eastAsia="Arial" w:hAnsi="Arial"/>
          <w:sz w:val="18"/>
          <w:szCs w:val="18"/>
          <w:color w:val="231F20"/>
        </w:rPr>
        <w:t>Net loss of $40.1 million and $45.1 million, representing a net improvement of 11.2%;</w:t>
      </w:r>
    </w:p>
    <w:p>
      <w:pPr>
        <w:spacing w:after="0" w:line="116" w:lineRule="exact"/>
        <w:rPr>
          <w:rFonts w:ascii="Arial" w:cs="Arial" w:eastAsia="Arial" w:hAnsi="Arial"/>
          <w:sz w:val="18"/>
          <w:szCs w:val="18"/>
          <w:color w:val="231F20"/>
        </w:rPr>
      </w:pPr>
    </w:p>
    <w:p>
      <w:pPr>
        <w:ind w:left="1120" w:hanging="372"/>
        <w:spacing w:after="0"/>
        <w:tabs>
          <w:tab w:leader="none" w:pos="1120" w:val="left"/>
        </w:tabs>
        <w:numPr>
          <w:ilvl w:val="1"/>
          <w:numId w:val="16"/>
        </w:numPr>
        <w:rPr>
          <w:rFonts w:ascii="Arial" w:cs="Arial" w:eastAsia="Arial" w:hAnsi="Arial"/>
          <w:sz w:val="18"/>
          <w:szCs w:val="18"/>
          <w:color w:val="231F20"/>
        </w:rPr>
      </w:pPr>
      <w:r>
        <w:rPr>
          <w:rFonts w:ascii="Arial" w:cs="Arial" w:eastAsia="Arial" w:hAnsi="Arial"/>
          <w:sz w:val="18"/>
          <w:szCs w:val="18"/>
          <w:color w:val="231F20"/>
        </w:rPr>
        <w:t>Non-GAAP net income (loss)* of $(17.2) million and $10.5 million, representing a decrease of 263.7%; and</w:t>
      </w:r>
    </w:p>
    <w:p>
      <w:pPr>
        <w:spacing w:after="0" w:line="116" w:lineRule="exact"/>
        <w:rPr>
          <w:rFonts w:ascii="Arial" w:cs="Arial" w:eastAsia="Arial" w:hAnsi="Arial"/>
          <w:sz w:val="18"/>
          <w:szCs w:val="18"/>
          <w:color w:val="231F20"/>
        </w:rPr>
      </w:pPr>
    </w:p>
    <w:p>
      <w:pPr>
        <w:ind w:left="1120" w:hanging="372"/>
        <w:spacing w:after="0"/>
        <w:tabs>
          <w:tab w:leader="none" w:pos="1120" w:val="left"/>
        </w:tabs>
        <w:numPr>
          <w:ilvl w:val="1"/>
          <w:numId w:val="16"/>
        </w:numPr>
        <w:rPr>
          <w:rFonts w:ascii="Arial" w:cs="Arial" w:eastAsia="Arial" w:hAnsi="Arial"/>
          <w:sz w:val="18"/>
          <w:szCs w:val="18"/>
          <w:color w:val="231F20"/>
        </w:rPr>
      </w:pPr>
      <w:r>
        <w:rPr>
          <w:rFonts w:ascii="Arial" w:cs="Arial" w:eastAsia="Arial" w:hAnsi="Arial"/>
          <w:sz w:val="18"/>
          <w:szCs w:val="18"/>
          <w:color w:val="231F20"/>
        </w:rPr>
        <w:t>Adjusted EBITDA* of $(8.8) million and $19.7 million, representing a decrease of 144.5%.</w:t>
      </w:r>
    </w:p>
    <w:p>
      <w:pPr>
        <w:spacing w:after="0" w:line="116" w:lineRule="exact"/>
        <w:rPr>
          <w:rFonts w:ascii="Arial" w:cs="Arial" w:eastAsia="Arial" w:hAnsi="Arial"/>
          <w:sz w:val="18"/>
          <w:szCs w:val="18"/>
          <w:color w:val="231F20"/>
        </w:rPr>
      </w:pPr>
    </w:p>
    <w:p>
      <w:pPr>
        <w:ind w:left="520" w:right="40"/>
        <w:spacing w:after="0" w:line="270" w:lineRule="auto"/>
        <w:rPr>
          <w:rFonts w:ascii="Arial" w:cs="Arial" w:eastAsia="Arial" w:hAnsi="Arial"/>
          <w:sz w:val="18"/>
          <w:szCs w:val="18"/>
          <w:color w:val="231F20"/>
        </w:rPr>
      </w:pPr>
      <w:r>
        <w:rPr>
          <w:rFonts w:ascii="Arial" w:cs="Arial" w:eastAsia="Arial" w:hAnsi="Arial"/>
          <w:sz w:val="17"/>
          <w:szCs w:val="17"/>
          <w:color w:val="231F20"/>
        </w:rPr>
        <w:t xml:space="preserve">* Contribution ex-TAC, non-GAAP net income (loss) and adjusted EBITDA are non-GAAP financial measures. For a detailed discussion of our key operating and financial performance measures and a reconciliation of contribution ex-TAC, non-GAAP net income (loss) and adjusted EBITDA to the most directly comparable financial measures calculated in accordance with generally accepted </w:t>
      </w:r>
      <w:r>
        <w:rPr>
          <w:rFonts w:ascii="Arial" w:cs="Arial" w:eastAsia="Arial" w:hAnsi="Arial"/>
          <w:sz w:val="17"/>
          <w:szCs w:val="17"/>
          <w:color w:val="000000"/>
        </w:rPr>
        <w:t>accounting</w:t>
      </w:r>
    </w:p>
    <w:p>
      <w:pPr>
        <w:spacing w:after="0" w:line="1" w:lineRule="exact"/>
        <w:rPr>
          <w:rFonts w:ascii="Arial" w:cs="Arial" w:eastAsia="Arial" w:hAnsi="Arial"/>
          <w:sz w:val="18"/>
          <w:szCs w:val="18"/>
          <w:color w:val="231F20"/>
        </w:rPr>
      </w:pPr>
    </w:p>
    <w:p>
      <w:pPr>
        <w:ind w:left="520" w:right="240"/>
        <w:spacing w:after="0" w:line="259" w:lineRule="auto"/>
        <w:rPr>
          <w:rFonts w:ascii="Arial" w:cs="Arial" w:eastAsia="Arial" w:hAnsi="Arial"/>
          <w:sz w:val="18"/>
          <w:szCs w:val="18"/>
          <w:color w:val="231F20"/>
        </w:rPr>
      </w:pPr>
      <w:r>
        <w:rPr>
          <w:rFonts w:ascii="Arial" w:cs="Arial" w:eastAsia="Arial" w:hAnsi="Arial"/>
          <w:sz w:val="18"/>
          <w:szCs w:val="18"/>
          <w:color w:val="auto"/>
        </w:rPr>
        <w:t xml:space="preserve">principles in the United States of America </w:t>
      </w:r>
      <w:r>
        <w:rPr>
          <w:rFonts w:ascii="Arial" w:cs="Arial" w:eastAsia="Arial" w:hAnsi="Arial"/>
          <w:sz w:val="18"/>
          <w:szCs w:val="18"/>
          <w:color w:val="231F20"/>
        </w:rPr>
        <w:t>(“GAAP”), see “—Key Operating and Financial Performance Measures—Use of Non-GAAP Financial</w:t>
      </w:r>
      <w:r>
        <w:rPr>
          <w:rFonts w:ascii="Arial" w:cs="Arial" w:eastAsia="Arial" w:hAnsi="Arial"/>
          <w:sz w:val="18"/>
          <w:szCs w:val="18"/>
          <w:color w:val="auto"/>
        </w:rPr>
        <w:t xml:space="preserve"> </w:t>
      </w:r>
      <w:r>
        <w:rPr>
          <w:rFonts w:ascii="Arial" w:cs="Arial" w:eastAsia="Arial" w:hAnsi="Arial"/>
          <w:sz w:val="18"/>
          <w:szCs w:val="18"/>
          <w:color w:val="231F20"/>
        </w:rPr>
        <w:t>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Our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Attract, Retain and Grow our Customer Base</w:t>
      </w:r>
    </w:p>
    <w:p>
      <w:pPr>
        <w:spacing w:after="0" w:line="11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231F20"/>
        </w:rPr>
        <w:t>Our recent growth has been driven by expanding the usage of our platform by our existing customers as well as adding new customers. We believe that our customers value our solutions, as our number of active customers for the twelve months ended September 30, 2022 was 334, increasing by 29 active customers, or 9.5%, from the twelve months ended September 30, 2021. We further evaluate our customer’s usage of our platform and assess our market penetration and scale based on the percentage change in advertiser spend. We define advertiser spend as the total amount billed to our customers for activity on our platform inclusive of the costs of advertising media, third-party data, other add-on features and our platform fee we charge clients. Advertiser spend increased 19.4% for the three months ended September 30, 2022 from the three months ended September 30, 2021 and 30.3% for the nine months ended September 30, 2022 from the nine months ended September 30, 2021. While we continued to see strong growth in advertiser spend compared to the prior-year periods, we observed a deceleration in spending throughout the quarter due to challenging macroeconomic conditions. The deceleration, which was most pronounced in the retail industry vertical, may continue into future periods as the adverse macroeconomic conditions continue or worsen. The percentage change in advertiser spend is a key measure used by our management and our board of directors to evaluate the demand for our products and to assess whether we are increasing market share. Our management uses this key metric to develop short- and long-term operational plans and make strategic decisions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spacing w:after="0" w:line="258" w:lineRule="auto"/>
        <w:rPr>
          <w:sz w:val="20"/>
          <w:szCs w:val="20"/>
          <w:color w:val="auto"/>
        </w:rPr>
      </w:pPr>
      <w:r>
        <w:rPr>
          <w:rFonts w:ascii="Arial" w:cs="Arial" w:eastAsia="Arial" w:hAnsi="Arial"/>
          <w:sz w:val="18"/>
          <w:szCs w:val="18"/>
          <w:color w:val="231F20"/>
        </w:rPr>
        <w:t>regarding future enhancements to our software. We believe the percentage change in advertiser spend across our platform is a useful metric for investors because it allows investors to evaluate our operational performance in the same manner as our management and board of directors. For a detailed discussion of our key operating measures including the definition of active customers, see “—Key Operating and Financial Performance Measures—Use of Non-GAAP Financial Measures.”</w:t>
      </w:r>
    </w:p>
    <w:p>
      <w:pPr>
        <w:spacing w:after="0" w:line="8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We continue to add functionality to our software to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most channels, we believe that we are well positioned to capture more of our customers’ programmatic budgets. Further, we intend to continue to grow our sales and marketing efforts to increase awareness of our DSP, Adelphic, and highlight the advantages of our people-based framework as cookie-based options become increasingly limited. As a result, future revenue growth depends upon our ability to retain our existing customers and increase their usage of our platform as well as add new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Investment in Growth</w:t>
      </w:r>
    </w:p>
    <w:p>
      <w:pPr>
        <w:spacing w:after="0" w:line="116"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231F20"/>
        </w:rPr>
        <w:t>We believe that the advertising market is in the early stages of a shift toward programmatic advertising. We plan to invest for long-term growth. We anticipate that our operating expenses will continue to increase in the foreseeable future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Impact of the COVID-19 Pandemic and Other Macroeconomic Conditions</w:t>
      </w:r>
    </w:p>
    <w:p>
      <w:pPr>
        <w:spacing w:after="0" w:line="116"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231F20"/>
        </w:rPr>
        <w:t>The worldwide spread of the COVID-19 pandemic resulted, and may continue to result, in a global slowdown of economic activity, which decreased demand for a broad variety of goods and services, including those provided by our clients, while also disrupting supply channels, sales channels and advertising and marketing activities. We cannot be certain how long the pandemic will continue to impact economic activity and our business.</w:t>
      </w:r>
    </w:p>
    <w:p>
      <w:pPr>
        <w:spacing w:after="0" w:line="3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231F20"/>
        </w:rPr>
        <w:t>In addition to the ongoing COVID-19 pandemic, global economic and business activities continue to face widespread macroeconomic uncertainties, including labor shortages, inflation and monetary supply shifts, rising interest rates, tightening of credit markets, recession risks and potential disruptions from the Russia-Ukraine conflict. While our number of active customers for the twelve months ended September 30, 2022 has increased by nearly 10% over the past twelve months, we have observed decreases in revenue that we attribute to marketers in certain industry verticals decreasing or pausing their advertising spend due to the impacts of these macroeconomic conditions. We continue to actively monitor the impact of these macroeconomic factors on our results of operations, financial condition and cash flows, and on our clients, partners, industry and employees, and have slowed the pace of our investments in sales, marketing and technology as a result of these factors. The extent of the impact of these factors on our operational and financial performance, including our ability to execute our business strategies and initiatives in the expected time frame, will depend on future developments, all of which are uncertain and cannot be predicted. Due to the nature of our business, the effect of these macroeconomic conditions may not be fully reflected in our results of operations until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Growth of the Digital Advertising Market and Macroeconomics Factors</w:t>
      </w:r>
    </w:p>
    <w:p>
      <w:pPr>
        <w:spacing w:after="0" w:line="116"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Seasonality</w:t>
      </w:r>
    </w:p>
    <w:p>
      <w:pPr>
        <w:spacing w:after="0" w:line="116"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COVID-19 and the evolving macroeconomic conditions discussed above. Periods that experience an increase in COVID-19 cases and resulting governmentally-imposed restrictions, or are effected by labor shortages, inflation and monetary supply shifts, rising interest rates, tightening of credit markets, recession risks, potential disruptions from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ind w:right="-2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231F20"/>
        </w:rPr>
        <w:t>Russia-Ukraine conflict</w:t>
      </w:r>
      <w:r>
        <w:rPr>
          <w:rFonts w:ascii="Arial" w:cs="Arial" w:eastAsia="Arial" w:hAnsi="Arial"/>
          <w:sz w:val="17"/>
          <w:szCs w:val="17"/>
          <w:color w:val="000000"/>
        </w:rPr>
        <w:t>, and other macroeconomic and geopolitical developments potentially indicative of an economic slowdown or recession, could</w:t>
      </w:r>
      <w:r>
        <w:rPr>
          <w:rFonts w:ascii="Arial" w:cs="Arial" w:eastAsia="Arial" w:hAnsi="Arial"/>
          <w:sz w:val="17"/>
          <w:szCs w:val="17"/>
          <w:color w:val="231F20"/>
        </w:rPr>
        <w:t xml:space="preserve"> </w:t>
      </w:r>
      <w:r>
        <w:rPr>
          <w:rFonts w:ascii="Arial" w:cs="Arial" w:eastAsia="Arial" w:hAnsi="Arial"/>
          <w:sz w:val="17"/>
          <w:szCs w:val="17"/>
          <w:color w:val="000000"/>
        </w:rPr>
        <w:t xml:space="preserve">cause our revenue to decrease. </w:t>
      </w:r>
      <w:r>
        <w:rPr>
          <w:rFonts w:ascii="Arial" w:cs="Arial" w:eastAsia="Arial" w:hAnsi="Arial"/>
          <w:sz w:val="17"/>
          <w:szCs w:val="17"/>
          <w:color w:val="231F20"/>
        </w:rPr>
        <w:t>Political advertising could also cause our revenue to increase during election cycles and decrease during other periods,</w:t>
      </w:r>
      <w:r>
        <w:rPr>
          <w:rFonts w:ascii="Arial" w:cs="Arial" w:eastAsia="Arial" w:hAnsi="Arial"/>
          <w:sz w:val="17"/>
          <w:szCs w:val="17"/>
          <w:color w:val="000000"/>
        </w:rPr>
        <w:t xml:space="preserve"> </w:t>
      </w:r>
      <w:r>
        <w:rPr>
          <w:rFonts w:ascii="Arial" w:cs="Arial" w:eastAsia="Arial" w:hAnsi="Arial"/>
          <w:sz w:val="17"/>
          <w:szCs w:val="17"/>
          <w:color w:val="231F20"/>
        </w:rPr>
        <w:t>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2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231F20"/>
        </w:rPr>
        <w:t>The following tables present our condensed consolidated statements of operations, our condensed consolidated statements of operations as a percentage of revenue, and the impact of stock-based compensation, depreciation and amortization on each operating expense line item for the three and nine months ended September 30, 2022 and 2021:</w:t>
      </w:r>
    </w:p>
    <w:p>
      <w:pPr>
        <w:spacing w:after="0" w:line="83"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8"/>
              </w:rPr>
              <w:t>Three Months Ended</w:t>
            </w:r>
          </w:p>
        </w:tc>
        <w:tc>
          <w:tcPr>
            <w:tcW w:w="220" w:type="dxa"/>
            <w:vAlign w:val="bottom"/>
          </w:tcPr>
          <w:p>
            <w:pPr>
              <w:spacing w:after="0"/>
              <w:rPr>
                <w:sz w:val="18"/>
                <w:szCs w:val="18"/>
                <w:color w:val="auto"/>
              </w:rPr>
            </w:pPr>
          </w:p>
        </w:tc>
        <w:tc>
          <w:tcPr>
            <w:tcW w:w="22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438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2"/>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48,830</w:t>
            </w:r>
          </w:p>
        </w:tc>
        <w:tc>
          <w:tcPr>
            <w:tcW w:w="16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50,857</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142,659</w:t>
            </w:r>
          </w:p>
        </w:tc>
        <w:tc>
          <w:tcPr>
            <w:tcW w:w="16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141,412</w:t>
            </w: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ind w:left="240"/>
              <w:spacing w:after="0"/>
              <w:rPr>
                <w:sz w:val="20"/>
                <w:szCs w:val="20"/>
                <w:color w:val="auto"/>
              </w:rPr>
            </w:pPr>
            <w:r>
              <w:rPr>
                <w:rFonts w:ascii="Arial" w:cs="Arial" w:eastAsia="Arial" w:hAnsi="Arial"/>
                <w:sz w:val="18"/>
                <w:szCs w:val="18"/>
                <w:color w:val="auto"/>
              </w:rPr>
              <w:t>Platform operations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28,967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85,026</w:t>
            </w: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49,869</w:t>
            </w: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20,521</w:t>
            </w:r>
          </w:p>
        </w:tc>
        <w:tc>
          <w:tcPr>
            <w:tcW w:w="120" w:type="dxa"/>
            <w:vAlign w:val="bottom"/>
          </w:tcPr>
          <w:p>
            <w:pPr>
              <w:spacing w:after="0"/>
              <w:rPr>
                <w:sz w:val="19"/>
                <w:szCs w:val="19"/>
                <w:color w:val="auto"/>
              </w:rPr>
            </w:pPr>
          </w:p>
        </w:tc>
      </w:tr>
      <w:tr>
        <w:trPr>
          <w:trHeight w:val="229"/>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36,477</w:t>
            </w:r>
          </w:p>
        </w:tc>
        <w:tc>
          <w:tcPr>
            <w:tcW w:w="120" w:type="dxa"/>
            <w:vAlign w:val="bottom"/>
            <w:shd w:val="clear" w:color="auto" w:fill="CFF0FC"/>
          </w:tcPr>
          <w:p>
            <w:pPr>
              <w:spacing w:after="0"/>
              <w:rPr>
                <w:sz w:val="19"/>
                <w:szCs w:val="19"/>
                <w:color w:val="auto"/>
              </w:rPr>
            </w:pPr>
          </w:p>
        </w:tc>
      </w:tr>
      <w:tr>
        <w:trPr>
          <w:trHeight w:val="222"/>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62,669</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191,893</w:t>
            </w:r>
          </w:p>
        </w:tc>
        <w:tc>
          <w:tcPr>
            <w:tcW w:w="120" w:type="dxa"/>
            <w:vAlign w:val="bottom"/>
            <w:tcBorders>
              <w:bottom w:val="single" w:sz="8" w:color="CFF0FC"/>
            </w:tcBorders>
          </w:tcPr>
          <w:p>
            <w:pPr>
              <w:spacing w:after="0"/>
              <w:rPr>
                <w:sz w:val="19"/>
                <w:szCs w:val="19"/>
                <w:color w:val="auto"/>
              </w:rPr>
            </w:pPr>
          </w:p>
        </w:tc>
      </w:tr>
      <w:tr>
        <w:trPr>
          <w:trHeight w:val="222"/>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(50,481)</w:t>
            </w:r>
          </w:p>
        </w:tc>
        <w:tc>
          <w:tcPr>
            <w:tcW w:w="12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Total other expense (income), net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(5,354)</w:t>
            </w:r>
          </w:p>
        </w:tc>
      </w:tr>
      <w:tr>
        <w:trPr>
          <w:trHeight w:val="222"/>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(40,081)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(9,623)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(35,829)</w:t>
            </w:r>
          </w:p>
        </w:tc>
      </w:tr>
      <w:tr>
        <w:trPr>
          <w:trHeight w:val="222"/>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Viant Technology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Three Months Ended</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700" w:type="dxa"/>
            <w:vAlign w:val="bottom"/>
            <w:tcBorders>
              <w:top w:val="single" w:sz="8" w:color="auto"/>
              <w:bottom w:val="single" w:sz="8" w:color="auto"/>
            </w:tcBorders>
            <w:gridSpan w:val="4"/>
          </w:tcPr>
          <w:p>
            <w:pPr>
              <w:jc w:val="right"/>
              <w:ind w:right="251"/>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40" w:type="dxa"/>
            <w:vAlign w:val="bottom"/>
            <w:gridSpan w:val="4"/>
          </w:tcPr>
          <w:p>
            <w:pPr>
              <w:jc w:val="right"/>
              <w:ind w:right="1020"/>
              <w:spacing w:after="0"/>
              <w:rPr>
                <w:sz w:val="20"/>
                <w:szCs w:val="20"/>
                <w:color w:val="auto"/>
              </w:rPr>
            </w:pPr>
            <w:r>
              <w:rPr>
                <w:rFonts w:ascii="Arial" w:cs="Arial" w:eastAsia="Arial" w:hAnsi="Arial"/>
                <w:sz w:val="16"/>
                <w:szCs w:val="16"/>
                <w:b w:val="1"/>
                <w:bCs w:val="1"/>
                <w:color w:val="auto"/>
                <w:w w:val="94"/>
              </w:rPr>
              <w:t>(% of revenue*)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100%</w:t>
            </w:r>
          </w:p>
        </w:tc>
        <w:tc>
          <w:tcPr>
            <w:tcW w:w="6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Platform operations</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Sales and marketing</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Technology and development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ind w:left="60"/>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126%</w:t>
            </w:r>
          </w:p>
        </w:tc>
        <w:tc>
          <w:tcPr>
            <w:tcW w:w="6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4700" w:type="dxa"/>
            <w:vAlign w:val="bottom"/>
            <w:gridSpan w:val="2"/>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other expense (income), net</w:t>
            </w:r>
          </w:p>
        </w:tc>
        <w:tc>
          <w:tcPr>
            <w:tcW w:w="7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4700" w:type="dxa"/>
            <w:vAlign w:val="bottom"/>
            <w:gridSpan w:val="2"/>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7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loss attributable to Viant Technology Inc.</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4700" w:type="dxa"/>
            <w:vAlign w:val="bottom"/>
            <w:gridSpan w:val="2"/>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6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5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0" w:type="dxa"/>
            <w:vAlign w:val="bottom"/>
            <w:gridSpan w:val="2"/>
          </w:tcPr>
          <w:p>
            <w:pPr>
              <w:jc w:val="right"/>
              <w:ind w:right="30"/>
              <w:spacing w:after="0"/>
              <w:rPr>
                <w:sz w:val="20"/>
                <w:szCs w:val="20"/>
                <w:color w:val="auto"/>
              </w:rPr>
            </w:pPr>
            <w:r>
              <w:rPr>
                <w:rFonts w:ascii="Arial" w:cs="Arial" w:eastAsia="Arial" w:hAnsi="Arial"/>
                <w:sz w:val="18"/>
                <w:szCs w:val="18"/>
                <w:color w:val="231F20"/>
                <w:w w:val="84"/>
              </w:rPr>
              <w:t>*</w:t>
            </w:r>
          </w:p>
        </w:tc>
        <w:tc>
          <w:tcPr>
            <w:tcW w:w="5260" w:type="dxa"/>
            <w:vAlign w:val="bottom"/>
            <w:gridSpan w:val="2"/>
          </w:tcPr>
          <w:p>
            <w:pPr>
              <w:ind w:left="540"/>
              <w:spacing w:after="0"/>
              <w:rPr>
                <w:sz w:val="20"/>
                <w:szCs w:val="20"/>
                <w:color w:val="auto"/>
              </w:rPr>
            </w:pPr>
            <w:r>
              <w:rPr>
                <w:rFonts w:ascii="Arial" w:cs="Arial" w:eastAsia="Arial" w:hAnsi="Arial"/>
                <w:sz w:val="18"/>
                <w:szCs w:val="18"/>
                <w:color w:val="231F20"/>
              </w:rPr>
              <w:t>Percentages may not sum due to rounding</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540" w:right="2520" w:hanging="5034"/>
        <w:spacing w:after="0" w:line="526" w:lineRule="auto"/>
        <w:tabs>
          <w:tab w:leader="none" w:pos="876"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 xml:space="preserve">Stock-based compensation, depreciation, and amortization included in operating expenses are as follows: </w:t>
      </w:r>
      <w:r>
        <w:rPr>
          <w:rFonts w:ascii="Arial" w:cs="Arial" w:eastAsia="Arial" w:hAnsi="Arial"/>
          <w:sz w:val="18"/>
          <w:szCs w:val="18"/>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4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304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CFF0FC"/>
            </w:tcBorders>
          </w:tcPr>
          <w:p>
            <w:pPr>
              <w:spacing w:after="0"/>
              <w:rPr>
                <w:sz w:val="19"/>
                <w:szCs w:val="19"/>
                <w:color w:val="auto"/>
              </w:rPr>
            </w:pPr>
          </w:p>
        </w:tc>
      </w:tr>
      <w:tr>
        <w:trPr>
          <w:trHeight w:val="222"/>
        </w:trPr>
        <w:tc>
          <w:tcPr>
            <w:tcW w:w="3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Stock-Based Compensation:</w:t>
            </w: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Platform operations</w:t>
            </w:r>
          </w:p>
        </w:tc>
        <w:tc>
          <w:tcPr>
            <w:tcW w:w="1620" w:type="dxa"/>
            <w:vAlign w:val="bottom"/>
            <w:gridSpan w:val="2"/>
          </w:tcPr>
          <w:p>
            <w:pPr>
              <w:jc w:val="right"/>
              <w:ind w:right="696"/>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1,233</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3,142</w:t>
            </w:r>
          </w:p>
        </w:tc>
        <w:tc>
          <w:tcPr>
            <w:tcW w:w="5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3,622</w:t>
            </w:r>
          </w:p>
        </w:tc>
        <w:tc>
          <w:tcPr>
            <w:tcW w:w="2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11,843</w:t>
            </w:r>
          </w:p>
        </w:tc>
        <w:tc>
          <w:tcPr>
            <w:tcW w:w="100" w:type="dxa"/>
            <w:vAlign w:val="bottom"/>
          </w:tcPr>
          <w:p>
            <w:pPr>
              <w:spacing w:after="0"/>
              <w:rPr>
                <w:sz w:val="19"/>
                <w:szCs w:val="19"/>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2,324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23,586</w:t>
            </w:r>
          </w:p>
        </w:tc>
        <w:tc>
          <w:tcPr>
            <w:tcW w:w="100" w:type="dxa"/>
            <w:vAlign w:val="bottom"/>
            <w:shd w:val="clear" w:color="auto" w:fill="CFF0FC"/>
          </w:tcPr>
          <w:p>
            <w:pPr>
              <w:spacing w:after="0"/>
              <w:rPr>
                <w:sz w:val="19"/>
                <w:szCs w:val="19"/>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88"/>
              </w:rPr>
              <w:t>1,430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tcPr>
          <w:p>
            <w:pPr>
              <w:spacing w:after="0"/>
              <w:rPr>
                <w:sz w:val="19"/>
                <w:szCs w:val="19"/>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2,724</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4,399</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15,780</w:t>
            </w:r>
          </w:p>
        </w:tc>
        <w:tc>
          <w:tcPr>
            <w:tcW w:w="100" w:type="dxa"/>
            <w:vAlign w:val="bottom"/>
            <w:shd w:val="clear" w:color="auto" w:fill="CFF0FC"/>
          </w:tcPr>
          <w:p>
            <w:pPr>
              <w:spacing w:after="0"/>
              <w:rPr>
                <w:sz w:val="19"/>
                <w:szCs w:val="19"/>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760" w:type="dxa"/>
            <w:vAlign w:val="bottom"/>
          </w:tcPr>
          <w:p>
            <w:pPr>
              <w:spacing w:after="0"/>
              <w:rPr>
                <w:sz w:val="19"/>
                <w:szCs w:val="19"/>
                <w:color w:val="auto"/>
              </w:rPr>
            </w:pPr>
          </w:p>
        </w:tc>
        <w:tc>
          <w:tcPr>
            <w:tcW w:w="860" w:type="dxa"/>
            <w:vAlign w:val="bottom"/>
            <w:tcBorders>
              <w:bottom w:val="single" w:sz="8" w:color="auto"/>
            </w:tcBorders>
          </w:tcPr>
          <w:p>
            <w:pPr>
              <w:jc w:val="right"/>
              <w:ind w:right="69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7,711</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15,415</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21,855</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62,192</w:t>
            </w:r>
          </w:p>
        </w:tc>
        <w:tc>
          <w:tcPr>
            <w:tcW w:w="10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2480" w:type="dxa"/>
            <w:vAlign w:val="bottom"/>
            <w:gridSpan w:val="4"/>
          </w:tcPr>
          <w:p>
            <w:pPr>
              <w:jc w:val="right"/>
              <w:ind w:right="141"/>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8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8"/>
                <w:szCs w:val="18"/>
                <w:b w:val="1"/>
                <w:bCs w:val="1"/>
                <w:color w:val="auto"/>
                <w:w w:val="90"/>
              </w:rPr>
              <w:t>September 30,</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38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Borders>
              <w:bottom w:val="single" w:sz="8" w:color="CFF0FC"/>
            </w:tcBorders>
          </w:tcPr>
          <w:p>
            <w:pPr>
              <w:spacing w:after="0"/>
              <w:rPr>
                <w:sz w:val="19"/>
                <w:szCs w:val="19"/>
                <w:color w:val="auto"/>
              </w:rPr>
            </w:pPr>
          </w:p>
        </w:tc>
      </w:tr>
      <w:tr>
        <w:trPr>
          <w:trHeight w:val="222"/>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w:t>
            </w: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Platform operations</w:t>
            </w:r>
          </w:p>
        </w:tc>
        <w:tc>
          <w:tcPr>
            <w:tcW w:w="860" w:type="dxa"/>
            <w:vAlign w:val="bottom"/>
          </w:tcPr>
          <w:p>
            <w:pPr>
              <w:jc w:val="right"/>
              <w:ind w:right="699"/>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2,510</w:t>
            </w:r>
          </w:p>
        </w:tc>
        <w:tc>
          <w:tcPr>
            <w:tcW w:w="320" w:type="dxa"/>
            <w:vAlign w:val="bottom"/>
          </w:tcPr>
          <w:p>
            <w:pPr>
              <w:spacing w:after="0"/>
              <w:rPr>
                <w:sz w:val="19"/>
                <w:szCs w:val="19"/>
                <w:color w:val="auto"/>
              </w:rPr>
            </w:pPr>
          </w:p>
        </w:tc>
        <w:tc>
          <w:tcPr>
            <w:tcW w:w="860" w:type="dxa"/>
            <w:vAlign w:val="bottom"/>
          </w:tcPr>
          <w:p>
            <w:pPr>
              <w:jc w:val="right"/>
              <w:ind w:right="701"/>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2,080</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7,219</w:t>
            </w:r>
          </w:p>
        </w:tc>
        <w:tc>
          <w:tcPr>
            <w:tcW w:w="3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432</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FF0FC"/>
          </w:tcPr>
          <w:p>
            <w:pPr>
              <w:spacing w:after="0"/>
              <w:rPr>
                <w:sz w:val="19"/>
                <w:szCs w:val="19"/>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Total depreciation</w:t>
            </w:r>
          </w:p>
        </w:tc>
        <w:tc>
          <w:tcPr>
            <w:tcW w:w="860" w:type="dxa"/>
            <w:vAlign w:val="bottom"/>
            <w:tcBorders>
              <w:bottom w:val="single" w:sz="8" w:color="auto"/>
            </w:tcBorders>
          </w:tcPr>
          <w:p>
            <w:pPr>
              <w:jc w:val="right"/>
              <w:ind w:right="699"/>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3,089</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ind w:right="701"/>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2,665</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1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2540" w:type="dxa"/>
            <w:vAlign w:val="bottom"/>
            <w:gridSpan w:val="4"/>
          </w:tcPr>
          <w:p>
            <w:pPr>
              <w:jc w:val="right"/>
              <w:ind w:right="201"/>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8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8"/>
                <w:szCs w:val="18"/>
                <w:b w:val="1"/>
                <w:bCs w:val="1"/>
                <w:color w:val="auto"/>
                <w:w w:val="90"/>
              </w:rPr>
              <w:t>September 30,</w:t>
            </w: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38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Borders>
              <w:bottom w:val="single" w:sz="8" w:color="CFF0FC"/>
            </w:tcBorders>
          </w:tcPr>
          <w:p>
            <w:pPr>
              <w:spacing w:after="0"/>
              <w:rPr>
                <w:sz w:val="19"/>
                <w:szCs w:val="19"/>
                <w:color w:val="auto"/>
              </w:rPr>
            </w:pPr>
          </w:p>
        </w:tc>
      </w:tr>
      <w:tr>
        <w:trPr>
          <w:trHeight w:val="222"/>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w:t>
            </w: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Platform operations</w:t>
            </w:r>
          </w:p>
        </w:tc>
        <w:tc>
          <w:tcPr>
            <w:tcW w:w="860" w:type="dxa"/>
            <w:vAlign w:val="bottom"/>
          </w:tcPr>
          <w:p>
            <w:pPr>
              <w:jc w:val="right"/>
              <w:ind w:right="699"/>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9"/>
                <w:szCs w:val="19"/>
                <w:color w:val="auto"/>
              </w:rPr>
            </w:pP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86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FF0FC"/>
          </w:tcPr>
          <w:p>
            <w:pPr>
              <w:spacing w:after="0"/>
              <w:rPr>
                <w:sz w:val="19"/>
                <w:szCs w:val="19"/>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Total amortization</w:t>
            </w:r>
          </w:p>
        </w:tc>
        <w:tc>
          <w:tcPr>
            <w:tcW w:w="860" w:type="dxa"/>
            <w:vAlign w:val="bottom"/>
            <w:tcBorders>
              <w:bottom w:val="single" w:sz="8" w:color="auto"/>
            </w:tcBorders>
          </w:tcPr>
          <w:p>
            <w:pPr>
              <w:jc w:val="right"/>
              <w:ind w:right="699"/>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ind w:right="76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the Three Months Ended September 30, 2022 and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231F20"/>
              </w:rPr>
              <w:t>Revenue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0"/>
              </w:rPr>
              <w:t>Three Months Ended</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4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50,857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bl>
    <w:p>
      <w:pPr>
        <w:spacing w:after="0" w:line="20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231F20"/>
        </w:rPr>
        <w:t>Revenue decreased by $2.0 million, or 4.0%, during the three months ended September 30, 2022 compared to the three months ended September 30, 2021. This decrease in revenue was primarily due to certain marketers in the consumer products, automotive, and entertainment industry verticals being impacted by the ongoing adverse effects of labor shortages, inflation and monetary supply shifts, rising interest rates, the tightening of credit markets, and other adverse macroeconomic and geopolitical developments potentially indicative of an economic slowdown or recession. This resulted in revenue decreasing across these industry verticals by a combined 22% from the prior-year period. Despite the uncertainty that comes with such an environment, we have continued to experience increased demand for our people-based advertising products and services, as evidenced by a 3% increase in revenue from the prior-year period from marketers in industry verticals other than consumer products, automotive, and entertainment, the continued growth of several of our industry verticals including financial services and political, and an increase in our active customers to 334 for the twelve months ended September 30, 2022 compared to 305 for the twelve months ended September 30, 2021. Additionally, approximately 85% of our revenue for the three months ended September 30, 2022 came from customers that had been customers in the three months ended September 30, 2021.</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860" w:type="dxa"/>
            <w:vAlign w:val="bottom"/>
            <w:gridSpan w:val="2"/>
          </w:tcPr>
          <w:p>
            <w:pPr>
              <w:spacing w:after="0"/>
              <w:rPr>
                <w:sz w:val="20"/>
                <w:szCs w:val="20"/>
                <w:color w:val="auto"/>
              </w:rPr>
            </w:pPr>
            <w:r>
              <w:rPr>
                <w:rFonts w:ascii="Arial" w:cs="Arial" w:eastAsia="Arial" w:hAnsi="Arial"/>
                <w:sz w:val="18"/>
                <w:szCs w:val="18"/>
                <w:i w:val="1"/>
                <w:iCs w:val="1"/>
                <w:color w:val="231F20"/>
              </w:rPr>
              <w:t>Platform Operations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Traffic acquisition costs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platform operations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12,187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(1,416)</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platform operations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580"/>
              <w:spacing w:after="0"/>
              <w:rPr>
                <w:sz w:val="20"/>
                <w:szCs w:val="20"/>
                <w:color w:val="auto"/>
              </w:rPr>
            </w:pPr>
            <w:r>
              <w:rPr>
                <w:rFonts w:ascii="Arial" w:cs="Arial" w:eastAsia="Arial" w:hAnsi="Arial"/>
                <w:sz w:val="18"/>
                <w:szCs w:val="18"/>
                <w:color w:val="auto"/>
              </w:rPr>
              <w:t>Platform operations as a percentage of revenue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231F20"/>
        </w:rPr>
        <w:t>Platform operations expense decreased by $1.4 million, or 5%, during the three months ended September 30, 2022 compared to the three months ended September 30, 2021. Traffic acquisition costs (“TAC”) are amounts incurred and payable to suppliers for the cost of advertising media, third-party data and other add-on features related to our fixed CPM pricing option and certain arrangements in our percentage of spend pricing option. The change in platform operations expense for the third quarter of 2022 was due to a decrease in other platform operations expense, primarily driven by a decline of $1.9 million in stock-based compensation expense related to our 2021 Long-Term Incentive Plan (the “LTIP”), partially offset by a $0.4 million increase in depreciation related to our continued investment in developed technology. This decline in stock-based compensation was the result of restricted stock units (“RSUs”) granted in connection with our initial public offering in February 2021 (the “IPO”), a portion of which became fully vested during the previous year.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2"/>
          </w:tcPr>
          <w:p>
            <w:pPr>
              <w:spacing w:after="0"/>
              <w:rPr>
                <w:sz w:val="20"/>
                <w:szCs w:val="20"/>
                <w:color w:val="auto"/>
              </w:rPr>
            </w:pPr>
            <w:r>
              <w:rPr>
                <w:rFonts w:ascii="Arial" w:cs="Arial" w:eastAsia="Arial" w:hAnsi="Arial"/>
                <w:sz w:val="18"/>
                <w:szCs w:val="18"/>
                <w:i w:val="1"/>
                <w:iCs w:val="1"/>
                <w:color w:val="231F20"/>
              </w:rPr>
              <w:t>Sales and Marketing</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3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16,949</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15,131</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ind w:right="100" w:firstLine="510"/>
        <w:spacing w:after="0" w:line="278" w:lineRule="auto"/>
        <w:rPr>
          <w:sz w:val="20"/>
          <w:szCs w:val="20"/>
          <w:color w:val="auto"/>
        </w:rPr>
      </w:pPr>
      <w:r>
        <w:rPr>
          <w:rFonts w:ascii="Arial" w:cs="Arial" w:eastAsia="Arial" w:hAnsi="Arial"/>
          <w:sz w:val="17"/>
          <w:szCs w:val="17"/>
          <w:color w:val="231F20"/>
        </w:rPr>
        <w:t xml:space="preserve">Sales and marketing expense increased by $1.8 million, or 12%, during the three months ended September 30, 2022 compared to the three months ended September 30, 2021. This increase was primarily due to a $2.4 million increase in personnel costs due to increased sales and marketing headcount, </w:t>
      </w:r>
      <w:r>
        <w:rPr>
          <w:rFonts w:ascii="Arial" w:cs="Arial" w:eastAsia="Arial" w:hAnsi="Arial"/>
          <w:sz w:val="17"/>
          <w:szCs w:val="17"/>
          <w:color w:val="221F1F"/>
        </w:rPr>
        <w:t>a</w:t>
      </w:r>
      <w:r>
        <w:rPr>
          <w:rFonts w:ascii="Arial" w:cs="Arial" w:eastAsia="Arial" w:hAnsi="Arial"/>
          <w:sz w:val="17"/>
          <w:szCs w:val="17"/>
          <w:color w:val="231F20"/>
        </w:rPr>
        <w:t xml:space="preserve"> </w:t>
      </w:r>
      <w:r>
        <w:rPr>
          <w:rFonts w:ascii="Arial" w:cs="Arial" w:eastAsia="Arial" w:hAnsi="Arial"/>
          <w:sz w:val="17"/>
          <w:szCs w:val="17"/>
          <w:color w:val="221F1F"/>
        </w:rPr>
        <w:t xml:space="preserve">$1.3 million </w:t>
      </w:r>
      <w:r>
        <w:rPr>
          <w:rFonts w:ascii="Arial" w:cs="Arial" w:eastAsia="Arial" w:hAnsi="Arial"/>
          <w:sz w:val="17"/>
          <w:szCs w:val="17"/>
          <w:color w:val="231F20"/>
        </w:rPr>
        <w:t>increase in advertising expense, a $0.3 million increase in travel and entertainment expenses, and a $0.2 million increase in software license</w:t>
      </w:r>
      <w:r>
        <w:rPr>
          <w:rFonts w:ascii="Arial" w:cs="Arial" w:eastAsia="Arial" w:hAnsi="Arial"/>
          <w:sz w:val="17"/>
          <w:szCs w:val="17"/>
          <w:color w:val="221F1F"/>
        </w:rPr>
        <w:t xml:space="preserve"> </w:t>
      </w:r>
      <w:r>
        <w:rPr>
          <w:rFonts w:ascii="Arial" w:cs="Arial" w:eastAsia="Arial" w:hAnsi="Arial"/>
          <w:sz w:val="17"/>
          <w:szCs w:val="17"/>
          <w:color w:val="231F20"/>
        </w:rPr>
        <w:t>and subscription costs, partially offset by a $2.5 million decrease in stock-based compensation.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i w:val="1"/>
                <w:iCs w:val="1"/>
                <w:color w:val="231F20"/>
              </w:rPr>
              <w:t>Technology and Development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2021</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6,590</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00" w:lineRule="exact"/>
        <w:rPr>
          <w:sz w:val="20"/>
          <w:szCs w:val="20"/>
          <w:color w:val="auto"/>
        </w:rPr>
      </w:pPr>
    </w:p>
    <w:p>
      <w:pPr>
        <w:ind w:right="100" w:firstLine="510"/>
        <w:spacing w:after="0" w:line="258" w:lineRule="auto"/>
        <w:rPr>
          <w:sz w:val="20"/>
          <w:szCs w:val="20"/>
          <w:color w:val="auto"/>
        </w:rPr>
      </w:pPr>
      <w:r>
        <w:rPr>
          <w:rFonts w:ascii="Arial" w:cs="Arial" w:eastAsia="Arial" w:hAnsi="Arial"/>
          <w:sz w:val="18"/>
          <w:szCs w:val="18"/>
          <w:color w:val="231F20"/>
        </w:rPr>
        <w:t>Technology and development expense decreased by $1.0 million, or 15%, during the three months ended September 30, 2022 compared to the three months ended September 30, 2021. This decrease was primarily attributable to a $1.6 million decrease in stock-based compensation, which was partially offset by an increase of $0.3 million in cloud infrastructure costs, an increase of $0.2 million in personnel costs, and a $0.2 million increase in consulting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i w:val="1"/>
                <w:iCs w:val="1"/>
                <w:color w:val="231F20"/>
              </w:rPr>
              <w:t>General and Administrative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11,650</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46"/>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00" w:lineRule="exact"/>
        <w:rPr>
          <w:sz w:val="20"/>
          <w:szCs w:val="20"/>
          <w:color w:val="auto"/>
        </w:rPr>
      </w:pPr>
    </w:p>
    <w:p>
      <w:pPr>
        <w:spacing w:after="0" w:line="225"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231F20"/>
        </w:rPr>
        <w:t>General and administrative expense decreased by 0.3 million, or 3%, during the three months ended September 30, 2022 compared to the three months ended September 30, 2021. This decrease was primarily attributable to a $1.7 million decrease in stock-based compensation and a $0.4 million decrease in recruiting expenses, partially offset by a $0.7 million increase in bad debt reserves, a $0.5 million increase in travel and entertainment expenses, a $0.4 million increase in personnel costs due to increase in headcount, and a $0.1 million increase in consulting expenses associated with general corporate and compliance matters.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i w:val="1"/>
                <w:iCs w:val="1"/>
                <w:color w:val="231F20"/>
              </w:rPr>
              <w:t>Total Other Expense (Income), Net</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39"/>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(income), net</w:t>
            </w: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(449)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348</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w:t>
            </w:r>
          </w:p>
        </w:tc>
      </w:tr>
      <w:tr>
        <w:trPr>
          <w:trHeight w:val="230"/>
        </w:trPr>
        <w:tc>
          <w:tcPr>
            <w:tcW w:w="5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Percentage of revenue</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ind w:right="260" w:firstLine="510"/>
        <w:spacing w:after="0" w:line="285" w:lineRule="auto"/>
        <w:rPr>
          <w:sz w:val="20"/>
          <w:szCs w:val="20"/>
          <w:color w:val="auto"/>
        </w:rPr>
      </w:pPr>
      <w:r>
        <w:rPr>
          <w:rFonts w:ascii="Arial" w:cs="Arial" w:eastAsia="Arial" w:hAnsi="Arial"/>
          <w:sz w:val="17"/>
          <w:szCs w:val="17"/>
          <w:color w:val="231F20"/>
        </w:rPr>
        <w:t>Total other income for the three months ended September 30, 2022 was $0.4 million compared to total other expense of $0.3 million for the same period in 2021. The change from the prior year was primarily due to interest income and a reduction in interest expense resulting from paying off the outstanding balance of advances under our revolving credit facility with PNC Bank, National Association (“PNC Bank”).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the Nine Months Ended September 30, 2022 and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b w:val="1"/>
                <w:bCs w:val="1"/>
                <w:i w:val="1"/>
                <w:iCs w:val="1"/>
                <w:color w:val="231F20"/>
              </w:rPr>
              <w:t>Revenue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1"/>
              </w:rPr>
              <w:t>Nine Months Ended</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4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142,659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141,412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0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 xml:space="preserve">Revenue increased by $1.2 million, or 1%, during the nine months ended September 30, 2022 compared to the nine months ended September 30, 2021. Our revenue growth was due to a 23% increase in revenue from the prior-year period from industry verticals other than automotive, consumer products, and entertainment. The increase was primarily driven by the financial services, travel, and political industry verticals. This increase was partially offset by the impact of certain marketers in the automotive, consumer products, and entertainment industry verticals decreasing or pausing their advertising spend due to the ongoing adverse effects of the COVID-19 pandemic and the impact of labor shortages, inflation and monetary supply shifts, rising interest rates, the tightening of credit markets, and other </w:t>
      </w:r>
      <w:r>
        <w:rPr>
          <w:rFonts w:ascii="Arial" w:cs="Arial" w:eastAsia="Arial" w:hAnsi="Arial"/>
          <w:sz w:val="17"/>
          <w:szCs w:val="17"/>
          <w:color w:val="000000"/>
        </w:rPr>
        <w:t>adverse macroeconomic and geopolitical developments potentially indicative of an</w:t>
      </w:r>
      <w:r>
        <w:rPr>
          <w:rFonts w:ascii="Arial" w:cs="Arial" w:eastAsia="Arial" w:hAnsi="Arial"/>
          <w:sz w:val="17"/>
          <w:szCs w:val="17"/>
          <w:color w:val="231F20"/>
        </w:rPr>
        <w:t xml:space="preserve"> economic slowdown or recession. This resulted in revenue decreasing across these industry verticals by approximately 36% from the prior-year period. Additionally, approximately 87% of our revenue for the nine months ended September 30, 2022 came from customers that had been customers in the nine months ended September 30,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i w:val="1"/>
                <w:iCs w:val="1"/>
                <w:color w:val="231F20"/>
              </w:rPr>
              <w:t>Platform Operations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84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Traffic acquisition costs</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48,395</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platform operations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33,365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36,631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(3,266)</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platform operations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85,026</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580"/>
              <w:spacing w:after="0"/>
              <w:rPr>
                <w:sz w:val="20"/>
                <w:szCs w:val="20"/>
                <w:color w:val="auto"/>
              </w:rPr>
            </w:pPr>
            <w:r>
              <w:rPr>
                <w:rFonts w:ascii="Arial" w:cs="Arial" w:eastAsia="Arial" w:hAnsi="Arial"/>
                <w:sz w:val="18"/>
                <w:szCs w:val="18"/>
                <w:color w:val="auto"/>
              </w:rPr>
              <w:t>Platform operations as a percentage of revenue</w:t>
            </w: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231F20"/>
        </w:rPr>
        <w:t>Platform operations expense decreased by $0.4 million during the nine months ended September 30, 2022 compared to the nine months ended September 30, 2021. This decrease was primarily driven by an $8.2 million decrease in stock-based compensation expense related to the LTIP due to the RSUs that were granted in connection with our IPO, a portion of which became fully vested during the previous year, partially offset by a $2.9 million increase in TAC, a variable function of revenue related to our fixed CPM pricing option and certain arrangements related to our percentage of spend pricing option, a $2.0 million increase in cloud costs due to</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spacing w:after="0" w:line="276" w:lineRule="auto"/>
        <w:rPr>
          <w:sz w:val="20"/>
          <w:szCs w:val="20"/>
          <w:color w:val="auto"/>
        </w:rPr>
      </w:pPr>
      <w:r>
        <w:rPr>
          <w:rFonts w:ascii="Arial" w:cs="Arial" w:eastAsia="Arial" w:hAnsi="Arial"/>
          <w:sz w:val="18"/>
          <w:szCs w:val="18"/>
          <w:color w:val="231F20"/>
        </w:rPr>
        <w:t>continued enhancements to our cloud infrastructure, a $1.8 million increase in depreciation, and a $1.2 million increase in third-party costs in support of our Adelphic platform.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i w:val="1"/>
                <w:iCs w:val="1"/>
                <w:color w:val="231F20"/>
              </w:rPr>
              <w:t>Sales and Marketing</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1"/>
              </w:rPr>
              <w:t>Nine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47,991</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49,869</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00"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231F20"/>
        </w:rPr>
        <w:t>Sales and marketing expense decreased by $1.9 million, or 4%, during the nine months ended September 30, 2022 compared to the nine months ended September 30, 2021. This decrease was primarily due to a $16.7 million decrease in stock-based compensation related to the LTIP, partially offset by a $7.8 million increase in personnel costs as a result of increased sales and marketing headcount, a $4.4 million increase in advertising expense, a $1.6 million increase in travel and entertainment expenses, a $0.4 million increase in software license expenses, a $0.3 million increase in facilities expense, and a $0.2 million increase in consulting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i w:val="1"/>
                <w:iCs w:val="1"/>
                <w:color w:val="231F20"/>
              </w:rPr>
              <w:t>Technology and Development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1"/>
              </w:rPr>
              <w:t>Nine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15,590</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20,521</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00"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231F20"/>
        </w:rPr>
        <w:t>Technology and development expense decreased by $4.9 million, or 24%, during the nine months ended September 30, 2022 compared to the nine months ended September 30, 2021. This decrease was primarily attributable to a $7.0 million decrease in stock-based compensation related to the LTIP, partially offset by a $1.0 million increase in cloud infrastructure costs, a $0.7 million increase in personnel costs as a result of an increase in headcount to support our continued investment in developed technology, a $0.3 million increase in consulting expenses and a $0.1 million increase in depreciation.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i w:val="1"/>
                <w:iCs w:val="1"/>
                <w:color w:val="231F20"/>
              </w:rPr>
              <w:t>General and Administrative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1"/>
              </w:rPr>
              <w:t>Nine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34,458</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36,477</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00"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231F20"/>
        </w:rPr>
        <w:t>General and administrative expense decreased by $2.0 million, or 6%, during the nine months ended September 30, 2022 compared to the nine months ended September 30, 2021. This decrease was primarily attributable to an $8.5 million decrease in stock-based compensation related to the LTIP, partially offset by a $1.9 million increase in personnel costs due to an increase in headcount, a $1.7 million increase in business insurance and tax, legal, and consulting expenses associated with general corporate and compliance matters, a $1.3 million increase in travel and entertainment expenses, a $1.0 million increase in bad debt reserves, a $0.4 million increase in recruiting expenses, and a $0.1 million increase in software license and subscription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i w:val="1"/>
                <w:iCs w:val="1"/>
                <w:color w:val="231F20"/>
              </w:rPr>
              <w:t>Total Other Expense (Income),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1"/>
              </w:rPr>
              <w:t>Nine Months Ended</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9"/>
              </w:rPr>
              <w:t>September 30,</w:t>
            </w:r>
          </w:p>
        </w:tc>
        <w:tc>
          <w:tcPr>
            <w:tcW w:w="7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2021</w:t>
            </w:r>
          </w:p>
        </w:tc>
        <w:tc>
          <w:tcPr>
            <w:tcW w:w="4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r>
      <w:tr>
        <w:trPr>
          <w:trHeight w:val="222"/>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(income),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(5,354)</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231F20"/>
        </w:rPr>
        <w:t xml:space="preserve">Total other expense for the nine months ended September 30, 2022 was de minimis compared to total other income of $5.4 million for the same period in 2021. The change from the prior year </w:t>
      </w:r>
      <w:r>
        <w:rPr>
          <w:rFonts w:ascii="Arial" w:cs="Arial" w:eastAsia="Arial" w:hAnsi="Arial"/>
          <w:sz w:val="18"/>
          <w:szCs w:val="18"/>
          <w:color w:val="000000"/>
        </w:rPr>
        <w:t>was primarily due to a $6.1 million prior-year gain on debt extinguishment which was a result of the</w:t>
      </w:r>
      <w:r>
        <w:rPr>
          <w:rFonts w:ascii="Arial" w:cs="Arial" w:eastAsia="Arial" w:hAnsi="Arial"/>
          <w:sz w:val="18"/>
          <w:szCs w:val="18"/>
          <w:color w:val="231F20"/>
        </w:rPr>
        <w:t xml:space="preserve"> </w:t>
      </w:r>
      <w:r>
        <w:rPr>
          <w:rFonts w:ascii="Arial" w:cs="Arial" w:eastAsia="Arial" w:hAnsi="Arial"/>
          <w:sz w:val="18"/>
          <w:szCs w:val="18"/>
          <w:color w:val="000000"/>
        </w:rPr>
        <w:t>forgiveness of our Paycheck Protection Program Loan (the “PPP Loan”), partially offset by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jc w:val="center"/>
        <w:ind w:right="-3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$0.7 million of interest expense in the prior year which was de minimis in the current year. For additional information regarding forgiveness of our PPP Loan, see Note 8—Revolving Credit Facility and PPP Loan to our condensed consolidated financial statements.</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Operating and Financial Performance Measures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Non-GAAP Financial Measures</w:t>
      </w:r>
    </w:p>
    <w:p>
      <w:pPr>
        <w:spacing w:after="0" w:line="11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231F20"/>
        </w:rPr>
        <w:t xml:space="preserve">We monitor certain non-GAAP financial measures to help us evaluate growth trends, establish budgets, measure the effectiveness of our sales and marketing efforts and assess our operational efficiencies. </w:t>
      </w:r>
      <w:r>
        <w:rPr>
          <w:rFonts w:ascii="Arial" w:cs="Arial" w:eastAsia="Arial" w:hAnsi="Arial"/>
          <w:sz w:val="17"/>
          <w:szCs w:val="17"/>
          <w:color w:val="000000"/>
        </w:rPr>
        <w:t>We believe these measures enhance an overall understanding of our performance and investors’</w:t>
      </w:r>
      <w:r>
        <w:rPr>
          <w:rFonts w:ascii="Arial" w:cs="Arial" w:eastAsia="Arial" w:hAnsi="Arial"/>
          <w:sz w:val="17"/>
          <w:szCs w:val="17"/>
          <w:color w:val="231F20"/>
        </w:rPr>
        <w:t xml:space="preserve"> </w:t>
      </w:r>
      <w:r>
        <w:rPr>
          <w:rFonts w:ascii="Arial" w:cs="Arial" w:eastAsia="Arial" w:hAnsi="Arial"/>
          <w:sz w:val="17"/>
          <w:szCs w:val="17"/>
          <w:color w:val="000000"/>
        </w:rPr>
        <w:t xml:space="preserve">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Arial" w:cs="Arial" w:eastAsia="Arial" w:hAnsi="Arial"/>
          <w:sz w:val="17"/>
          <w:szCs w:val="17"/>
          <w:color w:val="231F20"/>
        </w:rPr>
        <w:t>These non-GAAP financial measures</w:t>
      </w:r>
      <w:r>
        <w:rPr>
          <w:rFonts w:ascii="Arial" w:cs="Arial" w:eastAsia="Arial" w:hAnsi="Arial"/>
          <w:sz w:val="17"/>
          <w:szCs w:val="17"/>
          <w:color w:val="000000"/>
        </w:rPr>
        <w:t xml:space="preserve"> </w:t>
      </w:r>
      <w:r>
        <w:rPr>
          <w:rFonts w:ascii="Arial" w:cs="Arial" w:eastAsia="Arial" w:hAnsi="Arial"/>
          <w:sz w:val="17"/>
          <w:szCs w:val="17"/>
          <w:color w:val="231F20"/>
        </w:rPr>
        <w:t>include contribution ex-TAC, average contribution ex-TAC per active customer, adjusted EBITDA, adjusted EBITDA as a percentage of contribution ex-TAC, non-GAAP net income (loss), non-GAAP earnings (loss) per share of Class A common stock—basic and diluted, and non-GAAP operating expenses, each of which are discussed immediately following the table below, along with the operational performance measure of active customers.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7"/>
              </w:rPr>
              <w:t>Nine Months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4"/>
        </w:trPr>
        <w:tc>
          <w:tcPr>
            <w:tcW w:w="4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center"/>
              <w:ind w:right="380"/>
              <w:spacing w:after="0" w:line="204" w:lineRule="exact"/>
              <w:rPr>
                <w:sz w:val="20"/>
                <w:szCs w:val="20"/>
                <w:color w:val="auto"/>
              </w:rPr>
            </w:pPr>
            <w:r>
              <w:rPr>
                <w:rFonts w:ascii="Arial" w:cs="Arial" w:eastAsia="Arial" w:hAnsi="Arial"/>
                <w:sz w:val="18"/>
                <w:szCs w:val="18"/>
                <w:b w:val="1"/>
                <w:bCs w:val="1"/>
                <w:color w:val="auto"/>
                <w:w w:val="90"/>
              </w:rPr>
              <w:t>Change</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center"/>
              <w:ind w:right="260"/>
              <w:spacing w:after="0" w:line="204" w:lineRule="exact"/>
              <w:rPr>
                <w:sz w:val="20"/>
                <w:szCs w:val="20"/>
                <w:color w:val="auto"/>
              </w:rPr>
            </w:pPr>
            <w:r>
              <w:rPr>
                <w:rFonts w:ascii="Arial" w:cs="Arial" w:eastAsia="Arial" w:hAnsi="Arial"/>
                <w:sz w:val="18"/>
                <w:szCs w:val="18"/>
                <w:b w:val="1"/>
                <w:bCs w:val="1"/>
                <w:color w:val="auto"/>
                <w:w w:val="87"/>
              </w:rPr>
              <w:t>Change</w:t>
            </w:r>
          </w:p>
        </w:tc>
      </w:tr>
      <w:tr>
        <w:trPr>
          <w:trHeight w:val="234"/>
        </w:trPr>
        <w:tc>
          <w:tcPr>
            <w:tcW w:w="40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20"/>
                <w:szCs w:val="20"/>
                <w:color w:val="auto"/>
              </w:rPr>
            </w:pPr>
          </w:p>
        </w:tc>
      </w:tr>
      <w:tr>
        <w:trPr>
          <w:trHeight w:val="222"/>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Operating and Financial Performance Measures</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21,300</w:t>
            </w:r>
          </w:p>
        </w:tc>
        <w:tc>
          <w:tcPr>
            <w:tcW w:w="30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21,890</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57,985</w:t>
            </w:r>
          </w:p>
        </w:tc>
        <w:tc>
          <w:tcPr>
            <w:tcW w:w="3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56,386</w:t>
            </w: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Contribution ex-TAC</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32,071</w:t>
            </w:r>
          </w:p>
        </w:tc>
        <w:tc>
          <w:tcPr>
            <w:tcW w:w="3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34,077</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91,350</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93,017</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(12,426)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(12,160)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(40,081)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(45,127)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(1,804)</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6,454</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(8,762)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19,682</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Net loss as a percentage of gross profit</w:t>
            </w: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1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6"/>
              </w:rPr>
              <w:t>Adjusted EBITDA as a percentage of contribution ex-</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TAC</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(4,434)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3,092</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(17,154)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10,476</w:t>
            </w:r>
          </w:p>
        </w:tc>
        <w:tc>
          <w:tcPr>
            <w:tcW w:w="3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61,705</w:t>
            </w:r>
          </w:p>
        </w:tc>
        <w:tc>
          <w:tcPr>
            <w:tcW w:w="3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62,669</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182,713</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191,893</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Non-GAAP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33,875</w:t>
            </w:r>
          </w:p>
        </w:tc>
        <w:tc>
          <w:tcPr>
            <w:tcW w:w="30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27,623</w:t>
            </w:r>
          </w:p>
        </w:tc>
        <w:tc>
          <w:tcPr>
            <w:tcW w:w="3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100,112</w:t>
            </w:r>
          </w:p>
        </w:tc>
        <w:tc>
          <w:tcPr>
            <w:tcW w:w="3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73,335</w:t>
            </w: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Loss per share—basic</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(0.20)</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(0.69)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(0.78)</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Loss per share—diluted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(0.78)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Non-GAAP earnings (loss) per share—basic</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(0.06)</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Non-GAAP earnings (loss) per share—diluted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3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Active customers</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Average gross profit per active customer</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w:t>
            </w:r>
          </w:p>
        </w:tc>
        <w:tc>
          <w:tcPr>
            <w:tcW w:w="3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w:t>
            </w:r>
          </w:p>
        </w:tc>
        <w:tc>
          <w:tcPr>
            <w:tcW w:w="3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Average contribution ex-TAC per active customer</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3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Contribution ex-TAC</w:t>
      </w:r>
    </w:p>
    <w:p>
      <w:pPr>
        <w:spacing w:after="0" w:line="11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231F20"/>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83"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231F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231F20"/>
        </w:rPr>
        <w:t>which may make comparisons difficult. Because of these and other limitations, you should consider our non-GAAP financial measures only as supplemental to other GAAP-based financial performance measures, including revenue, gross profit, net income (loss) and cash flows. For a reconciliation of contribution ex-TAC to the most directly comparable financial measure calculated in accordance with GAAP, see “</w:t>
      </w:r>
      <w:r>
        <w:rPr>
          <w:rFonts w:ascii="Arial" w:cs="Arial" w:eastAsia="Arial" w:hAnsi="Arial"/>
          <w:sz w:val="18"/>
          <w:szCs w:val="18"/>
          <w:i w:val="1"/>
          <w:iCs w:val="1"/>
          <w:color w:val="231F20"/>
        </w:rPr>
        <w:t>—Average contribution ex-TAC per</w:t>
      </w:r>
      <w:r>
        <w:rPr>
          <w:rFonts w:ascii="Arial" w:cs="Arial" w:eastAsia="Arial" w:hAnsi="Arial"/>
          <w:sz w:val="18"/>
          <w:szCs w:val="18"/>
          <w:color w:val="231F20"/>
        </w:rPr>
        <w:t xml:space="preserve"> </w:t>
      </w:r>
      <w:r>
        <w:rPr>
          <w:rFonts w:ascii="Arial" w:cs="Arial" w:eastAsia="Arial" w:hAnsi="Arial"/>
          <w:sz w:val="18"/>
          <w:szCs w:val="18"/>
          <w:i w:val="1"/>
          <w:iCs w:val="1"/>
          <w:color w:val="231F20"/>
        </w:rPr>
        <w:t>active customer</w:t>
      </w:r>
      <w:r>
        <w:rPr>
          <w:rFonts w:ascii="Arial" w:cs="Arial" w:eastAsia="Arial" w:hAnsi="Arial"/>
          <w:sz w:val="18"/>
          <w:szCs w:val="18"/>
          <w:color w:val="231F20"/>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Active customers</w:t>
      </w:r>
    </w:p>
    <w:p>
      <w:pPr>
        <w:spacing w:after="0" w:line="11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231F20"/>
        </w:rPr>
        <w:t>We define an active customer as a customer that had total aggregate contribution ex-TAC of at least $5,000 through our platform during the previous twelve months. For purposes of this definition, a customer that operates under any of our pricing options that equals or exceeds the aforementioned contribution ex-TAC threshold is considered an active customer. Active customers is a key measure used by our management and board of directors to understand and evaluate our operating performance and trends, develop short- and long-term operational plans and make strategic decisions regarding future enhancements to our software. We believe active customers is a useful metric for investors because it allows investors to evaluate the Company’s operational performance in the same manner as our management and board of directors. Active customers is an operational metric calculated using contribution ex-TAC, a non-GAAP financial measure. For a reconciliation of contribution ex-TAC to the most directly comparable financial measure calculated in accordance with GAAP, see “</w:t>
      </w:r>
      <w:r>
        <w:rPr>
          <w:rFonts w:ascii="Arial" w:cs="Arial" w:eastAsia="Arial" w:hAnsi="Arial"/>
          <w:sz w:val="17"/>
          <w:szCs w:val="17"/>
          <w:i w:val="1"/>
          <w:iCs w:val="1"/>
          <w:color w:val="231F20"/>
        </w:rPr>
        <w:t>—Average contribution ex-TAC per active customer</w:t>
      </w:r>
      <w:r>
        <w:rPr>
          <w:rFonts w:ascii="Arial" w:cs="Arial" w:eastAsia="Arial" w:hAnsi="Arial"/>
          <w:sz w:val="17"/>
          <w:szCs w:val="17"/>
          <w:color w:val="231F2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Average contribution ex-TAC per active customer</w:t>
      </w:r>
    </w:p>
    <w:p>
      <w:pPr>
        <w:spacing w:after="0" w:line="116"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231F20"/>
        </w:rPr>
        <w:t>We define average contribution ex-TAC per active customer as contribution ex-TAC for the trailing 12-month period presented divided by active customers. Average gross profit per active customer is the most comparable GAAP measure, which we define as gross profit for the trailing 12-month period presented divided by active customers. We believe that the total number of active customers and average contribution ex-TAC per active customer are measures of our ability to increase profitability and the effectiveness of our sales force, although we expect these measures to fluctuate based on the seasonality in our business. Customers that generated less than $5,000 in contribution ex-TAC in the trailing 12-month period were not material in the aggregate in any period.</w:t>
      </w:r>
    </w:p>
    <w:p>
      <w:pPr>
        <w:spacing w:after="0" w:line="81" w:lineRule="exact"/>
        <w:rPr>
          <w:sz w:val="20"/>
          <w:szCs w:val="20"/>
          <w:color w:val="auto"/>
        </w:rPr>
      </w:pPr>
    </w:p>
    <w:p>
      <w:pPr>
        <w:ind w:right="100" w:firstLine="510"/>
        <w:spacing w:after="0" w:line="306" w:lineRule="auto"/>
        <w:rPr>
          <w:sz w:val="20"/>
          <w:szCs w:val="20"/>
          <w:color w:val="auto"/>
        </w:rPr>
      </w:pPr>
      <w:r>
        <w:rPr>
          <w:rFonts w:ascii="Arial" w:cs="Arial" w:eastAsia="Arial" w:hAnsi="Arial"/>
          <w:sz w:val="17"/>
          <w:szCs w:val="17"/>
          <w:color w:val="231F20"/>
        </w:rPr>
        <w:t>The following table presents the calculation of gross profit, the reconciliation of gross profit to contribution ex-TAC, average gross profit per active customer and average contribution ex-TAC per active customer for the three and nine months ended September 30, 2022 and 2021:</w:t>
      </w:r>
    </w:p>
    <w:p>
      <w:pPr>
        <w:spacing w:after="0" w:line="50"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5"/>
              </w:rPr>
              <w:t>Three Months Ended</w:t>
            </w:r>
          </w:p>
        </w:tc>
        <w:tc>
          <w:tcPr>
            <w:tcW w:w="180" w:type="dxa"/>
            <w:vAlign w:val="bottom"/>
          </w:tcPr>
          <w:p>
            <w:pPr>
              <w:spacing w:after="0"/>
              <w:rPr>
                <w:sz w:val="18"/>
                <w:szCs w:val="18"/>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50,857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Less: Platform operations</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(27,530)</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(28,967)</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(84,674)</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(85,026)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57,985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Add back: Other platform operations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Contribution ex-TAC</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34,077</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91,350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Active customers</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Average gross profit per active customer</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Average contribution ex-TAC per active customer</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Adjusted EBITDA and adjusted EBITDA as a percentage of contribution ex-TAC</w:t>
      </w:r>
    </w:p>
    <w:p>
      <w:pPr>
        <w:spacing w:after="0" w:line="116" w:lineRule="exact"/>
        <w:rPr>
          <w:sz w:val="20"/>
          <w:szCs w:val="20"/>
          <w:color w:val="auto"/>
        </w:rPr>
      </w:pPr>
    </w:p>
    <w:p>
      <w:pPr>
        <w:ind w:right="100" w:firstLine="510"/>
        <w:spacing w:after="0" w:line="256" w:lineRule="auto"/>
        <w:rPr>
          <w:sz w:val="20"/>
          <w:szCs w:val="20"/>
          <w:color w:val="auto"/>
        </w:rPr>
      </w:pPr>
      <w:r>
        <w:rPr>
          <w:rFonts w:ascii="Arial" w:cs="Arial" w:eastAsia="Arial" w:hAnsi="Arial"/>
          <w:sz w:val="18"/>
          <w:szCs w:val="18"/>
          <w:color w:val="231F20"/>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charges, transaction expenses and the extinguishment of debt. Net income (loss) is the most comparable GAAP financial measure. Adjusted EBITDA as a percentage of contribution ex-TAC is a non-GAAP financial measure we calculate by dividing adjusted EBITDA by contribution ex-TAC for the period or periods presented.</w:t>
      </w:r>
    </w:p>
    <w:p>
      <w:pPr>
        <w:spacing w:after="0" w:line="8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231F20"/>
        </w:rPr>
        <w:t>that adjusted EBITDA and adjusted EBITDA as a percentage of contribution ex-TAC provide information to investors and the market in understanding and evaluating our operating results in the same manner as our management and board of directors.</w:t>
      </w:r>
    </w:p>
    <w:p>
      <w:pPr>
        <w:spacing w:after="0" w:line="63"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74" w:lineRule="exact"/>
        <w:rPr>
          <w:sz w:val="20"/>
          <w:szCs w:val="20"/>
          <w:color w:val="auto"/>
        </w:rPr>
      </w:pPr>
    </w:p>
    <w:p>
      <w:pPr>
        <w:ind w:left="1120" w:right="40" w:hanging="372"/>
        <w:spacing w:after="0" w:line="263"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73" w:lineRule="exact"/>
        <w:rPr>
          <w:rFonts w:ascii="Arial" w:cs="Arial" w:eastAsia="Arial" w:hAnsi="Arial"/>
          <w:sz w:val="18"/>
          <w:szCs w:val="18"/>
          <w:color w:val="auto"/>
        </w:rPr>
      </w:pPr>
    </w:p>
    <w:p>
      <w:pPr>
        <w:ind w:left="1120" w:right="240" w:hanging="372"/>
        <w:spacing w:after="0" w:line="263"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3" w:lineRule="exact"/>
        <w:rPr>
          <w:rFonts w:ascii="Arial" w:cs="Arial" w:eastAsia="Arial" w:hAnsi="Arial"/>
          <w:sz w:val="18"/>
          <w:szCs w:val="18"/>
          <w:color w:val="auto"/>
        </w:rPr>
      </w:pPr>
    </w:p>
    <w:p>
      <w:pPr>
        <w:ind w:left="1120" w:hanging="372"/>
        <w:spacing w:after="0" w:line="276"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adjusted EBITDA does not reflect changes in, or cash requirements for, our working capital needs or the potentially dilutive impact of stock-based compensation.</w:t>
      </w:r>
    </w:p>
    <w:p>
      <w:pPr>
        <w:spacing w:after="0" w:line="63" w:lineRule="exact"/>
        <w:rPr>
          <w:sz w:val="20"/>
          <w:szCs w:val="20"/>
          <w:color w:val="auto"/>
        </w:rPr>
      </w:pPr>
    </w:p>
    <w:p>
      <w:pPr>
        <w:ind w:right="60" w:firstLine="510"/>
        <w:spacing w:after="0" w:line="276" w:lineRule="auto"/>
        <w:rPr>
          <w:sz w:val="20"/>
          <w:szCs w:val="20"/>
          <w:color w:val="auto"/>
        </w:rPr>
      </w:pPr>
      <w:r>
        <w:rPr>
          <w:rFonts w:ascii="Arial" w:cs="Arial" w:eastAsia="Arial" w:hAnsi="Arial"/>
          <w:sz w:val="18"/>
          <w:szCs w:val="18"/>
          <w:color w:val="231F20"/>
        </w:rPr>
        <w:t>Because of these and other limitations, you should consider our non-GAAP financial measures only as supplemental to other GAAP-based financial performance measures, including revenue, net income (loss) and cash flows.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presents a reconciliation of net loss to adjusted EBITDA for the three and nine months ended September 30, 2022 and 2021:</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5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(45,127)</w:t>
            </w: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Add back:</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(income), net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62,192</w:t>
            </w: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extinguishment of debt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(6,110)</w:t>
            </w: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19,682</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firstLine="510"/>
        <w:spacing w:after="0" w:line="276" w:lineRule="auto"/>
        <w:rPr>
          <w:sz w:val="20"/>
          <w:szCs w:val="20"/>
          <w:color w:val="auto"/>
        </w:rPr>
      </w:pPr>
      <w:r>
        <w:rPr>
          <w:rFonts w:ascii="Arial" w:cs="Arial" w:eastAsia="Arial" w:hAnsi="Arial"/>
          <w:sz w:val="18"/>
          <w:szCs w:val="18"/>
          <w:color w:val="231F20"/>
        </w:rPr>
        <w:t>The following table presents the calculation of net loss as a percentage of gross profit and the calculation of adjusted EBITDA as a percentage of contribution ex-TAC for the three and nine months ended September 30, 2022 and 2021:</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7"/>
              </w:rPr>
              <w:t>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49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r>
      <w:tr>
        <w:trPr>
          <w:trHeight w:val="222"/>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57,985</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56,386</w:t>
            </w:r>
          </w:p>
        </w:tc>
        <w:tc>
          <w:tcPr>
            <w:tcW w:w="24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(12,426)</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(12,160)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(40,081)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(45,127)</w:t>
            </w: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loss as a percentage of gross profit</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Contribution ex-TAC</w:t>
            </w:r>
            <w:r>
              <w:rPr>
                <w:rFonts w:ascii="Arial" w:cs="Arial" w:eastAsia="Arial" w:hAnsi="Arial"/>
                <w:sz w:val="15"/>
                <w:szCs w:val="15"/>
                <w:color w:val="auto"/>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32,071</w:t>
            </w:r>
          </w:p>
        </w:tc>
        <w:tc>
          <w:tcPr>
            <w:tcW w:w="30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34,077</w:t>
            </w:r>
          </w:p>
        </w:tc>
        <w:tc>
          <w:tcPr>
            <w:tcW w:w="30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91,350</w:t>
            </w:r>
          </w:p>
        </w:tc>
        <w:tc>
          <w:tcPr>
            <w:tcW w:w="3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93,017</w:t>
            </w:r>
          </w:p>
        </w:tc>
        <w:tc>
          <w:tcPr>
            <w:tcW w:w="24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(1,804)</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6,454</w:t>
            </w:r>
          </w:p>
        </w:tc>
        <w:tc>
          <w:tcPr>
            <w:tcW w:w="3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(8,762)</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19,682</w:t>
            </w:r>
          </w:p>
        </w:tc>
        <w:tc>
          <w:tcPr>
            <w:tcW w:w="24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Adjusted EBITDA as a percentage of contribution ex-TAC</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bl>
    <w:p>
      <w:pPr>
        <w:spacing w:after="0" w:line="187" w:lineRule="exact"/>
        <w:rPr>
          <w:sz w:val="20"/>
          <w:szCs w:val="20"/>
          <w:color w:val="auto"/>
        </w:rPr>
      </w:pPr>
    </w:p>
    <w:p>
      <w:pPr>
        <w:ind w:left="520" w:right="100" w:hanging="2"/>
        <w:spacing w:after="0" w:line="276" w:lineRule="auto"/>
        <w:tabs>
          <w:tab w:leader="none" w:pos="1344" w:val="left"/>
        </w:tabs>
        <w:numPr>
          <w:ilvl w:val="0"/>
          <w:numId w:val="19"/>
        </w:numPr>
        <w:rPr>
          <w:rFonts w:ascii="Arial" w:cs="Arial" w:eastAsia="Arial" w:hAnsi="Arial"/>
          <w:sz w:val="15"/>
          <w:szCs w:val="15"/>
          <w:color w:val="231F20"/>
        </w:rPr>
      </w:pPr>
      <w:r>
        <w:rPr>
          <w:rFonts w:ascii="Arial" w:cs="Arial" w:eastAsia="Arial" w:hAnsi="Arial"/>
          <w:sz w:val="18"/>
          <w:szCs w:val="18"/>
          <w:color w:val="231F20"/>
        </w:rPr>
        <w:t>For a reconciliation of contribution ex-TAC to the most directly comparable financial measure calculated in accordance with GAAP, see “</w:t>
      </w:r>
      <w:r>
        <w:rPr>
          <w:rFonts w:ascii="Arial" w:cs="Arial" w:eastAsia="Arial" w:hAnsi="Arial"/>
          <w:sz w:val="18"/>
          <w:szCs w:val="18"/>
          <w:i w:val="1"/>
          <w:iCs w:val="1"/>
          <w:color w:val="231F20"/>
        </w:rPr>
        <w:t>—Average contribution ex-TAC per active customer</w:t>
      </w:r>
      <w:r>
        <w:rPr>
          <w:rFonts w:ascii="Arial" w:cs="Arial" w:eastAsia="Arial" w:hAnsi="Arial"/>
          <w:sz w:val="18"/>
          <w:szCs w:val="18"/>
          <w:color w:val="231F20"/>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Non-GAAP net income (loss)</w:t>
      </w:r>
    </w:p>
    <w:p>
      <w:pPr>
        <w:spacing w:after="0" w:line="116"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231F20"/>
        </w:rPr>
        <w:t>Non-GAAP net income (loss) is a non-GAAP financial measure defined by us as net income (loss) adjusted to eliminate the impact of stock-based compensation and certain other items that are not related to our core operations, such as restructuring charges, transaction expenses and the extinguishment of debt.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gain on debt extinguishment,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7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231F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65" w:lineRule="exact"/>
        <w:rPr>
          <w:sz w:val="20"/>
          <w:szCs w:val="20"/>
          <w:color w:val="auto"/>
        </w:rPr>
      </w:pPr>
    </w:p>
    <w:p>
      <w:pPr>
        <w:ind w:right="300" w:firstLine="510"/>
        <w:spacing w:after="0" w:line="276" w:lineRule="auto"/>
        <w:rPr>
          <w:sz w:val="20"/>
          <w:szCs w:val="20"/>
          <w:color w:val="auto"/>
        </w:rPr>
      </w:pPr>
      <w:r>
        <w:rPr>
          <w:rFonts w:ascii="Arial" w:cs="Arial" w:eastAsia="Arial" w:hAnsi="Arial"/>
          <w:sz w:val="18"/>
          <w:szCs w:val="18"/>
          <w:color w:val="auto"/>
        </w:rPr>
        <w:t>The following table presents a reconciliation of net loss to non-GAAP net income (loss) for the three and nine months ended September 30</w:t>
      </w:r>
      <w:r>
        <w:rPr>
          <w:rFonts w:ascii="Arial" w:cs="Arial" w:eastAsia="Arial" w:hAnsi="Arial"/>
          <w:sz w:val="18"/>
          <w:szCs w:val="18"/>
          <w:color w:val="231F20"/>
        </w:rPr>
        <w:t>, 2022</w:t>
      </w:r>
      <w:r>
        <w:rPr>
          <w:rFonts w:ascii="Arial" w:cs="Arial" w:eastAsia="Arial" w:hAnsi="Arial"/>
          <w:sz w:val="18"/>
          <w:szCs w:val="18"/>
          <w:color w:val="auto"/>
        </w:rPr>
        <w:t xml:space="preserve"> </w:t>
      </w:r>
      <w:r>
        <w:rPr>
          <w:rFonts w:ascii="Arial" w:cs="Arial" w:eastAsia="Arial" w:hAnsi="Arial"/>
          <w:sz w:val="18"/>
          <w:szCs w:val="18"/>
          <w:color w:val="231F20"/>
        </w:rPr>
        <w:t>and 2021:</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5"/>
              </w:rPr>
              <w:t>Three Months Ended</w:t>
            </w:r>
          </w:p>
        </w:tc>
        <w:tc>
          <w:tcPr>
            <w:tcW w:w="180" w:type="dxa"/>
            <w:vAlign w:val="bottom"/>
          </w:tcPr>
          <w:p>
            <w:pPr>
              <w:spacing w:after="0"/>
              <w:rPr>
                <w:sz w:val="18"/>
                <w:szCs w:val="18"/>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5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(45,127)</w:t>
            </w: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ind w:left="120"/>
              <w:spacing w:after="0"/>
              <w:rPr>
                <w:sz w:val="20"/>
                <w:szCs w:val="20"/>
                <w:color w:val="auto"/>
              </w:rPr>
            </w:pPr>
            <w:r>
              <w:rPr>
                <w:rFonts w:ascii="Arial" w:cs="Arial" w:eastAsia="Arial" w:hAnsi="Arial"/>
                <w:sz w:val="18"/>
                <w:szCs w:val="18"/>
                <w:color w:val="auto"/>
              </w:rPr>
              <w:t>Add back: Stock-based compensation</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62,192</w:t>
            </w: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Gain on extinguishment of debt</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(6,110)</w:t>
            </w:r>
          </w:p>
        </w:tc>
      </w:tr>
      <w:tr>
        <w:trPr>
          <w:trHeight w:val="215"/>
        </w:trPr>
        <w:tc>
          <w:tcPr>
            <w:tcW w:w="5360" w:type="dxa"/>
            <w:vAlign w:val="bottom"/>
          </w:tcPr>
          <w:p>
            <w:pPr>
              <w:ind w:left="120"/>
              <w:spacing w:after="0"/>
              <w:rPr>
                <w:sz w:val="20"/>
                <w:szCs w:val="20"/>
                <w:color w:val="auto"/>
              </w:rPr>
            </w:pPr>
            <w:r>
              <w:rPr>
                <w:rFonts w:ascii="Arial" w:cs="Arial" w:eastAsia="Arial" w:hAnsi="Arial"/>
                <w:sz w:val="18"/>
                <w:szCs w:val="18"/>
                <w:color w:val="auto"/>
                <w:w w:val="94"/>
              </w:rPr>
              <w:t>Income tax benefit (expense) related to Viant Technology Inc.’s share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of adjustments</w:t>
            </w:r>
            <w:r>
              <w:rPr>
                <w:rFonts w:ascii="Arial" w:cs="Arial" w:eastAsia="Arial" w:hAnsi="Arial"/>
                <w:sz w:val="15"/>
                <w:szCs w:val="15"/>
                <w:color w:val="auto"/>
              </w:rPr>
              <w:t>(1)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r>
      <w:tr>
        <w:trPr>
          <w:trHeight w:val="222"/>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 (loss)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3" w:lineRule="exact"/>
        <w:rPr>
          <w:sz w:val="20"/>
          <w:szCs w:val="20"/>
          <w:color w:val="auto"/>
        </w:rPr>
      </w:pPr>
    </w:p>
    <w:p>
      <w:pPr>
        <w:ind w:left="520" w:right="200" w:hanging="2"/>
        <w:spacing w:after="0" w:line="276" w:lineRule="auto"/>
        <w:tabs>
          <w:tab w:leader="none" w:pos="1344" w:val="left"/>
        </w:tabs>
        <w:numPr>
          <w:ilvl w:val="0"/>
          <w:numId w:val="20"/>
        </w:numPr>
        <w:rPr>
          <w:rFonts w:ascii="Arial" w:cs="Arial" w:eastAsia="Arial" w:hAnsi="Arial"/>
          <w:sz w:val="15"/>
          <w:szCs w:val="15"/>
          <w:color w:val="231F20"/>
        </w:rPr>
      </w:pPr>
      <w:r>
        <w:rPr>
          <w:rFonts w:ascii="Arial" w:cs="Arial" w:eastAsia="Arial" w:hAnsi="Arial"/>
          <w:sz w:val="18"/>
          <w:szCs w:val="18"/>
          <w:color w:val="231F20"/>
        </w:rPr>
        <w:t>The estimated income tax effect of our share of non-GAAP reconciling items are calculated using an assumed blended tax rate of 24%, which represents our expected corporate tax rate, excluding discrete and non-recurring tax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Non-GAAP earnings (loss) per share of Class A common stock</w:t>
      </w:r>
      <w:r>
        <w:rPr>
          <w:rFonts w:ascii="Arial" w:cs="Arial" w:eastAsia="Arial" w:hAnsi="Arial"/>
          <w:sz w:val="18"/>
          <w:szCs w:val="18"/>
          <w:color w:val="000000"/>
        </w:rPr>
        <w:t>—</w:t>
      </w:r>
      <w:r>
        <w:rPr>
          <w:rFonts w:ascii="Arial" w:cs="Arial" w:eastAsia="Arial" w:hAnsi="Arial"/>
          <w:sz w:val="18"/>
          <w:szCs w:val="18"/>
          <w:i w:val="1"/>
          <w:iCs w:val="1"/>
          <w:color w:val="000000"/>
        </w:rPr>
        <w:t>basic and diluted</w:t>
      </w:r>
    </w:p>
    <w:p>
      <w:pPr>
        <w:spacing w:after="0" w:line="11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charges, transaction expenses and the extinguishment of debt.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in understanding and evaluating our results of operations in the same manner as our management and board of directors.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ind w:right="260" w:firstLine="510"/>
        <w:spacing w:after="0" w:line="341" w:lineRule="auto"/>
        <w:rPr>
          <w:sz w:val="20"/>
          <w:szCs w:val="20"/>
          <w:color w:val="auto"/>
        </w:rPr>
      </w:pPr>
      <w:r>
        <w:rPr>
          <w:rFonts w:ascii="Arial" w:cs="Arial" w:eastAsia="Arial" w:hAnsi="Arial"/>
          <w:sz w:val="16"/>
          <w:szCs w:val="16"/>
          <w:color w:val="231F20"/>
        </w:rPr>
        <w:t>Our use of non-GAAP earnings (loss) per share of Class A common stock—basic and diluted has limitations as an analytical tool, and you should not consider it in isolation or as a substitute for analysis of our financial results as reported under GAAP. Some of these potential limitations include:</w:t>
      </w:r>
    </w:p>
    <w:p>
      <w:pPr>
        <w:spacing w:after="0" w:line="16" w:lineRule="exact"/>
        <w:rPr>
          <w:sz w:val="20"/>
          <w:szCs w:val="20"/>
          <w:color w:val="auto"/>
        </w:rPr>
      </w:pPr>
    </w:p>
    <w:p>
      <w:pPr>
        <w:ind w:left="1120" w:right="260" w:hanging="372"/>
        <w:spacing w:after="0" w:line="263"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and</w:t>
      </w:r>
    </w:p>
    <w:p>
      <w:pPr>
        <w:spacing w:after="0" w:line="73" w:lineRule="exact"/>
        <w:rPr>
          <w:rFonts w:ascii="Arial" w:cs="Arial" w:eastAsia="Arial" w:hAnsi="Arial"/>
          <w:sz w:val="18"/>
          <w:szCs w:val="18"/>
          <w:color w:val="auto"/>
        </w:rPr>
      </w:pPr>
    </w:p>
    <w:p>
      <w:pPr>
        <w:ind w:left="1120" w:right="200" w:hanging="372"/>
        <w:spacing w:after="0" w:line="341"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231F20"/>
        </w:rPr>
        <w:t>although the stock-based compensation related to the LTIP referred to above is non-cash in nature, non-GAAP earnings (loss) per share of Class A common stock—basic and diluted does not reflect its impact on net income (loss) attributable to all common stockholders.</w:t>
      </w:r>
    </w:p>
    <w:p>
      <w:pPr>
        <w:spacing w:after="0" w:line="16" w:lineRule="exact"/>
        <w:rPr>
          <w:sz w:val="20"/>
          <w:szCs w:val="20"/>
          <w:color w:val="auto"/>
        </w:rPr>
      </w:pPr>
    </w:p>
    <w:p>
      <w:pPr>
        <w:ind w:right="760" w:firstLine="510"/>
        <w:spacing w:after="0" w:line="276" w:lineRule="auto"/>
        <w:rPr>
          <w:sz w:val="20"/>
          <w:szCs w:val="20"/>
          <w:color w:val="auto"/>
        </w:rPr>
      </w:pPr>
      <w:r>
        <w:rPr>
          <w:rFonts w:ascii="Arial" w:cs="Arial" w:eastAsia="Arial" w:hAnsi="Arial"/>
          <w:sz w:val="18"/>
          <w:szCs w:val="18"/>
          <w:color w:val="231F20"/>
        </w:rPr>
        <w:t>Because of these and other limitations, you should consider our non-GAAP measures only as supplemental to other GAAP-based financial performance measures, including earnings (loss) per share of Class A common stock—basic and diluted.</w:t>
      </w:r>
    </w:p>
    <w:p>
      <w:pPr>
        <w:spacing w:after="0" w:line="63" w:lineRule="exact"/>
        <w:rPr>
          <w:sz w:val="20"/>
          <w:szCs w:val="20"/>
          <w:color w:val="auto"/>
        </w:rPr>
      </w:pPr>
    </w:p>
    <w:p>
      <w:pPr>
        <w:ind w:right="80" w:firstLine="510"/>
        <w:spacing w:after="0" w:line="258" w:lineRule="auto"/>
        <w:rPr>
          <w:sz w:val="20"/>
          <w:szCs w:val="20"/>
          <w:color w:val="auto"/>
        </w:rPr>
      </w:pPr>
      <w:r>
        <w:rPr>
          <w:rFonts w:ascii="Arial" w:cs="Arial" w:eastAsia="Arial" w:hAnsi="Arial"/>
          <w:sz w:val="18"/>
          <w:szCs w:val="18"/>
          <w:color w:val="auto"/>
        </w:rPr>
        <w:t xml:space="preserve">Basic non-GAAP earnings (loss) per share of Class A common stock is calculated by dividing the non-GAAP net income (loss) attributable to Class A common stockholders by the number of weighted-average shares of Class A common stock outstanding. </w:t>
      </w:r>
      <w:r>
        <w:rPr>
          <w:rFonts w:ascii="Arial" w:cs="Arial" w:eastAsia="Arial" w:hAnsi="Arial"/>
          <w:sz w:val="18"/>
          <w:szCs w:val="18"/>
          <w:color w:val="231F20"/>
        </w:rPr>
        <w:t>Shares of our Class B common stock do not</w:t>
      </w:r>
      <w:r>
        <w:rPr>
          <w:rFonts w:ascii="Arial" w:cs="Arial" w:eastAsia="Arial" w:hAnsi="Arial"/>
          <w:sz w:val="18"/>
          <w:szCs w:val="18"/>
          <w:color w:val="auto"/>
        </w:rPr>
        <w:t xml:space="preserve"> </w:t>
      </w:r>
      <w:r>
        <w:rPr>
          <w:rFonts w:ascii="Arial" w:cs="Arial" w:eastAsia="Arial" w:hAnsi="Arial"/>
          <w:sz w:val="18"/>
          <w:szCs w:val="18"/>
          <w:color w:val="231F20"/>
        </w:rPr>
        <w:t>share in our earnings or losses and are therefore not participating securities. As such, separate presentation of basic and diluted non-GAAP earnings (loss) of Class B common stock under the two-class method has not been presented.</w:t>
      </w:r>
    </w:p>
    <w:p>
      <w:pPr>
        <w:spacing w:after="0" w:line="8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Diluted non-GAAP earnings (loss) per share of Class A common stock adjusts the basic non-GAAP earnings (loss) per share for the potential dilutive impact of common shares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three and nine months ended September 30, 2022, Class B common stock and nonqualified stock options amounts have been excluded from the computation of diluted earnings (loss) per share of Class A common stock because the effect would have been anti-dilutive under the if-converted and treasury stock method,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6"/>
          <w:szCs w:val="16"/>
          <w:color w:val="231F20"/>
        </w:rPr>
        <w:t>The following tables present the reconciliation of earnings (loss) per share of Class A common stock—basic and diluted to non-GAAP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per share of Class A common stock—basic and diluted for the three and nine months ended September 30,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7"/>
          </w:tcPr>
          <w:p>
            <w:pPr>
              <w:jc w:val="center"/>
              <w:ind w:left="399"/>
              <w:spacing w:after="0"/>
              <w:rPr>
                <w:sz w:val="20"/>
                <w:szCs w:val="20"/>
                <w:color w:val="auto"/>
              </w:rPr>
            </w:pPr>
            <w:r>
              <w:rPr>
                <w:rFonts w:ascii="Arial" w:cs="Arial" w:eastAsia="Arial" w:hAnsi="Arial"/>
                <w:sz w:val="16"/>
                <w:szCs w:val="16"/>
                <w:b w:val="1"/>
                <w:bCs w:val="1"/>
                <w:color w:val="auto"/>
                <w:w w:val="93"/>
              </w:rPr>
              <w:t>Three Months Ended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7"/>
          </w:tcPr>
          <w:p>
            <w:pPr>
              <w:ind w:left="500"/>
              <w:spacing w:after="0"/>
              <w:rPr>
                <w:sz w:val="20"/>
                <w:szCs w:val="20"/>
                <w:color w:val="auto"/>
              </w:rPr>
            </w:pPr>
            <w:r>
              <w:rPr>
                <w:rFonts w:ascii="Arial" w:cs="Arial" w:eastAsia="Arial" w:hAnsi="Arial"/>
                <w:sz w:val="16"/>
                <w:szCs w:val="16"/>
                <w:b w:val="1"/>
                <w:bCs w:val="1"/>
                <w:color w:val="auto"/>
                <w:w w:val="94"/>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0"/>
              </w:rPr>
              <w:t>September 30, 2022</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Non-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GAAP</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GAAP</w:t>
            </w: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(Loss)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(Loss)</w:t>
            </w: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per</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per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per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Share</w:t>
            </w:r>
          </w:p>
        </w:tc>
        <w:tc>
          <w:tcPr>
            <w:tcW w:w="1200" w:type="dxa"/>
            <w:vAlign w:val="bottom"/>
            <w:gridSpan w:val="4"/>
          </w:tcPr>
          <w:p>
            <w:pPr>
              <w:ind w:left="80"/>
              <w:spacing w:after="0"/>
              <w:rPr>
                <w:sz w:val="20"/>
                <w:szCs w:val="20"/>
                <w:color w:val="auto"/>
              </w:rPr>
            </w:pPr>
            <w:r>
              <w:rPr>
                <w:rFonts w:ascii="Arial" w:cs="Arial" w:eastAsia="Arial" w:hAnsi="Arial"/>
                <w:sz w:val="16"/>
                <w:szCs w:val="16"/>
                <w:b w:val="1"/>
                <w:bCs w:val="1"/>
                <w:color w:val="auto"/>
              </w:rPr>
              <w:t>Adjustments</w:t>
            </w:r>
          </w:p>
        </w:tc>
        <w:tc>
          <w:tcPr>
            <w:tcW w:w="8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Share</w:t>
            </w:r>
          </w:p>
        </w:tc>
        <w:tc>
          <w:tcPr>
            <w:tcW w:w="1200" w:type="dxa"/>
            <w:vAlign w:val="bottom"/>
            <w:gridSpan w:val="4"/>
          </w:tcPr>
          <w:p>
            <w:pPr>
              <w:ind w:left="80"/>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12"/>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Numerator</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(12,426)</w:t>
            </w:r>
          </w:p>
        </w:tc>
        <w:tc>
          <w:tcPr>
            <w:tcW w:w="3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(12,426)</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(12,160)</w:t>
            </w: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(12,160)</w:t>
            </w: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Adjustments: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20"/>
              <w:spacing w:after="0"/>
              <w:rPr>
                <w:sz w:val="20"/>
                <w:szCs w:val="20"/>
                <w:color w:val="auto"/>
              </w:rPr>
            </w:pPr>
            <w:r>
              <w:rPr>
                <w:rFonts w:ascii="Arial" w:cs="Arial" w:eastAsia="Arial" w:hAnsi="Arial"/>
                <w:sz w:val="16"/>
                <w:szCs w:val="16"/>
                <w:color w:val="auto"/>
              </w:rPr>
              <w:t>Add back: Stock-based 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15,415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Income tax benefit (expense) related to Viant Technology Inc.'s share of</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adjustments</w:t>
            </w:r>
            <w:r>
              <w:rPr>
                <w:rFonts w:ascii="Arial" w:cs="Arial" w:eastAsia="Arial" w:hAnsi="Arial"/>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6"/>
                <w:szCs w:val="16"/>
                <w:color w:val="auto"/>
              </w:rPr>
              <w:t>Non-GAAP net income (loss)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(12,426)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7,992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(4,434)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(12,160)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15,252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ind w:left="120"/>
              <w:spacing w:after="0" w:line="218" w:lineRule="exact"/>
              <w:rPr>
                <w:sz w:val="20"/>
                <w:szCs w:val="20"/>
                <w:color w:val="auto"/>
              </w:rPr>
            </w:pPr>
            <w:r>
              <w:rPr>
                <w:rFonts w:ascii="Arial" w:cs="Arial" w:eastAsia="Arial" w:hAnsi="Arial"/>
                <w:sz w:val="15"/>
                <w:szCs w:val="15"/>
                <w:color w:val="auto"/>
              </w:rPr>
              <w:t>Less: Net income (loss) attributable to noncontrolling interests</w:t>
            </w:r>
            <w:r>
              <w:rPr>
                <w:rFonts w:ascii="Arial" w:cs="Arial" w:eastAsia="Arial" w:hAnsi="Arial"/>
                <w:sz w:val="25"/>
                <w:szCs w:val="25"/>
                <w:color w:val="auto"/>
                <w:vertAlign w:val="superscript"/>
              </w:rPr>
              <w:t>(2)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(9,300)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5,752</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(3,548)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(9,623)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6"/>
                <w:szCs w:val="16"/>
                <w:color w:val="auto"/>
              </w:rPr>
              <w:t>Net income (loss) attributable to Viant Technology Inc.—basic</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(3,126)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2,240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(886)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(2,537)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3,041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w w:val="97"/>
              </w:rPr>
              <w:t>Add back: Reallocation of net loss attributable to noncontrolling interest from</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the assumed exchange of RSUs for Class A common stock</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80" w:type="dxa"/>
            <w:vAlign w:val="bottom"/>
          </w:tcPr>
          <w:p>
            <w:pPr>
              <w:ind w:left="120"/>
              <w:spacing w:after="0"/>
              <w:rPr>
                <w:sz w:val="20"/>
                <w:szCs w:val="20"/>
                <w:color w:val="auto"/>
              </w:rPr>
            </w:pPr>
            <w:r>
              <w:rPr>
                <w:rFonts w:ascii="Arial" w:cs="Arial" w:eastAsia="Arial" w:hAnsi="Arial"/>
                <w:sz w:val="16"/>
                <w:szCs w:val="16"/>
                <w:color w:val="auto"/>
                <w:w w:val="93"/>
              </w:rPr>
              <w:t>Income tax benefit (expense) from the assumed exchange of RSUs for Class 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80" w:type="dxa"/>
            <w:vAlign w:val="bottom"/>
            <w:tcBorders>
              <w:bottom w:val="single" w:sz="8" w:color="CFF0FC"/>
            </w:tcBorders>
          </w:tcPr>
          <w:p>
            <w:pPr>
              <w:spacing w:after="0" w:line="216" w:lineRule="exact"/>
              <w:rPr>
                <w:sz w:val="20"/>
                <w:szCs w:val="20"/>
                <w:color w:val="auto"/>
              </w:rPr>
            </w:pPr>
            <w:r>
              <w:rPr>
                <w:rFonts w:ascii="Arial" w:cs="Arial" w:eastAsia="Arial" w:hAnsi="Arial"/>
                <w:sz w:val="15"/>
                <w:szCs w:val="15"/>
                <w:color w:val="auto"/>
              </w:rPr>
              <w:t>common stock</w:t>
            </w:r>
            <w:r>
              <w:rPr>
                <w:rFonts w:ascii="Arial" w:cs="Arial" w:eastAsia="Arial" w:hAnsi="Arial"/>
                <w:sz w:val="24"/>
                <w:szCs w:val="24"/>
                <w:color w:val="auto"/>
                <w:vertAlign w:val="superscript"/>
              </w:rPr>
              <w:t>(1)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 attributable to Viant Technology Inc.—diluted</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(3,126)</w:t>
            </w: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2,240</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(886)</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(2,537)</w:t>
            </w: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Denominator</w:t>
            </w: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shares of Class A common stock outstanding—basic</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12,489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units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Nonqualified stock options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shares of Class A common stock outstanding—diluted</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12,489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Earnings (loss) per share of Class A common stock—basic</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(0.22)</w:t>
            </w: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0.16</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(0.06)</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(0.20)</w:t>
            </w: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Earnings (loss) per share of Class A common stock—diluted</w:t>
            </w: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80" w:type="dxa"/>
            <w:vAlign w:val="bottom"/>
            <w:vMerge w:val="continue"/>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(0.22)</w:t>
            </w:r>
          </w:p>
        </w:tc>
        <w:tc>
          <w:tcPr>
            <w:tcW w:w="3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(0.06)</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(0.20)</w:t>
            </w: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3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tcPr>
          <w:p>
            <w:pPr>
              <w:spacing w:after="0"/>
              <w:rPr>
                <w:sz w:val="20"/>
                <w:szCs w:val="20"/>
                <w:color w:val="auto"/>
              </w:rPr>
            </w:pPr>
            <w:r>
              <w:rPr>
                <w:rFonts w:ascii="Arial" w:cs="Arial" w:eastAsia="Arial" w:hAnsi="Arial"/>
                <w:sz w:val="16"/>
                <w:szCs w:val="16"/>
                <w:color w:val="auto"/>
                <w:w w:val="94"/>
              </w:rPr>
              <w:t>Anti-dilutive shares excluded from earnings (loss) per share of Class A common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6"/>
                <w:szCs w:val="16"/>
                <w:color w:val="auto"/>
              </w:rPr>
              <w:t>stock—diluted: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units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Nonqualified stock options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Shares of Class B common stock</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47,082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47,137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380" w:type="dxa"/>
            <w:vAlign w:val="bottom"/>
          </w:tcPr>
          <w:p>
            <w:pPr>
              <w:spacing w:after="0"/>
              <w:rPr>
                <w:sz w:val="20"/>
                <w:szCs w:val="20"/>
                <w:color w:val="auto"/>
              </w:rPr>
            </w:pPr>
            <w:r>
              <w:rPr>
                <w:rFonts w:ascii="Arial" w:cs="Arial" w:eastAsia="Arial" w:hAnsi="Arial"/>
                <w:sz w:val="16"/>
                <w:szCs w:val="16"/>
                <w:color w:val="auto"/>
                <w:w w:val="93"/>
              </w:rPr>
              <w:t>Total shares excluded from earnings (loss) per share of Class A common stock—</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520" w:right="200" w:hanging="2"/>
        <w:spacing w:after="0" w:line="276" w:lineRule="auto"/>
        <w:tabs>
          <w:tab w:leader="none" w:pos="1344" w:val="left"/>
        </w:tabs>
        <w:numPr>
          <w:ilvl w:val="0"/>
          <w:numId w:val="22"/>
        </w:numPr>
        <w:rPr>
          <w:rFonts w:ascii="Arial" w:cs="Arial" w:eastAsia="Arial" w:hAnsi="Arial"/>
          <w:sz w:val="15"/>
          <w:szCs w:val="15"/>
          <w:color w:val="231F20"/>
        </w:rPr>
      </w:pPr>
      <w:r>
        <w:rPr>
          <w:rFonts w:ascii="Arial" w:cs="Arial" w:eastAsia="Arial" w:hAnsi="Arial"/>
          <w:sz w:val="18"/>
          <w:szCs w:val="18"/>
          <w:color w:val="231F20"/>
        </w:rPr>
        <w:t>The estimated income tax effect of our share of non-GAAP reconciling items are calculated using an assumed blended tax rate of 24%, which represents our expected corporate tax rate, excluding discrete and non-recurring tax items.</w:t>
      </w:r>
    </w:p>
    <w:p>
      <w:pPr>
        <w:spacing w:after="0" w:line="62" w:lineRule="exact"/>
        <w:rPr>
          <w:rFonts w:ascii="Arial" w:cs="Arial" w:eastAsia="Arial" w:hAnsi="Arial"/>
          <w:sz w:val="15"/>
          <w:szCs w:val="15"/>
          <w:color w:val="231F20"/>
        </w:rPr>
      </w:pPr>
    </w:p>
    <w:p>
      <w:pPr>
        <w:ind w:left="520" w:right="640" w:hanging="2"/>
        <w:spacing w:after="0" w:line="276" w:lineRule="auto"/>
        <w:tabs>
          <w:tab w:leader="none" w:pos="1344" w:val="left"/>
        </w:tabs>
        <w:numPr>
          <w:ilvl w:val="0"/>
          <w:numId w:val="22"/>
        </w:numPr>
        <w:rPr>
          <w:rFonts w:ascii="Arial" w:cs="Arial" w:eastAsia="Arial" w:hAnsi="Arial"/>
          <w:sz w:val="15"/>
          <w:szCs w:val="15"/>
          <w:color w:val="231F20"/>
        </w:rPr>
      </w:pPr>
      <w:r>
        <w:rPr>
          <w:rFonts w:ascii="Arial" w:cs="Arial" w:eastAsia="Arial" w:hAnsi="Arial"/>
          <w:sz w:val="18"/>
          <w:szCs w:val="18"/>
          <w:color w:val="231F20"/>
        </w:rPr>
        <w:t>The adjustment to net income (loss) attributable to noncontrolling interests represents stock-based compensation attributed to the noncontrolling interest of our company outstanding during the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7"/>
          </w:tcPr>
          <w:p>
            <w:pPr>
              <w:ind w:left="540"/>
              <w:spacing w:after="0"/>
              <w:rPr>
                <w:sz w:val="20"/>
                <w:szCs w:val="20"/>
                <w:color w:val="auto"/>
              </w:rPr>
            </w:pPr>
            <w:r>
              <w:rPr>
                <w:rFonts w:ascii="Arial" w:cs="Arial" w:eastAsia="Arial" w:hAnsi="Arial"/>
                <w:sz w:val="16"/>
                <w:szCs w:val="16"/>
                <w:b w:val="1"/>
                <w:bCs w:val="1"/>
                <w:color w:val="auto"/>
                <w:w w:val="96"/>
              </w:rPr>
              <w:t>Nine Months Ended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7"/>
          </w:tcPr>
          <w:p>
            <w:pPr>
              <w:ind w:left="540"/>
              <w:spacing w:after="0"/>
              <w:rPr>
                <w:sz w:val="20"/>
                <w:szCs w:val="20"/>
                <w:color w:val="auto"/>
              </w:rPr>
            </w:pPr>
            <w:r>
              <w:rPr>
                <w:rFonts w:ascii="Arial" w:cs="Arial" w:eastAsia="Arial" w:hAnsi="Arial"/>
                <w:sz w:val="16"/>
                <w:szCs w:val="16"/>
                <w:b w:val="1"/>
                <w:bCs w:val="1"/>
                <w:color w:val="auto"/>
                <w:w w:val="97"/>
              </w:rPr>
              <w:t>Nine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ind w:left="560"/>
              <w:spacing w:after="0"/>
              <w:rPr>
                <w:sz w:val="20"/>
                <w:szCs w:val="20"/>
                <w:color w:val="auto"/>
              </w:rPr>
            </w:pPr>
            <w:r>
              <w:rPr>
                <w:rFonts w:ascii="Arial" w:cs="Arial" w:eastAsia="Arial" w:hAnsi="Arial"/>
                <w:sz w:val="16"/>
                <w:szCs w:val="16"/>
                <w:b w:val="1"/>
                <w:bCs w:val="1"/>
                <w:color w:val="auto"/>
                <w:w w:val="89"/>
              </w:rPr>
              <w:t>September 30, 2022</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Non-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GAAP</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GAAP</w:t>
            </w: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(Loss)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(Loss)</w:t>
            </w: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per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per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per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Share</w:t>
            </w:r>
          </w:p>
        </w:tc>
        <w:tc>
          <w:tcPr>
            <w:tcW w:w="1200" w:type="dxa"/>
            <w:vAlign w:val="bottom"/>
            <w:gridSpan w:val="4"/>
          </w:tcPr>
          <w:p>
            <w:pPr>
              <w:ind w:left="80"/>
              <w:spacing w:after="0"/>
              <w:rPr>
                <w:sz w:val="20"/>
                <w:szCs w:val="20"/>
                <w:color w:val="auto"/>
              </w:rPr>
            </w:pPr>
            <w:r>
              <w:rPr>
                <w:rFonts w:ascii="Arial" w:cs="Arial" w:eastAsia="Arial" w:hAnsi="Arial"/>
                <w:sz w:val="16"/>
                <w:szCs w:val="16"/>
                <w:b w:val="1"/>
                <w:bCs w:val="1"/>
                <w:color w:val="auto"/>
              </w:rPr>
              <w:t>Adjustments</w:t>
            </w:r>
          </w:p>
        </w:tc>
        <w:tc>
          <w:tcPr>
            <w:tcW w:w="8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Share</w:t>
            </w:r>
          </w:p>
        </w:tc>
        <w:tc>
          <w:tcPr>
            <w:tcW w:w="1200" w:type="dxa"/>
            <w:vAlign w:val="bottom"/>
            <w:gridSpan w:val="4"/>
          </w:tcPr>
          <w:p>
            <w:pPr>
              <w:ind w:left="80"/>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12"/>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Numerator</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(40,081)</w:t>
            </w: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(40,081)</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(45,127)</w:t>
            </w: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(45,127)</w:t>
            </w: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Adjustments: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20"/>
              <w:spacing w:after="0"/>
              <w:rPr>
                <w:sz w:val="20"/>
                <w:szCs w:val="20"/>
                <w:color w:val="auto"/>
              </w:rPr>
            </w:pPr>
            <w:r>
              <w:rPr>
                <w:rFonts w:ascii="Arial" w:cs="Arial" w:eastAsia="Arial" w:hAnsi="Arial"/>
                <w:sz w:val="16"/>
                <w:szCs w:val="16"/>
                <w:color w:val="auto"/>
              </w:rPr>
              <w:t>Add back: Stock-based 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21,855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21,855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62,192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Less: Gain on extinguishment of debt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(6,110)</w:t>
            </w: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(6,110)</w:t>
            </w:r>
          </w:p>
        </w:tc>
        <w:tc>
          <w:tcPr>
            <w:tcW w:w="0" w:type="dxa"/>
            <w:vAlign w:val="bottom"/>
          </w:tcPr>
          <w:p>
            <w:pPr>
              <w:spacing w:after="0"/>
              <w:rPr>
                <w:sz w:val="1"/>
                <w:szCs w:val="1"/>
                <w:color w:val="auto"/>
              </w:rPr>
            </w:pPr>
          </w:p>
        </w:tc>
      </w:tr>
      <w:tr>
        <w:trPr>
          <w:trHeight w:val="202"/>
        </w:trPr>
        <w:tc>
          <w:tcPr>
            <w:tcW w:w="5380" w:type="dxa"/>
            <w:vAlign w:val="bottom"/>
          </w:tcPr>
          <w:p>
            <w:pPr>
              <w:ind w:left="120"/>
              <w:spacing w:after="0"/>
              <w:rPr>
                <w:sz w:val="20"/>
                <w:szCs w:val="20"/>
                <w:color w:val="auto"/>
              </w:rPr>
            </w:pPr>
            <w:r>
              <w:rPr>
                <w:rFonts w:ascii="Arial" w:cs="Arial" w:eastAsia="Arial" w:hAnsi="Arial"/>
                <w:sz w:val="16"/>
                <w:szCs w:val="16"/>
                <w:color w:val="auto"/>
              </w:rPr>
              <w:t>Income tax benefit (expense) related to Viant Technology Inc.'s share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line="216" w:lineRule="exact"/>
              <w:rPr>
                <w:sz w:val="20"/>
                <w:szCs w:val="20"/>
                <w:color w:val="auto"/>
              </w:rPr>
            </w:pPr>
            <w:r>
              <w:rPr>
                <w:rFonts w:ascii="Arial" w:cs="Arial" w:eastAsia="Arial" w:hAnsi="Arial"/>
                <w:sz w:val="15"/>
                <w:szCs w:val="15"/>
                <w:color w:val="auto"/>
              </w:rPr>
              <w:t>adjustments</w:t>
            </w:r>
            <w:r>
              <w:rPr>
                <w:rFonts w:ascii="Arial" w:cs="Arial" w:eastAsia="Arial" w:hAnsi="Arial"/>
                <w:sz w:val="24"/>
                <w:szCs w:val="24"/>
                <w:color w:val="auto"/>
                <w:vertAlign w:val="superscript"/>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Non-GAAP net income (loss)</w:t>
            </w: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(40,081)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22,927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(17,154)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(45,127)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55,603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120"/>
              <w:spacing w:after="0" w:line="216" w:lineRule="exact"/>
              <w:rPr>
                <w:sz w:val="20"/>
                <w:szCs w:val="20"/>
                <w:color w:val="auto"/>
              </w:rPr>
            </w:pPr>
            <w:r>
              <w:rPr>
                <w:rFonts w:ascii="Arial" w:cs="Arial" w:eastAsia="Arial" w:hAnsi="Arial"/>
                <w:sz w:val="15"/>
                <w:szCs w:val="15"/>
                <w:color w:val="auto"/>
              </w:rPr>
              <w:t>Less: Net income (loss) attributable to noncontrolling interests</w:t>
            </w:r>
            <w:r>
              <w:rPr>
                <w:rFonts w:ascii="Arial" w:cs="Arial" w:eastAsia="Arial" w:hAnsi="Arial"/>
                <w:sz w:val="24"/>
                <w:szCs w:val="24"/>
                <w:color w:val="auto"/>
                <w:vertAlign w:val="superscript"/>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(30,362)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16,590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(13,772)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(35,829)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44,825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 attributable to Viant Technology Inc.—basic</w:t>
            </w: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(9,719)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(3,382)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(9,298)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380" w:type="dxa"/>
            <w:vAlign w:val="bottom"/>
          </w:tcPr>
          <w:p>
            <w:pPr>
              <w:ind w:left="120"/>
              <w:spacing w:after="0"/>
              <w:rPr>
                <w:sz w:val="20"/>
                <w:szCs w:val="20"/>
                <w:color w:val="auto"/>
              </w:rPr>
            </w:pPr>
            <w:r>
              <w:rPr>
                <w:rFonts w:ascii="Arial" w:cs="Arial" w:eastAsia="Arial" w:hAnsi="Arial"/>
                <w:sz w:val="16"/>
                <w:szCs w:val="16"/>
                <w:color w:val="auto"/>
                <w:w w:val="97"/>
              </w:rPr>
              <w:t>Add back: Reallocation of net loss attributable to noncontrolling interest from</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6"/>
                <w:szCs w:val="16"/>
                <w:color w:val="auto"/>
              </w:rPr>
              <w:t>the assumed exchange of RSUs for Class A common 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3"/>
              </w:rPr>
              <w:t>Income tax benefit (expense) from the assumed exchange of RSUs for Class A</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common stock</w:t>
            </w:r>
            <w:r>
              <w:rPr>
                <w:rFonts w:ascii="Arial" w:cs="Arial" w:eastAsia="Arial" w:hAnsi="Arial"/>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6"/>
                <w:szCs w:val="16"/>
                <w:color w:val="auto"/>
              </w:rPr>
              <w:t>Net income (loss) attributable to Viant Technology Inc.—diluted</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380" w:type="dxa"/>
            <w:vAlign w:val="bottom"/>
            <w:vMerge w:val="continue"/>
          </w:tcPr>
          <w:p>
            <w:pPr>
              <w:spacing w:after="0"/>
              <w:rPr>
                <w:sz w:val="21"/>
                <w:szCs w:val="21"/>
                <w:color w:val="auto"/>
              </w:rPr>
            </w:pP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(9,719)</w:t>
            </w: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6,337</w:t>
            </w:r>
          </w:p>
        </w:tc>
        <w:tc>
          <w:tcPr>
            <w:tcW w:w="24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(3,382)</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(9,298)</w:t>
            </w: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10,968</w:t>
            </w:r>
          </w:p>
        </w:tc>
        <w:tc>
          <w:tcPr>
            <w:tcW w:w="2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Denominator</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Weighted-average shares of Class A common stock outstanding—basic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14,078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Effect of dilutive securities: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Nonqualified stock options</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380" w:type="dxa"/>
            <w:vAlign w:val="bottom"/>
          </w:tcPr>
          <w:p>
            <w:pPr>
              <w:spacing w:after="0"/>
              <w:rPr>
                <w:sz w:val="20"/>
                <w:szCs w:val="20"/>
                <w:color w:val="auto"/>
              </w:rPr>
            </w:pPr>
            <w:r>
              <w:rPr>
                <w:rFonts w:ascii="Arial" w:cs="Arial" w:eastAsia="Arial" w:hAnsi="Arial"/>
                <w:sz w:val="16"/>
                <w:szCs w:val="16"/>
                <w:color w:val="auto"/>
              </w:rPr>
              <w:t>Weighted-average shares of Class A common stock outstanding—diluted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14,078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14,078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11,894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1,959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3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380" w:type="dxa"/>
            <w:vAlign w:val="bottom"/>
          </w:tcPr>
          <w:p>
            <w:pPr>
              <w:spacing w:after="0"/>
              <w:rPr>
                <w:sz w:val="20"/>
                <w:szCs w:val="20"/>
                <w:color w:val="auto"/>
              </w:rPr>
            </w:pPr>
            <w:r>
              <w:rPr>
                <w:rFonts w:ascii="Arial" w:cs="Arial" w:eastAsia="Arial" w:hAnsi="Arial"/>
                <w:sz w:val="16"/>
                <w:szCs w:val="16"/>
                <w:color w:val="auto"/>
              </w:rPr>
              <w:t>Earnings (loss) per share of Class A common stock—basic</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(0.69)</w:t>
            </w: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0.45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(0.24)</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(0.78)</w:t>
            </w: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0.90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Earnings (loss) per share of Class A common stock—diluted</w:t>
            </w: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vMerge w:val="continue"/>
            <w:shd w:val="clear" w:color="auto" w:fill="CFF0FC"/>
          </w:tcPr>
          <w:p>
            <w:pPr>
              <w:spacing w:after="0"/>
              <w:rPr>
                <w:sz w:val="17"/>
                <w:szCs w:val="17"/>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(0.69)</w:t>
            </w: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0.45</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(0.24)</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(0.78)</w:t>
            </w: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w w:val="94"/>
              </w:rPr>
              <w:t>Anti-dilutive shares excluded from earnings (loss) per share of Class A common</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stock—diluted:</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Nonqualified stock options</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Shares of Class B common stock</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w w:val="93"/>
              </w:rPr>
              <w:t>Total shares excluded from earnings (loss) per share of Class A common stock—</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55,405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47,284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520" w:right="200" w:hanging="2"/>
        <w:spacing w:after="0" w:line="276" w:lineRule="auto"/>
        <w:tabs>
          <w:tab w:leader="none" w:pos="1344" w:val="left"/>
        </w:tabs>
        <w:numPr>
          <w:ilvl w:val="0"/>
          <w:numId w:val="23"/>
        </w:numPr>
        <w:rPr>
          <w:rFonts w:ascii="Arial" w:cs="Arial" w:eastAsia="Arial" w:hAnsi="Arial"/>
          <w:sz w:val="15"/>
          <w:szCs w:val="15"/>
          <w:color w:val="231F20"/>
        </w:rPr>
      </w:pPr>
      <w:r>
        <w:rPr>
          <w:rFonts w:ascii="Arial" w:cs="Arial" w:eastAsia="Arial" w:hAnsi="Arial"/>
          <w:sz w:val="18"/>
          <w:szCs w:val="18"/>
          <w:color w:val="231F20"/>
        </w:rPr>
        <w:t>The estimated income tax effect of our share of non-GAAP reconciling items are calculated using an assumed blended tax rate of 24%, which represents our expected corporate tax rate, excluding discrete and non-recurring tax items.</w:t>
      </w:r>
    </w:p>
    <w:p>
      <w:pPr>
        <w:spacing w:after="0" w:line="62" w:lineRule="exact"/>
        <w:rPr>
          <w:rFonts w:ascii="Arial" w:cs="Arial" w:eastAsia="Arial" w:hAnsi="Arial"/>
          <w:sz w:val="15"/>
          <w:szCs w:val="15"/>
          <w:color w:val="231F20"/>
        </w:rPr>
      </w:pPr>
    </w:p>
    <w:p>
      <w:pPr>
        <w:ind w:left="520" w:right="940" w:hanging="2"/>
        <w:spacing w:after="0" w:line="306" w:lineRule="auto"/>
        <w:tabs>
          <w:tab w:leader="none" w:pos="1344" w:val="left"/>
        </w:tabs>
        <w:numPr>
          <w:ilvl w:val="0"/>
          <w:numId w:val="23"/>
        </w:numPr>
        <w:rPr>
          <w:rFonts w:ascii="Arial" w:cs="Arial" w:eastAsia="Arial" w:hAnsi="Arial"/>
          <w:sz w:val="14"/>
          <w:szCs w:val="14"/>
          <w:color w:val="231F20"/>
        </w:rPr>
      </w:pPr>
      <w:r>
        <w:rPr>
          <w:rFonts w:ascii="Arial" w:cs="Arial" w:eastAsia="Arial" w:hAnsi="Arial"/>
          <w:sz w:val="17"/>
          <w:szCs w:val="17"/>
          <w:color w:val="231F20"/>
        </w:rPr>
        <w:t>The adjustment to net income (loss) attributable to noncontrolling interests represents stock-based compensation and gain on extinguishment of debt attributed to the noncontrolling interest of our company outstanding during the period.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Non-GAAP Operating Expenses</w:t>
      </w:r>
    </w:p>
    <w:p>
      <w:pPr>
        <w:spacing w:after="0" w:line="116" w:lineRule="exact"/>
        <w:rPr>
          <w:sz w:val="20"/>
          <w:szCs w:val="20"/>
          <w:color w:val="auto"/>
        </w:rPr>
      </w:pPr>
    </w:p>
    <w:p>
      <w:pPr>
        <w:ind w:firstLine="468"/>
        <w:spacing w:after="0" w:line="288" w:lineRule="auto"/>
        <w:rPr>
          <w:sz w:val="20"/>
          <w:szCs w:val="20"/>
          <w:color w:val="auto"/>
        </w:rPr>
      </w:pPr>
      <w:r>
        <w:rPr>
          <w:rFonts w:ascii="Arial" w:cs="Arial" w:eastAsia="Arial" w:hAnsi="Arial"/>
          <w:sz w:val="16"/>
          <w:szCs w:val="16"/>
          <w:color w:val="auto"/>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charges, and transaction expenses. Non-GAAP operating expenses is a key component in calculating adjusted EBITDA, which is one of the measures we use to provide our quarterly and annual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depreciation, amortization, stock-based compensation, TAC and certain other items not related to our core operations provides another measure for period-to-period comparisons of our business, provides additional insight into our discretionary costs and is a useful metric for investors because it allows them to evaluate our operational performance in the same manner as our management and board of directors.</w:t>
      </w:r>
    </w:p>
    <w:p>
      <w:pPr>
        <w:spacing w:after="0" w:line="60" w:lineRule="exact"/>
        <w:rPr>
          <w:sz w:val="20"/>
          <w:szCs w:val="20"/>
          <w:color w:val="auto"/>
        </w:rPr>
      </w:pPr>
    </w:p>
    <w:p>
      <w:pPr>
        <w:ind w:right="220" w:firstLine="468"/>
        <w:spacing w:after="0" w:line="275" w:lineRule="auto"/>
        <w:rPr>
          <w:sz w:val="20"/>
          <w:szCs w:val="20"/>
          <w:color w:val="auto"/>
        </w:rPr>
      </w:pPr>
      <w:r>
        <w:rPr>
          <w:rFonts w:ascii="Arial" w:cs="Arial" w:eastAsia="Arial" w:hAnsi="Arial"/>
          <w:sz w:val="17"/>
          <w:szCs w:val="17"/>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6"/>
          <w:szCs w:val="16"/>
          <w:color w:val="231F20"/>
        </w:rPr>
        <w:t>The following table presents a reconciliation of total operating expenses to non-GAAP operating expenses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September 30, 2022 and 2021:</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5"/>
              </w:rPr>
              <w:t>Three Months Ended</w:t>
            </w:r>
          </w:p>
        </w:tc>
        <w:tc>
          <w:tcPr>
            <w:tcW w:w="180" w:type="dxa"/>
            <w:vAlign w:val="bottom"/>
          </w:tcPr>
          <w:p>
            <w:pPr>
              <w:spacing w:after="0"/>
              <w:rPr>
                <w:sz w:val="18"/>
                <w:szCs w:val="18"/>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1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r>
      <w:tr>
        <w:trPr>
          <w:trHeight w:val="222"/>
        </w:trPr>
        <w:tc>
          <w:tcPr>
            <w:tcW w:w="5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Platform operations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27,530</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28,967</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84,674</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85,026</w:t>
            </w: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49,869</w:t>
            </w: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20,521</w:t>
            </w: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36,477</w:t>
            </w:r>
          </w:p>
        </w:tc>
        <w:tc>
          <w:tcPr>
            <w:tcW w:w="100" w:type="dxa"/>
            <w:vAlign w:val="bottom"/>
            <w:shd w:val="clear" w:color="auto" w:fill="CFF0FC"/>
          </w:tcPr>
          <w:p>
            <w:pPr>
              <w:spacing w:after="0"/>
              <w:rPr>
                <w:sz w:val="19"/>
                <w:szCs w:val="19"/>
                <w:color w:val="auto"/>
              </w:rPr>
            </w:pPr>
          </w:p>
        </w:tc>
      </w:tr>
      <w:tr>
        <w:trPr>
          <w:trHeight w:val="222"/>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191,893</w:t>
            </w:r>
          </w:p>
        </w:tc>
        <w:tc>
          <w:tcPr>
            <w:tcW w:w="100" w:type="dxa"/>
            <w:vAlign w:val="bottom"/>
            <w:tcBorders>
              <w:bottom w:val="single" w:sz="8" w:color="CFF0FC"/>
            </w:tcBorders>
          </w:tcPr>
          <w:p>
            <w:pPr>
              <w:spacing w:after="0"/>
              <w:rPr>
                <w:sz w:val="19"/>
                <w:szCs w:val="19"/>
                <w:color w:val="auto"/>
              </w:rPr>
            </w:pP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Add:</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Traffic acquisition costs</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(16,759)</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(16,780)</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(51,309)</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(48,395)</w:t>
            </w: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(7,711)</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(15,415)</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(21,855)</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(62,192)</w:t>
            </w: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(3,366)</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(2,972)</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(9,746)</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(8,024)</w:t>
            </w:r>
          </w:p>
        </w:tc>
      </w:tr>
      <w:tr>
        <w:trPr>
          <w:trHeight w:val="222"/>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operating expenses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20" w:lineRule="exact"/>
        <w:rPr>
          <w:sz w:val="20"/>
          <w:szCs w:val="20"/>
          <w:color w:val="auto"/>
        </w:rPr>
      </w:pPr>
    </w:p>
    <w:p>
      <w:pPr>
        <w:ind w:right="380" w:firstLine="510"/>
        <w:spacing w:after="0" w:line="341" w:lineRule="auto"/>
        <w:rPr>
          <w:sz w:val="20"/>
          <w:szCs w:val="20"/>
          <w:color w:val="auto"/>
        </w:rPr>
      </w:pPr>
      <w:r>
        <w:rPr>
          <w:rFonts w:ascii="Arial" w:cs="Arial" w:eastAsia="Arial" w:hAnsi="Arial"/>
          <w:sz w:val="16"/>
          <w:szCs w:val="16"/>
          <w:color w:val="231F20"/>
        </w:rPr>
        <w:t>As of September 30, 2022, we had cash and cash equivalents of $199.7 million and working capital, consisting of current assets less current liabilities, of $228.6 million, compared to cash and cash equivalents of $238.5 million and working capital of $269.1 million as of December 31, 2021.</w:t>
      </w:r>
    </w:p>
    <w:p>
      <w:pPr>
        <w:spacing w:after="0" w:line="16"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231F20"/>
        </w:rPr>
        <w:t xml:space="preserve">Our primary sources of cash are revenues derived from the programmatic purchase of advertising on our platform and our existing cash and cash equivalents, although we have, and may in the future, address our liquidity needs by utilizing our borrowing capacity under our asset-based revolving credit and security agreement (the “Loan Agreement”) we entered into with PNC Bank on October 31, 2019 or </w:t>
      </w:r>
      <w:r>
        <w:rPr>
          <w:rFonts w:ascii="Arial" w:cs="Arial" w:eastAsia="Arial" w:hAnsi="Arial"/>
          <w:sz w:val="16"/>
          <w:szCs w:val="16"/>
          <w:color w:val="000000"/>
        </w:rPr>
        <w:t>raising additional funds by issuing equity</w:t>
      </w:r>
      <w:r>
        <w:rPr>
          <w:rFonts w:ascii="Arial" w:cs="Arial" w:eastAsia="Arial" w:hAnsi="Arial"/>
          <w:sz w:val="16"/>
          <w:szCs w:val="16"/>
          <w:color w:val="231F20"/>
        </w:rPr>
        <w:t>.</w:t>
      </w:r>
    </w:p>
    <w:p>
      <w:pPr>
        <w:spacing w:after="0" w:line="39"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231F20"/>
        </w:rPr>
        <w:t xml:space="preserve">Our primary uses of cash are capital expenditures to develop our software in support of enhancing our technology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 </w:t>
      </w:r>
      <w:r>
        <w:rPr>
          <w:rFonts w:ascii="Arial" w:cs="Arial" w:eastAsia="Arial" w:hAnsi="Arial"/>
          <w:sz w:val="16"/>
          <w:szCs w:val="16"/>
          <w:color w:val="000000"/>
        </w:rPr>
        <w:t>We intend to continue</w:t>
      </w:r>
      <w:r>
        <w:rPr>
          <w:rFonts w:ascii="Arial" w:cs="Arial" w:eastAsia="Arial" w:hAnsi="Arial"/>
          <w:sz w:val="16"/>
          <w:szCs w:val="16"/>
          <w:color w:val="231F20"/>
        </w:rPr>
        <w:t xml:space="preserve"> </w:t>
      </w:r>
      <w:r>
        <w:rPr>
          <w:rFonts w:ascii="Arial" w:cs="Arial" w:eastAsia="Arial" w:hAnsi="Arial"/>
          <w:sz w:val="16"/>
          <w:szCs w:val="16"/>
          <w:color w:val="000000"/>
        </w:rPr>
        <w:t>investing in critical areas of our business in 2022 to further accelerate demand for our product and growth across the platform.</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231F20"/>
        </w:rPr>
        <w:t>On February 9, 2021, in connection with our IPO, we entered into a tax receivable agreement (the “Tax Receivable Agreement”) with Viant Technology LLC, continuing members of Viant Technology LLC (our “pre-IPO owners”) and the TRA Representative (as defined in the Tax Receivable Agreement), as described under Note 10 to our unaudited condensed consolidated financial statements. As of September 30, 2022, we concluded that it was more likely than not that our deferred tax assets subject to the Tax Receivable Agreement would not be realized. Therefore, we currently do not expect to make payments under our Tax Receivable Agreement based on our estimates of future taxable income. As of September 30, 2022, the total unrecorded liability for our Tax Receivable Agreement is approximately $10.3 million.</w:t>
      </w:r>
    </w:p>
    <w:p>
      <w:pPr>
        <w:spacing w:after="0" w:line="81"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231F20"/>
        </w:rPr>
        <w:t xml:space="preserve">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from the Loan Agreement will be sufficient to meet our cash requirements over the next 12 months. </w:t>
      </w:r>
      <w:r>
        <w:rPr>
          <w:rFonts w:ascii="Arial" w:cs="Arial" w:eastAsia="Arial" w:hAnsi="Arial"/>
          <w:sz w:val="18"/>
          <w:szCs w:val="18"/>
          <w:color w:val="000000"/>
        </w:rPr>
        <w:t>We believe we will meet</w:t>
      </w:r>
      <w:r>
        <w:rPr>
          <w:rFonts w:ascii="Arial" w:cs="Arial" w:eastAsia="Arial" w:hAnsi="Arial"/>
          <w:sz w:val="18"/>
          <w:szCs w:val="18"/>
          <w:color w:val="231F20"/>
        </w:rPr>
        <w:t xml:space="preserve"> </w:t>
      </w:r>
      <w:r>
        <w:rPr>
          <w:rFonts w:ascii="Arial" w:cs="Arial" w:eastAsia="Arial" w:hAnsi="Arial"/>
          <w:sz w:val="18"/>
          <w:szCs w:val="18"/>
          <w:color w:val="000000"/>
        </w:rPr>
        <w:t xml:space="preserve">longer-term expected future cash requirements and obligations beyond the next 12 months through a combination of </w:t>
      </w:r>
      <w:r>
        <w:rPr>
          <w:rFonts w:ascii="Arial" w:cs="Arial" w:eastAsia="Arial" w:hAnsi="Arial"/>
          <w:sz w:val="18"/>
          <w:szCs w:val="18"/>
          <w:color w:val="231F20"/>
        </w:rPr>
        <w:t>existing cash and cash equivalents,</w:t>
      </w:r>
      <w:r>
        <w:rPr>
          <w:rFonts w:ascii="Arial" w:cs="Arial" w:eastAsia="Arial" w:hAnsi="Arial"/>
          <w:sz w:val="18"/>
          <w:szCs w:val="18"/>
          <w:color w:val="000000"/>
        </w:rPr>
        <w:t xml:space="preserve"> </w:t>
      </w:r>
      <w:r>
        <w:rPr>
          <w:rFonts w:ascii="Arial" w:cs="Arial" w:eastAsia="Arial" w:hAnsi="Arial"/>
          <w:sz w:val="18"/>
          <w:szCs w:val="18"/>
          <w:color w:val="231F20"/>
        </w:rPr>
        <w:t xml:space="preserve">cash flow from operations, the undrawn availability under our credit facility and </w:t>
      </w:r>
      <w:r>
        <w:rPr>
          <w:rFonts w:ascii="Arial" w:cs="Arial" w:eastAsia="Arial" w:hAnsi="Arial"/>
          <w:sz w:val="18"/>
          <w:szCs w:val="18"/>
          <w:color w:val="000000"/>
        </w:rPr>
        <w:t>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our Annual Report on Form 10-K for the year ended December 31, 2021.</w:t>
      </w:r>
    </w:p>
    <w:p>
      <w:pPr>
        <w:spacing w:after="0" w:line="83"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 xml:space="preserve">As of September 30, 2022, our material cash requirements from known contractual obligations consisted of </w:t>
      </w:r>
      <w:r>
        <w:rPr>
          <w:rFonts w:ascii="Arial" w:cs="Arial" w:eastAsia="Arial" w:hAnsi="Arial"/>
          <w:sz w:val="18"/>
          <w:szCs w:val="18"/>
          <w:color w:val="231F20"/>
        </w:rPr>
        <w:t>future minimum payments under our</w:t>
      </w:r>
      <w:r>
        <w:rPr>
          <w:rFonts w:ascii="Arial" w:cs="Arial" w:eastAsia="Arial" w:hAnsi="Arial"/>
          <w:sz w:val="18"/>
          <w:szCs w:val="18"/>
          <w:color w:val="auto"/>
        </w:rPr>
        <w:t xml:space="preserve"> </w:t>
      </w:r>
      <w:r>
        <w:rPr>
          <w:rFonts w:ascii="Arial" w:cs="Arial" w:eastAsia="Arial" w:hAnsi="Arial"/>
          <w:sz w:val="18"/>
          <w:szCs w:val="18"/>
          <w:color w:val="231F20"/>
        </w:rPr>
        <w:t>non-cancelable operating leases</w:t>
      </w:r>
      <w:r>
        <w:rPr>
          <w:rFonts w:ascii="Arial" w:cs="Arial" w:eastAsia="Arial" w:hAnsi="Arial"/>
          <w:sz w:val="18"/>
          <w:szCs w:val="18"/>
          <w:color w:val="000000"/>
        </w:rPr>
        <w:t>, which we estimate will be approximately $0.8 million for the remainder of 2022, $4.5 million in 2023, $4.3 million in</w:t>
      </w:r>
      <w:r>
        <w:rPr>
          <w:rFonts w:ascii="Arial" w:cs="Arial" w:eastAsia="Arial" w:hAnsi="Arial"/>
          <w:sz w:val="18"/>
          <w:szCs w:val="18"/>
          <w:color w:val="231F20"/>
        </w:rPr>
        <w:t xml:space="preserve"> </w:t>
      </w:r>
      <w:r>
        <w:rPr>
          <w:rFonts w:ascii="Arial" w:cs="Arial" w:eastAsia="Arial" w:hAnsi="Arial"/>
          <w:sz w:val="18"/>
          <w:szCs w:val="18"/>
          <w:color w:val="000000"/>
        </w:rPr>
        <w:t>2024, $4.3 million in 2025 and $4.3 million in 2026.</w:t>
      </w:r>
    </w:p>
    <w:p>
      <w:pPr>
        <w:spacing w:after="0" w:line="74" w:lineRule="exact"/>
        <w:rPr>
          <w:sz w:val="20"/>
          <w:szCs w:val="20"/>
          <w:color w:val="auto"/>
        </w:rPr>
      </w:pPr>
    </w:p>
    <w:p>
      <w:pPr>
        <w:ind w:right="100" w:firstLine="510"/>
        <w:spacing w:after="0" w:line="341" w:lineRule="auto"/>
        <w:rPr>
          <w:sz w:val="20"/>
          <w:szCs w:val="20"/>
          <w:color w:val="auto"/>
        </w:rPr>
      </w:pPr>
      <w:r>
        <w:rPr>
          <w:rFonts w:ascii="Arial" w:cs="Arial" w:eastAsia="Arial" w:hAnsi="Arial"/>
          <w:sz w:val="16"/>
          <w:szCs w:val="16"/>
          <w:color w:val="231F20"/>
        </w:rPr>
        <w:t>We did not have any off-balance sheet arrangements as of September 30, 2022 other than the indemnification agreements described in Note 13— Commitments and Contingencies to our unaudited condensed consolidated financial statements included elsewhere in this Quarterly Report on Form 10-Q.</w:t>
      </w:r>
    </w:p>
    <w:p>
      <w:pPr>
        <w:spacing w:after="0" w:line="16"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231F20"/>
        </w:rPr>
        <w:t>We are a holding company with no operations of our own and are dependent on distributions from Viant Technology LLC to pay our taxes and satisfy any current or future cash requirements. Our Loan Agreement with PNC Bank imposes, and any future credit facilities may impose, limitations on our ability and the ability of Viant Technology LLC to pay dividends to third parties.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Credit Facility</w:t>
      </w:r>
    </w:p>
    <w:p>
      <w:pPr>
        <w:spacing w:after="0" w:line="116" w:lineRule="exact"/>
        <w:rPr>
          <w:sz w:val="20"/>
          <w:szCs w:val="20"/>
          <w:color w:val="auto"/>
        </w:rPr>
      </w:pPr>
    </w:p>
    <w:p>
      <w:pPr>
        <w:ind w:right="80" w:firstLine="510"/>
        <w:spacing w:after="0" w:line="258" w:lineRule="auto"/>
        <w:rPr>
          <w:sz w:val="20"/>
          <w:szCs w:val="20"/>
          <w:color w:val="auto"/>
        </w:rPr>
      </w:pPr>
      <w:r>
        <w:rPr>
          <w:rFonts w:ascii="Arial" w:cs="Arial" w:eastAsia="Arial" w:hAnsi="Arial"/>
          <w:sz w:val="18"/>
          <w:szCs w:val="18"/>
          <w:color w:val="auto"/>
        </w:rPr>
        <w:t xml:space="preserve">Our Loan Agreement with PNC Bank provides us with access to a $40.0 million senior secured revolving credit facility through October 31, 2024 </w:t>
      </w:r>
      <w:r>
        <w:rPr>
          <w:rFonts w:ascii="Arial" w:cs="Arial" w:eastAsia="Arial" w:hAnsi="Arial"/>
          <w:sz w:val="18"/>
          <w:szCs w:val="18"/>
          <w:color w:val="231F20"/>
        </w:rPr>
        <w:t>and is collateralized by security interests in substantially all of our assets</w:t>
      </w:r>
      <w:r>
        <w:rPr>
          <w:rFonts w:ascii="Arial" w:cs="Arial" w:eastAsia="Arial" w:hAnsi="Arial"/>
          <w:sz w:val="18"/>
          <w:szCs w:val="18"/>
          <w:color w:val="000000"/>
        </w:rPr>
        <w:t>. As of September 30, 2022, there was no outstanding balance and up to $40.0</w:t>
      </w:r>
      <w:r>
        <w:rPr>
          <w:rFonts w:ascii="Arial" w:cs="Arial" w:eastAsia="Arial" w:hAnsi="Arial"/>
          <w:sz w:val="18"/>
          <w:szCs w:val="18"/>
          <w:color w:val="231F20"/>
        </w:rPr>
        <w:t xml:space="preserve"> </w:t>
      </w:r>
      <w:r>
        <w:rPr>
          <w:rFonts w:ascii="Arial" w:cs="Arial" w:eastAsia="Arial" w:hAnsi="Arial"/>
          <w:sz w:val="18"/>
          <w:szCs w:val="18"/>
          <w:color w:val="000000"/>
        </w:rPr>
        <w:t>million of undrawn availability under the Loan Agreement. As of December 31, 2021, we had a balance of $17.5 million of outstanding borrowings and up to $22.5 million of undrawn availability under the Loan Agreement.</w:t>
      </w:r>
    </w:p>
    <w:p>
      <w:pPr>
        <w:spacing w:after="0" w:line="80" w:lineRule="exact"/>
        <w:rPr>
          <w:sz w:val="20"/>
          <w:szCs w:val="20"/>
          <w:color w:val="auto"/>
        </w:rPr>
      </w:pPr>
    </w:p>
    <w:p>
      <w:pPr>
        <w:ind w:right="40" w:firstLine="510"/>
        <w:spacing w:after="0" w:line="278" w:lineRule="auto"/>
        <w:rPr>
          <w:sz w:val="20"/>
          <w:szCs w:val="20"/>
          <w:color w:val="auto"/>
        </w:rPr>
      </w:pPr>
      <w:r>
        <w:rPr>
          <w:rFonts w:ascii="Arial" w:cs="Arial" w:eastAsia="Arial" w:hAnsi="Arial"/>
          <w:sz w:val="17"/>
          <w:szCs w:val="17"/>
          <w:color w:val="auto"/>
        </w:rPr>
        <w:t>The Loan Agreement contains customary conditions to borrowings, events of default and covenants, and also contains a financial covenant requiring us not to exceed a maximum leverage ratio at any time our undrawn availability under the Loan Agreement is less than 25%. As of September 30, 2022, we were in compliance with this covenant, and we do not believe this covenant or any other provision in the Loan Agreement will materially impact our liquidity or otherwise restrict our ability to execute on our business plan during or beyond the next 12 months.</w:t>
      </w:r>
    </w:p>
    <w:p>
      <w:pPr>
        <w:spacing w:after="0" w:line="64" w:lineRule="exact"/>
        <w:rPr>
          <w:sz w:val="20"/>
          <w:szCs w:val="20"/>
          <w:color w:val="auto"/>
        </w:rPr>
      </w:pPr>
    </w:p>
    <w:p>
      <w:pPr>
        <w:ind w:right="800" w:firstLine="510"/>
        <w:spacing w:after="0" w:line="276" w:lineRule="auto"/>
        <w:rPr>
          <w:sz w:val="20"/>
          <w:szCs w:val="20"/>
          <w:color w:val="auto"/>
        </w:rPr>
      </w:pPr>
      <w:r>
        <w:rPr>
          <w:rFonts w:ascii="Arial" w:cs="Arial" w:eastAsia="Arial" w:hAnsi="Arial"/>
          <w:sz w:val="18"/>
          <w:szCs w:val="18"/>
          <w:color w:val="231F20"/>
        </w:rPr>
        <w:t xml:space="preserve">For further discussion of our Loan </w:t>
      </w:r>
      <w:r>
        <w:rPr>
          <w:rFonts w:ascii="Arial" w:cs="Arial" w:eastAsia="Arial" w:hAnsi="Arial"/>
          <w:sz w:val="18"/>
          <w:szCs w:val="18"/>
          <w:color w:val="000000"/>
        </w:rPr>
        <w:t>Agreement with PNC Bank, r</w:t>
      </w:r>
      <w:r>
        <w:rPr>
          <w:rFonts w:ascii="Arial" w:cs="Arial" w:eastAsia="Arial" w:hAnsi="Arial"/>
          <w:sz w:val="18"/>
          <w:szCs w:val="18"/>
          <w:color w:val="231F20"/>
        </w:rPr>
        <w:t>efer to Note 8—Revolving Credit Facility and PPP Loan to our unaudited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table summarizes our cash flows for the nine months ended September 30, 2022 and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Nine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38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2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flows provided by (used in) operating activities</w:t>
            </w:r>
          </w:p>
        </w:tc>
        <w:tc>
          <w:tcPr>
            <w:tcW w:w="31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(13,314)</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2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(6,425)</w:t>
            </w: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(5,963)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flows provided by (used in) financing activities</w:t>
            </w:r>
          </w:p>
        </w:tc>
        <w:tc>
          <w:tcPr>
            <w:tcW w:w="2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(19,076)</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208,859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(38,815)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vMerge w:val="restart"/>
          </w:tcPr>
          <w:p>
            <w:pPr>
              <w:jc w:val="right"/>
              <w:ind w:right="1290"/>
              <w:spacing w:after="0"/>
              <w:rPr>
                <w:sz w:val="20"/>
                <w:szCs w:val="20"/>
                <w:color w:val="auto"/>
              </w:rPr>
            </w:pPr>
            <w:r>
              <w:rPr>
                <w:rFonts w:ascii="Arial" w:cs="Arial" w:eastAsia="Arial" w:hAnsi="Arial"/>
                <w:sz w:val="18"/>
                <w:szCs w:val="18"/>
                <w:color w:val="auto"/>
              </w:rPr>
              <w:t>39</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Cash Flows Provided by (Used In) Operating Activities</w:t>
      </w:r>
    </w:p>
    <w:p>
      <w:pPr>
        <w:spacing w:after="0" w:line="116"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231F20"/>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8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231F20"/>
        </w:rPr>
        <w:t>Our cash flows used in operating activities for the nine months ended September 30, 2022 was $13.3 million, a net decrease of $43.4 million, or 144</w:t>
      </w:r>
      <w:r>
        <w:rPr>
          <w:rFonts w:ascii="Arial" w:cs="Arial" w:eastAsia="Arial" w:hAnsi="Arial"/>
          <w:sz w:val="18"/>
          <w:szCs w:val="18"/>
          <w:color w:val="000000"/>
        </w:rPr>
        <w:t>%, from</w:t>
      </w:r>
      <w:r>
        <w:rPr>
          <w:rFonts w:ascii="Arial" w:cs="Arial" w:eastAsia="Arial" w:hAnsi="Arial"/>
          <w:sz w:val="18"/>
          <w:szCs w:val="18"/>
          <w:color w:val="231F20"/>
        </w:rPr>
        <w:t xml:space="preserve"> cash flows provided by operating activities for the nine months ended September 30, 2021 of $30.1 million. The change in cash flows for the period were primarily due to:</w:t>
      </w:r>
    </w:p>
    <w:p>
      <w:pPr>
        <w:spacing w:after="0" w:line="74" w:lineRule="exact"/>
        <w:rPr>
          <w:sz w:val="20"/>
          <w:szCs w:val="20"/>
          <w:color w:val="auto"/>
        </w:rPr>
      </w:pPr>
    </w:p>
    <w:p>
      <w:pPr>
        <w:ind w:left="1120" w:hanging="372"/>
        <w:spacing w:after="0"/>
        <w:tabs>
          <w:tab w:leader="none" w:pos="112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 decrease of $40.1 million from net loss;</w:t>
      </w:r>
    </w:p>
    <w:p>
      <w:pPr>
        <w:spacing w:after="0" w:line="224" w:lineRule="exact"/>
        <w:rPr>
          <w:rFonts w:ascii="Arial" w:cs="Arial" w:eastAsia="Arial" w:hAnsi="Arial"/>
          <w:sz w:val="18"/>
          <w:szCs w:val="18"/>
          <w:color w:val="231F20"/>
        </w:rPr>
      </w:pPr>
    </w:p>
    <w:p>
      <w:pPr>
        <w:ind w:left="1120" w:right="700" w:hanging="372"/>
        <w:spacing w:after="0" w:line="341" w:lineRule="auto"/>
        <w:tabs>
          <w:tab w:leader="none" w:pos="1120" w:val="left"/>
        </w:tabs>
        <w:numPr>
          <w:ilvl w:val="0"/>
          <w:numId w:val="24"/>
        </w:numPr>
        <w:rPr>
          <w:rFonts w:ascii="Arial" w:cs="Arial" w:eastAsia="Arial" w:hAnsi="Arial"/>
          <w:sz w:val="16"/>
          <w:szCs w:val="16"/>
          <w:color w:val="231F20"/>
        </w:rPr>
      </w:pPr>
      <w:r>
        <w:rPr>
          <w:rFonts w:ascii="Arial" w:cs="Arial" w:eastAsia="Arial" w:hAnsi="Arial"/>
          <w:sz w:val="16"/>
          <w:szCs w:val="16"/>
          <w:color w:val="231F20"/>
        </w:rPr>
        <w:t>an increase of $34.8 million due to non-cash add back adjustments to net loss primarily comprised of $21.9 million for stock-based compensation, $9.7 million for depreciation and amortization, and $2.0 million of amortization of operating lease assets;</w:t>
      </w:r>
    </w:p>
    <w:p>
      <w:pPr>
        <w:spacing w:after="0" w:line="123" w:lineRule="exact"/>
        <w:rPr>
          <w:rFonts w:ascii="Arial" w:cs="Arial" w:eastAsia="Arial" w:hAnsi="Arial"/>
          <w:sz w:val="16"/>
          <w:szCs w:val="16"/>
          <w:color w:val="231F20"/>
        </w:rPr>
      </w:pPr>
    </w:p>
    <w:p>
      <w:pPr>
        <w:ind w:left="1120" w:hanging="372"/>
        <w:spacing w:after="0" w:line="258" w:lineRule="auto"/>
        <w:tabs>
          <w:tab w:leader="none" w:pos="112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an increase of $0.3 million from changes in working capital (excluding deferred revenue, other liabilities, and operating lease liabilities), including a net increase of $13.3 million in accounts receivable, prepaid assets and other assets primarily related to lower sales and timing of customer collections due to seasonal fluctuations, partially offset by a decrease of $13.0 million in accounts payable, accrued liabilities and accrued compensation primarily related to timing of payments;</w:t>
      </w:r>
    </w:p>
    <w:p>
      <w:pPr>
        <w:spacing w:after="0" w:line="187" w:lineRule="exact"/>
        <w:rPr>
          <w:rFonts w:ascii="Arial" w:cs="Arial" w:eastAsia="Arial" w:hAnsi="Arial"/>
          <w:sz w:val="18"/>
          <w:szCs w:val="18"/>
          <w:color w:val="231F20"/>
        </w:rPr>
      </w:pPr>
    </w:p>
    <w:p>
      <w:pPr>
        <w:ind w:left="1120" w:right="120" w:hanging="372"/>
        <w:spacing w:after="0" w:line="276" w:lineRule="auto"/>
        <w:tabs>
          <w:tab w:leader="none" w:pos="112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 decrease in deferred revenue of $6.5 million primarily related to a modification agreement with a customer whereby we paid a sum to the customer in exchange for the full, final and immediate termination of certain deferred revenue liabilities;</w:t>
      </w:r>
    </w:p>
    <w:p>
      <w:pPr>
        <w:spacing w:after="0" w:line="62" w:lineRule="exact"/>
        <w:rPr>
          <w:rFonts w:ascii="Arial" w:cs="Arial" w:eastAsia="Arial" w:hAnsi="Arial"/>
          <w:sz w:val="18"/>
          <w:szCs w:val="18"/>
          <w:color w:val="231F20"/>
        </w:rPr>
      </w:pPr>
    </w:p>
    <w:p>
      <w:pPr>
        <w:ind w:left="1120" w:hanging="372"/>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operating lease liabilities of $</w:t>
      </w:r>
      <w:r>
        <w:rPr>
          <w:rFonts w:ascii="Arial" w:cs="Arial" w:eastAsia="Arial" w:hAnsi="Arial"/>
          <w:sz w:val="18"/>
          <w:szCs w:val="18"/>
          <w:color w:val="231F20"/>
        </w:rPr>
        <w:t>1.0</w:t>
      </w:r>
      <w:r>
        <w:rPr>
          <w:rFonts w:ascii="Arial" w:cs="Arial" w:eastAsia="Arial" w:hAnsi="Arial"/>
          <w:sz w:val="18"/>
          <w:szCs w:val="18"/>
          <w:color w:val="auto"/>
        </w:rPr>
        <w:t xml:space="preserve"> million; and</w:t>
      </w:r>
    </w:p>
    <w:p>
      <w:pPr>
        <w:spacing w:after="0" w:line="116" w:lineRule="exact"/>
        <w:rPr>
          <w:rFonts w:ascii="Arial" w:cs="Arial" w:eastAsia="Arial" w:hAnsi="Arial"/>
          <w:sz w:val="18"/>
          <w:szCs w:val="18"/>
          <w:color w:val="auto"/>
        </w:rPr>
      </w:pPr>
    </w:p>
    <w:p>
      <w:pPr>
        <w:ind w:left="1120" w:hanging="372"/>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other liabilities of $</w:t>
      </w:r>
      <w:r>
        <w:rPr>
          <w:rFonts w:ascii="Arial" w:cs="Arial" w:eastAsia="Arial" w:hAnsi="Arial"/>
          <w:sz w:val="18"/>
          <w:szCs w:val="18"/>
          <w:color w:val="231F20"/>
        </w:rPr>
        <w:t>0.9</w:t>
      </w:r>
      <w:r>
        <w:rPr>
          <w:rFonts w:ascii="Arial" w:cs="Arial" w:eastAsia="Arial" w:hAnsi="Arial"/>
          <w:sz w:val="18"/>
          <w:szCs w:val="18"/>
          <w:color w:val="auto"/>
        </w:rPr>
        <w:t xml:space="preserve"> million.</w:t>
      </w:r>
    </w:p>
    <w:p>
      <w:pPr>
        <w:spacing w:after="0" w:line="224" w:lineRule="exact"/>
        <w:rPr>
          <w:sz w:val="20"/>
          <w:szCs w:val="20"/>
          <w:color w:val="auto"/>
        </w:rPr>
      </w:pPr>
    </w:p>
    <w:p>
      <w:pPr>
        <w:ind w:right="140" w:firstLine="568"/>
        <w:spacing w:after="0" w:line="256" w:lineRule="auto"/>
        <w:rPr>
          <w:sz w:val="20"/>
          <w:szCs w:val="20"/>
          <w:color w:val="auto"/>
        </w:rPr>
      </w:pPr>
      <w:r>
        <w:rPr>
          <w:rFonts w:ascii="Arial" w:cs="Arial" w:eastAsia="Arial" w:hAnsi="Arial"/>
          <w:sz w:val="18"/>
          <w:szCs w:val="18"/>
          <w:color w:val="auto"/>
        </w:rPr>
        <w:t>During the nine months ended September 30, 2021, cash provided by operating activities of $30.1 million resulted primarily from a net loss of $45.1 million offset by non-cash add back adjustments to net loss of $62.2 million for stock-based compensation, $8.0 million for depreciation and amortization, $0.2 million in recovery of doubtful accounts, gain on debt extinguishment of $6.1 million and an increase in net working capital (excluding deferred revenue and other liabilities) of $12.6 million, offset by a decrease in deferred revenue of $1.4 million and a decrease in other liabilities of $0.1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Cash Flows Used in Investing Activities</w:t>
      </w:r>
    </w:p>
    <w:p>
      <w:pPr>
        <w:spacing w:after="0" w:line="116"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231F20"/>
        </w:rPr>
        <w:t>Our primary investing activities have consisted of capital expenditures to develop our software in support of enhancing our technology platform and purchases of property and equipment in support of our expanding headcount as a result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software development projects. Purchases of property and equipment and capitalized software development costs may vary from period-to-period due to the timing of the expansion of our operations, the addition of headcount and our software development cycles. As a result of capitalization of stock-based compensation in future periods and the growth of our business, we expect our capital expenditures and our investment activity to continue to increase.</w:t>
      </w:r>
    </w:p>
    <w:p>
      <w:pPr>
        <w:spacing w:after="0" w:line="5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31F20"/>
        </w:rPr>
        <w:t>Our cash flows used in investing activities for the nine months ended September 30, 2022 was $6.4 million, a net increase of $0.5 million, or 7.7</w:t>
      </w:r>
      <w:r>
        <w:rPr>
          <w:rFonts w:ascii="Arial" w:cs="Arial" w:eastAsia="Arial" w:hAnsi="Arial"/>
          <w:sz w:val="18"/>
          <w:szCs w:val="18"/>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 xml:space="preserve">from </w:t>
      </w:r>
      <w:r>
        <w:rPr>
          <w:rFonts w:ascii="Arial" w:cs="Arial" w:eastAsia="Arial" w:hAnsi="Arial"/>
          <w:sz w:val="18"/>
          <w:szCs w:val="18"/>
          <w:color w:val="231F20"/>
        </w:rPr>
        <w:t>cash flows used in investing activities for nine months ended September 30, 2021 of $6.0 million. The change in cash flows for the nine months ended</w:t>
      </w:r>
      <w:r>
        <w:rPr>
          <w:rFonts w:ascii="Arial" w:cs="Arial" w:eastAsia="Arial" w:hAnsi="Arial"/>
          <w:sz w:val="18"/>
          <w:szCs w:val="18"/>
          <w:color w:val="000000"/>
        </w:rPr>
        <w:t xml:space="preserve"> </w:t>
      </w:r>
      <w:r>
        <w:rPr>
          <w:rFonts w:ascii="Arial" w:cs="Arial" w:eastAsia="Arial" w:hAnsi="Arial"/>
          <w:sz w:val="18"/>
          <w:szCs w:val="18"/>
          <w:color w:val="231F20"/>
        </w:rPr>
        <w:t>September 30, 2022 were primarily due to:</w:t>
      </w:r>
    </w:p>
    <w:p>
      <w:pPr>
        <w:spacing w:after="0" w:line="74" w:lineRule="exact"/>
        <w:rPr>
          <w:sz w:val="20"/>
          <w:szCs w:val="20"/>
          <w:color w:val="auto"/>
        </w:rPr>
      </w:pPr>
    </w:p>
    <w:p>
      <w:pPr>
        <w:ind w:left="1120" w:hanging="372"/>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color w:val="231F20"/>
        </w:rPr>
        <w:t>5.9</w:t>
      </w:r>
      <w:r>
        <w:rPr>
          <w:rFonts w:ascii="Arial" w:cs="Arial" w:eastAsia="Arial" w:hAnsi="Arial"/>
          <w:sz w:val="17"/>
          <w:szCs w:val="17"/>
          <w:color w:val="auto"/>
        </w:rPr>
        <w:t xml:space="preserve"> million of investments in capitalized software to develop our software in support of enhancing our technology platform; and</w:t>
      </w:r>
    </w:p>
    <w:p>
      <w:pPr>
        <w:spacing w:after="0" w:line="235" w:lineRule="exact"/>
        <w:rPr>
          <w:rFonts w:ascii="Arial" w:cs="Arial" w:eastAsia="Arial" w:hAnsi="Arial"/>
          <w:sz w:val="17"/>
          <w:szCs w:val="17"/>
          <w:color w:val="auto"/>
        </w:rPr>
      </w:pPr>
    </w:p>
    <w:p>
      <w:pPr>
        <w:ind w:left="1120" w:hanging="372"/>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$0.6 million of purchases of property and equipment.</w:t>
      </w:r>
    </w:p>
    <w:p>
      <w:pPr>
        <w:spacing w:after="0" w:line="224" w:lineRule="exact"/>
        <w:rPr>
          <w:sz w:val="20"/>
          <w:szCs w:val="20"/>
          <w:color w:val="auto"/>
        </w:rPr>
      </w:pPr>
    </w:p>
    <w:p>
      <w:pPr>
        <w:ind w:right="760" w:firstLine="510"/>
        <w:spacing w:after="0" w:line="276" w:lineRule="auto"/>
        <w:rPr>
          <w:sz w:val="20"/>
          <w:szCs w:val="20"/>
          <w:color w:val="auto"/>
        </w:rPr>
      </w:pPr>
      <w:r>
        <w:rPr>
          <w:rFonts w:ascii="Arial" w:cs="Arial" w:eastAsia="Arial" w:hAnsi="Arial"/>
          <w:sz w:val="18"/>
          <w:szCs w:val="18"/>
          <w:color w:val="231F20"/>
        </w:rPr>
        <w:t>During the nine months ended September 30, 2021, cash used in investing activities of $6.0 million resulted primarily from investments in capitalized software development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FINANCIAL CONDITION AND RESULTS OF OPERATIONS – (continued)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(unaudited; tabular dollars in thousands, except for percentages and per share data)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Cash Flows Provided by (Used In) Financing Activities</w:t>
      </w:r>
    </w:p>
    <w:p>
      <w:pPr>
        <w:spacing w:after="0" w:line="11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231F20"/>
        </w:rPr>
        <w:t>Our financing activities have consisted primarily of proceeds from borrowings and repayments of our debt, issuances of our equity and payments of member distributions. Net cash provided by or used in financing activities has been and will be used to finance our operations, capital expenditures, platform development and rapid growth.</w:t>
      </w:r>
    </w:p>
    <w:p>
      <w:pPr>
        <w:spacing w:after="0" w:line="74" w:lineRule="exact"/>
        <w:rPr>
          <w:sz w:val="20"/>
          <w:szCs w:val="20"/>
          <w:color w:val="auto"/>
        </w:rPr>
      </w:pPr>
    </w:p>
    <w:p>
      <w:pPr>
        <w:ind w:right="120" w:firstLine="510"/>
        <w:spacing w:after="0" w:line="256" w:lineRule="auto"/>
        <w:rPr>
          <w:sz w:val="20"/>
          <w:szCs w:val="20"/>
          <w:color w:val="auto"/>
        </w:rPr>
      </w:pPr>
      <w:r>
        <w:rPr>
          <w:rFonts w:ascii="Arial" w:cs="Arial" w:eastAsia="Arial" w:hAnsi="Arial"/>
          <w:sz w:val="18"/>
          <w:szCs w:val="18"/>
          <w:color w:val="231F20"/>
        </w:rPr>
        <w:t xml:space="preserve">Our cash flows used in financing activities for the nine months ended September 30, 2022 was $19.1 million, a net decrease of $227.9 million </w:t>
      </w:r>
      <w:r>
        <w:rPr>
          <w:rFonts w:ascii="Arial" w:cs="Arial" w:eastAsia="Arial" w:hAnsi="Arial"/>
          <w:sz w:val="18"/>
          <w:szCs w:val="18"/>
          <w:color w:val="000000"/>
        </w:rPr>
        <w:t>from</w:t>
      </w:r>
      <w:r>
        <w:rPr>
          <w:rFonts w:ascii="Arial" w:cs="Arial" w:eastAsia="Arial" w:hAnsi="Arial"/>
          <w:sz w:val="18"/>
          <w:szCs w:val="18"/>
          <w:color w:val="231F20"/>
        </w:rPr>
        <w:t xml:space="preserve"> cash flows provided by financing activities for the nine months ended September 30, 2021 of $208.9 million. The decrease in cash flows for the nine months ended September 30, 2022 compared to the prior period in 2021 is primarily a result of the $232.5 million of proceeds from our IPO that closed in February 2021, net of underwriting discounts and commissions and the $17.5 million repayment of our revolving credit facility during the nine months ended September 30, 2022.</w:t>
      </w:r>
    </w:p>
    <w:p>
      <w:pPr>
        <w:spacing w:after="0" w:line="81" w:lineRule="exact"/>
        <w:rPr>
          <w:sz w:val="20"/>
          <w:szCs w:val="20"/>
          <w:color w:val="auto"/>
        </w:rPr>
      </w:pPr>
    </w:p>
    <w:p>
      <w:pPr>
        <w:ind w:firstLine="510"/>
        <w:spacing w:after="0" w:line="285" w:lineRule="auto"/>
        <w:rPr>
          <w:sz w:val="20"/>
          <w:szCs w:val="20"/>
          <w:color w:val="auto"/>
        </w:rPr>
      </w:pPr>
      <w:r>
        <w:rPr>
          <w:rFonts w:ascii="Arial" w:cs="Arial" w:eastAsia="Arial" w:hAnsi="Arial"/>
          <w:sz w:val="17"/>
          <w:szCs w:val="17"/>
          <w:color w:val="231F20"/>
        </w:rPr>
        <w:t>During the nine months ended September 30, 2021, cash provided by financing activities of $208.9 million resulted primarily from $232.5 million of IPO proceeds, net of underwriting discounts and commissions, partially offset by payments of $2.6 million in related offering costs, $7.3 million in payments of member tax distributions and $13.7 million in taxes paid related to the net share settlement of equity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20" w:lineRule="exact"/>
        <w:rPr>
          <w:sz w:val="20"/>
          <w:szCs w:val="20"/>
          <w:color w:val="auto"/>
        </w:rPr>
      </w:pPr>
    </w:p>
    <w:p>
      <w:pPr>
        <w:ind w:right="80" w:firstLine="510"/>
        <w:spacing w:after="0" w:line="278" w:lineRule="auto"/>
        <w:rPr>
          <w:sz w:val="20"/>
          <w:szCs w:val="20"/>
          <w:color w:val="auto"/>
        </w:rPr>
      </w:pPr>
      <w:r>
        <w:rPr>
          <w:rFonts w:ascii="Arial" w:cs="Arial" w:eastAsia="Arial" w:hAnsi="Arial"/>
          <w:sz w:val="17"/>
          <w:szCs w:val="17"/>
          <w:color w:val="231F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and internal use software have the greatest potential impact on our condensed consolidated financial statements. Therefore, we consider these to be our critical accounting policies and estimates.</w:t>
      </w:r>
    </w:p>
    <w:p>
      <w:pPr>
        <w:spacing w:after="0" w:line="6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nine months ended September 30, 2022, as compared to the critical accounting policies and estimates disclosed in Part II, Item 7 “Management’s Discussion and Analysis of Financial Condition and Results of Operations” included in our Annual Report on Form 10-K for the year ended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w:t>
      </w:r>
    </w:p>
    <w:p>
      <w:pPr>
        <w:spacing w:after="0" w:line="120" w:lineRule="exact"/>
        <w:rPr>
          <w:sz w:val="20"/>
          <w:szCs w:val="20"/>
          <w:color w:val="auto"/>
        </w:rPr>
      </w:pPr>
    </w:p>
    <w:p>
      <w:pPr>
        <w:ind w:right="140" w:firstLine="510"/>
        <w:spacing w:after="0" w:line="276" w:lineRule="auto"/>
        <w:rPr>
          <w:sz w:val="20"/>
          <w:szCs w:val="20"/>
          <w:color w:val="auto"/>
        </w:rPr>
      </w:pPr>
      <w:r>
        <w:rPr>
          <w:rFonts w:ascii="Arial" w:cs="Arial" w:eastAsia="Arial" w:hAnsi="Arial"/>
          <w:sz w:val="18"/>
          <w:szCs w:val="18"/>
          <w:color w:val="231F20"/>
        </w:rPr>
        <w:t xml:space="preserve">For information regarding recently issued accounting pronouncements, see </w:t>
      </w:r>
      <w:r>
        <w:rPr>
          <w:rFonts w:ascii="Arial" w:cs="Arial" w:eastAsia="Arial" w:hAnsi="Arial"/>
          <w:sz w:val="18"/>
          <w:szCs w:val="18"/>
          <w:color w:val="000000"/>
        </w:rPr>
        <w:t>Note 2—Basis of Presentation and Summary of Significant Accounting</w:t>
      </w:r>
      <w:r>
        <w:rPr>
          <w:rFonts w:ascii="Arial" w:cs="Arial" w:eastAsia="Arial" w:hAnsi="Arial"/>
          <w:sz w:val="18"/>
          <w:szCs w:val="18"/>
          <w:color w:val="231F20"/>
        </w:rPr>
        <w:t xml:space="preserve"> </w:t>
      </w:r>
      <w:r>
        <w:rPr>
          <w:rFonts w:ascii="Arial" w:cs="Arial" w:eastAsia="Arial" w:hAnsi="Arial"/>
          <w:sz w:val="18"/>
          <w:szCs w:val="18"/>
          <w:color w:val="000000"/>
        </w:rPr>
        <w:t xml:space="preserve">Policies </w:t>
      </w:r>
      <w:r>
        <w:rPr>
          <w:rFonts w:ascii="Arial" w:cs="Arial" w:eastAsia="Arial" w:hAnsi="Arial"/>
          <w:sz w:val="18"/>
          <w:szCs w:val="18"/>
          <w:color w:val="231F20"/>
        </w:rPr>
        <w:t>to our unaudited condensed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0"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During the nine months ended September 30, 2022, there have been no material changes in our exposure to market risk. For a discussion of our exposure to market risk, see Part II, Item 7A “Quantitative and Qualitative Disclosures About Market Risk” of our Annual Report on Form 10-K for the fiscal year ended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such evaluation, our chief executive officer and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6"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during the period covered by this Quarterly Report on Form 10-Q that has materially affected, or is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11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0"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Our business, reputation, results of operations and financial condition, as well as the price of our Class A common stock, can be affected by a number of factors, whether currently known or unknown, including those described in Part I, Item 1A. “Risk Factors” of our Annual Report on Form 10-K for the year ended December 31, 2021. When any one or more of these risks materialize from time to time, our business, reputation, results of operations and financial condition, as well as the price of our Class A common stock, can be materially and adversely affected. There have been no material changes in our risk factors from those disclosed in our Annual Report on Form 10-K for the year ended December 31,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our Initial Public Offering</w:t>
      </w:r>
    </w:p>
    <w:p>
      <w:pPr>
        <w:spacing w:after="0" w:line="116" w:lineRule="exact"/>
        <w:rPr>
          <w:sz w:val="20"/>
          <w:szCs w:val="20"/>
          <w:color w:val="auto"/>
        </w:rPr>
      </w:pPr>
    </w:p>
    <w:p>
      <w:pPr>
        <w:ind w:right="140" w:firstLine="510"/>
        <w:spacing w:after="0" w:line="258" w:lineRule="auto"/>
        <w:rPr>
          <w:sz w:val="20"/>
          <w:szCs w:val="20"/>
          <w:color w:val="auto"/>
        </w:rPr>
      </w:pPr>
      <w:r>
        <w:rPr>
          <w:rFonts w:ascii="Arial" w:cs="Arial" w:eastAsia="Arial" w:hAnsi="Arial"/>
          <w:sz w:val="18"/>
          <w:szCs w:val="18"/>
          <w:color w:val="auto"/>
        </w:rPr>
        <w:t>On February 12, 2021, we completed our IPO, pursuant to which we issued and sold an aggregate of 11,500,000 shares of our Class A common stock (inclusive of 1,500,000 shares pursuant to the underwriters’ option to purchase additional shares) at the IPO price of $25.00 per share. The offer and sale of the shares of Class A common stock in the IPO were registered pursuant to registration statements on Form S-1 (File Nos. 333-252117 and 333-252907), which became effective on February 9, 2021.</w:t>
      </w:r>
    </w:p>
    <w:p>
      <w:pPr>
        <w:spacing w:after="0" w:line="80" w:lineRule="exact"/>
        <w:rPr>
          <w:sz w:val="20"/>
          <w:szCs w:val="20"/>
          <w:color w:val="auto"/>
        </w:rPr>
      </w:pPr>
    </w:p>
    <w:p>
      <w:pPr>
        <w:ind w:right="280" w:firstLine="510"/>
        <w:spacing w:after="0" w:line="276" w:lineRule="auto"/>
        <w:rPr>
          <w:sz w:val="20"/>
          <w:szCs w:val="20"/>
          <w:color w:val="auto"/>
        </w:rPr>
      </w:pPr>
      <w:r>
        <w:rPr>
          <w:rFonts w:ascii="Arial" w:cs="Arial" w:eastAsia="Arial" w:hAnsi="Arial"/>
          <w:sz w:val="18"/>
          <w:szCs w:val="18"/>
          <w:color w:val="auto"/>
        </w:rPr>
        <w:t>There has been no material change in the intended use of proceeds from our IPO as described in our final prospectus, dated February 9, 2021 and filed with the SEC pursuant to Rule 424(b)(4) on February 11,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Equity Securities by the Issuer and Affiliated Purchasers</w:t>
      </w:r>
    </w:p>
    <w:p>
      <w:pPr>
        <w:spacing w:after="0" w:line="116" w:lineRule="exact"/>
        <w:rPr>
          <w:sz w:val="20"/>
          <w:szCs w:val="20"/>
          <w:color w:val="auto"/>
        </w:rPr>
      </w:pPr>
    </w:p>
    <w:p>
      <w:pPr>
        <w:ind w:right="260" w:firstLine="510"/>
        <w:spacing w:after="0" w:line="278" w:lineRule="auto"/>
        <w:rPr>
          <w:sz w:val="20"/>
          <w:szCs w:val="20"/>
          <w:color w:val="auto"/>
        </w:rPr>
      </w:pPr>
      <w:r>
        <w:rPr>
          <w:rFonts w:ascii="Arial" w:cs="Arial" w:eastAsia="Arial" w:hAnsi="Arial"/>
          <w:sz w:val="17"/>
          <w:szCs w:val="17"/>
          <w:color w:val="auto"/>
        </w:rPr>
        <w:t>Under the LTIP, we are permitted to satisfy any national, state, local or other tax withholding obligation due upon the vesting of an award granted under the LTIP by repurchasing an amount of shares otherwise deliverable on the vesting date having a fair market value equal to the withholding obligation. All of the shares repurchased by us during the third quarter of 2022 were in connection with this tax withholding obligation. During the three months ended September 30, 2022, we repurchased the following shares of our Class A common stock:</w:t>
      </w:r>
    </w:p>
    <w:p>
      <w:pPr>
        <w:sectPr>
          <w:pgSz w:w="11900" w:h="16838" w:orient="portrait"/>
          <w:cols w:equalWidth="0" w:num="1">
            <w:col w:w="11220"/>
          </w:cols>
          <w:pgMar w:left="320" w:top="552" w:right="359" w:bottom="1440" w:gutter="0" w:footer="0" w:header="0"/>
        </w:sectPr>
      </w:pPr>
    </w:p>
    <w:p>
      <w:pPr>
        <w:spacing w:after="0" w:line="3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Number of Shares</w:t>
            </w:r>
          </w:p>
        </w:tc>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 Paid Per Share</w:t>
            </w:r>
          </w:p>
        </w:tc>
        <w:tc>
          <w:tcPr>
            <w:tcW w:w="1860" w:type="dxa"/>
            <w:vAlign w:val="bottom"/>
          </w:tcPr>
          <w:p>
            <w:pPr>
              <w:spacing w:after="0" w:line="148" w:lineRule="exact"/>
              <w:rPr>
                <w:sz w:val="20"/>
                <w:szCs w:val="20"/>
                <w:color w:val="auto"/>
              </w:rPr>
            </w:pPr>
            <w:r>
              <w:rPr>
                <w:rFonts w:ascii="Arial" w:cs="Arial" w:eastAsia="Arial" w:hAnsi="Arial"/>
                <w:sz w:val="14"/>
                <w:szCs w:val="14"/>
                <w:b w:val="1"/>
                <w:bCs w:val="1"/>
                <w:color w:val="auto"/>
                <w:w w:val="93"/>
              </w:rPr>
              <w:t>Purchased as Part of Publicly</w:t>
            </w:r>
          </w:p>
        </w:tc>
        <w:tc>
          <w:tcPr>
            <w:tcW w:w="0" w:type="dxa"/>
            <w:vAlign w:val="bottom"/>
          </w:tcPr>
          <w:p>
            <w:pPr>
              <w:spacing w:after="0"/>
              <w:rPr>
                <w:sz w:val="1"/>
                <w:szCs w:val="1"/>
                <w:color w:val="auto"/>
              </w:rPr>
            </w:pPr>
          </w:p>
        </w:tc>
      </w:tr>
      <w:tr>
        <w:trPr>
          <w:trHeight w:val="148"/>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80" w:type="dxa"/>
            <w:vAlign w:val="bottom"/>
            <w:vMerge w:val="restart"/>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860" w:type="dxa"/>
            <w:vAlign w:val="bottom"/>
          </w:tcPr>
          <w:p>
            <w:pPr>
              <w:spacing w:after="0" w:line="148" w:lineRule="exact"/>
              <w:rPr>
                <w:sz w:val="20"/>
                <w:szCs w:val="20"/>
                <w:color w:val="auto"/>
              </w:rPr>
            </w:pPr>
            <w:r>
              <w:rPr>
                <w:rFonts w:ascii="Arial" w:cs="Arial" w:eastAsia="Arial" w:hAnsi="Arial"/>
                <w:sz w:val="14"/>
                <w:szCs w:val="14"/>
                <w:b w:val="1"/>
                <w:bCs w:val="1"/>
                <w:color w:val="auto"/>
              </w:rPr>
              <w:t>Announced Plans or</w:t>
            </w:r>
          </w:p>
        </w:tc>
        <w:tc>
          <w:tcPr>
            <w:tcW w:w="0" w:type="dxa"/>
            <w:vAlign w:val="bottom"/>
          </w:tcPr>
          <w:p>
            <w:pPr>
              <w:spacing w:after="0"/>
              <w:rPr>
                <w:sz w:val="1"/>
                <w:szCs w:val="1"/>
                <w:color w:val="auto"/>
              </w:rPr>
            </w:pPr>
          </w:p>
        </w:tc>
      </w:tr>
      <w:tr>
        <w:trPr>
          <w:trHeight w:val="171"/>
        </w:trPr>
        <w:tc>
          <w:tcPr>
            <w:tcW w:w="19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Purchased (1)</w:t>
            </w:r>
          </w:p>
        </w:tc>
        <w:tc>
          <w:tcPr>
            <w:tcW w:w="180" w:type="dxa"/>
            <w:vAlign w:val="bottom"/>
          </w:tcPr>
          <w:p>
            <w:pPr>
              <w:spacing w:after="0"/>
              <w:rPr>
                <w:sz w:val="14"/>
                <w:szCs w:val="1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4"/>
                <w:szCs w:val="1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680"/>
        <w:spacing w:after="0" w:line="227" w:lineRule="auto"/>
        <w:rPr>
          <w:sz w:val="20"/>
          <w:szCs w:val="20"/>
          <w:color w:val="auto"/>
        </w:rPr>
      </w:pPr>
      <w:r>
        <w:rPr>
          <w:rFonts w:ascii="Arial" w:cs="Arial" w:eastAsia="Arial" w:hAnsi="Arial"/>
          <w:sz w:val="14"/>
          <w:szCs w:val="14"/>
          <w:b w:val="1"/>
          <w:bCs w:val="1"/>
          <w:color w:val="auto"/>
        </w:rPr>
        <w:t>Maximum Number (or Approximate Dollar Value) of Shares that May Yet Be Purchased Under the Plans or Programs</w:t>
      </w:r>
    </w:p>
    <w:p>
      <w:pPr>
        <w:spacing w:after="0" w:line="16" w:lineRule="exact"/>
        <w:rPr>
          <w:sz w:val="20"/>
          <w:szCs w:val="20"/>
          <w:color w:val="auto"/>
        </w:rPr>
      </w:pPr>
    </w:p>
    <w:p>
      <w:pPr>
        <w:sectPr>
          <w:pgSz w:w="11900" w:h="16838" w:orient="portrait"/>
          <w:cols w:equalWidth="0" w:num="2">
            <w:col w:w="8520" w:space="180"/>
            <w:col w:w="2520"/>
          </w:cols>
          <w:pgMar w:left="320" w:top="552" w:right="359" w:bottom="1440" w:gutter="0" w:footer="0" w:header="0"/>
          <w:type w:val="continuous"/>
        </w:sectPr>
      </w:pPr>
    </w:p>
    <w:tbl>
      <w:tblPr>
        <w:tblLayout w:type="fixed"/>
        <w:tblInd w:w="580" w:type="dxa"/>
        <w:tblCellMar>
          <w:top w:w="0" w:type="dxa"/>
          <w:left w:w="0" w:type="dxa"/>
          <w:bottom w:w="0" w:type="dxa"/>
          <w:right w:w="0" w:type="dxa"/>
        </w:tblCellMar>
      </w:tblPr>
      <w:tr>
        <w:trPr>
          <w:trHeight w:val="209"/>
        </w:trPr>
        <w:tc>
          <w:tcPr>
            <w:tcW w:w="202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7/1/22 to 7/31/22</w:t>
            </w:r>
          </w:p>
        </w:tc>
        <w:tc>
          <w:tcPr>
            <w:tcW w:w="2020" w:type="dxa"/>
            <w:vAlign w:val="bottom"/>
            <w:tcBorders>
              <w:top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2020" w:type="dxa"/>
            <w:vAlign w:val="bottom"/>
          </w:tcPr>
          <w:p>
            <w:pPr>
              <w:jc w:val="right"/>
              <w:ind w:right="10"/>
              <w:spacing w:after="0"/>
              <w:rPr>
                <w:sz w:val="20"/>
                <w:szCs w:val="20"/>
                <w:color w:val="auto"/>
              </w:rPr>
            </w:pPr>
            <w:r>
              <w:rPr>
                <w:rFonts w:ascii="Arial" w:cs="Arial" w:eastAsia="Arial" w:hAnsi="Arial"/>
                <w:sz w:val="18"/>
                <w:szCs w:val="18"/>
                <w:color w:val="auto"/>
              </w:rPr>
              <w:t>8/1/22 to 8/31/22</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2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9/1/22 to 9/30/22</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144,173</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40" w:type="dxa"/>
            <w:vAlign w:val="bottom"/>
            <w:gridSpan w:val="3"/>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202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144,173</w:t>
            </w:r>
          </w:p>
        </w:tc>
        <w:tc>
          <w:tcPr>
            <w:tcW w:w="180" w:type="dxa"/>
            <w:vAlign w:val="bottom"/>
          </w:tcPr>
          <w:p>
            <w:pPr>
              <w:spacing w:after="0"/>
              <w:rPr>
                <w:sz w:val="19"/>
                <w:szCs w:val="19"/>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r>
    </w:tbl>
    <w:p>
      <w:pPr>
        <w:spacing w:after="0" w:line="106" w:lineRule="exact"/>
        <w:rPr>
          <w:sz w:val="20"/>
          <w:szCs w:val="20"/>
          <w:color w:val="auto"/>
        </w:rPr>
      </w:pPr>
    </w:p>
    <w:p>
      <w:pPr>
        <w:ind w:left="380" w:right="360" w:hanging="372"/>
        <w:spacing w:after="0" w:line="276"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shares of Class A common stock we repurchased upon the vesting of restricted stock units to satisfy the applicable tax withholding obligations incidental to the vesting of such awards.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average price per share that we paid for the repurchases described above.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552"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8"/>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02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800" w:type="dxa"/>
            <w:vAlign w:val="bottom"/>
            <w:tcBorders>
              <w:top w:val="single" w:sz="8" w:color="auto"/>
              <w:bottom w:val="single" w:sz="8" w:color="0000EE"/>
            </w:tcBorders>
            <w:gridSpan w:val="6"/>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Amended and Restated Certificate of Incorporation of Viant Technology Inc. (incorporated by reference to Exhibit 3.1 to the Company’s</w:t>
              </w:r>
            </w:hyperlink>
          </w:p>
        </w:tc>
        <w:tc>
          <w:tcPr>
            <w:tcW w:w="40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0" w:type="dxa"/>
            <w:vAlign w:val="bottom"/>
            <w:tcBorders>
              <w:bottom w:val="single" w:sz="8" w:color="0000EE"/>
            </w:tcBorders>
            <w:gridSpan w:val="5"/>
          </w:tcPr>
          <w:p>
            <w:pPr>
              <w:spacing w:after="0" w:line="195"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Annual Report on Form 10-K (File No. 001-40015) for the year ended December 31, 2020, filed on March 23, 2021)</w:t>
              </w:r>
            </w:hyperlink>
          </w:p>
        </w:tc>
        <w:tc>
          <w:tcPr>
            <w:tcW w:w="18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200" w:type="dxa"/>
            <w:vAlign w:val="bottom"/>
            <w:gridSpan w:val="8"/>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Amended and Restated Bylaws of Viant Technology Inc. (incorporated by reference to Exhibit 3.2 to the Company’s Annual Report on Form</w:t>
              </w:r>
            </w:hyperlink>
          </w:p>
        </w:tc>
        <w:tc>
          <w:tcPr>
            <w:tcW w:w="0" w:type="dxa"/>
            <w:vAlign w:val="bottom"/>
          </w:tcPr>
          <w:p>
            <w:pPr>
              <w:spacing w:after="0"/>
              <w:rPr>
                <w:sz w:val="1"/>
                <w:szCs w:val="1"/>
                <w:color w:val="auto"/>
              </w:rPr>
            </w:pPr>
          </w:p>
        </w:tc>
      </w:tr>
      <w:tr>
        <w:trPr>
          <w:trHeight w:val="195"/>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tcBorders>
              <w:top w:val="single" w:sz="8" w:color="0000EE"/>
            </w:tcBorders>
            <w:gridSpan w:val="7"/>
          </w:tcPr>
          <w:p>
            <w:pPr>
              <w:spacing w:after="0" w:line="195" w:lineRule="exact"/>
              <w:rPr>
                <w:rFonts w:ascii="Arial" w:cs="Arial" w:eastAsia="Arial" w:hAnsi="Arial"/>
                <w:sz w:val="18"/>
                <w:szCs w:val="18"/>
                <w:color w:val="0000EE"/>
              </w:rPr>
            </w:pPr>
            <w:hyperlink r:id="rId69">
              <w:r>
                <w:rPr>
                  <w:rFonts w:ascii="Arial" w:cs="Arial" w:eastAsia="Arial" w:hAnsi="Arial"/>
                  <w:sz w:val="18"/>
                  <w:szCs w:val="18"/>
                  <w:color w:val="0000EE"/>
                </w:rPr>
                <w:t>10-K (File No. 001-40015) for the year ended December 31, 2020, filed on March 23, 2021)</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7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Certification of Principal Executive Officer Pursuant to Section 302 of the Sarbanes-Oxley Act of 2002</w:t>
            </w:r>
          </w:p>
        </w:tc>
        <w:tc>
          <w:tcPr>
            <w:tcW w:w="27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73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of Principal Financial Officer Pursuant to Section 302 of the Sarbanes-Oxley Act of 2002</w:t>
            </w:r>
          </w:p>
        </w:tc>
        <w:tc>
          <w:tcPr>
            <w:tcW w:w="28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2"/>
          </w:tcPr>
          <w:p>
            <w:pPr>
              <w:spacing w:after="0"/>
              <w:rPr>
                <w:sz w:val="20"/>
                <w:szCs w:val="20"/>
                <w:color w:val="auto"/>
              </w:rPr>
            </w:pPr>
            <w:r>
              <w:rPr>
                <w:rFonts w:ascii="Arial" w:cs="Arial" w:eastAsia="Arial" w:hAnsi="Arial"/>
                <w:sz w:val="18"/>
                <w:szCs w:val="18"/>
                <w:color w:val="auto"/>
              </w:rPr>
              <w:t>32.1*†</w:t>
            </w:r>
          </w:p>
        </w:tc>
        <w:tc>
          <w:tcPr>
            <w:tcW w:w="7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Certification of Principal Executive Officer Pursuant to Section 906 of the Sarbanes-Oxley Act of 2002</w:t>
            </w:r>
          </w:p>
        </w:tc>
        <w:tc>
          <w:tcPr>
            <w:tcW w:w="27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40" w:type="dxa"/>
            <w:vAlign w:val="bottom"/>
            <w:gridSpan w:val="2"/>
          </w:tcPr>
          <w:p>
            <w:pPr>
              <w:spacing w:after="0"/>
              <w:rPr>
                <w:sz w:val="20"/>
                <w:szCs w:val="20"/>
                <w:color w:val="auto"/>
              </w:rPr>
            </w:pPr>
            <w:r>
              <w:rPr>
                <w:rFonts w:ascii="Arial" w:cs="Arial" w:eastAsia="Arial" w:hAnsi="Arial"/>
                <w:sz w:val="18"/>
                <w:szCs w:val="18"/>
                <w:color w:val="auto"/>
              </w:rPr>
              <w:t>32.2*†</w:t>
            </w:r>
          </w:p>
        </w:tc>
        <w:tc>
          <w:tcPr>
            <w:tcW w:w="10200" w:type="dxa"/>
            <w:vAlign w:val="bottom"/>
            <w:gridSpan w:val="8"/>
          </w:tcPr>
          <w:p>
            <w:pPr>
              <w:spacing w:after="0"/>
              <w:rPr>
                <w:sz w:val="20"/>
                <w:szCs w:val="20"/>
                <w:color w:val="auto"/>
              </w:rPr>
            </w:pPr>
            <w:r>
              <w:rPr>
                <w:rFonts w:ascii="Arial" w:cs="Arial" w:eastAsia="Arial" w:hAnsi="Arial"/>
                <w:sz w:val="18"/>
                <w:szCs w:val="18"/>
                <w:color w:val="0000EE"/>
              </w:rPr>
              <w:t>Certification of Principal Financial Officer Pursuant to Section 906 of the Sarbanes-Oxley Act of 2002</w:t>
            </w:r>
          </w:p>
        </w:tc>
        <w:tc>
          <w:tcPr>
            <w:tcW w:w="0" w:type="dxa"/>
            <w:vAlign w:val="bottom"/>
          </w:tcPr>
          <w:p>
            <w:pPr>
              <w:spacing w:after="0"/>
              <w:rPr>
                <w:sz w:val="1"/>
                <w:szCs w:val="1"/>
                <w:color w:val="auto"/>
              </w:rPr>
            </w:pPr>
          </w:p>
        </w:tc>
      </w:tr>
      <w:tr>
        <w:trPr>
          <w:trHeight w:val="383"/>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3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28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102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49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15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9" w:lineRule="exact"/>
        <w:rPr>
          <w:sz w:val="20"/>
          <w:szCs w:val="20"/>
          <w:color w:val="auto"/>
        </w:rPr>
      </w:pPr>
    </w:p>
    <w:p>
      <w:pPr>
        <w:ind w:left="500" w:right="140" w:hanging="492"/>
        <w:spacing w:after="0" w:line="341"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certifications furnished in Exhibits 32.1 and 32.2 hereto are deemed to accompany this Quarterly Report on Form 10-Q and will not be deemed “filed” for purposes of Section 18 of the Exchange Act, except to the extent that the registrant specifically incorporates it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right="480" w:firstLine="51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7500" w:type="dxa"/>
            <w:vAlign w:val="bottom"/>
            <w:gridSpan w:val="2"/>
          </w:tcPr>
          <w:p>
            <w:pPr>
              <w:ind w:left="1960"/>
              <w:spacing w:after="0"/>
              <w:rPr>
                <w:sz w:val="20"/>
                <w:szCs w:val="20"/>
                <w:color w:val="auto"/>
              </w:rPr>
            </w:pPr>
            <w:r>
              <w:rPr>
                <w:rFonts w:ascii="Arial" w:cs="Arial" w:eastAsia="Arial" w:hAnsi="Arial"/>
                <w:sz w:val="18"/>
                <w:szCs w:val="18"/>
                <w:color w:val="auto"/>
              </w:rPr>
              <w:t>VIANT TECHNOLOGY INC.</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Date: November 9, 2022</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 Vanderhook</w:t>
            </w:r>
          </w:p>
        </w:tc>
      </w:tr>
      <w:tr>
        <w:trPr>
          <w:trHeight w:val="218"/>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Tim Vanderhook</w:t>
            </w:r>
          </w:p>
        </w:tc>
      </w:tr>
      <w:tr>
        <w:trPr>
          <w:trHeight w:val="215"/>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and Chairman</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Date: November 9, 2022</w:t>
            </w:r>
          </w:p>
        </w:tc>
        <w:tc>
          <w:tcPr>
            <w:tcW w:w="2280" w:type="dxa"/>
            <w:vAlign w:val="bottom"/>
          </w:tcPr>
          <w:p>
            <w:pPr>
              <w:ind w:left="19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Madden</w:t>
            </w:r>
          </w:p>
        </w:tc>
      </w:tr>
      <w:tr>
        <w:trPr>
          <w:trHeight w:val="227"/>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6"/>
              </w:rPr>
              <w:t>Larry Madden</w:t>
            </w:r>
          </w:p>
        </w:tc>
      </w:tr>
    </w:tbl>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37" w:right="339" w:bottom="1440" w:gutter="0" w:footer="0" w:header="0"/>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Tim Vanderhook, certify that:</w:t>
      </w:r>
    </w:p>
    <w:p>
      <w:pPr>
        <w:spacing w:after="0" w:line="224" w:lineRule="exact"/>
        <w:rPr>
          <w:sz w:val="20"/>
          <w:szCs w:val="20"/>
          <w:color w:val="auto"/>
        </w:rPr>
      </w:pPr>
    </w:p>
    <w:p>
      <w:pPr>
        <w:ind w:left="940" w:hanging="183"/>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224" w:lineRule="exact"/>
        <w:rPr>
          <w:rFonts w:ascii="Arial" w:cs="Arial" w:eastAsia="Arial" w:hAnsi="Arial"/>
          <w:sz w:val="18"/>
          <w:szCs w:val="18"/>
          <w:color w:val="auto"/>
        </w:rPr>
      </w:pPr>
    </w:p>
    <w:p>
      <w:pPr>
        <w:ind w:right="20" w:firstLine="757"/>
        <w:spacing w:after="0" w:line="341" w:lineRule="auto"/>
        <w:tabs>
          <w:tab w:leader="none" w:pos="929"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757"/>
        <w:spacing w:after="0" w:line="306" w:lineRule="auto"/>
        <w:tabs>
          <w:tab w:leader="none" w:pos="929"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jc w:val="both"/>
        <w:ind w:right="60" w:firstLine="757"/>
        <w:spacing w:after="0" w:line="263" w:lineRule="auto"/>
        <w:tabs>
          <w:tab w:leader="none" w:pos="9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 and I are responsible for establishing and maintaining disclosure controls and procedures (as defined in Exchange Act Rules 13a-15(e) and 15d-15(e)) </w:t>
      </w:r>
      <w:r>
        <w:rPr>
          <w:rFonts w:ascii="Arial" w:cs="Arial" w:eastAsia="Arial" w:hAnsi="Arial"/>
          <w:sz w:val="18"/>
          <w:szCs w:val="18"/>
          <w:color w:val="333333"/>
        </w:rPr>
        <w:t>and internal control over financial reporting (as defined in Exchange Act Rules 13a-15(f) and 15d-15(f))</w:t>
      </w:r>
      <w:r>
        <w:rPr>
          <w:rFonts w:ascii="Arial" w:cs="Arial" w:eastAsia="Arial" w:hAnsi="Arial"/>
          <w:sz w:val="18"/>
          <w:szCs w:val="18"/>
          <w:color w:val="auto"/>
        </w:rPr>
        <w:t xml:space="preserve"> for the registrant and have:</w:t>
      </w:r>
    </w:p>
    <w:p>
      <w:pPr>
        <w:spacing w:after="0" w:line="182" w:lineRule="exact"/>
        <w:rPr>
          <w:sz w:val="20"/>
          <w:szCs w:val="20"/>
          <w:color w:val="auto"/>
        </w:rPr>
      </w:pPr>
    </w:p>
    <w:p>
      <w:pPr>
        <w:ind w:right="100" w:firstLine="757"/>
        <w:spacing w:after="0" w:line="263" w:lineRule="auto"/>
        <w:tabs>
          <w:tab w:leader="none" w:pos="9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757"/>
        <w:spacing w:after="0" w:line="263" w:lineRule="auto"/>
        <w:tabs>
          <w:tab w:leader="none" w:pos="10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0" w:firstLine="757"/>
        <w:spacing w:after="0" w:line="341" w:lineRule="auto"/>
        <w:tabs>
          <w:tab w:leader="none" w:pos="9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757"/>
        <w:spacing w:after="0" w:line="263" w:lineRule="auto"/>
        <w:tabs>
          <w:tab w:leader="none" w:pos="10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sz w:val="20"/>
          <w:szCs w:val="20"/>
          <w:color w:val="auto"/>
        </w:rPr>
      </w:pPr>
    </w:p>
    <w:p>
      <w:pPr>
        <w:ind w:right="20" w:firstLine="757"/>
        <w:spacing w:after="0" w:line="306" w:lineRule="auto"/>
        <w:tabs>
          <w:tab w:leader="none" w:pos="92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sz w:val="20"/>
          <w:szCs w:val="20"/>
          <w:color w:val="auto"/>
        </w:rPr>
      </w:pPr>
    </w:p>
    <w:p>
      <w:pPr>
        <w:ind w:firstLine="757"/>
        <w:spacing w:after="0" w:line="276" w:lineRule="auto"/>
        <w:tabs>
          <w:tab w:leader="none" w:pos="9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757"/>
        <w:spacing w:after="0" w:line="276" w:lineRule="auto"/>
        <w:tabs>
          <w:tab w:leader="none" w:pos="100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65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 Vanderhook</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Chairman</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7" w:name="page48"/>
    <w:bookmarkEnd w:id="47"/>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Larry Madden, certify that:</w:t>
      </w:r>
    </w:p>
    <w:p>
      <w:pPr>
        <w:spacing w:after="0" w:line="224" w:lineRule="exact"/>
        <w:rPr>
          <w:sz w:val="20"/>
          <w:szCs w:val="20"/>
          <w:color w:val="auto"/>
        </w:rPr>
      </w:pPr>
    </w:p>
    <w:p>
      <w:pPr>
        <w:ind w:left="940" w:hanging="183"/>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223" w:lineRule="exact"/>
        <w:rPr>
          <w:rFonts w:ascii="Arial" w:cs="Arial" w:eastAsia="Arial" w:hAnsi="Arial"/>
          <w:sz w:val="18"/>
          <w:szCs w:val="18"/>
          <w:color w:val="auto"/>
        </w:rPr>
      </w:pPr>
    </w:p>
    <w:p>
      <w:pPr>
        <w:ind w:right="20" w:firstLine="757"/>
        <w:spacing w:after="0" w:line="341" w:lineRule="auto"/>
        <w:tabs>
          <w:tab w:leader="none" w:pos="9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757"/>
        <w:spacing w:after="0" w:line="306" w:lineRule="auto"/>
        <w:tabs>
          <w:tab w:leader="none" w:pos="929"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jc w:val="both"/>
        <w:ind w:right="60" w:firstLine="757"/>
        <w:spacing w:after="0" w:line="263" w:lineRule="auto"/>
        <w:tabs>
          <w:tab w:leader="none" w:pos="9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 and I are responsible for establishing and maintaining disclosure controls and procedures (as defined in Exchange Act Rules 13a-15(e) and 15d-15(e)) </w:t>
      </w:r>
      <w:r>
        <w:rPr>
          <w:rFonts w:ascii="Arial" w:cs="Arial" w:eastAsia="Arial" w:hAnsi="Arial"/>
          <w:sz w:val="18"/>
          <w:szCs w:val="18"/>
          <w:color w:val="333333"/>
        </w:rPr>
        <w:t>and internal control over financial reporting (as defined in Exchange Act Rules 13a-15(f) and 15d-15(f))</w:t>
      </w:r>
      <w:r>
        <w:rPr>
          <w:rFonts w:ascii="Arial" w:cs="Arial" w:eastAsia="Arial" w:hAnsi="Arial"/>
          <w:sz w:val="18"/>
          <w:szCs w:val="18"/>
          <w:color w:val="auto"/>
        </w:rPr>
        <w:t xml:space="preserve"> for the registrant and have:</w:t>
      </w:r>
    </w:p>
    <w:p>
      <w:pPr>
        <w:spacing w:after="0" w:line="182" w:lineRule="exact"/>
        <w:rPr>
          <w:sz w:val="20"/>
          <w:szCs w:val="20"/>
          <w:color w:val="auto"/>
        </w:rPr>
      </w:pPr>
    </w:p>
    <w:p>
      <w:pPr>
        <w:ind w:right="100" w:firstLine="757"/>
        <w:spacing w:after="0" w:line="263" w:lineRule="auto"/>
        <w:tabs>
          <w:tab w:leader="none" w:pos="9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757"/>
        <w:spacing w:after="0" w:line="263" w:lineRule="auto"/>
        <w:tabs>
          <w:tab w:leader="none" w:pos="100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0" w:firstLine="757"/>
        <w:spacing w:after="0" w:line="341" w:lineRule="auto"/>
        <w:tabs>
          <w:tab w:leader="none" w:pos="993"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757"/>
        <w:spacing w:after="0" w:line="263" w:lineRule="auto"/>
        <w:tabs>
          <w:tab w:leader="none" w:pos="1003"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sz w:val="20"/>
          <w:szCs w:val="20"/>
          <w:color w:val="auto"/>
        </w:rPr>
      </w:pPr>
    </w:p>
    <w:p>
      <w:pPr>
        <w:ind w:right="20" w:firstLine="757"/>
        <w:spacing w:after="0" w:line="306" w:lineRule="auto"/>
        <w:tabs>
          <w:tab w:leader="none" w:pos="92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sz w:val="20"/>
          <w:szCs w:val="20"/>
          <w:color w:val="auto"/>
        </w:rPr>
      </w:pPr>
    </w:p>
    <w:p>
      <w:pPr>
        <w:ind w:firstLine="757"/>
        <w:spacing w:after="0" w:line="276" w:lineRule="auto"/>
        <w:tabs>
          <w:tab w:leader="none" w:pos="9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757"/>
        <w:spacing w:after="0" w:line="276" w:lineRule="auto"/>
        <w:tabs>
          <w:tab w:leader="none" w:pos="100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673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96735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Madden</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 and Accounting Officer)</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Quarterly Report of Viant Technology Inc. (the “Company”) on Form 10-Q for the quarter ended September 30,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620" w:hanging="863"/>
        <w:spacing w:after="0"/>
        <w:tabs>
          <w:tab w:leader="none" w:pos="1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6" w:lineRule="exact"/>
        <w:rPr>
          <w:rFonts w:ascii="Arial" w:cs="Arial" w:eastAsia="Arial" w:hAnsi="Arial"/>
          <w:sz w:val="16"/>
          <w:szCs w:val="16"/>
          <w:color w:val="auto"/>
        </w:rPr>
      </w:pPr>
    </w:p>
    <w:p>
      <w:pPr>
        <w:ind w:left="1620" w:hanging="863"/>
        <w:spacing w:after="0"/>
        <w:tabs>
          <w:tab w:leader="none" w:pos="1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9, 2022</w:t>
            </w:r>
          </w:p>
        </w:tc>
        <w:tc>
          <w:tcPr>
            <w:tcW w:w="2280" w:type="dxa"/>
            <w:vAlign w:val="bottom"/>
          </w:tcPr>
          <w:p>
            <w:pPr>
              <w:ind w:left="19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 Vanderhook</w:t>
            </w:r>
          </w:p>
        </w:tc>
      </w:tr>
      <w:tr>
        <w:trPr>
          <w:trHeight w:val="222"/>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0"/>
              </w:rPr>
              <w:t>Tim Vanderhook</w:t>
            </w:r>
          </w:p>
        </w:tc>
      </w:tr>
      <w:tr>
        <w:trPr>
          <w:trHeight w:val="229"/>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r>
      <w:tr>
        <w:trPr>
          <w:trHeight w:val="230"/>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Quarterly Report of Viant Technology Inc. (the “Company”) on Form 10-Q for the quarter ended September 30,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620" w:hanging="863"/>
        <w:spacing w:after="0"/>
        <w:tabs>
          <w:tab w:leader="none" w:pos="1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6" w:lineRule="exact"/>
        <w:rPr>
          <w:rFonts w:ascii="Arial" w:cs="Arial" w:eastAsia="Arial" w:hAnsi="Arial"/>
          <w:sz w:val="16"/>
          <w:szCs w:val="16"/>
          <w:color w:val="auto"/>
        </w:rPr>
      </w:pPr>
    </w:p>
    <w:p>
      <w:pPr>
        <w:ind w:left="1620" w:hanging="863"/>
        <w:spacing w:after="0"/>
        <w:tabs>
          <w:tab w:leader="none" w:pos="1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9, 2022</w:t>
            </w:r>
          </w:p>
        </w:tc>
        <w:tc>
          <w:tcPr>
            <w:tcW w:w="2280" w:type="dxa"/>
            <w:vAlign w:val="bottom"/>
          </w:tcPr>
          <w:p>
            <w:pPr>
              <w:ind w:left="19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Madden</w:t>
            </w:r>
          </w:p>
        </w:tc>
      </w:tr>
      <w:tr>
        <w:trPr>
          <w:trHeight w:val="222"/>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Larry Madden</w:t>
            </w:r>
          </w:p>
        </w:tc>
      </w:tr>
      <w:tr>
        <w:trPr>
          <w:trHeight w:val="229"/>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6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1."/>
      <w:numFmt w:val="decimal"/>
      <w:start w:val="3"/>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8"/>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1."/>
      <w:numFmt w:val="decimal"/>
      <w:start w:val="10"/>
    </w:lvl>
  </w:abstractNum>
  <w:abstractNum w:abstractNumId="12">
    <w:nsid w:val="4353D0CD"/>
    <w:multiLevelType w:val="hybridMultilevel"/>
    <w:lvl w:ilvl="0">
      <w:lvlJc w:val="left"/>
      <w:lvlText w:val="%1."/>
      <w:numFmt w:val="decimal"/>
      <w:start w:val="12"/>
    </w:lvl>
  </w:abstractNum>
  <w:abstractNum w:abstractNumId="13">
    <w:nsid w:val="B03E0C6"/>
    <w:multiLevelType w:val="hybridMultilevel"/>
    <w:lvl w:ilvl="0">
      <w:lvlJc w:val="left"/>
      <w:lvlText w:val="%1."/>
      <w:numFmt w:val="decimal"/>
      <w:start w:val="13"/>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lvl w:ilvl="1">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8" Type="http://schemas.openxmlformats.org/officeDocument/2006/relationships/hyperlink" Target="http://www.sec.gov/Archives/edgar/data/1828791/000156459021014855/dsp-ex31_279.htm" TargetMode="External"/><Relationship Id="rId69" Type="http://schemas.openxmlformats.org/officeDocument/2006/relationships/hyperlink" Target="http://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2022-11-09T18:10:38Z</dcterms:created>
  <dcterms:modified xsi:type="dcterms:W3CDTF">2022-11-09T18:10:38Z</dcterms:modified>
</cp:coreProperties>
</file>