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Yang Vivian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2722 MICHELSON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Viant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DSP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0" w:type="dxa"/>
            <w:vAlign w:val="bottom"/>
            <w:gridSpan w:val="4"/>
            <w:vMerge w:val="continue"/>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92612</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80"/>
              <w:spacing w:after="0" w:line="320" w:lineRule="exact"/>
              <w:rPr>
                <w:sz w:val="20"/>
                <w:szCs w:val="20"/>
                <w:color w:val="auto"/>
              </w:rPr>
            </w:pPr>
            <w:r>
              <w:rPr>
                <w:rFonts w:ascii="Times New Roman" w:cs="Times New Roman" w:eastAsia="Times New Roman" w:hAnsi="Times New Roman"/>
                <w:sz w:val="34"/>
                <w:szCs w:val="34"/>
                <w:color w:val="0000FF"/>
                <w:vertAlign w:val="subscript"/>
              </w:rPr>
              <w:t>14,544</w:t>
            </w:r>
            <w:r>
              <w:rPr>
                <w:rFonts w:ascii="Times New Roman" w:cs="Times New Roman" w:eastAsia="Times New Roman" w:hAnsi="Times New Roman"/>
                <w:sz w:val="11"/>
                <w:szCs w:val="11"/>
                <w:color w:val="008000"/>
              </w:rPr>
              <w:t>(1)(2)</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108,457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("RSUs") that vest in full on the earlier of (i) the date of the Issuer's 2027 Annual Meeting of Stockholders (or the date immediately prior to the 2027 Annual Meeting if the Reporting Person's service as a director ends at the 2027 Annual Meeting due to the Reporting Person's failure to be re-elected or the Reporting Person not standing for re-election); or (ii) the one-year anniversary measured from the date of grant, subject to the Reporting Person's continuous service through such vesting date. Each RSU represents the right to receive one share of the Issuer's Class A common stock.</w:t>
      </w:r>
    </w:p>
    <w:p>
      <w:pPr>
        <w:spacing w:after="0" w:line="24"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to correct the number of RSUs granted to the Reporting Person on June 4, 2026. The original Form 4 inadvertently reported the grant of 15,948 RSUs instead of 14,544 RSUs, the correct amount actually granted.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Larry Madden, Attorney-</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6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Vivian Yang</w:t>
            </w:r>
          </w:p>
        </w:tc>
        <w:tc>
          <w:tcPr>
            <w:tcW w:w="4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6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5037" TargetMode="External"/><Relationship Id="rId14" Type="http://schemas.openxmlformats.org/officeDocument/2006/relationships/hyperlink" Target="http://www.sec.gov/cgi-bin/browse-edgar?action=getcompany&amp;CIK=0001828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2026-06-10T19:02:19Z</dcterms:created>
  <dcterms:modified xsi:type="dcterms:W3CDTF">2026-06-10T19:02:19Z</dcterms:modified>
</cp:coreProperties>
</file>