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703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7034530"/>
                    </a:xfrm>
                    <a:prstGeom prst="rect">
                      <a:avLst/>
                    </a:prstGeom>
                    <a:noFill/>
                  </pic:spPr>
                </pic:pic>
              </a:graphicData>
            </a:graphic>
          </wp:anchor>
        </w:drawing>
      </w:r>
    </w:p>
    <w:p>
      <w:pPr>
        <w:spacing w:after="0" w:line="1244" w:lineRule="exact"/>
        <w:rPr>
          <w:sz w:val="24"/>
          <w:szCs w:val="24"/>
          <w:color w:val="auto"/>
        </w:rPr>
      </w:pPr>
    </w:p>
    <w:p>
      <w:pPr>
        <w:sectPr>
          <w:pgSz w:w="11900" w:h="16884"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Vanderhook Christopher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VIANT TECHNOLOGY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2722 MICHELSON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Viant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DSP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319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9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11" w:lineRule="exact"/>
        <w:rPr>
          <w:sz w:val="24"/>
          <w:szCs w:val="24"/>
          <w:color w:val="auto"/>
        </w:rPr>
      </w:pPr>
    </w:p>
    <w:p>
      <w:pPr>
        <w:sectPr>
          <w:pgSz w:w="11900" w:h="16884" w:orient="portrait"/>
          <w:cols w:equalWidth="0" w:num="3">
            <w:col w:w="3180" w:space="720"/>
            <w:col w:w="3103" w:space="720"/>
            <w:col w:w="3357"/>
          </w:cols>
          <w:pgMar w:left="460" w:top="217" w:right="359" w:bottom="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92612</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84"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6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vMerge w:val="restart"/>
          </w:tcPr>
          <w:p>
            <w:pPr>
              <w:jc w:val="center"/>
              <w:ind w:left="54"/>
              <w:spacing w:after="0"/>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0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12,500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12,500</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V 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vMerge w:val="restart"/>
          </w:tcPr>
          <w:p>
            <w:pPr>
              <w:jc w:val="center"/>
              <w:ind w:left="54"/>
              <w:spacing w:after="0"/>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(3)</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20"/>
              <w:spacing w:after="0" w:line="207"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(3)</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12,500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9,082,275</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V 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11.1714</w:t>
            </w:r>
            <w:r>
              <w:rPr>
                <w:rFonts w:ascii="Times New Roman" w:cs="Times New Roman" w:eastAsia="Times New Roman" w:hAnsi="Times New Roman"/>
                <w:sz w:val="21"/>
                <w:szCs w:val="21"/>
                <w:color w:val="008000"/>
                <w:w w:val="93"/>
                <w:vertAlign w:val="superscript"/>
              </w:rPr>
              <w:t>(5)</w:t>
            </w: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20"/>
              <w:spacing w:after="0" w:line="207" w:lineRule="exact"/>
              <w:rPr>
                <w:sz w:val="20"/>
                <w:szCs w:val="20"/>
                <w:color w:val="auto"/>
              </w:rPr>
            </w:pPr>
            <w:r>
              <w:rPr>
                <w:rFonts w:ascii="Times New Roman" w:cs="Times New Roman" w:eastAsia="Times New Roman" w:hAnsi="Times New Roman"/>
                <w:sz w:val="23"/>
                <w:szCs w:val="23"/>
                <w:color w:val="0000FF"/>
                <w:vertAlign w:val="subscript"/>
              </w:rPr>
              <w:t>S</w:t>
            </w:r>
            <w:r>
              <w:rPr>
                <w:rFonts w:ascii="Times New Roman" w:cs="Times New Roman" w:eastAsia="Times New Roman" w:hAnsi="Times New Roman"/>
                <w:sz w:val="10"/>
                <w:szCs w:val="10"/>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2"/>
            <w:vMerge w:val="continue"/>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7,500</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V 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11.0884</w:t>
            </w:r>
            <w:r>
              <w:rPr>
                <w:rFonts w:ascii="Times New Roman" w:cs="Times New Roman" w:eastAsia="Times New Roman" w:hAnsi="Times New Roman"/>
                <w:sz w:val="21"/>
                <w:szCs w:val="21"/>
                <w:color w:val="008000"/>
                <w:w w:val="93"/>
                <w:vertAlign w:val="superscript"/>
              </w:rPr>
              <w:t>(6)</w:t>
            </w: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06/17/2026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20"/>
              <w:spacing w:after="0" w:line="207" w:lineRule="exact"/>
              <w:rPr>
                <w:sz w:val="20"/>
                <w:szCs w:val="20"/>
                <w:color w:val="auto"/>
              </w:rPr>
            </w:pPr>
            <w:r>
              <w:rPr>
                <w:rFonts w:ascii="Times New Roman" w:cs="Times New Roman" w:eastAsia="Times New Roman" w:hAnsi="Times New Roman"/>
                <w:sz w:val="23"/>
                <w:szCs w:val="23"/>
                <w:color w:val="0000FF"/>
                <w:vertAlign w:val="subscript"/>
              </w:rPr>
              <w:t>S</w:t>
            </w:r>
            <w:r>
              <w:rPr>
                <w:rFonts w:ascii="Times New Roman" w:cs="Times New Roman" w:eastAsia="Times New Roman" w:hAnsi="Times New Roman"/>
                <w:sz w:val="10"/>
                <w:szCs w:val="10"/>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2"/>
            <w:vMerge w:val="continue"/>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2,500</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V 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10.9646</w:t>
            </w:r>
            <w:r>
              <w:rPr>
                <w:rFonts w:ascii="Times New Roman" w:cs="Times New Roman" w:eastAsia="Times New Roman" w:hAnsi="Times New Roman"/>
                <w:sz w:val="21"/>
                <w:szCs w:val="21"/>
                <w:color w:val="008000"/>
                <w:w w:val="93"/>
                <w:vertAlign w:val="superscript"/>
              </w:rPr>
              <w:t>(7)</w:t>
            </w: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06/18/2026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20"/>
              <w:spacing w:after="0" w:line="207" w:lineRule="exact"/>
              <w:rPr>
                <w:sz w:val="20"/>
                <w:szCs w:val="20"/>
                <w:color w:val="auto"/>
              </w:rPr>
            </w:pPr>
            <w:r>
              <w:rPr>
                <w:rFonts w:ascii="Times New Roman" w:cs="Times New Roman" w:eastAsia="Times New Roman" w:hAnsi="Times New Roman"/>
                <w:sz w:val="23"/>
                <w:szCs w:val="23"/>
                <w:color w:val="0000FF"/>
                <w:vertAlign w:val="subscript"/>
              </w:rPr>
              <w:t>S</w:t>
            </w:r>
            <w:r>
              <w:rPr>
                <w:rFonts w:ascii="Times New Roman" w:cs="Times New Roman" w:eastAsia="Times New Roman" w:hAnsi="Times New Roman"/>
                <w:sz w:val="10"/>
                <w:szCs w:val="10"/>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2,500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jc w:val="center"/>
              <w:ind w:right="459"/>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17"/>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V 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20" w:type="dxa"/>
            <w:vAlign w:val="bottom"/>
            <w:gridSpan w:val="10"/>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12,500</w:t>
            </w:r>
          </w:p>
        </w:tc>
        <w:tc>
          <w:tcPr>
            <w:tcW w:w="18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Capital</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4"/>
                <w:szCs w:val="4"/>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4"/>
                <w:szCs w:val="4"/>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w w:val="94"/>
              </w:rPr>
              <w:t>12,500</w:t>
            </w:r>
          </w:p>
        </w:tc>
        <w:tc>
          <w:tcPr>
            <w:tcW w:w="8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9,082,275</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80" w:type="dxa"/>
            <w:vAlign w:val="bottom"/>
            <w:vMerge w:val="restart"/>
          </w:tcPr>
          <w:p>
            <w:pPr>
              <w:ind w:left="60"/>
              <w:spacing w:after="0" w:line="105" w:lineRule="exact"/>
              <w:rPr>
                <w:sz w:val="20"/>
                <w:szCs w:val="20"/>
                <w:color w:val="auto"/>
              </w:rPr>
            </w:pPr>
            <w:r>
              <w:rPr>
                <w:rFonts w:ascii="Times New Roman" w:cs="Times New Roman" w:eastAsia="Times New Roman" w:hAnsi="Times New Roman"/>
                <w:sz w:val="12"/>
                <w:szCs w:val="12"/>
                <w:color w:val="0000FF"/>
              </w:rPr>
              <w:t>Units</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5" w:lineRule="exact"/>
              <w:rPr>
                <w:sz w:val="20"/>
                <w:szCs w:val="20"/>
                <w:color w:val="auto"/>
              </w:rPr>
            </w:pPr>
            <w:r>
              <w:rPr>
                <w:rFonts w:ascii="Times New Roman" w:cs="Times New Roman" w:eastAsia="Times New Roman" w:hAnsi="Times New Roman"/>
                <w:sz w:val="8"/>
                <w:szCs w:val="8"/>
                <w:color w:val="0000FF"/>
              </w:rPr>
              <w:t>V LLC</w:t>
            </w:r>
            <w:r>
              <w:rPr>
                <w:rFonts w:ascii="Times New Roman" w:cs="Times New Roman" w:eastAsia="Times New Roman" w:hAnsi="Times New Roman"/>
                <w:sz w:val="12"/>
                <w:szCs w:val="12"/>
                <w:color w:val="008000"/>
                <w:vertAlign w:val="superscript"/>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B Units of Viant Technology LLC ("Class B Units") are exchangeable, at the holder's option, on a one-for-one basis into shares of Class A common stock of the Issuer. Upon exchange of a Class B Unit, the corresponding share of Class B common stock will be automatically cancelled.</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a one-third interest in Capital V LLC and may therefore be deemed to have an indirect pecuniary interest in one-third of Capital V LLC's total holdings.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cancellation for no consideration of a number of shares of Class B common stock of the Issuer in connection with the redemption by Capital V LLC of an equal number of Class B Units for Class A common stock.</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plan adopted by Capital V LLC on March 18, 2025, as amended on September 17, 2025.</w:t>
      </w:r>
    </w:p>
    <w:p>
      <w:pPr>
        <w:spacing w:after="0" w:line="44" w:lineRule="exact"/>
        <w:rPr>
          <w:rFonts w:ascii="Times New Roman" w:cs="Times New Roman" w:eastAsia="Times New Roman" w:hAnsi="Times New Roman"/>
          <w:sz w:val="13"/>
          <w:szCs w:val="13"/>
          <w:color w:val="008000"/>
        </w:rPr>
      </w:pPr>
    </w:p>
    <w:p>
      <w:pPr>
        <w:ind w:left="40" w:right="4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based on the Reporting Person's pro rata portion of a total of 15,000 shares of Class A Common Stock sold on behalf of Capital V LLC. These shares were sold in multiple transactions at prices ranging from $10.77 to $11.43.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4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based on the Reporting Person's pro rata portion of a total of 15,000 shares of Class A Common Stock sold on behalf of Capital V LLC. These shares were sold in multiple transactions at prices ranging from $10.91 to $11.50.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jc w:val="both"/>
        <w:ind w:left="40" w:right="480" w:firstLine="2"/>
        <w:spacing w:after="0" w:line="297"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based on the Reporting Person's pro rata portion of a total of 7,500 shares of Class A Common Stock sold on behalf of Capital V LLC. These shares were sold in multiple transactions at prices ranging from $10.665 to $11.23. The Reporting Person undertakes to provide the Issuer, any security holder of the Issuer, or the staff of the Securities and</w:t>
      </w:r>
    </w:p>
    <w:p>
      <w:pPr>
        <w:sectPr>
          <w:pgSz w:w="11900" w:h="16884"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Exchange Commission, upon request, full information regarding the number of shares sold at each separate price within the range set forth in this footnote.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Larry Madden,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Fact for Christopher</w:t>
      </w:r>
      <w:r>
        <w:rPr>
          <w:sz w:val="20"/>
          <w:szCs w:val="20"/>
          <w:color w:val="auto"/>
        </w:rPr>
        <w:tab/>
      </w:r>
      <w:r>
        <w:rPr>
          <w:rFonts w:ascii="Times New Roman" w:cs="Times New Roman" w:eastAsia="Times New Roman" w:hAnsi="Times New Roman"/>
          <w:sz w:val="16"/>
          <w:szCs w:val="16"/>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864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64235"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-15875</wp:posOffset>
            </wp:positionV>
            <wp:extent cx="4857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514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14985" cy="8255"/>
                    </a:xfrm>
                    <a:prstGeom prst="rect">
                      <a:avLst/>
                    </a:prstGeom>
                    <a:noFill/>
                  </pic:spPr>
                </pic:pic>
              </a:graphicData>
            </a:graphic>
          </wp:anchor>
        </w:drawing>
      </w:r>
    </w:p>
    <w:p>
      <w:pPr>
        <w:spacing w:after="0" w:line="3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843104" TargetMode="External"/><Relationship Id="rId14" Type="http://schemas.openxmlformats.org/officeDocument/2006/relationships/hyperlink" Target="http://www.sec.gov/cgi-bin/browse-edgar?action=getcompany&amp;CIK=0001828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2026-06-18T18:09:42Z</dcterms:created>
  <dcterms:modified xsi:type="dcterms:W3CDTF">2026-06-18T18:09:42Z</dcterms:modified>
</cp:coreProperties>
</file>