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662940</wp:posOffset>
            </wp:positionH>
            <wp:positionV relativeFrom="page">
              <wp:posOffset>477520</wp:posOffset>
            </wp:positionV>
            <wp:extent cx="65347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4785" cy="8255"/>
                    </a:xfrm>
                    <a:prstGeom prst="rect">
                      <a:avLst/>
                    </a:prstGeom>
                    <a:noFill/>
                  </pic:spPr>
                </pic:pic>
              </a:graphicData>
            </a:graphic>
          </wp:anchor>
        </w:drawing>
        <w:drawing>
          <wp:anchor simplePos="0" relativeHeight="251657728" behindDoc="1" locked="0" layoutInCell="0" allowOverlap="1">
            <wp:simplePos x="0" y="0"/>
            <wp:positionH relativeFrom="page">
              <wp:posOffset>662940</wp:posOffset>
            </wp:positionH>
            <wp:positionV relativeFrom="page">
              <wp:posOffset>502920</wp:posOffset>
            </wp:positionV>
            <wp:extent cx="65347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4785" cy="8255"/>
                    </a:xfrm>
                    <a:prstGeom prst="rect">
                      <a:avLst/>
                    </a:prstGeom>
                    <a:noFill/>
                  </pic:spPr>
                </pic:pic>
              </a:graphicData>
            </a:graphic>
          </wp:anchor>
        </w:drawing>
        <w:t>UNITED STATES</w:t>
      </w:r>
    </w:p>
    <w:p>
      <w:pPr>
        <w:spacing w:after="0" w:line="39"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1"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6"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9" w:lineRule="exact"/>
        <w:rPr>
          <w:sz w:val="24"/>
          <w:szCs w:val="24"/>
          <w:color w:val="auto"/>
        </w:rPr>
      </w:pPr>
    </w:p>
    <w:p>
      <w:pPr>
        <w:ind w:left="1160" w:hanging="425"/>
        <w:spacing w:after="0"/>
        <w:tabs>
          <w:tab w:leader="none" w:pos="11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9"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59"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9" w:lineRule="exact"/>
        <w:rPr>
          <w:sz w:val="24"/>
          <w:szCs w:val="24"/>
          <w:color w:val="auto"/>
        </w:rPr>
      </w:pPr>
    </w:p>
    <w:p>
      <w:pPr>
        <w:ind w:left="1160" w:hanging="425"/>
        <w:spacing w:after="0"/>
        <w:tabs>
          <w:tab w:leader="none" w:pos="11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9"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6280" w:type="dxa"/>
            <w:vAlign w:val="bottom"/>
          </w:tcPr>
          <w:p>
            <w:pPr>
              <w:jc w:val="center"/>
              <w:ind w:right="1843"/>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from_______to_______</w:t>
            </w:r>
          </w:p>
        </w:tc>
      </w:tr>
      <w:tr>
        <w:trPr>
          <w:trHeight w:val="252"/>
        </w:trPr>
        <w:tc>
          <w:tcPr>
            <w:tcW w:w="2320" w:type="dxa"/>
            <w:vAlign w:val="bottom"/>
          </w:tcPr>
          <w:p>
            <w:pPr>
              <w:spacing w:after="0"/>
              <w:rPr>
                <w:sz w:val="21"/>
                <w:szCs w:val="21"/>
                <w:color w:val="auto"/>
              </w:rPr>
            </w:pPr>
          </w:p>
        </w:tc>
        <w:tc>
          <w:tcPr>
            <w:tcW w:w="6280" w:type="dxa"/>
            <w:vAlign w:val="bottom"/>
          </w:tcPr>
          <w:p>
            <w:pPr>
              <w:jc w:val="center"/>
              <w:ind w:right="1843"/>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001-40015</w:t>
            </w:r>
          </w:p>
        </w:tc>
      </w:tr>
      <w:tr>
        <w:trPr>
          <w:trHeight w:val="69"/>
        </w:trPr>
        <w:tc>
          <w:tcPr>
            <w:tcW w:w="2320" w:type="dxa"/>
            <w:vAlign w:val="bottom"/>
          </w:tcPr>
          <w:p>
            <w:pPr>
              <w:spacing w:after="0"/>
              <w:rPr>
                <w:sz w:val="6"/>
                <w:szCs w:val="6"/>
                <w:color w:val="auto"/>
              </w:rPr>
            </w:pPr>
          </w:p>
        </w:tc>
        <w:tc>
          <w:tcPr>
            <w:tcW w:w="6280" w:type="dxa"/>
            <w:vAlign w:val="bottom"/>
          </w:tcPr>
          <w:p>
            <w:pPr>
              <w:jc w:val="center"/>
              <w:ind w:right="1843"/>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r>
        <w:trPr>
          <w:trHeight w:val="1001"/>
        </w:trPr>
        <w:tc>
          <w:tcPr>
            <w:tcW w:w="2320" w:type="dxa"/>
            <w:vAlign w:val="bottom"/>
          </w:tcPr>
          <w:p>
            <w:pPr>
              <w:spacing w:after="0"/>
              <w:rPr>
                <w:sz w:val="24"/>
                <w:szCs w:val="24"/>
                <w:color w:val="auto"/>
              </w:rPr>
            </w:pPr>
          </w:p>
        </w:tc>
        <w:tc>
          <w:tcPr>
            <w:tcW w:w="6280" w:type="dxa"/>
            <w:vAlign w:val="bottom"/>
          </w:tcPr>
          <w:p>
            <w:pPr>
              <w:jc w:val="center"/>
              <w:ind w:right="1843"/>
              <w:spacing w:after="0"/>
              <w:rPr>
                <w:sz w:val="20"/>
                <w:szCs w:val="20"/>
                <w:color w:val="auto"/>
              </w:rPr>
            </w:pPr>
            <w:r>
              <w:rPr>
                <w:rFonts w:ascii="Times New Roman" w:cs="Times New Roman" w:eastAsia="Times New Roman" w:hAnsi="Times New Roman"/>
                <w:sz w:val="21"/>
                <w:szCs w:val="21"/>
                <w:b w:val="1"/>
                <w:bCs w:val="1"/>
                <w:color w:val="auto"/>
              </w:rPr>
              <w:t>Viant Technology Inc.</w:t>
            </w:r>
          </w:p>
        </w:tc>
      </w:tr>
      <w:tr>
        <w:trPr>
          <w:trHeight w:val="220"/>
        </w:trPr>
        <w:tc>
          <w:tcPr>
            <w:tcW w:w="2320" w:type="dxa"/>
            <w:vAlign w:val="bottom"/>
          </w:tcPr>
          <w:p>
            <w:pPr>
              <w:spacing w:after="0"/>
              <w:rPr>
                <w:sz w:val="19"/>
                <w:szCs w:val="19"/>
                <w:color w:val="auto"/>
              </w:rPr>
            </w:pPr>
          </w:p>
        </w:tc>
        <w:tc>
          <w:tcPr>
            <w:tcW w:w="6280" w:type="dxa"/>
            <w:vAlign w:val="bottom"/>
          </w:tcPr>
          <w:p>
            <w:pPr>
              <w:jc w:val="center"/>
              <w:ind w:right="1843"/>
              <w:spacing w:after="0"/>
              <w:rPr>
                <w:sz w:val="20"/>
                <w:szCs w:val="20"/>
                <w:color w:val="auto"/>
              </w:rPr>
            </w:pPr>
            <w:r>
              <w:rPr>
                <w:rFonts w:ascii="Times New Roman" w:cs="Times New Roman" w:eastAsia="Times New Roman" w:hAnsi="Times New Roman"/>
                <w:sz w:val="18"/>
                <w:szCs w:val="18"/>
                <w:b w:val="1"/>
                <w:bCs w:val="1"/>
                <w:color w:val="auto"/>
                <w:w w:val="98"/>
              </w:rPr>
              <w:t>(Exact name of registrant as specified in its charter)</w:t>
            </w:r>
          </w:p>
        </w:tc>
      </w:tr>
      <w:tr>
        <w:trPr>
          <w:trHeight w:val="69"/>
        </w:trPr>
        <w:tc>
          <w:tcPr>
            <w:tcW w:w="2320" w:type="dxa"/>
            <w:vAlign w:val="bottom"/>
          </w:tcPr>
          <w:p>
            <w:pPr>
              <w:spacing w:after="0"/>
              <w:rPr>
                <w:sz w:val="6"/>
                <w:szCs w:val="6"/>
                <w:color w:val="auto"/>
              </w:rPr>
            </w:pPr>
          </w:p>
        </w:tc>
        <w:tc>
          <w:tcPr>
            <w:tcW w:w="6280" w:type="dxa"/>
            <w:vAlign w:val="bottom"/>
          </w:tcPr>
          <w:p>
            <w:pPr>
              <w:jc w:val="center"/>
              <w:ind w:right="1843"/>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r>
        <w:trPr>
          <w:trHeight w:val="298"/>
        </w:trPr>
        <w:tc>
          <w:tcPr>
            <w:tcW w:w="232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280" w:type="dxa"/>
            <w:vAlign w:val="bottom"/>
          </w:tcPr>
          <w:p>
            <w:pPr>
              <w:jc w:val="center"/>
              <w:ind w:left="4863"/>
              <w:spacing w:after="0"/>
              <w:rPr>
                <w:sz w:val="20"/>
                <w:szCs w:val="20"/>
                <w:color w:val="auto"/>
              </w:rPr>
            </w:pPr>
            <w:r>
              <w:rPr>
                <w:rFonts w:ascii="Times New Roman" w:cs="Times New Roman" w:eastAsia="Times New Roman" w:hAnsi="Times New Roman"/>
                <w:sz w:val="18"/>
                <w:szCs w:val="18"/>
                <w:b w:val="1"/>
                <w:bCs w:val="1"/>
                <w:color w:val="auto"/>
                <w:w w:val="98"/>
              </w:rPr>
              <w:t>85-3447553</w:t>
            </w:r>
          </w:p>
        </w:tc>
      </w:tr>
      <w:tr>
        <w:trPr>
          <w:trHeight w:val="186"/>
        </w:trPr>
        <w:tc>
          <w:tcPr>
            <w:tcW w:w="2320" w:type="dxa"/>
            <w:vAlign w:val="bottom"/>
          </w:tcPr>
          <w:p>
            <w:pPr>
              <w:jc w:val="center"/>
              <w:ind w:right="91"/>
              <w:spacing w:after="0" w:line="186" w:lineRule="exact"/>
              <w:rPr>
                <w:sz w:val="20"/>
                <w:szCs w:val="20"/>
                <w:color w:val="auto"/>
              </w:rPr>
            </w:pPr>
            <w:r>
              <w:rPr>
                <w:rFonts w:ascii="Times New Roman" w:cs="Times New Roman" w:eastAsia="Times New Roman" w:hAnsi="Times New Roman"/>
                <w:sz w:val="18"/>
                <w:szCs w:val="18"/>
                <w:color w:val="auto"/>
                <w:w w:val="98"/>
              </w:rPr>
              <w:t>(State or other jurisdiction of</w:t>
            </w:r>
          </w:p>
        </w:tc>
        <w:tc>
          <w:tcPr>
            <w:tcW w:w="6280" w:type="dxa"/>
            <w:vAlign w:val="bottom"/>
          </w:tcPr>
          <w:p>
            <w:pPr>
              <w:jc w:val="center"/>
              <w:ind w:left="4863"/>
              <w:spacing w:after="0" w:line="186"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2"/>
        </w:trPr>
        <w:tc>
          <w:tcPr>
            <w:tcW w:w="23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6280" w:type="dxa"/>
            <w:vAlign w:val="bottom"/>
          </w:tcPr>
          <w:p>
            <w:pPr>
              <w:jc w:val="center"/>
              <w:ind w:left="4883"/>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218"/>
        </w:trPr>
        <w:tc>
          <w:tcPr>
            <w:tcW w:w="2320" w:type="dxa"/>
            <w:vAlign w:val="bottom"/>
          </w:tcPr>
          <w:p>
            <w:pPr>
              <w:spacing w:after="0"/>
              <w:rPr>
                <w:sz w:val="18"/>
                <w:szCs w:val="18"/>
                <w:color w:val="auto"/>
              </w:rPr>
            </w:pPr>
          </w:p>
        </w:tc>
        <w:tc>
          <w:tcPr>
            <w:tcW w:w="6280" w:type="dxa"/>
            <w:vAlign w:val="bottom"/>
          </w:tcPr>
          <w:p>
            <w:pPr>
              <w:jc w:val="center"/>
              <w:ind w:right="1823"/>
              <w:spacing w:after="0"/>
              <w:rPr>
                <w:sz w:val="20"/>
                <w:szCs w:val="20"/>
                <w:color w:val="auto"/>
              </w:rPr>
            </w:pPr>
            <w:r>
              <w:rPr>
                <w:rFonts w:ascii="Times New Roman" w:cs="Times New Roman" w:eastAsia="Times New Roman" w:hAnsi="Times New Roman"/>
                <w:sz w:val="18"/>
                <w:szCs w:val="18"/>
                <w:b w:val="1"/>
                <w:bCs w:val="1"/>
                <w:color w:val="auto"/>
                <w:w w:val="98"/>
              </w:rPr>
              <w:t>2722 Michelson Drive, Suite 100</w:t>
            </w:r>
          </w:p>
        </w:tc>
      </w:tr>
      <w:tr>
        <w:trPr>
          <w:trHeight w:val="234"/>
        </w:trPr>
        <w:tc>
          <w:tcPr>
            <w:tcW w:w="2320" w:type="dxa"/>
            <w:vAlign w:val="bottom"/>
          </w:tcPr>
          <w:p>
            <w:pPr>
              <w:spacing w:after="0"/>
              <w:rPr>
                <w:sz w:val="20"/>
                <w:szCs w:val="20"/>
                <w:color w:val="auto"/>
              </w:rPr>
            </w:pPr>
          </w:p>
        </w:tc>
        <w:tc>
          <w:tcPr>
            <w:tcW w:w="6280" w:type="dxa"/>
            <w:vAlign w:val="bottom"/>
          </w:tcPr>
          <w:p>
            <w:pPr>
              <w:jc w:val="center"/>
              <w:ind w:right="1823"/>
              <w:spacing w:after="0"/>
              <w:rPr>
                <w:sz w:val="20"/>
                <w:szCs w:val="20"/>
                <w:color w:val="auto"/>
              </w:rPr>
            </w:pPr>
            <w:r>
              <w:rPr>
                <w:rFonts w:ascii="Times New Roman" w:cs="Times New Roman" w:eastAsia="Times New Roman" w:hAnsi="Times New Roman"/>
                <w:sz w:val="18"/>
                <w:szCs w:val="18"/>
                <w:b w:val="1"/>
                <w:bCs w:val="1"/>
                <w:color w:val="auto"/>
                <w:w w:val="98"/>
              </w:rPr>
              <w:t>Irvine, CA 92612</w:t>
            </w:r>
          </w:p>
        </w:tc>
      </w:tr>
      <w:tr>
        <w:trPr>
          <w:trHeight w:val="253"/>
        </w:trPr>
        <w:tc>
          <w:tcPr>
            <w:tcW w:w="2320" w:type="dxa"/>
            <w:vAlign w:val="bottom"/>
          </w:tcPr>
          <w:p>
            <w:pPr>
              <w:spacing w:after="0"/>
              <w:rPr>
                <w:sz w:val="21"/>
                <w:szCs w:val="21"/>
                <w:color w:val="auto"/>
              </w:rPr>
            </w:pPr>
          </w:p>
        </w:tc>
        <w:tc>
          <w:tcPr>
            <w:tcW w:w="6280" w:type="dxa"/>
            <w:vAlign w:val="bottom"/>
          </w:tcPr>
          <w:p>
            <w:pPr>
              <w:jc w:val="center"/>
              <w:ind w:right="1843"/>
              <w:spacing w:after="0"/>
              <w:rPr>
                <w:sz w:val="20"/>
                <w:szCs w:val="20"/>
                <w:color w:val="auto"/>
              </w:rPr>
            </w:pPr>
            <w:r>
              <w:rPr>
                <w:rFonts w:ascii="Times New Roman" w:cs="Times New Roman" w:eastAsia="Times New Roman" w:hAnsi="Times New Roman"/>
                <w:sz w:val="18"/>
                <w:szCs w:val="18"/>
                <w:color w:val="auto"/>
                <w:w w:val="98"/>
              </w:rPr>
              <w:t>(Address of principal executive offices and zip code)</w:t>
            </w:r>
          </w:p>
        </w:tc>
      </w:tr>
      <w:tr>
        <w:trPr>
          <w:trHeight w:val="340"/>
        </w:trPr>
        <w:tc>
          <w:tcPr>
            <w:tcW w:w="2320" w:type="dxa"/>
            <w:vAlign w:val="bottom"/>
          </w:tcPr>
          <w:p>
            <w:pPr>
              <w:spacing w:after="0"/>
              <w:rPr>
                <w:sz w:val="24"/>
                <w:szCs w:val="24"/>
                <w:color w:val="auto"/>
              </w:rPr>
            </w:pPr>
          </w:p>
        </w:tc>
        <w:tc>
          <w:tcPr>
            <w:tcW w:w="6280" w:type="dxa"/>
            <w:vAlign w:val="bottom"/>
          </w:tcPr>
          <w:p>
            <w:pPr>
              <w:jc w:val="center"/>
              <w:ind w:right="1843"/>
              <w:spacing w:after="0"/>
              <w:rPr>
                <w:sz w:val="20"/>
                <w:szCs w:val="20"/>
                <w:color w:val="auto"/>
              </w:rPr>
            </w:pPr>
            <w:r>
              <w:rPr>
                <w:rFonts w:ascii="Times New Roman" w:cs="Times New Roman" w:eastAsia="Times New Roman" w:hAnsi="Times New Roman"/>
                <w:sz w:val="18"/>
                <w:szCs w:val="18"/>
                <w:b w:val="1"/>
                <w:bCs w:val="1"/>
                <w:color w:val="auto"/>
                <w:w w:val="99"/>
              </w:rPr>
              <w:t>(949) 861-8888</w:t>
            </w:r>
          </w:p>
        </w:tc>
      </w:tr>
      <w:tr>
        <w:trPr>
          <w:trHeight w:val="218"/>
        </w:trPr>
        <w:tc>
          <w:tcPr>
            <w:tcW w:w="2320" w:type="dxa"/>
            <w:vAlign w:val="bottom"/>
          </w:tcPr>
          <w:p>
            <w:pPr>
              <w:spacing w:after="0"/>
              <w:rPr>
                <w:sz w:val="18"/>
                <w:szCs w:val="18"/>
                <w:color w:val="auto"/>
              </w:rPr>
            </w:pPr>
          </w:p>
        </w:tc>
        <w:tc>
          <w:tcPr>
            <w:tcW w:w="6280" w:type="dxa"/>
            <w:vAlign w:val="bottom"/>
          </w:tcPr>
          <w:p>
            <w:pPr>
              <w:jc w:val="center"/>
              <w:ind w:right="1843"/>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r>
        <w:trPr>
          <w:trHeight w:val="69"/>
        </w:trPr>
        <w:tc>
          <w:tcPr>
            <w:tcW w:w="2320" w:type="dxa"/>
            <w:vAlign w:val="bottom"/>
          </w:tcPr>
          <w:p>
            <w:pPr>
              <w:spacing w:after="0"/>
              <w:rPr>
                <w:sz w:val="6"/>
                <w:szCs w:val="6"/>
                <w:color w:val="auto"/>
              </w:rPr>
            </w:pPr>
          </w:p>
        </w:tc>
        <w:tc>
          <w:tcPr>
            <w:tcW w:w="6280" w:type="dxa"/>
            <w:vAlign w:val="bottom"/>
          </w:tcPr>
          <w:p>
            <w:pPr>
              <w:jc w:val="center"/>
              <w:ind w:right="1843"/>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2807335</wp:posOffset>
            </wp:positionH>
            <wp:positionV relativeFrom="paragraph">
              <wp:posOffset>-2044065</wp:posOffset>
            </wp:positionV>
            <wp:extent cx="1831975" cy="320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1975" cy="320675"/>
                    </a:xfrm>
                    <a:prstGeom prst="rect">
                      <a:avLst/>
                    </a:prstGeom>
                    <a:noFill/>
                  </pic:spPr>
                </pic:pic>
              </a:graphicData>
            </a:graphic>
          </wp:anchor>
        </w:drawing>
      </w:r>
    </w:p>
    <w:p>
      <w:pPr>
        <w:spacing w:after="0" w:line="8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6" w:lineRule="exact"/>
        <w:rPr>
          <w:sz w:val="24"/>
          <w:szCs w:val="24"/>
          <w:color w:val="auto"/>
        </w:rPr>
      </w:pPr>
    </w:p>
    <w:tbl>
      <w:tblPr>
        <w:tblLayout w:type="fixed"/>
        <w:tblInd w:w="720" w:type="dxa"/>
        <w:tblCellMar>
          <w:top w:w="0" w:type="dxa"/>
          <w:left w:w="0" w:type="dxa"/>
          <w:bottom w:w="0" w:type="dxa"/>
          <w:right w:w="0" w:type="dxa"/>
        </w:tblCellMar>
      </w:tblPr>
      <w:tr>
        <w:trPr>
          <w:trHeight w:val="213"/>
        </w:trPr>
        <w:tc>
          <w:tcPr>
            <w:tcW w:w="3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55"/>
        </w:trPr>
        <w:tc>
          <w:tcPr>
            <w:tcW w:w="33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Class A common stock, par value $0.001 per share</w:t>
            </w:r>
          </w:p>
        </w:tc>
        <w:tc>
          <w:tcPr>
            <w:tcW w:w="80" w:type="dxa"/>
            <w:vAlign w:val="bottom"/>
          </w:tcPr>
          <w:p>
            <w:pPr>
              <w:spacing w:after="0"/>
              <w:rPr>
                <w:sz w:val="13"/>
                <w:szCs w:val="13"/>
                <w:color w:val="auto"/>
              </w:rPr>
            </w:pPr>
          </w:p>
        </w:tc>
        <w:tc>
          <w:tcPr>
            <w:tcW w:w="34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5"/>
              </w:rPr>
              <w:t>DSP</w:t>
            </w:r>
          </w:p>
        </w:tc>
        <w:tc>
          <w:tcPr>
            <w:tcW w:w="100" w:type="dxa"/>
            <w:vAlign w:val="bottom"/>
          </w:tcPr>
          <w:p>
            <w:pPr>
              <w:spacing w:after="0"/>
              <w:rPr>
                <w:sz w:val="13"/>
                <w:szCs w:val="13"/>
                <w:color w:val="auto"/>
              </w:rPr>
            </w:pPr>
          </w:p>
        </w:tc>
        <w:tc>
          <w:tcPr>
            <w:tcW w:w="33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08"/>
        </w:trPr>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 Global Select Market)</w:t>
            </w:r>
          </w:p>
        </w:tc>
      </w:tr>
    </w:tbl>
    <w:p>
      <w:pPr>
        <w:spacing w:after="0" w:line="137" w:lineRule="exact"/>
        <w:rPr>
          <w:sz w:val="24"/>
          <w:szCs w:val="24"/>
          <w:color w:val="auto"/>
        </w:rPr>
      </w:pPr>
    </w:p>
    <w:p>
      <w:pPr>
        <w:ind w:right="160" w:firstLine="479"/>
        <w:spacing w:after="0" w:line="26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 w:lineRule="exact"/>
        <w:rPr>
          <w:sz w:val="24"/>
          <w:szCs w:val="24"/>
          <w:color w:val="auto"/>
        </w:rPr>
      </w:pPr>
    </w:p>
    <w:p>
      <w:pPr>
        <w:ind w:right="80" w:firstLine="479"/>
        <w:spacing w:after="0" w:line="27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9" w:lineRule="exact"/>
        <w:rPr>
          <w:sz w:val="24"/>
          <w:szCs w:val="24"/>
          <w:color w:val="auto"/>
        </w:rPr>
      </w:pPr>
    </w:p>
    <w:p>
      <w:pPr>
        <w:jc w:val="both"/>
        <w:ind w:right="420" w:firstLine="479"/>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740" w:type="dxa"/>
        <w:tblCellMar>
          <w:top w:w="0" w:type="dxa"/>
          <w:left w:w="0" w:type="dxa"/>
          <w:bottom w:w="0" w:type="dxa"/>
          <w:right w:w="0" w:type="dxa"/>
        </w:tblCellMar>
      </w:tblPr>
      <w:tr>
        <w:trPr>
          <w:trHeight w:val="208"/>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80" w:type="dxa"/>
            <w:vAlign w:val="bottom"/>
          </w:tcPr>
          <w:p>
            <w:pPr>
              <w:ind w:left="1500"/>
              <w:spacing w:after="0"/>
              <w:rPr>
                <w:sz w:val="20"/>
                <w:szCs w:val="20"/>
                <w:color w:val="auto"/>
              </w:rPr>
            </w:pPr>
            <w:r>
              <w:rPr>
                <w:rFonts w:ascii="Wingdings" w:cs="Wingdings" w:eastAsia="Wingdings" w:hAnsi="Wingdings"/>
                <w:sz w:val="16"/>
                <w:szCs w:val="16"/>
                <w:b w:val="1"/>
                <w:bCs w:val="1"/>
                <w:color w:val="auto"/>
              </w:rPr>
              <w:t>o</w:t>
            </w:r>
          </w:p>
        </w:tc>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1660" w:type="dxa"/>
            <w:vAlign w:val="bottom"/>
          </w:tcPr>
          <w:p>
            <w:pPr>
              <w:ind w:left="1500"/>
              <w:spacing w:after="0"/>
              <w:rPr>
                <w:sz w:val="20"/>
                <w:szCs w:val="20"/>
                <w:color w:val="auto"/>
              </w:rPr>
            </w:pPr>
            <w:r>
              <w:rPr>
                <w:rFonts w:ascii="Wingdings" w:cs="Wingdings" w:eastAsia="Wingdings" w:hAnsi="Wingdings"/>
                <w:sz w:val="16"/>
                <w:szCs w:val="16"/>
                <w:b w:val="1"/>
                <w:bCs w:val="1"/>
                <w:color w:val="auto"/>
                <w:w w:val="82"/>
              </w:rPr>
              <w:t>x</w:t>
            </w: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80" w:type="dxa"/>
            <w:vAlign w:val="bottom"/>
          </w:tcPr>
          <w:p>
            <w:pPr>
              <w:ind w:left="1500"/>
              <w:spacing w:after="0"/>
              <w:rPr>
                <w:sz w:val="20"/>
                <w:szCs w:val="20"/>
                <w:color w:val="auto"/>
              </w:rPr>
            </w:pPr>
            <w:r>
              <w:rPr>
                <w:rFonts w:ascii="Wingdings" w:cs="Wingdings" w:eastAsia="Wingdings" w:hAnsi="Wingdings"/>
                <w:sz w:val="16"/>
                <w:szCs w:val="16"/>
                <w:b w:val="1"/>
                <w:bCs w:val="1"/>
                <w:color w:val="auto"/>
              </w:rPr>
              <w:t>o</w:t>
            </w:r>
          </w:p>
        </w:tc>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60" w:type="dxa"/>
            <w:vAlign w:val="bottom"/>
          </w:tcPr>
          <w:p>
            <w:pPr>
              <w:ind w:left="1500"/>
              <w:spacing w:after="0"/>
              <w:rPr>
                <w:sz w:val="20"/>
                <w:szCs w:val="20"/>
                <w:color w:val="auto"/>
              </w:rPr>
            </w:pPr>
            <w:r>
              <w:rPr>
                <w:rFonts w:ascii="Wingdings" w:cs="Wingdings" w:eastAsia="Wingdings" w:hAnsi="Wingdings"/>
                <w:sz w:val="16"/>
                <w:szCs w:val="16"/>
                <w:b w:val="1"/>
                <w:bCs w:val="1"/>
                <w:color w:val="auto"/>
                <w:w w:val="82"/>
              </w:rPr>
              <w:t>x</w:t>
            </w: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780" w:type="dxa"/>
            <w:vAlign w:val="bottom"/>
          </w:tcPr>
          <w:p>
            <w:pPr>
              <w:ind w:left="1480"/>
              <w:spacing w:after="0"/>
              <w:rPr>
                <w:sz w:val="20"/>
                <w:szCs w:val="20"/>
                <w:color w:val="auto"/>
              </w:rPr>
            </w:pPr>
            <w:r>
              <w:rPr>
                <w:rFonts w:ascii="Wingdings" w:cs="Wingdings" w:eastAsia="Wingdings" w:hAnsi="Wingdings"/>
                <w:sz w:val="16"/>
                <w:szCs w:val="16"/>
                <w:b w:val="1"/>
                <w:bCs w:val="1"/>
                <w:color w:val="auto"/>
              </w:rPr>
              <w:t>x</w:t>
            </w:r>
          </w:p>
        </w:tc>
        <w:tc>
          <w:tcPr>
            <w:tcW w:w="336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spacing w:after="0" w:line="138" w:lineRule="exact"/>
        <w:rPr>
          <w:sz w:val="24"/>
          <w:szCs w:val="24"/>
          <w:color w:val="auto"/>
        </w:rPr>
      </w:pPr>
    </w:p>
    <w:p>
      <w:pPr>
        <w:ind w:right="240" w:firstLine="479"/>
        <w:spacing w:after="0" w:line="274"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6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55" w:lineRule="exact"/>
        <w:rPr>
          <w:sz w:val="24"/>
          <w:szCs w:val="24"/>
          <w:color w:val="auto"/>
        </w:rPr>
      </w:pPr>
    </w:p>
    <w:p>
      <w:pPr>
        <w:ind w:firstLine="479"/>
        <w:spacing w:after="0" w:line="291" w:lineRule="auto"/>
        <w:rPr>
          <w:sz w:val="20"/>
          <w:szCs w:val="20"/>
          <w:color w:val="auto"/>
        </w:rPr>
      </w:pPr>
      <w:r>
        <w:rPr>
          <w:rFonts w:ascii="Times New Roman" w:cs="Times New Roman" w:eastAsia="Times New Roman" w:hAnsi="Times New Roman"/>
          <w:sz w:val="16"/>
          <w:szCs w:val="16"/>
          <w:color w:val="auto"/>
        </w:rPr>
        <w:t>As of May 2, 2025, there were 15,846,372 shares and 46,720,212 shares of the registrant’s Class A and Class B common stock, respectively,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387985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71755</wp:posOffset>
            </wp:positionV>
            <wp:extent cx="65347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478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97155</wp:posOffset>
            </wp:positionV>
            <wp:extent cx="653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4785" cy="8255"/>
                    </a:xfrm>
                    <a:prstGeom prst="rect">
                      <a:avLst/>
                    </a:prstGeom>
                    <a:noFill/>
                  </pic:spPr>
                </pic:pic>
              </a:graphicData>
            </a:graphic>
          </wp:anchor>
        </w:drawing>
      </w:r>
    </w:p>
    <w:p>
      <w:pPr>
        <w:sectPr>
          <w:pgSz w:w="11900" w:h="16838" w:orient="portrait"/>
          <w:cols w:equalWidth="0" w:num="1">
            <w:col w:w="11220"/>
          </w:cols>
          <w:pgMar w:left="320" w:top="906" w:right="359" w:bottom="1440" w:gutter="0" w:footer="0" w:header="0"/>
        </w:sectPr>
      </w:pPr>
    </w:p>
    <w:bookmarkStart w:id="1" w:name="page2"/>
    <w:bookmarkEnd w:id="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
        </w:trPr>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432"/>
        </w:trPr>
        <w:tc>
          <w:tcPr>
            <w:tcW w:w="740" w:type="dxa"/>
            <w:vAlign w:val="bottom"/>
          </w:tcPr>
          <w:p>
            <w:pPr>
              <w:spacing w:after="0"/>
              <w:rPr>
                <w:sz w:val="24"/>
                <w:szCs w:val="24"/>
                <w:color w:val="auto"/>
              </w:rPr>
            </w:pPr>
          </w:p>
        </w:tc>
        <w:tc>
          <w:tcPr>
            <w:tcW w:w="3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7"/>
              </w:rPr>
              <w:t>Special Note Regarding Forward-Looking Statements</w:t>
            </w:r>
          </w:p>
        </w:tc>
        <w:tc>
          <w:tcPr>
            <w:tcW w:w="594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4"/>
                <w:szCs w:val="24"/>
                <w:color w:val="auto"/>
              </w:rPr>
            </w:pPr>
          </w:p>
        </w:tc>
      </w:tr>
      <w:tr>
        <w:trPr>
          <w:trHeight w:val="352"/>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6"/>
              </w:rPr>
              <w:t>FINANCIAL INFORMATION</w:t>
            </w:r>
          </w:p>
        </w:tc>
        <w:tc>
          <w:tcPr>
            <w:tcW w:w="6500" w:type="dxa"/>
            <w:vAlign w:val="bottom"/>
            <w:gridSpan w:val="11"/>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6"/>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6"/>
              </w:rPr>
              <w:t>Financial Statements</w:t>
            </w:r>
          </w:p>
        </w:tc>
        <w:tc>
          <w:tcPr>
            <w:tcW w:w="7240" w:type="dxa"/>
            <w:vAlign w:val="bottom"/>
            <w:gridSpan w:val="15"/>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7"/>
                <w:szCs w:val="17"/>
                <w:color w:val="auto"/>
              </w:rPr>
            </w:pPr>
          </w:p>
        </w:tc>
      </w:tr>
      <w:tr>
        <w:trPr>
          <w:trHeight w:val="219"/>
        </w:trPr>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0000FF"/>
              </w:rPr>
              <w:t>Condensed Consolidated Statements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3"/>
        </w:trPr>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0000FF"/>
              </w:rPr>
              <w:t>Condensed Consolidated Balance Sheets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color w:val="0000FF"/>
              </w:rPr>
              <w:t>Condensed Consolidated Statements of Stockholders' Equity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color w:val="0000FF"/>
              </w:rPr>
              <w:t>Condensed Consolidated Statements of Cash Flows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color w:val="0000FF"/>
              </w:rPr>
              <w:t>Notes to the Condensed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3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7"/>
                <w:szCs w:val="17"/>
                <w:color w:val="auto"/>
              </w:rPr>
            </w:pPr>
          </w:p>
        </w:tc>
      </w:tr>
      <w:tr>
        <w:trPr>
          <w:trHeight w:val="206"/>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4420" w:type="dxa"/>
            <w:vAlign w:val="bottom"/>
            <w:gridSpan w:val="4"/>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7"/>
                <w:szCs w:val="17"/>
                <w:color w:val="auto"/>
              </w:rPr>
            </w:pPr>
          </w:p>
        </w:tc>
      </w:tr>
      <w:tr>
        <w:trPr>
          <w:trHeight w:val="206"/>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6960" w:type="dxa"/>
            <w:vAlign w:val="bottom"/>
            <w:gridSpan w:val="13"/>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7"/>
                <w:szCs w:val="17"/>
                <w:color w:val="auto"/>
              </w:rPr>
            </w:pPr>
          </w:p>
        </w:tc>
      </w:tr>
      <w:tr>
        <w:trPr>
          <w:trHeight w:val="352"/>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4"/>
                <w:szCs w:val="24"/>
                <w:color w:val="auto"/>
              </w:rPr>
            </w:pPr>
          </w:p>
        </w:tc>
      </w:tr>
      <w:tr>
        <w:trPr>
          <w:trHeight w:val="206"/>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8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880" w:type="dxa"/>
            <w:vAlign w:val="bottom"/>
            <w:gridSpan w:val="12"/>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7"/>
                <w:szCs w:val="17"/>
                <w:color w:val="auto"/>
              </w:rPr>
            </w:pPr>
          </w:p>
        </w:tc>
      </w:tr>
      <w:tr>
        <w:trPr>
          <w:trHeight w:val="206"/>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420" w:type="dxa"/>
            <w:vAlign w:val="bottom"/>
            <w:gridSpan w:val="16"/>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6"/>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2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440" w:type="dxa"/>
            <w:vAlign w:val="bottom"/>
            <w:gridSpan w:val="5"/>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7"/>
                <w:szCs w:val="17"/>
                <w:color w:val="auto"/>
              </w:rPr>
            </w:pPr>
          </w:p>
        </w:tc>
      </w:tr>
      <w:tr>
        <w:trPr>
          <w:trHeight w:val="206"/>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7"/>
                <w:szCs w:val="17"/>
                <w:color w:val="auto"/>
              </w:rPr>
            </w:pPr>
          </w:p>
        </w:tc>
      </w:tr>
      <w:tr>
        <w:trPr>
          <w:trHeight w:val="206"/>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Mine Safety Disclosures</w:t>
            </w:r>
          </w:p>
        </w:tc>
        <w:tc>
          <w:tcPr>
            <w:tcW w:w="540" w:type="dxa"/>
            <w:vAlign w:val="bottom"/>
            <w:tcBorders>
              <w:top w:val="single" w:sz="8" w:color="0000FF"/>
            </w:tcBorders>
            <w:gridSpan w:val="4"/>
          </w:tcPr>
          <w:p>
            <w:pPr>
              <w:spacing w:after="0"/>
              <w:rPr>
                <w:sz w:val="17"/>
                <w:szCs w:val="17"/>
                <w:color w:val="auto"/>
              </w:rPr>
            </w:pPr>
          </w:p>
        </w:tc>
        <w:tc>
          <w:tcPr>
            <w:tcW w:w="6440" w:type="dxa"/>
            <w:vAlign w:val="bottom"/>
            <w:gridSpan w:val="10"/>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7"/>
                <w:szCs w:val="17"/>
                <w:color w:val="auto"/>
              </w:rPr>
            </w:pPr>
          </w:p>
        </w:tc>
      </w:tr>
      <w:tr>
        <w:trPr>
          <w:trHeight w:val="206"/>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7"/>
                <w:szCs w:val="17"/>
                <w:color w:val="auto"/>
              </w:rPr>
            </w:pPr>
          </w:p>
        </w:tc>
      </w:tr>
      <w:tr>
        <w:trPr>
          <w:trHeight w:val="206"/>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40" w:type="dxa"/>
            <w:vAlign w:val="bottom"/>
            <w:gridSpan w:val="17"/>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7"/>
                <w:szCs w:val="17"/>
                <w:color w:val="auto"/>
              </w:rPr>
            </w:pPr>
          </w:p>
        </w:tc>
      </w:tr>
      <w:tr>
        <w:trPr>
          <w:trHeight w:val="352"/>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24"/>
                <w:szCs w:val="24"/>
                <w:color w:val="auto"/>
              </w:rPr>
            </w:pPr>
          </w:p>
        </w:tc>
      </w:tr>
      <w:tr>
        <w:trPr>
          <w:trHeight w:val="912"/>
        </w:trPr>
        <w:tc>
          <w:tcPr>
            <w:tcW w:w="74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gridSpan w:val="17"/>
          </w:tcPr>
          <w:p>
            <w:pPr>
              <w:ind w:left="40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2"/>
        </w:trPr>
        <w:tc>
          <w:tcPr>
            <w:tcW w:w="7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2" w:right="339" w:bottom="1440" w:gutter="0" w:footer="0" w:header="0"/>
        </w:sectPr>
      </w:pPr>
    </w:p>
    <w:bookmarkStart w:id="2" w:name="page3"/>
    <w:bookmarkEnd w:id="2"/>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Special Note Regarding Forward-Looking Statements</w:t>
      </w:r>
    </w:p>
    <w:p>
      <w:pPr>
        <w:spacing w:after="0" w:line="112" w:lineRule="exact"/>
        <w:rPr>
          <w:sz w:val="20"/>
          <w:szCs w:val="20"/>
          <w:color w:val="auto"/>
        </w:rPr>
      </w:pPr>
    </w:p>
    <w:p>
      <w:pPr>
        <w:ind w:right="20"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This Quarterly Report on Form 10-Q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Quarterly Report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 xml:space="preserve">) contains forward-looking statements within the meaning of Section 27A of the Securities Act of 1933, as amended (the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 and Section 21E of the Securities Exchange Act of 1934, as amended (the “Exchange Act”), which statements involve substantial risks and uncertainties.</w:t>
      </w:r>
    </w:p>
    <w:p>
      <w:pPr>
        <w:spacing w:after="0" w:line="67" w:lineRule="exact"/>
        <w:rPr>
          <w:sz w:val="20"/>
          <w:szCs w:val="20"/>
          <w:color w:val="auto"/>
        </w:rPr>
      </w:pPr>
    </w:p>
    <w:p>
      <w:pPr>
        <w:ind w:right="20" w:firstLine="479"/>
        <w:spacing w:after="0" w:line="249"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words such as “may,” “will,” “should,” “could,” “intend,” “consider,” “expect,” “plan,” “anticipate,” “believe,” “estimate,” “predict” or “continue” or the negative or plural of these words or other similar terms or expressions. All statements other than statements of historical fact are forward-looking statements, which speak only as of the date they are made and are not guarantees of future performance. Forward-looking statements contained in this Quarterly Report include, but are not limited to, statements about: our future financial performance, including our revenue, cost of revenue, gross profit, contribution excluding traffic acquisition costs (“contribution ex-TAC”), adjusted EBITDA, and operating expenses; trends in our key business measures; the sufficiency of our cash and cash equivalents and cash provided by sales of our products and services to meet our liquidity needs; market trends; our market position and opportunity; our growth strategy and product strategy, including our expectations relating to ViantAI; our efforts to enhance the security and privacy of our platform; the impact of information and data privacy trends and regulations on our business and competitors; the potential impacts of macroeconomic and geopolitical events on our business and the business of our customers, suppliers and channel partners, and the economy; payments under our Tax Receivable Agreement; repurchases of stock related to the stock repurchase program; our ability to attract new customers and retain existing customers; our ability to successfully expand into our existing markets and into new markets; our ability to effectively manage our growth and future expenses; our environmental and sustainability initiatives; and the impact of recent accounting pronouncements on our unaudited condensed consolidated financial statements.</w:t>
      </w:r>
    </w:p>
    <w:p>
      <w:pPr>
        <w:spacing w:after="0" w:line="80" w:lineRule="exact"/>
        <w:rPr>
          <w:sz w:val="20"/>
          <w:szCs w:val="20"/>
          <w:color w:val="auto"/>
        </w:rPr>
      </w:pPr>
    </w:p>
    <w:p>
      <w:pPr>
        <w:ind w:firstLine="479"/>
        <w:spacing w:after="0" w:line="249" w:lineRule="auto"/>
        <w:rPr>
          <w:sz w:val="20"/>
          <w:szCs w:val="20"/>
          <w:color w:val="auto"/>
        </w:rPr>
      </w:pPr>
      <w:r>
        <w:rPr>
          <w:rFonts w:ascii="Times New Roman" w:cs="Times New Roman" w:eastAsia="Times New Roman" w:hAnsi="Times New Roman"/>
          <w:sz w:val="18"/>
          <w:szCs w:val="18"/>
          <w:i w:val="1"/>
          <w:iCs w:val="1"/>
          <w:color w:val="auto"/>
        </w:rPr>
        <w:t>The forward-looking statements contained in this Quarterly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“Risk Factors” in this Quarterly Report.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in this Quarterly Report speaks only as of the date on which we make it. We undertake no obligation to publicly update any forward-looking statement, whether as a result of new information, future developments or otherwise, except as may be required by applicable securities laws.</w:t>
      </w:r>
    </w:p>
    <w:p>
      <w:pPr>
        <w:spacing w:after="0" w:line="84" w:lineRule="exact"/>
        <w:rPr>
          <w:sz w:val="20"/>
          <w:szCs w:val="20"/>
          <w:color w:val="auto"/>
        </w:rPr>
      </w:pPr>
    </w:p>
    <w:p>
      <w:pPr>
        <w:ind w:right="140" w:firstLine="479"/>
        <w:spacing w:after="0" w:line="270" w:lineRule="auto"/>
        <w:rPr>
          <w:sz w:val="20"/>
          <w:szCs w:val="20"/>
          <w:color w:val="auto"/>
        </w:rPr>
      </w:pPr>
      <w:r>
        <w:rPr>
          <w:rFonts w:ascii="Times New Roman" w:cs="Times New Roman" w:eastAsia="Times New Roman" w:hAnsi="Times New Roman"/>
          <w:sz w:val="17"/>
          <w:szCs w:val="17"/>
          <w:i w:val="1"/>
          <w:iCs w:val="1"/>
          <w:color w:val="auto"/>
        </w:rPr>
        <w:t>We may use the "Investor Relations" section of our website, our LinkedIn account, the LinkedIn account of our Chief Executive Officer, Tim Vanderhook, the LinkedIn account of our Chief Operating Officer, Chris Vanderhook, our X (formerly known as Twitter) account (@viant_tech), and Chris Vanderhook's X account (@cvanderhook) as a distribution channel for material information about the Company. Financial and other important information regarding the Company is routinely posted on and accessible through the "Investor Relations" section of our website at investors.viantinc.com and the foregoing LinkedIn and X pages. In addition, you may automatically receive email alerts and other information about the Company when you enroll your email address by visiting the "Email Alerts" option under the IR Resources menu of the Investor Relations section of our website at investors.viantinc.com.</w:t>
      </w:r>
    </w:p>
    <w:p>
      <w:pPr>
        <w:spacing w:after="0" w:line="63" w:lineRule="exact"/>
        <w:rPr>
          <w:sz w:val="20"/>
          <w:szCs w:val="20"/>
          <w:color w:val="auto"/>
        </w:rPr>
      </w:pPr>
    </w:p>
    <w:p>
      <w:pPr>
        <w:ind w:right="100" w:firstLine="479"/>
        <w:spacing w:after="0" w:line="276" w:lineRule="auto"/>
        <w:rPr>
          <w:sz w:val="20"/>
          <w:szCs w:val="20"/>
          <w:color w:val="auto"/>
        </w:rPr>
      </w:pPr>
      <w:r>
        <w:rPr>
          <w:rFonts w:ascii="Times New Roman" w:cs="Times New Roman" w:eastAsia="Times New Roman" w:hAnsi="Times New Roman"/>
          <w:sz w:val="17"/>
          <w:szCs w:val="17"/>
          <w:i w:val="1"/>
          <w:iCs w:val="1"/>
          <w:color w:val="auto"/>
        </w:rPr>
        <w:t>Additionally, certain information we may disclose (either here or in other locations, such as our website) is informed by the expectations of various stakeholders and/or third-party frameworks and, as such, may not necessarily be material for purposes of our filings under U.S. federal securities laws, even if we use “material” or similar language in discussing such matters. Particularly in the environmental, social and governance ("ESG") context, for example, there are various approaches to materiality that differ from, and in many cases are more expansive than, the definition under U.S. federal securities laws.</w:t>
      </w:r>
    </w:p>
    <w:p>
      <w:pPr>
        <w:spacing w:after="0" w:line="37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25"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240" w:type="dxa"/>
        <w:tblCellMar>
          <w:top w:w="0" w:type="dxa"/>
          <w:left w:w="0" w:type="dxa"/>
          <w:bottom w:w="0" w:type="dxa"/>
          <w:right w:w="0" w:type="dxa"/>
        </w:tblCellMar>
      </w:tblPr>
      <w:tr>
        <w:trPr>
          <w:trHeight w:val="232"/>
        </w:trPr>
        <w:tc>
          <w:tcPr>
            <w:tcW w:w="74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0" w:type="dxa"/>
            <w:vAlign w:val="bottom"/>
          </w:tcPr>
          <w:p>
            <w:pPr>
              <w:spacing w:after="0"/>
              <w:rPr>
                <w:sz w:val="1"/>
                <w:szCs w:val="1"/>
                <w:color w:val="auto"/>
              </w:rPr>
            </w:pP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Platform operations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29,880</w:t>
            </w:r>
          </w:p>
        </w:tc>
        <w:tc>
          <w:tcPr>
            <w:tcW w:w="0" w:type="dxa"/>
            <w:vAlign w:val="bottom"/>
          </w:tcPr>
          <w:p>
            <w:pPr>
              <w:spacing w:after="0"/>
              <w:rPr>
                <w:sz w:val="1"/>
                <w:szCs w:val="1"/>
                <w:color w:val="auto"/>
              </w:rPr>
            </w:pPr>
          </w:p>
        </w:tc>
      </w:tr>
      <w:tr>
        <w:trPr>
          <w:trHeight w:val="226"/>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0" w:type="dxa"/>
            <w:vAlign w:val="bottom"/>
          </w:tcPr>
          <w:p>
            <w:pPr>
              <w:spacing w:after="0"/>
              <w:rPr>
                <w:sz w:val="1"/>
                <w:szCs w:val="1"/>
                <w:color w:val="auto"/>
              </w:rPr>
            </w:pPr>
          </w:p>
        </w:tc>
      </w:tr>
      <w:tr>
        <w:trPr>
          <w:trHeight w:val="226"/>
        </w:trPr>
        <w:tc>
          <w:tcPr>
            <w:tcW w:w="7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59,085</w:t>
            </w:r>
          </w:p>
        </w:tc>
        <w:tc>
          <w:tcPr>
            <w:tcW w:w="0" w:type="dxa"/>
            <w:vAlign w:val="bottom"/>
          </w:tcPr>
          <w:p>
            <w:pPr>
              <w:spacing w:after="0"/>
              <w:rPr>
                <w:sz w:val="1"/>
                <w:szCs w:val="1"/>
                <w:color w:val="auto"/>
              </w:rPr>
            </w:pPr>
          </w:p>
        </w:tc>
      </w:tr>
      <w:tr>
        <w:trPr>
          <w:trHeight w:val="21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9"/>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2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2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4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7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60" w:type="dxa"/>
            <w:vAlign w:val="bottom"/>
          </w:tcPr>
          <w:p>
            <w:pPr>
              <w:ind w:left="240"/>
              <w:spacing w:after="0" w:line="199"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3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1"/>
              <w:spacing w:after="0" w:line="19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4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540"/>
          </w:cols>
          <w:pgMar w:left="800" w:top="1342" w:right="5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60" w:type="dxa"/>
            <w:vAlign w:val="bottom"/>
          </w:tcPr>
          <w:p>
            <w:pPr>
              <w:spacing w:after="0"/>
              <w:rPr>
                <w:sz w:val="17"/>
                <w:szCs w:val="17"/>
                <w:color w:val="auto"/>
              </w:rPr>
            </w:pPr>
          </w:p>
        </w:tc>
        <w:tc>
          <w:tcPr>
            <w:tcW w:w="130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37"/>
        </w:trPr>
        <w:tc>
          <w:tcPr>
            <w:tcW w:w="7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20"/>
                <w:szCs w:val="20"/>
                <w:color w:val="auto"/>
              </w:rPr>
            </w:pPr>
          </w:p>
        </w:tc>
        <w:tc>
          <w:tcPr>
            <w:tcW w:w="130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22"/>
        </w:trPr>
        <w:tc>
          <w:tcPr>
            <w:tcW w:w="72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0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6"/>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205,048</w:t>
            </w:r>
          </w:p>
        </w:tc>
      </w:tr>
      <w:tr>
        <w:trPr>
          <w:trHeight w:val="226"/>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146,951</w:t>
            </w:r>
          </w:p>
        </w:tc>
      </w:tr>
      <w:tr>
        <w:trPr>
          <w:trHeight w:val="226"/>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r>
      <w:tr>
        <w:trPr>
          <w:trHeight w:val="219"/>
        </w:trPr>
        <w:tc>
          <w:tcPr>
            <w:tcW w:w="7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362,489</w:t>
            </w:r>
          </w:p>
        </w:tc>
      </w:tr>
      <w:tr>
        <w:trPr>
          <w:trHeight w:val="22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31,482</w:t>
            </w:r>
          </w:p>
        </w:tc>
      </w:tr>
      <w:tr>
        <w:trPr>
          <w:trHeight w:val="22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23,663</w:t>
            </w:r>
          </w:p>
        </w:tc>
      </w:tr>
      <w:tr>
        <w:trPr>
          <w:trHeight w:val="22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r>
      <w:tr>
        <w:trPr>
          <w:trHeight w:val="22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19,190</w:t>
            </w:r>
          </w:p>
        </w:tc>
      </w:tr>
      <w:tr>
        <w:trPr>
          <w:trHeight w:val="22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19"/>
        </w:trPr>
        <w:tc>
          <w:tcPr>
            <w:tcW w:w="7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440,804</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3"/>
        </w:trPr>
        <w:tc>
          <w:tcPr>
            <w:tcW w:w="726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2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6"/>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71,320</w:t>
            </w:r>
          </w:p>
        </w:tc>
      </w:tr>
      <w:tr>
        <w:trPr>
          <w:trHeight w:val="226"/>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47,352</w:t>
            </w:r>
          </w:p>
        </w:tc>
      </w:tr>
      <w:tr>
        <w:trPr>
          <w:trHeight w:val="226"/>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w:t>
            </w:r>
          </w:p>
        </w:tc>
      </w:tr>
      <w:tr>
        <w:trPr>
          <w:trHeight w:val="226"/>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6"/>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r>
      <w:tr>
        <w:trPr>
          <w:trHeight w:val="226"/>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w:t>
            </w:r>
          </w:p>
        </w:tc>
      </w:tr>
      <w:tr>
        <w:trPr>
          <w:trHeight w:val="219"/>
        </w:trPr>
        <w:tc>
          <w:tcPr>
            <w:tcW w:w="7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145,451</w:t>
            </w:r>
          </w:p>
        </w:tc>
      </w:tr>
      <w:tr>
        <w:trPr>
          <w:trHeight w:val="22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21,278</w:t>
            </w:r>
          </w:p>
        </w:tc>
      </w:tr>
      <w:tr>
        <w:trPr>
          <w:trHeight w:val="219"/>
        </w:trPr>
        <w:tc>
          <w:tcPr>
            <w:tcW w:w="7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166,729</w:t>
            </w:r>
          </w:p>
        </w:tc>
      </w:tr>
      <w:tr>
        <w:trPr>
          <w:trHeight w:val="20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6"/>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Authorized shares — 10,000,000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6"/>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Issued and outstanding — none</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$0.001 par value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6"/>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Authorized shares — 450,000,000</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6"/>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 18,210,074 and 17,933,825</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6"/>
        </w:trPr>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 16,415,283 and 16,368,452</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$0.001 par value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6"/>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Authorized shares — 150,000,000</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6"/>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and outstanding — 46,720,212 and 46,753,841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125,386</w:t>
            </w:r>
          </w:p>
        </w:tc>
      </w:tr>
      <w:tr>
        <w:trPr>
          <w:trHeight w:val="22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(50,566)</w:t>
            </w:r>
          </w:p>
        </w:tc>
      </w:tr>
      <w:tr>
        <w:trPr>
          <w:trHeight w:val="226"/>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 1,794,791 and 1,565,373 shares held</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(21,046)</w:t>
            </w:r>
          </w:p>
        </w:tc>
      </w:tr>
      <w:tr>
        <w:trPr>
          <w:trHeight w:val="219"/>
        </w:trPr>
        <w:tc>
          <w:tcPr>
            <w:tcW w:w="7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stockholders’ equity attributable to Viant Technology Inc.</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53,839</w:t>
            </w:r>
          </w:p>
        </w:tc>
      </w:tr>
      <w:tr>
        <w:trPr>
          <w:trHeight w:val="226"/>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220,236</w:t>
            </w:r>
          </w:p>
        </w:tc>
      </w:tr>
      <w:tr>
        <w:trPr>
          <w:trHeight w:val="219"/>
        </w:trPr>
        <w:tc>
          <w:tcPr>
            <w:tcW w:w="7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274,075</w:t>
            </w:r>
          </w:p>
        </w:tc>
      </w:tr>
      <w:tr>
        <w:trPr>
          <w:trHeight w:val="219"/>
        </w:trPr>
        <w:tc>
          <w:tcPr>
            <w:tcW w:w="7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440,804</w:t>
            </w:r>
          </w:p>
        </w:tc>
      </w:tr>
      <w:tr>
        <w:trPr>
          <w:trHeight w:val="20"/>
        </w:trPr>
        <w:tc>
          <w:tcPr>
            <w:tcW w:w="7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280"/>
          </w:cols>
          <w:pgMar w:left="1040" w:top="119" w:right="579" w:bottom="1440" w:gutter="0" w:footer="0" w:header="0"/>
        </w:sectPr>
      </w:pPr>
    </w:p>
    <w:bookmarkStart w:id="5" w:name="page6"/>
    <w:bookmarkEnd w:id="5"/>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18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700" w:type="dxa"/>
            <w:vAlign w:val="bottom"/>
          </w:tcPr>
          <w:p>
            <w:pPr>
              <w:spacing w:after="0"/>
              <w:rPr>
                <w:sz w:val="5"/>
                <w:szCs w:val="5"/>
                <w:color w:val="auto"/>
              </w:rPr>
            </w:pPr>
          </w:p>
        </w:tc>
        <w:tc>
          <w:tcPr>
            <w:tcW w:w="1180" w:type="dxa"/>
            <w:vAlign w:val="bottom"/>
            <w:gridSpan w:val="3"/>
            <w:vMerge w:val="restart"/>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3"/>
            <w:vMerge w:val="restart"/>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118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tcPr>
          <w:p>
            <w:pPr>
              <w:jc w:val="center"/>
              <w:ind w:right="6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1"/>
                <w:szCs w:val="11"/>
                <w:color w:val="auto"/>
              </w:rPr>
            </w:pPr>
          </w:p>
        </w:tc>
        <w:tc>
          <w:tcPr>
            <w:tcW w:w="5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17,934</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18</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46,754</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125,386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(50,566)</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220,236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0" w:type="dxa"/>
            <w:vAlign w:val="bottom"/>
          </w:tcPr>
          <w:p>
            <w:pPr>
              <w:spacing w:after="0"/>
              <w:rPr>
                <w:sz w:val="1"/>
                <w:szCs w:val="1"/>
                <w:color w:val="auto"/>
              </w:rPr>
            </w:pPr>
          </w:p>
        </w:tc>
      </w:tr>
      <w:tr>
        <w:trPr>
          <w:trHeight w:val="137"/>
        </w:trPr>
        <w:tc>
          <w:tcPr>
            <w:tcW w:w="270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Issuance of Class A common stock related</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 vesting of restricted stock units</w:t>
            </w: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70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Exchange of Class B common stock for</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Class A common stock</w:t>
            </w: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700" w:type="dxa"/>
            <w:vAlign w:val="bottom"/>
            <w:shd w:val="clear" w:color="auto" w:fill="CCEEFF"/>
          </w:tcPr>
          <w:p>
            <w:pPr>
              <w:ind w:left="260"/>
              <w:spacing w:after="0" w:line="143" w:lineRule="exact"/>
              <w:rPr>
                <w:sz w:val="20"/>
                <w:szCs w:val="20"/>
                <w:color w:val="auto"/>
              </w:rPr>
            </w:pPr>
            <w:r>
              <w:rPr>
                <w:rFonts w:ascii="Times New Roman" w:cs="Times New Roman" w:eastAsia="Times New Roman" w:hAnsi="Times New Roman"/>
                <w:sz w:val="14"/>
                <w:szCs w:val="14"/>
                <w:color w:val="auto"/>
              </w:rPr>
              <w:t>Repurchase of stock related to tax</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5"/>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withholdings on vested equity awards</w:t>
            </w:r>
          </w:p>
        </w:tc>
        <w:tc>
          <w:tcPr>
            <w:tcW w:w="74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700" w:type="dxa"/>
            <w:vAlign w:val="bottom"/>
          </w:tcPr>
          <w:p>
            <w:pPr>
              <w:ind w:left="260"/>
              <w:spacing w:after="0" w:line="150" w:lineRule="exact"/>
              <w:rPr>
                <w:sz w:val="20"/>
                <w:szCs w:val="20"/>
                <w:color w:val="auto"/>
              </w:rPr>
            </w:pPr>
            <w:r>
              <w:rPr>
                <w:rFonts w:ascii="Times New Roman" w:cs="Times New Roman" w:eastAsia="Times New Roman" w:hAnsi="Times New Roman"/>
                <w:sz w:val="14"/>
                <w:szCs w:val="14"/>
                <w:color w:val="auto"/>
              </w:rPr>
              <w:t>Repurchase of stock related to the stock</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(17,361)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90"/>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repurchase program</w:t>
            </w:r>
          </w:p>
        </w:tc>
        <w:tc>
          <w:tcPr>
            <w:tcW w:w="7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(12,904)</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50"/>
        </w:trPr>
        <w:tc>
          <w:tcPr>
            <w:tcW w:w="2700" w:type="dxa"/>
            <w:vAlign w:val="bottom"/>
          </w:tcPr>
          <w:p>
            <w:pPr>
              <w:ind w:left="260"/>
              <w:spacing w:after="0" w:line="150"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7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18,210</w:t>
            </w:r>
          </w:p>
        </w:tc>
        <w:tc>
          <w:tcPr>
            <w:tcW w:w="8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18</w:t>
            </w: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46,720</w:t>
            </w:r>
          </w:p>
        </w:tc>
        <w:tc>
          <w:tcPr>
            <w:tcW w:w="8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47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128,559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(64,660)</w:t>
            </w: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(27,513)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221,064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2700" w:type="dxa"/>
            <w:vAlign w:val="bottom"/>
          </w:tcPr>
          <w:p>
            <w:pPr>
              <w:spacing w:after="0"/>
              <w:rPr>
                <w:sz w:val="24"/>
                <w:szCs w:val="24"/>
                <w:color w:val="auto"/>
              </w:rPr>
            </w:pPr>
          </w:p>
        </w:tc>
        <w:tc>
          <w:tcPr>
            <w:tcW w:w="118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700" w:type="dxa"/>
            <w:vAlign w:val="bottom"/>
          </w:tcPr>
          <w:p>
            <w:pPr>
              <w:spacing w:after="0"/>
              <w:rPr>
                <w:sz w:val="5"/>
                <w:szCs w:val="5"/>
                <w:color w:val="auto"/>
              </w:rPr>
            </w:pPr>
          </w:p>
        </w:tc>
        <w:tc>
          <w:tcPr>
            <w:tcW w:w="1180" w:type="dxa"/>
            <w:vAlign w:val="bottom"/>
            <w:gridSpan w:val="3"/>
            <w:vMerge w:val="restart"/>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3"/>
            <w:vMerge w:val="restart"/>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700" w:type="dxa"/>
            <w:vAlign w:val="bottom"/>
          </w:tcPr>
          <w:p>
            <w:pPr>
              <w:spacing w:after="0"/>
              <w:rPr>
                <w:sz w:val="10"/>
                <w:szCs w:val="10"/>
                <w:color w:val="auto"/>
              </w:rPr>
            </w:pPr>
          </w:p>
        </w:tc>
        <w:tc>
          <w:tcPr>
            <w:tcW w:w="1180" w:type="dxa"/>
            <w:vAlign w:val="bottom"/>
            <w:tcBorders>
              <w:bottom w:val="single" w:sz="8" w:color="auto"/>
            </w:tcBorders>
            <w:gridSpan w:val="3"/>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Borders>
              <w:bottom w:val="single" w:sz="8" w:color="auto"/>
            </w:tcBorders>
            <w:gridSpan w:val="3"/>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0"/>
                <w:szCs w:val="10"/>
                <w:color w:val="auto"/>
              </w:rPr>
            </w:pPr>
          </w:p>
        </w:tc>
        <w:tc>
          <w:tcPr>
            <w:tcW w:w="54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700" w:type="dxa"/>
            <w:vAlign w:val="bottom"/>
          </w:tcPr>
          <w:p>
            <w:pPr>
              <w:spacing w:after="0"/>
              <w:rPr>
                <w:sz w:val="16"/>
                <w:szCs w:val="16"/>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9"/>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15,938</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16</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47,032</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112,830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(43,509)</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206,132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0" w:type="dxa"/>
            <w:vAlign w:val="bottom"/>
          </w:tcPr>
          <w:p>
            <w:pPr>
              <w:spacing w:after="0"/>
              <w:rPr>
                <w:sz w:val="1"/>
                <w:szCs w:val="1"/>
                <w:color w:val="auto"/>
              </w:rPr>
            </w:pPr>
          </w:p>
        </w:tc>
      </w:tr>
      <w:tr>
        <w:trPr>
          <w:trHeight w:val="133"/>
        </w:trPr>
        <w:tc>
          <w:tcPr>
            <w:tcW w:w="270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Issuance of Class A common stock related</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 vesting of restricted stock units</w:t>
            </w: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70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Exchange of Class B common stock for</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Class A common stock</w:t>
            </w: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7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Repurchase of stock related to tax</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9"/>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withholdings on vested equity awards</w:t>
            </w:r>
          </w:p>
        </w:tc>
        <w:tc>
          <w:tcPr>
            <w:tcW w:w="74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7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74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8"/>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4"/>
        </w:trPr>
        <w:tc>
          <w:tcPr>
            <w:tcW w:w="27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16,980</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17</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46,985</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116,571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(45,589)</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204,868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60"/>
          </w:cols>
          <w:pgMar w:left="800" w:top="119" w:right="2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0" w:type="dxa"/>
            <w:vAlign w:val="bottom"/>
          </w:tcPr>
          <w:p>
            <w:pPr>
              <w:spacing w:after="0"/>
              <w:rPr>
                <w:sz w:val="1"/>
                <w:szCs w:val="1"/>
                <w:color w:val="auto"/>
              </w:rPr>
            </w:pPr>
          </w:p>
        </w:tc>
      </w:tr>
      <w:tr>
        <w:trPr>
          <w:trHeight w:val="226"/>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6"/>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26"/>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26"/>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6"/>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9"/>
        </w:trPr>
        <w:tc>
          <w:tcPr>
            <w:tcW w:w="7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0" w:type="dxa"/>
            <w:vAlign w:val="bottom"/>
          </w:tcPr>
          <w:p>
            <w:pPr>
              <w:spacing w:after="0"/>
              <w:rPr>
                <w:sz w:val="1"/>
                <w:szCs w:val="1"/>
                <w:color w:val="auto"/>
              </w:rPr>
            </w:pPr>
          </w:p>
        </w:tc>
      </w:tr>
      <w:tr>
        <w:trPr>
          <w:trHeight w:val="20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0" w:type="dxa"/>
            <w:vAlign w:val="bottom"/>
          </w:tcPr>
          <w:p>
            <w:pPr>
              <w:spacing w:after="0"/>
              <w:rPr>
                <w:sz w:val="1"/>
                <w:szCs w:val="1"/>
                <w:color w:val="auto"/>
              </w:rPr>
            </w:pPr>
          </w:p>
        </w:tc>
      </w:tr>
      <w:tr>
        <w:trPr>
          <w:trHeight w:val="226"/>
        </w:trPr>
        <w:tc>
          <w:tcPr>
            <w:tcW w:w="7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06"/>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stock related to tax withholdings on vested equity awards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0" w:type="dxa"/>
            <w:vAlign w:val="bottom"/>
          </w:tcPr>
          <w:p>
            <w:pPr>
              <w:spacing w:after="0"/>
              <w:rPr>
                <w:sz w:val="1"/>
                <w:szCs w:val="1"/>
                <w:color w:val="auto"/>
              </w:rPr>
            </w:pPr>
          </w:p>
        </w:tc>
      </w:tr>
      <w:tr>
        <w:trPr>
          <w:trHeight w:val="226"/>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stock related to the stock repurchase program</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member tax distributions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0" w:type="dxa"/>
            <w:vAlign w:val="bottom"/>
          </w:tcPr>
          <w:p>
            <w:pPr>
              <w:spacing w:after="0"/>
              <w:rPr>
                <w:sz w:val="1"/>
                <w:szCs w:val="1"/>
                <w:color w:val="auto"/>
              </w:rPr>
            </w:pPr>
          </w:p>
        </w:tc>
      </w:tr>
      <w:tr>
        <w:trPr>
          <w:trHeight w:val="226"/>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9"/>
        </w:trPr>
        <w:tc>
          <w:tcPr>
            <w:tcW w:w="7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0" w:type="dxa"/>
            <w:vAlign w:val="bottom"/>
          </w:tcPr>
          <w:p>
            <w:pPr>
              <w:spacing w:after="0"/>
              <w:rPr>
                <w:sz w:val="1"/>
                <w:szCs w:val="1"/>
                <w:color w:val="auto"/>
              </w:rPr>
            </w:pPr>
          </w:p>
        </w:tc>
      </w:tr>
      <w:tr>
        <w:trPr>
          <w:trHeight w:val="22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205,048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216,458</w:t>
            </w: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206,057</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4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included in capitalized software development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6"/>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assets financed by accounts payable and accrued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26"/>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member tax distributions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offering costs recorded in accounts payable and accrued liabilities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300"/>
          </w:cols>
          <w:pgMar w:left="1040" w:top="119" w:right="559" w:bottom="1440" w:gutter="0" w:footer="0" w:header="0"/>
        </w:sectPr>
      </w:pPr>
    </w:p>
    <w:bookmarkStart w:id="7" w:name="page8"/>
    <w:bookmarkEnd w:id="7"/>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740" w:type="dxa"/>
        <w:tblCellMar>
          <w:top w:w="0" w:type="dxa"/>
          <w:left w:w="0" w:type="dxa"/>
          <w:bottom w:w="0" w:type="dxa"/>
          <w:right w:w="0" w:type="dxa"/>
        </w:tblCellMar>
      </w:tblPr>
      <w:tr>
        <w:trPr>
          <w:trHeight w:val="233"/>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 1</w:t>
            </w:r>
          </w:p>
        </w:tc>
        <w:tc>
          <w:tcPr>
            <w:tcW w:w="87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rPr>
              <w:t>Nature of Operations</w:t>
            </w:r>
          </w:p>
        </w:tc>
        <w:tc>
          <w:tcPr>
            <w:tcW w:w="6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6"/>
        </w:trPr>
        <w:tc>
          <w:tcPr>
            <w:tcW w:w="920" w:type="dxa"/>
            <w:vAlign w:val="bottom"/>
            <w:vMerge w:val="continue"/>
          </w:tcPr>
          <w:p>
            <w:pPr>
              <w:spacing w:after="0"/>
              <w:rPr>
                <w:sz w:val="14"/>
                <w:szCs w:val="14"/>
                <w:color w:val="auto"/>
              </w:rPr>
            </w:pPr>
          </w:p>
        </w:tc>
        <w:tc>
          <w:tcPr>
            <w:tcW w:w="8740" w:type="dxa"/>
            <w:vAlign w:val="bottom"/>
            <w:gridSpan w:val="13"/>
            <w:vMerge w:val="continue"/>
          </w:tcPr>
          <w:p>
            <w:pPr>
              <w:spacing w:after="0"/>
              <w:rPr>
                <w:sz w:val="14"/>
                <w:szCs w:val="14"/>
                <w:color w:val="auto"/>
              </w:rPr>
            </w:pPr>
          </w:p>
        </w:tc>
        <w:tc>
          <w:tcPr>
            <w:tcW w:w="620" w:type="dxa"/>
            <w:vAlign w:val="bottom"/>
          </w:tcPr>
          <w:p>
            <w:pPr>
              <w:jc w:val="right"/>
              <w:spacing w:after="0" w:line="153" w:lineRule="exact"/>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Note 2</w:t>
            </w:r>
          </w:p>
        </w:tc>
        <w:tc>
          <w:tcPr>
            <w:tcW w:w="87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Basis of Presentation and Summary of Significant Accounting Policies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Note 3</w:t>
            </w:r>
          </w:p>
        </w:tc>
        <w:tc>
          <w:tcPr>
            <w:tcW w:w="50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Revenue</w:t>
            </w:r>
          </w:p>
        </w:tc>
        <w:tc>
          <w:tcPr>
            <w:tcW w:w="37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Note 4</w:t>
            </w:r>
          </w:p>
        </w:tc>
        <w:tc>
          <w:tcPr>
            <w:tcW w:w="87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Property, Equipment, and Software, Net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Note 5</w:t>
            </w:r>
          </w:p>
        </w:tc>
        <w:tc>
          <w:tcPr>
            <w:tcW w:w="28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Leases</w:t>
            </w:r>
          </w:p>
        </w:tc>
        <w:tc>
          <w:tcPr>
            <w:tcW w:w="5900" w:type="dxa"/>
            <w:vAlign w:val="bottom"/>
            <w:gridSpan w:val="3"/>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Note 6</w:t>
            </w:r>
          </w:p>
        </w:tc>
        <w:tc>
          <w:tcPr>
            <w:tcW w:w="15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Intangible Assets, Net</w:t>
            </w:r>
          </w:p>
        </w:tc>
        <w:tc>
          <w:tcPr>
            <w:tcW w:w="7160" w:type="dxa"/>
            <w:vAlign w:val="bottom"/>
            <w:gridSpan w:val="8"/>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Note 7</w:t>
            </w:r>
          </w:p>
        </w:tc>
        <w:tc>
          <w:tcPr>
            <w:tcW w:w="87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Accrued Liabilities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Note 8</w:t>
            </w:r>
          </w:p>
        </w:tc>
        <w:tc>
          <w:tcPr>
            <w:tcW w:w="1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Revolving Credit Facility</w:t>
            </w:r>
          </w:p>
        </w:tc>
        <w:tc>
          <w:tcPr>
            <w:tcW w:w="6920" w:type="dxa"/>
            <w:vAlign w:val="bottom"/>
            <w:gridSpan w:val="6"/>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Note 9</w:t>
            </w:r>
          </w:p>
        </w:tc>
        <w:tc>
          <w:tcPr>
            <w:tcW w:w="87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Stockholders' Equity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Note 10</w:t>
            </w:r>
          </w:p>
        </w:tc>
        <w:tc>
          <w:tcPr>
            <w:tcW w:w="87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Income Taxes and Tax Receivable Agreement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Note 11</w:t>
            </w:r>
          </w:p>
        </w:tc>
        <w:tc>
          <w:tcPr>
            <w:tcW w:w="32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Earnings (Loss) Per Share</w:t>
            </w:r>
          </w:p>
        </w:tc>
        <w:tc>
          <w:tcPr>
            <w:tcW w:w="5480" w:type="dxa"/>
            <w:vAlign w:val="bottom"/>
            <w:gridSpan w:val="2"/>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Note 12</w:t>
            </w:r>
          </w:p>
        </w:tc>
        <w:tc>
          <w:tcPr>
            <w:tcW w:w="17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Noncontrolling Interests</w:t>
            </w:r>
          </w:p>
        </w:tc>
        <w:tc>
          <w:tcPr>
            <w:tcW w:w="120" w:type="dxa"/>
            <w:vAlign w:val="bottom"/>
            <w:tcBorders>
              <w:top w:val="single" w:sz="8" w:color="0000FF"/>
            </w:tcBorders>
            <w:gridSpan w:val="2"/>
          </w:tcPr>
          <w:p>
            <w:pPr>
              <w:spacing w:after="0"/>
              <w:rPr>
                <w:sz w:val="17"/>
                <w:szCs w:val="17"/>
                <w:color w:val="auto"/>
              </w:rPr>
            </w:pPr>
          </w:p>
        </w:tc>
        <w:tc>
          <w:tcPr>
            <w:tcW w:w="6880" w:type="dxa"/>
            <w:vAlign w:val="bottom"/>
            <w:gridSpan w:val="5"/>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Note 13</w:t>
            </w:r>
          </w:p>
        </w:tc>
        <w:tc>
          <w:tcPr>
            <w:tcW w:w="87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Note 14</w:t>
            </w:r>
          </w:p>
        </w:tc>
        <w:tc>
          <w:tcPr>
            <w:tcW w:w="23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Subsequent Events</w:t>
            </w:r>
          </w:p>
        </w:tc>
        <w:tc>
          <w:tcPr>
            <w:tcW w:w="6380" w:type="dxa"/>
            <w:vAlign w:val="bottom"/>
            <w:gridSpan w:val="4"/>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left="220" w:hanging="214"/>
        <w:spacing w:after="0"/>
        <w:tabs>
          <w:tab w:leader="none" w:pos="2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Nature of Operations</w:t>
      </w:r>
    </w:p>
    <w:p>
      <w:pPr>
        <w:spacing w:after="0" w:line="117" w:lineRule="exact"/>
        <w:rPr>
          <w:sz w:val="20"/>
          <w:szCs w:val="20"/>
          <w:color w:val="auto"/>
        </w:rPr>
      </w:pPr>
    </w:p>
    <w:p>
      <w:pPr>
        <w:ind w:right="240" w:firstLine="479"/>
        <w:spacing w:after="0" w:line="283" w:lineRule="auto"/>
        <w:rPr>
          <w:sz w:val="20"/>
          <w:szCs w:val="20"/>
          <w:color w:val="auto"/>
        </w:rPr>
      </w:pPr>
      <w:r>
        <w:rPr>
          <w:rFonts w:ascii="Times New Roman" w:cs="Times New Roman" w:eastAsia="Times New Roman" w:hAnsi="Times New Roman"/>
          <w:sz w:val="17"/>
          <w:szCs w:val="17"/>
          <w:color w:val="231F20"/>
        </w:rPr>
        <w:t>Viant Technology Inc. (the “Company,” “we,” “us,” “our” or “Viant”) was incorporated in the State of Delaware on October 9, 2020</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31F20"/>
        </w:rPr>
        <w:t xml:space="preserve"> The Company operates a cloud-based demand side platform (“DSP”) that is used by marketers and their advertising agencies to centralize the planning, buying and measurement of their advertising across most channels, including connected TV ("CTV"), streaming audio, digital out-of-home, mobile and desktop.</w:t>
      </w:r>
    </w:p>
    <w:p>
      <w:pPr>
        <w:spacing w:after="0" w:line="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Our headquarters are located in Irvine, California with other leased office spaces across the United States.</w:t>
      </w:r>
    </w:p>
    <w:p>
      <w:pPr>
        <w:spacing w:after="0" w:line="325" w:lineRule="exact"/>
        <w:rPr>
          <w:sz w:val="20"/>
          <w:szCs w:val="20"/>
          <w:color w:val="auto"/>
        </w:rPr>
      </w:pPr>
    </w:p>
    <w:p>
      <w:pPr>
        <w:ind w:left="220" w:hanging="214"/>
        <w:spacing w:after="0"/>
        <w:tabs>
          <w:tab w:leader="none" w:pos="22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Basis of Presentation and Summary of Significant Accounting Policies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16"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accompanying unaudited condensed consolidated financial statements are prepared in accordance with generally accepted accounting principles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United States of America (“GAAP”) for interim financial information and include the operations of the Company, Viant Technology LLC and its wholly owned subsidiaries. Viant Technology LLC is considered a variable interest entity (“VIE”). The Company is the primary beneficiary and sole managing member of Viant Technology LLC and has decision-making authority that significantly affects the economic performance of the entity. As a result, the Company consolidates Viant Technology LLC. All intercompany balances and transactions have been eliminated in consolidation.</w:t>
      </w:r>
    </w:p>
    <w:p>
      <w:pPr>
        <w:spacing w:after="0" w:line="79" w:lineRule="exact"/>
        <w:rPr>
          <w:sz w:val="20"/>
          <w:szCs w:val="20"/>
          <w:color w:val="auto"/>
        </w:rPr>
      </w:pPr>
    </w:p>
    <w:p>
      <w:pPr>
        <w:jc w:val="both"/>
        <w:ind w:right="20" w:firstLine="479"/>
        <w:spacing w:after="0" w:line="269" w:lineRule="auto"/>
        <w:rPr>
          <w:sz w:val="20"/>
          <w:szCs w:val="20"/>
          <w:color w:val="auto"/>
        </w:rPr>
      </w:pPr>
      <w:r>
        <w:rPr>
          <w:rFonts w:ascii="Times New Roman" w:cs="Times New Roman" w:eastAsia="Times New Roman" w:hAnsi="Times New Roman"/>
          <w:sz w:val="17"/>
          <w:szCs w:val="17"/>
          <w:color w:val="231F20"/>
        </w:rPr>
        <w:t xml:space="preserve">Management </w:t>
      </w:r>
      <w:r>
        <w:rPr>
          <w:rFonts w:ascii="Times New Roman" w:cs="Times New Roman" w:eastAsia="Times New Roman" w:hAnsi="Times New Roman"/>
          <w:sz w:val="17"/>
          <w:szCs w:val="17"/>
          <w:color w:val="000000"/>
        </w:rPr>
        <w:t>believes that the accompanying condensed consolidated financial statements reflect the adjustments necessary for the fair statement of its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condensed consolidated financial statements included in this Quarterly Report on Form 10-Q. The condensed consolidated balance sheet as of December 31, 2024 was derived from the audited annual financial statements but does not contain all of the footnote disclosures from the annual financial statements.</w:t>
      </w:r>
    </w:p>
    <w:p>
      <w:pPr>
        <w:jc w:val="both"/>
        <w:ind w:right="260"/>
        <w:spacing w:after="0" w:line="250" w:lineRule="auto"/>
        <w:rPr>
          <w:sz w:val="20"/>
          <w:szCs w:val="20"/>
          <w:color w:val="auto"/>
        </w:rPr>
      </w:pPr>
      <w:r>
        <w:rPr>
          <w:rFonts w:ascii="Times New Roman" w:cs="Times New Roman" w:eastAsia="Times New Roman" w:hAnsi="Times New Roman"/>
          <w:sz w:val="18"/>
          <w:szCs w:val="18"/>
          <w:color w:val="auto"/>
        </w:rPr>
        <w:t>Certain information and disclosures normally included in the Company's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2024.</w:t>
      </w:r>
    </w:p>
    <w:p>
      <w:pPr>
        <w:spacing w:after="0" w:line="79" w:lineRule="exact"/>
        <w:rPr>
          <w:sz w:val="20"/>
          <w:szCs w:val="20"/>
          <w:color w:val="auto"/>
        </w:rPr>
      </w:pPr>
    </w:p>
    <w:p>
      <w:pPr>
        <w:ind w:right="540" w:firstLine="479"/>
        <w:spacing w:after="0" w:line="275" w:lineRule="auto"/>
        <w:rPr>
          <w:sz w:val="20"/>
          <w:szCs w:val="20"/>
          <w:color w:val="auto"/>
        </w:rPr>
      </w:pPr>
      <w:r>
        <w:rPr>
          <w:rFonts w:ascii="Times New Roman" w:cs="Times New Roman" w:eastAsia="Times New Roman" w:hAnsi="Times New Roman"/>
          <w:sz w:val="18"/>
          <w:szCs w:val="18"/>
          <w:color w:val="auto"/>
        </w:rPr>
        <w:t>The condensed consolidated statement of operations for the three months ended March 31, 2025 is not necessarily indicative of the results to be expected for the year ending December 31, 2025, or for any other future annual or interim period.</w:t>
      </w:r>
    </w:p>
    <w:p>
      <w:pPr>
        <w:spacing w:after="0" w:line="58" w:lineRule="exact"/>
        <w:rPr>
          <w:sz w:val="20"/>
          <w:szCs w:val="20"/>
          <w:color w:val="auto"/>
        </w:rPr>
      </w:pPr>
    </w:p>
    <w:p>
      <w:pPr>
        <w:ind w:right="220" w:firstLine="479"/>
        <w:spacing w:after="0" w:line="275"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as described in the Company's Annual Report on Form 10-K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6"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231F20"/>
        </w:rPr>
        <w:t xml:space="preserve">The preparation of our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 </w:t>
      </w:r>
      <w:r>
        <w:rPr>
          <w:rFonts w:ascii="Times New Roman" w:cs="Times New Roman" w:eastAsia="Times New Roman" w:hAnsi="Times New Roman"/>
          <w:sz w:val="18"/>
          <w:szCs w:val="18"/>
          <w:color w:val="000000"/>
        </w:rPr>
        <w:t>On an ongoing basis, management evaluates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its estimates, primarily those related to revenue recognition, stock-based compensation, income taxes, allowances for doubtful accounts, the useful lives of capitalized software development costs and other</w:t>
      </w:r>
    </w:p>
    <w:p>
      <w:pPr>
        <w:sectPr>
          <w:pgSz w:w="11900" w:h="16838" w:orient="portrait"/>
          <w:cols w:equalWidth="0" w:num="1">
            <w:col w:w="11200"/>
          </w:cols>
          <w:pgMar w:left="320" w:top="119" w:right="379" w:bottom="1440" w:gutter="0" w:footer="0" w:header="0"/>
        </w:sectPr>
      </w:pPr>
    </w:p>
    <w:p>
      <w:pPr>
        <w:spacing w:after="0" w:line="39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84455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8" w:name="page9"/>
    <w:bookmarkEnd w:id="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property, equipment, and software and assumptions used in the impairment analyses of long-lived assets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74"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The impact of widespread macroeconomic and geopolitical uncertainties, including the impact of bank failures, new or increased tariffs and international trade conflict, high interest rates, inflationary pressures, labor shortages, shortages of goods and services, supply chain constraints, pandemics, political election cycles, changes in laws and interpretations of laws, international conflicts and acts of terrorism on our business continues to evolve. Many of our estimates and assumptions consider these macroeconomic and geopolitical factors in the market, which require increased judgment and carry a higher degree of variability and volatility. As events continue to evolve and additional information becomes available on the potential impact on our business of global economic and business events, our estimates may change materially in future periods as a result.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periods presented, net loss is equal to comprehensive loss.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16" w:lineRule="exact"/>
        <w:rPr>
          <w:sz w:val="20"/>
          <w:szCs w:val="20"/>
          <w:color w:val="auto"/>
        </w:rPr>
      </w:pPr>
    </w:p>
    <w:p>
      <w:pPr>
        <w:ind w:right="140" w:firstLine="479"/>
        <w:spacing w:after="0" w:line="252" w:lineRule="auto"/>
        <w:rPr>
          <w:sz w:val="20"/>
          <w:szCs w:val="20"/>
          <w:color w:val="auto"/>
        </w:rPr>
      </w:pPr>
      <w:r>
        <w:rPr>
          <w:rFonts w:ascii="Times New Roman" w:cs="Times New Roman" w:eastAsia="Times New Roman" w:hAnsi="Times New Roman"/>
          <w:sz w:val="18"/>
          <w:szCs w:val="18"/>
          <w:color w:val="auto"/>
        </w:rPr>
        <w:t>The Company has a single reportable operating segment which owns and operates an enterprise technology platform that enables the Company, marketers and their advertising agencies to centralize the planning, buying and measurement of their video, audio and display ads across all channels, including CTV, streaming audio, digital out-of-home, mobile and desktop in the United States. The Company derives its revenues from the services it provides through utilization of its platform. In reaching this conclusion of a single reportable operating segment, management considers the definition of the chief operating decision maker (“CODM”), how the business is defined by the CODM, the nature of the information provided to the CODM and how that information is used to make operating decisions, allocate resources and assess performance.</w:t>
      </w:r>
    </w:p>
    <w:p>
      <w:pPr>
        <w:spacing w:after="0" w:line="79" w:lineRule="exact"/>
        <w:rPr>
          <w:sz w:val="20"/>
          <w:szCs w:val="20"/>
          <w:color w:val="auto"/>
        </w:rPr>
      </w:pPr>
    </w:p>
    <w:p>
      <w:pPr>
        <w:ind w:right="100" w:firstLine="479"/>
        <w:spacing w:after="0" w:line="252" w:lineRule="auto"/>
        <w:rPr>
          <w:sz w:val="20"/>
          <w:szCs w:val="20"/>
          <w:color w:val="auto"/>
        </w:rPr>
      </w:pPr>
      <w:r>
        <w:rPr>
          <w:rFonts w:ascii="Times New Roman" w:cs="Times New Roman" w:eastAsia="Times New Roman" w:hAnsi="Times New Roman"/>
          <w:sz w:val="18"/>
          <w:szCs w:val="18"/>
          <w:color w:val="auto"/>
        </w:rPr>
        <w:t>The Company’s CODM is comprised of the chief executive officer and chief operating officer. The CODM uses multiple measures within the consolidated statements of operations, balance sheets, and cash flows and thus utilizes the entirety of those consolidated statements to make key resource decisions and assess performance at the consolidated level. The CODM does not review segment assets at a different asset level and category. The consolidated net income (loss) is the measure of segment net income (loss) that is most consistent with U.S. GAAP. In addition to the consolidated operating expenses as noted on the consolidated statements of operations, the CODM is regularly provided with traffic acquisition costs which are included within platform operations as presented below:</w:t>
      </w:r>
    </w:p>
    <w:p>
      <w:pPr>
        <w:spacing w:after="0" w:line="105"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74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19,272</w:t>
            </w:r>
          </w:p>
        </w:tc>
      </w:tr>
      <w:tr>
        <w:trPr>
          <w:trHeight w:val="22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platform operations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10,608</w:t>
            </w:r>
          </w:p>
        </w:tc>
      </w:tr>
      <w:tr>
        <w:trPr>
          <w:trHeight w:val="244"/>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6"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For purposes of balance sheet presentation and reporting of cash flows, the Company considers all highly liquid investments purchased with a maturity of three months or less to be cash equivalents. Cash and cash equivalents are comprised of cash in bank accounts and money market funds for which the carrying value approximates fair value due to their short-term nature. Cash equivalents are valued based on Level 1 inputs which consist of quoted prices in active markets. As of March 31, 2025, cash equivalents included money market funds of $170.0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doubtful accounts 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6125210</wp:posOffset>
            </wp:positionH>
            <wp:positionV relativeFrom="paragraph">
              <wp:posOffset>99695</wp:posOffset>
            </wp:positionV>
            <wp:extent cx="8699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9950" cy="8255"/>
                    </a:xfrm>
                    <a:prstGeom prst="rect">
                      <a:avLst/>
                    </a:prstGeom>
                    <a:noFill/>
                  </pic:spPr>
                </pic:pic>
              </a:graphicData>
            </a:graphic>
          </wp:anchor>
        </w:drawing>
      </w:r>
    </w:p>
    <w:p>
      <w:pPr>
        <w:spacing w:after="0" w:line="148"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19685</wp:posOffset>
            </wp:positionV>
            <wp:extent cx="6534785" cy="151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34785" cy="15176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p>
      <w:pPr>
        <w:spacing w:after="0" w:line="4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Balance as of December 31, 2024</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19050</wp:posOffset>
            </wp:positionV>
            <wp:extent cx="6534785" cy="143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34785" cy="143510"/>
                    </a:xfrm>
                    <a:prstGeom prst="rect">
                      <a:avLst/>
                    </a:prstGeom>
                    <a:noFill/>
                  </pic:spPr>
                </pic:pic>
              </a:graphicData>
            </a:graphic>
          </wp:anchor>
        </w:drawing>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Write-offs, net of recoveries</w:t>
      </w:r>
    </w:p>
    <w:p>
      <w:pPr>
        <w:spacing w:after="0" w:line="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Balance as of March 31, 2025</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883" w:hanging="883"/>
        <w:spacing w:after="0"/>
        <w:tabs>
          <w:tab w:leader="none" w:pos="8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2,065</w:t>
      </w:r>
    </w:p>
    <w:p>
      <w:pPr>
        <w:spacing w:after="0" w:line="24" w:lineRule="exact"/>
        <w:rPr>
          <w:rFonts w:ascii="Times New Roman" w:cs="Times New Roman" w:eastAsia="Times New Roman" w:hAnsi="Times New Roman"/>
          <w:sz w:val="18"/>
          <w:szCs w:val="18"/>
          <w:color w:val="auto"/>
        </w:rPr>
      </w:pPr>
    </w:p>
    <w:p>
      <w:pPr>
        <w:ind w:left="10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376</w:t>
      </w:r>
    </w:p>
    <w:p>
      <w:pPr>
        <w:spacing w:after="0" w:line="19"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wp:posOffset>
            </wp:positionV>
            <wp:extent cx="8699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9950" cy="8255"/>
                    </a:xfrm>
                    <a:prstGeom prst="rect">
                      <a:avLst/>
                    </a:prstGeom>
                    <a:noFill/>
                  </pic:spPr>
                </pic:pic>
              </a:graphicData>
            </a:graphic>
          </wp:anchor>
        </w:drawing>
      </w:r>
    </w:p>
    <w:p>
      <w:pPr>
        <w:spacing w:after="0" w:line="6" w:lineRule="exact"/>
        <w:rPr>
          <w:sz w:val="20"/>
          <w:szCs w:val="20"/>
          <w:color w:val="auto"/>
        </w:rPr>
      </w:pPr>
    </w:p>
    <w:p>
      <w:pPr>
        <w:ind w:left="883" w:hanging="883"/>
        <w:spacing w:after="0"/>
        <w:tabs>
          <w:tab w:leader="none" w:pos="8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8699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995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40640</wp:posOffset>
            </wp:positionV>
            <wp:extent cx="8699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995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37" w:space="720"/>
            <w:col w:w="1563"/>
          </w:cols>
          <w:pgMar w:left="320" w:top="119" w:right="359" w:bottom="1440" w:gutter="0" w:footer="0" w:header="0"/>
          <w:type w:val="continuous"/>
        </w:sectPr>
      </w:pPr>
    </w:p>
    <w:p>
      <w:pPr>
        <w:spacing w:after="0" w:line="31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84455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9" w:name="page10"/>
    <w:bookmarkEnd w:id="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16"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risk consist principally of cash and cash equivalents and accounts receivable. The Company maintains its cash with financial institutions and its cash levels exceed the Federal Deposit Insurance Corporation’s federally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 Accounts receivable include amounts due from customers with principal operations primarily in the United States.</w:t>
      </w:r>
    </w:p>
    <w:p>
      <w:pPr>
        <w:spacing w:after="0" w:line="79" w:lineRule="exact"/>
        <w:rPr>
          <w:sz w:val="20"/>
          <w:szCs w:val="20"/>
          <w:color w:val="auto"/>
        </w:rPr>
      </w:pPr>
    </w:p>
    <w:p>
      <w:pPr>
        <w:ind w:right="660"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Company's concentrations of credit risk with respect to advertising agency holding companies and individual customers as a percentage of the Company's total revenues for the periods presented:</w:t>
      </w:r>
    </w:p>
    <w:p>
      <w:pPr>
        <w:spacing w:after="0" w:line="68"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7380" w:type="dxa"/>
            <w:vAlign w:val="bottom"/>
          </w:tcPr>
          <w:p>
            <w:pPr>
              <w:spacing w:after="0"/>
              <w:rPr>
                <w:sz w:val="17"/>
                <w:szCs w:val="17"/>
                <w:color w:val="auto"/>
              </w:rPr>
            </w:pPr>
          </w:p>
        </w:tc>
        <w:tc>
          <w:tcPr>
            <w:tcW w:w="29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7"/>
        </w:trPr>
        <w:tc>
          <w:tcPr>
            <w:tcW w:w="7380" w:type="dxa"/>
            <w:vAlign w:val="bottom"/>
          </w:tcPr>
          <w:p>
            <w:pPr>
              <w:spacing w:after="0"/>
              <w:rPr>
                <w:sz w:val="20"/>
                <w:szCs w:val="20"/>
                <w:color w:val="auto"/>
              </w:rPr>
            </w:pPr>
          </w:p>
        </w:tc>
        <w:tc>
          <w:tcPr>
            <w:tcW w:w="1920" w:type="dxa"/>
            <w:vAlign w:val="bottom"/>
            <w:tcBorders>
              <w:bottom w:val="single" w:sz="8" w:color="auto"/>
            </w:tcBorders>
            <w:gridSpan w:val="3"/>
          </w:tcPr>
          <w:p>
            <w:pPr>
              <w:jc w:val="center"/>
              <w:ind w:left="89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0" w:type="dxa"/>
            <w:vAlign w:val="bottom"/>
            <w:tcBorders>
              <w:bottom w:val="single" w:sz="8" w:color="auto"/>
            </w:tcBorders>
          </w:tcPr>
          <w:p>
            <w:pPr>
              <w:spacing w:after="0"/>
              <w:rPr>
                <w:sz w:val="20"/>
                <w:szCs w:val="20"/>
                <w:color w:val="auto"/>
              </w:rPr>
            </w:pPr>
          </w:p>
        </w:tc>
      </w:tr>
      <w:tr>
        <w:trPr>
          <w:trHeight w:val="222"/>
        </w:trPr>
        <w:tc>
          <w:tcPr>
            <w:tcW w:w="73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Advertising Agency Holding Company</w:t>
            </w: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2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Individual Customer</w:t>
            </w: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2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bl>
    <w:p>
      <w:pPr>
        <w:spacing w:after="0" w:line="181" w:lineRule="exact"/>
        <w:rPr>
          <w:sz w:val="20"/>
          <w:szCs w:val="20"/>
          <w:color w:val="auto"/>
        </w:rPr>
      </w:pPr>
    </w:p>
    <w:p>
      <w:pPr>
        <w:ind w:right="280" w:firstLine="479"/>
        <w:spacing w:after="0" w:line="275" w:lineRule="auto"/>
        <w:rPr>
          <w:sz w:val="20"/>
          <w:szCs w:val="20"/>
          <w:color w:val="auto"/>
        </w:rPr>
      </w:pPr>
      <w:r>
        <w:rPr>
          <w:rFonts w:ascii="Times New Roman" w:cs="Times New Roman" w:eastAsia="Times New Roman" w:hAnsi="Times New Roman"/>
          <w:sz w:val="18"/>
          <w:szCs w:val="18"/>
          <w:color w:val="auto"/>
        </w:rPr>
        <w:t>As of March 31, 2025, one individual customer accounted for 12.9% of consolidated accounts receivable. As of December 31, 2024, one individual customer accounted for 13.9% of consolidated accounts receivable.</w:t>
      </w:r>
    </w:p>
    <w:p>
      <w:pPr>
        <w:spacing w:after="0" w:line="58"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As of March 31, 2025, two individual suppliers accounted for 13.1% and 12.8%, respectively, of consolidated accounts payable and accrued liabilities. As of December 31, 2024, three individual suppliers accounted for 14.0%, 12.6% and 12.6%, respectively, of consolidated accounts payable and accrued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Election as an Emerging Growth Company</w:t>
      </w:r>
    </w:p>
    <w:p>
      <w:pPr>
        <w:spacing w:after="0" w:line="116" w:lineRule="exact"/>
        <w:rPr>
          <w:sz w:val="20"/>
          <w:szCs w:val="20"/>
          <w:color w:val="auto"/>
        </w:rPr>
      </w:pPr>
    </w:p>
    <w:p>
      <w:pPr>
        <w:ind w:right="20" w:firstLine="479"/>
        <w:spacing w:after="0" w:line="272" w:lineRule="auto"/>
        <w:rPr>
          <w:sz w:val="20"/>
          <w:szCs w:val="20"/>
          <w:color w:val="auto"/>
        </w:rPr>
      </w:pPr>
      <w:r>
        <w:rPr>
          <w:rFonts w:ascii="Times New Roman" w:cs="Times New Roman" w:eastAsia="Times New Roman" w:hAnsi="Times New Roman"/>
          <w:sz w:val="17"/>
          <w:szCs w:val="17"/>
          <w:color w:val="auto"/>
        </w:rPr>
        <w:t xml:space="preserve">On April 5, 2012, the Jumpstart Our Business Startups Act (the “JOBS Act”) was signed into law. The JOBS Act contains provisions that, among other things, reduce certain reporting requirements for qualifying public companies. As an “emerging growth company,” the </w:t>
      </w:r>
      <w:r>
        <w:rPr>
          <w:rFonts w:ascii="Times New Roman" w:cs="Times New Roman" w:eastAsia="Times New Roman" w:hAnsi="Times New Roman"/>
          <w:sz w:val="17"/>
          <w:szCs w:val="17"/>
          <w:color w:val="231F20"/>
        </w:rPr>
        <w:t>Company</w:t>
      </w:r>
      <w:r>
        <w:rPr>
          <w:rFonts w:ascii="Times New Roman" w:cs="Times New Roman" w:eastAsia="Times New Roman" w:hAnsi="Times New Roman"/>
          <w:sz w:val="17"/>
          <w:szCs w:val="17"/>
          <w:color w:val="auto"/>
        </w:rPr>
        <w:t xml:space="preserve"> may, under Section 7(a)(2)</w:t>
      </w:r>
    </w:p>
    <w:p>
      <w:pPr>
        <w:spacing w:after="0" w:line="2" w:lineRule="exact"/>
        <w:rPr>
          <w:sz w:val="20"/>
          <w:szCs w:val="20"/>
          <w:color w:val="auto"/>
        </w:rPr>
      </w:pPr>
    </w:p>
    <w:p>
      <w:pPr>
        <w:ind w:right="160" w:firstLine="6"/>
        <w:spacing w:after="0" w:line="264" w:lineRule="auto"/>
        <w:tabs>
          <w:tab w:leader="none" w:pos="2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Securities Act of 1933, as amended (the “Securities Act”), delay adoption of new or revised accounting standards applicable to public companies until such standards would otherwise apply to private companies. An “emerging growth company” is one with less than $1.235 billion in annual gross revenues, has issued less than $1 billion of non-convertible debt over a three-year period and is not deemed to be a large accelerated filer under the rules of the Securities and Exchange Commission (“SEC”). The Company will remain an emerging growth company until December 31, 2026, or sooner if it no longer qualifies. The Company has elected to take advantage of the benefits of this extended transition period for complying with new or revised accounting standards that have different effective dates for public and private companies until the first to occur of the date that it (i) is no longer an “emerging growth company” or (ii) affirmatively and irrevocably opts out of this extended transition period provided by Securities Act Section 7(a)(2)(B).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Improvements</w:t>
      </w:r>
    </w:p>
    <w:p>
      <w:pPr>
        <w:spacing w:after="0" w:line="112" w:lineRule="exact"/>
        <w:rPr>
          <w:sz w:val="20"/>
          <w:szCs w:val="20"/>
          <w:color w:val="auto"/>
        </w:rPr>
      </w:pPr>
    </w:p>
    <w:p>
      <w:pPr>
        <w:ind w:right="40" w:firstLine="479"/>
        <w:spacing w:after="0" w:line="251"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Accounting Standards Update ("ASU") No. 2023-06,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Codification Amendments in Response to the SEC’s Disclosure Update and Simplification Initiative</w:t>
      </w:r>
      <w:r>
        <w:rPr>
          <w:rFonts w:ascii="Times New Roman" w:cs="Times New Roman" w:eastAsia="Times New Roman" w:hAnsi="Times New Roman"/>
          <w:sz w:val="18"/>
          <w:szCs w:val="18"/>
          <w:color w:val="auto"/>
        </w:rPr>
        <w:t>. ASU 2023-06 includes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to clarify or improve disclosure and presentation requirements of a variety of topics in order to allow users to more easily compare entities subject to the SEC’s existing disclosures with those entities that were not previously subject to the requirements and to align the requirements in the FASB accounting standard codification with the SEC's regulations. The effective date for each amendment will be the date on which the SEC’s removal of that related disclosure requirement from Regulation S-X or Regulation S-K becomes effective, with early adoption prohibited. This ASU is not expected to have a material impact on the Company's condensed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2" w:lineRule="exact"/>
        <w:rPr>
          <w:sz w:val="20"/>
          <w:szCs w:val="20"/>
          <w:color w:val="auto"/>
        </w:rPr>
      </w:pPr>
    </w:p>
    <w:p>
      <w:pPr>
        <w:ind w:right="320" w:firstLine="47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is designed to enhance the transparency and decision usefulness of annual income tax disclosures. The amendments of this update are related to the rate reconciliation and income taxes paid, requiring consistent categories and greater disaggregation of information in the rate reconciliation as well as income taxes paid disaggregated by jurisdiction. The effective date for this ASU is for</w:t>
      </w:r>
    </w:p>
    <w:p>
      <w:pPr>
        <w:sectPr>
          <w:pgSz w:w="11900" w:h="16838" w:orient="portrait"/>
          <w:cols w:equalWidth="0" w:num="1">
            <w:col w:w="11240"/>
          </w:cols>
          <w:pgMar w:left="320" w:top="119" w:right="339" w:bottom="1440" w:gutter="0" w:footer="0" w:header="0"/>
        </w:sect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 w:name="page11"/>
    <w:bookmarkEnd w:id="1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annual periods beginning after December 15, 2024 on a prospective basis, with a retrospective option, and early adoption permitted. The Company is currently evaluating the impact of these amendments.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12" w:lineRule="exact"/>
        <w:rPr>
          <w:sz w:val="20"/>
          <w:szCs w:val="20"/>
          <w:color w:val="auto"/>
        </w:rPr>
      </w:pPr>
    </w:p>
    <w:p>
      <w:pPr>
        <w:ind w:right="80" w:firstLine="47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ASU 2024-03 requires disclosure of additional information about specific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in the notes to financial statements on an annual and interim basis. The effective date for this ASU is for annual periods beginning after December 15, 2026, and interim periods beginning after December 15, 2027, with early adoption permitted. The Company is currently evaluating the impact of these amendments.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Instruments—Credit Losses</w:t>
      </w:r>
    </w:p>
    <w:p>
      <w:pPr>
        <w:spacing w:after="0" w:line="112" w:lineRule="exact"/>
        <w:rPr>
          <w:sz w:val="20"/>
          <w:szCs w:val="20"/>
          <w:color w:val="auto"/>
        </w:rPr>
      </w:pPr>
    </w:p>
    <w:p>
      <w:pPr>
        <w:ind w:right="160" w:firstLine="479"/>
        <w:spacing w:after="0" w:line="251"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ASU 2016-13 revises the impairment model to utilize an expected loss methodology in place of the incurred loss methodology, which results in more timely recognition of losses on financial instruments. We adopted this standard at the beginning of the fiscal year ended December 31, 2023. As a result, we revised the impairment model to utilize an expected loss methodology in place of an incurred loss methodology related to our allowance for credit losses. We evaluate our allowance for credit losses based on historical bad debt experience, our assessment of the financial condition of companies with which we do business, current macroeconomic conditions and reasonable and supportable forecasts of future macroeconomic conditions. The adoption did not have a material impact on the Company's condensed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2" w:lineRule="exact"/>
        <w:rPr>
          <w:sz w:val="20"/>
          <w:szCs w:val="20"/>
          <w:color w:val="auto"/>
        </w:rPr>
      </w:pPr>
    </w:p>
    <w:p>
      <w:pPr>
        <w:ind w:right="220" w:firstLine="479"/>
        <w:spacing w:after="0" w:line="252"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requires companies with a single reportable segment to provide all existing segment disclosures in Topic 280, as well as new incremental segment information required by this standard on an annual and interim basis. The guidance is effective for fiscal years beginning after December 15, 2023 on a retrospective basis, and interim periods within fiscal years beginning after December 15, 2024, with early adoption permitted. We adopted this standard for our annual consolidated financial statements included in our Annual Report on Form 10-K for the year ended December 31, 2024 and have applied this standard retrospectively for all periods presented.</w:t>
      </w:r>
    </w:p>
    <w:p>
      <w:pPr>
        <w:spacing w:after="0" w:line="294" w:lineRule="exact"/>
        <w:rPr>
          <w:sz w:val="20"/>
          <w:szCs w:val="20"/>
          <w:color w:val="auto"/>
        </w:rPr>
      </w:pPr>
    </w:p>
    <w:p>
      <w:pPr>
        <w:ind w:left="220" w:hanging="214"/>
        <w:spacing w:after="0"/>
        <w:tabs>
          <w:tab w:leader="none" w:pos="220" w:val="left"/>
        </w:tabs>
        <w:numPr>
          <w:ilvl w:val="0"/>
          <w:numId w:val="8"/>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Revenue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disaggregation of revenue was as follows:</w:t>
      </w:r>
    </w:p>
    <w:p>
      <w:pPr>
        <w:spacing w:after="0" w:line="25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1"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4" w:lineRule="exact"/>
        <w:rPr>
          <w:sz w:val="20"/>
          <w:szCs w:val="20"/>
          <w:color w:val="auto"/>
        </w:rPr>
      </w:pPr>
    </w:p>
    <w:tbl>
      <w:tblPr>
        <w:tblLayout w:type="fixed"/>
        <w:tblInd w:w="720" w:type="dxa"/>
        <w:tblCellMar>
          <w:top w:w="0" w:type="dxa"/>
          <w:left w:w="0" w:type="dxa"/>
          <w:bottom w:w="0" w:type="dxa"/>
          <w:right w:w="0" w:type="dxa"/>
        </w:tblCellMar>
      </w:tblPr>
      <w:tr>
        <w:trPr>
          <w:trHeight w:val="219"/>
        </w:trPr>
        <w:tc>
          <w:tcPr>
            <w:tcW w:w="74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Over-time revenue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2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Point-in-time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52,435</w:t>
            </w:r>
          </w:p>
        </w:tc>
      </w:tr>
      <w:tr>
        <w:trPr>
          <w:trHeight w:val="244"/>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231F20"/>
        </w:rPr>
        <w:t xml:space="preserve">Revenue for unsatisfied performance obligations expected to be recognized in the future for contracts with an original expected duration of greater than one year was </w:t>
      </w:r>
      <w:r>
        <w:rPr>
          <w:rFonts w:ascii="Times New Roman" w:cs="Times New Roman" w:eastAsia="Times New Roman" w:hAnsi="Times New Roman"/>
          <w:sz w:val="18"/>
          <w:szCs w:val="18"/>
          <w:color w:val="000000"/>
        </w:rPr>
        <w:t>$0.7</w:t>
      </w:r>
      <w:r>
        <w:rPr>
          <w:rFonts w:ascii="Times New Roman" w:cs="Times New Roman" w:eastAsia="Times New Roman" w:hAnsi="Times New Roman"/>
          <w:sz w:val="18"/>
          <w:szCs w:val="18"/>
          <w:color w:val="231F20"/>
        </w:rPr>
        <w:t xml:space="preserve"> million as of March 31, 2025 and </w:t>
      </w:r>
      <w:r>
        <w:rPr>
          <w:rFonts w:ascii="Times New Roman" w:cs="Times New Roman" w:eastAsia="Times New Roman" w:hAnsi="Times New Roman"/>
          <w:sz w:val="18"/>
          <w:szCs w:val="18"/>
          <w:color w:val="000000"/>
        </w:rPr>
        <w:t>$0.8 million as of</w:t>
      </w:r>
      <w:r>
        <w:rPr>
          <w:rFonts w:ascii="Times New Roman" w:cs="Times New Roman" w:eastAsia="Times New Roman" w:hAnsi="Times New Roman"/>
          <w:sz w:val="18"/>
          <w:szCs w:val="18"/>
          <w:color w:val="231F20"/>
        </w:rPr>
        <w:t xml:space="preserve"> December 31, 2024. These amounts do not include contracts with an original expected duration of less than one year, which is the majority of the Company’s contracts. Remaining deferred revenue that is anticipated to be recognized during the succeeding 12 month period is recorded in the current portion of </w:t>
      </w:r>
      <w:r>
        <w:rPr>
          <w:rFonts w:ascii="Times New Roman" w:cs="Times New Roman" w:eastAsia="Times New Roman" w:hAnsi="Times New Roman"/>
          <w:sz w:val="18"/>
          <w:szCs w:val="18"/>
          <w:color w:val="000000"/>
        </w:rPr>
        <w:t>deferred</w:t>
      </w:r>
      <w:r>
        <w:rPr>
          <w:rFonts w:ascii="Times New Roman" w:cs="Times New Roman" w:eastAsia="Times New Roman" w:hAnsi="Times New Roman"/>
          <w:sz w:val="18"/>
          <w:szCs w:val="18"/>
          <w:color w:val="231F20"/>
        </w:rPr>
        <w:t xml:space="preserve"> revenue within the condensed consolidated balance sheets.</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 w:name="page12"/>
    <w:bookmarkEnd w:id="1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 xml:space="preserve">4. </w:t>
      </w:r>
      <w:r>
        <w:rPr>
          <w:rFonts w:ascii="Times New Roman" w:cs="Times New Roman" w:eastAsia="Times New Roman" w:hAnsi="Times New Roman"/>
          <w:sz w:val="21"/>
          <w:szCs w:val="21"/>
          <w:b w:val="1"/>
          <w:bCs w:val="1"/>
          <w:i w:val="1"/>
          <w:iCs w:val="1"/>
          <w:color w:val="231F20"/>
        </w:rPr>
        <w:t>Property, Equipment, and Software, Net</w:t>
      </w:r>
    </w:p>
    <w:p>
      <w:pPr>
        <w:spacing w:after="0" w:line="117"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 xml:space="preserve">Major </w:t>
            </w:r>
            <w:r>
              <w:rPr>
                <w:rFonts w:ascii="Times New Roman" w:cs="Times New Roman" w:eastAsia="Times New Roman" w:hAnsi="Times New Roman"/>
                <w:sz w:val="18"/>
                <w:szCs w:val="18"/>
                <w:color w:val="000000"/>
              </w:rPr>
              <w:t>classes</w:t>
            </w:r>
            <w:r>
              <w:rPr>
                <w:rFonts w:ascii="Times New Roman" w:cs="Times New Roman" w:eastAsia="Times New Roman" w:hAnsi="Times New Roman"/>
                <w:sz w:val="18"/>
                <w:szCs w:val="18"/>
                <w:color w:val="231F20"/>
              </w:rPr>
              <w:t xml:space="preserve"> of property, equipment, and software were as follows: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4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7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106,784</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32,645</w:t>
            </w:r>
          </w:p>
        </w:tc>
        <w:tc>
          <w:tcPr>
            <w:tcW w:w="100" w:type="dxa"/>
            <w:vAlign w:val="bottom"/>
          </w:tcPr>
          <w:p>
            <w:pPr>
              <w:spacing w:after="0"/>
              <w:rPr>
                <w:sz w:val="19"/>
                <w:szCs w:val="19"/>
                <w:color w:val="auto"/>
              </w:rPr>
            </w:pPr>
          </w:p>
        </w:tc>
        <w:tc>
          <w:tcPr>
            <w:tcW w:w="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31F20"/>
              </w:rPr>
              <w:t>Depreciation recorded in the condensed consolidated statements of operations was as follows:</w:t>
            </w: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5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6"/>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72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sz w:val="20"/>
                <w:szCs w:val="20"/>
                <w:color w:val="auto"/>
              </w:rPr>
            </w:pPr>
          </w:p>
        </w:tc>
        <w:tc>
          <w:tcPr>
            <w:tcW w:w="7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5. </w:t>
      </w:r>
      <w:r>
        <w:rPr>
          <w:rFonts w:ascii="Times New Roman" w:cs="Times New Roman" w:eastAsia="Times New Roman" w:hAnsi="Times New Roman"/>
          <w:sz w:val="21"/>
          <w:szCs w:val="21"/>
          <w:b w:val="1"/>
          <w:bCs w:val="1"/>
          <w:i w:val="1"/>
          <w:iCs w:val="1"/>
          <w:color w:val="auto"/>
        </w:rPr>
        <w:t>Leases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operating leases for its office space, which have remaining lease terms of up to six years. The Company does not have finance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93" w:lineRule="exact"/>
        <w:rPr>
          <w:sz w:val="20"/>
          <w:szCs w:val="20"/>
          <w:color w:val="auto"/>
        </w:rPr>
      </w:pPr>
    </w:p>
    <w:p>
      <w:pPr>
        <w:jc w:val="both"/>
        <w:ind w:right="100" w:firstLine="479"/>
        <w:spacing w:after="0" w:line="261" w:lineRule="auto"/>
        <w:rPr>
          <w:sz w:val="20"/>
          <w:szCs w:val="20"/>
          <w:color w:val="auto"/>
        </w:rPr>
      </w:pPr>
      <w:r>
        <w:rPr>
          <w:rFonts w:ascii="Times New Roman" w:cs="Times New Roman" w:eastAsia="Times New Roman" w:hAnsi="Times New Roman"/>
          <w:sz w:val="18"/>
          <w:szCs w:val="18"/>
          <w:color w:val="auto"/>
        </w:rPr>
        <w:t>Some of these leases include renewal options to extend the leases for up to five years and/or termination options to terminate the leases within one year. If it is reasonably certain that a renewal or termination option will be exercised, the exercise of the option is considered in calculating the term of the lease.</w:t>
      </w:r>
    </w:p>
    <w:p>
      <w:pPr>
        <w:spacing w:after="0" w:line="69" w:lineRule="exact"/>
        <w:rPr>
          <w:sz w:val="20"/>
          <w:szCs w:val="20"/>
          <w:color w:val="auto"/>
        </w:rPr>
      </w:pPr>
    </w:p>
    <w:p>
      <w:pPr>
        <w:ind w:right="220" w:firstLine="479"/>
        <w:spacing w:after="0" w:line="261" w:lineRule="auto"/>
        <w:rPr>
          <w:sz w:val="20"/>
          <w:szCs w:val="20"/>
          <w:color w:val="auto"/>
        </w:rPr>
      </w:pPr>
      <w:r>
        <w:rPr>
          <w:rFonts w:ascii="Times New Roman" w:cs="Times New Roman" w:eastAsia="Times New Roman" w:hAnsi="Times New Roman"/>
          <w:sz w:val="18"/>
          <w:szCs w:val="18"/>
          <w:color w:val="auto"/>
        </w:rPr>
        <w:t>As of March 31, 2025, the Company's operating leases had a weighted-average remaining lease term of approximately five years and a weighted-average incremental borrowing rate of 4.1%. As of March 31, 2024, the Company's operating leases had a weighted-average remaining lease term of approximately six years and a weighted-average incremental borrowing rate of 4.0%.</w:t>
      </w:r>
    </w:p>
    <w:p>
      <w:pPr>
        <w:spacing w:after="0" w:line="69" w:lineRule="exact"/>
        <w:rPr>
          <w:sz w:val="20"/>
          <w:szCs w:val="20"/>
          <w:color w:val="auto"/>
        </w:rPr>
      </w:pPr>
    </w:p>
    <w:p>
      <w:pPr>
        <w:ind w:right="180" w:firstLine="479"/>
        <w:spacing w:after="0" w:line="275" w:lineRule="auto"/>
        <w:rPr>
          <w:sz w:val="20"/>
          <w:szCs w:val="20"/>
          <w:color w:val="auto"/>
        </w:rPr>
      </w:pPr>
      <w:r>
        <w:rPr>
          <w:rFonts w:ascii="Times New Roman" w:cs="Times New Roman" w:eastAsia="Times New Roman" w:hAnsi="Times New Roman"/>
          <w:sz w:val="18"/>
          <w:szCs w:val="18"/>
          <w:color w:val="auto"/>
        </w:rPr>
        <w:t>Cash paid for amounts included in operating lease liabilities was $1.1 million for the three months ended March 31, 2025, and $1.3 million for the three months ended March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138"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74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1,415</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r>
      <w:tr>
        <w:trPr>
          <w:trHeight w:val="20"/>
        </w:trPr>
        <w:tc>
          <w:tcPr>
            <w:tcW w:w="7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119" w:right="559" w:bottom="1440" w:gutter="0" w:footer="0" w:header="0"/>
        </w:sectPr>
      </w:pPr>
    </w:p>
    <w:p>
      <w:pPr>
        <w:spacing w:after="0" w:line="28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20"/>
          </w:cols>
          <w:pgMar w:left="320" w:top="119" w:right="559" w:bottom="1440" w:gutter="0" w:footer="0" w:header="0"/>
          <w:type w:val="continuous"/>
        </w:sectPr>
      </w:pPr>
    </w:p>
    <w:bookmarkStart w:id="12" w:name="page13"/>
    <w:bookmarkEnd w:id="1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20" w:firstLine="479"/>
        <w:spacing w:after="0" w:line="256" w:lineRule="auto"/>
        <w:rPr>
          <w:sz w:val="20"/>
          <w:szCs w:val="20"/>
          <w:color w:val="auto"/>
        </w:rPr>
      </w:pPr>
      <w:r>
        <w:rPr>
          <w:rFonts w:ascii="Times New Roman" w:cs="Times New Roman" w:eastAsia="Times New Roman" w:hAnsi="Times New Roman"/>
          <w:sz w:val="18"/>
          <w:szCs w:val="18"/>
          <w:color w:val="auto"/>
        </w:rPr>
        <w:t>As of March 31, 2025, the Company had a remaining contractual obligation of $1.2 million related to a short-term lease to be paid over the following two years. The effective term of this lease is based on the cumulative days available for use throughout the contractual term, which is less than one year. The cost for this lease is included in the disclosure of short-term lease cost. This lease and other of our short-term leases are not recorded on the Company's condensed consolidated balance sheet due to our accounting policy election for short-term leases.</w:t>
      </w:r>
    </w:p>
    <w:p>
      <w:pPr>
        <w:spacing w:after="0" w:line="74"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were as follows: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05"/>
        </w:trPr>
        <w:tc>
          <w:tcPr>
            <w:tcW w:w="24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4"/>
        </w:trPr>
        <w:tc>
          <w:tcPr>
            <w:tcW w:w="24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6"/>
              </w:rPr>
              <w:t>March 31,</w:t>
            </w:r>
          </w:p>
        </w:tc>
      </w:tr>
      <w:tr>
        <w:trPr>
          <w:trHeight w:val="225"/>
        </w:trPr>
        <w:tc>
          <w:tcPr>
            <w:tcW w:w="240" w:type="dxa"/>
            <w:vAlign w:val="bottom"/>
          </w:tcPr>
          <w:p>
            <w:pPr>
              <w:spacing w:after="0"/>
              <w:rPr>
                <w:sz w:val="19"/>
                <w:szCs w:val="19"/>
                <w:color w:val="auto"/>
              </w:rPr>
            </w:pPr>
          </w:p>
        </w:tc>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9"/>
        </w:trPr>
        <w:tc>
          <w:tcPr>
            <w:tcW w:w="240" w:type="dxa"/>
            <w:vAlign w:val="bottom"/>
          </w:tcPr>
          <w:p>
            <w:pPr>
              <w:spacing w:after="0"/>
              <w:rPr>
                <w:sz w:val="19"/>
                <w:szCs w:val="19"/>
                <w:color w:val="auto"/>
              </w:rPr>
            </w:pPr>
          </w:p>
        </w:tc>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r>
      <w:tr>
        <w:trPr>
          <w:trHeight w:val="226"/>
        </w:trPr>
        <w:tc>
          <w:tcPr>
            <w:tcW w:w="240" w:type="dxa"/>
            <w:vAlign w:val="bottom"/>
          </w:tcPr>
          <w:p>
            <w:pPr>
              <w:spacing w:after="0"/>
              <w:rPr>
                <w:sz w:val="19"/>
                <w:szCs w:val="19"/>
                <w:color w:val="auto"/>
              </w:rPr>
            </w:pP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26"/>
        </w:trPr>
        <w:tc>
          <w:tcPr>
            <w:tcW w:w="240" w:type="dxa"/>
            <w:vAlign w:val="bottom"/>
          </w:tcPr>
          <w:p>
            <w:pPr>
              <w:spacing w:after="0"/>
              <w:rPr>
                <w:sz w:val="19"/>
                <w:szCs w:val="19"/>
                <w:color w:val="auto"/>
              </w:rPr>
            </w:pPr>
          </w:p>
        </w:tc>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r>
      <w:tr>
        <w:trPr>
          <w:trHeight w:val="226"/>
        </w:trPr>
        <w:tc>
          <w:tcPr>
            <w:tcW w:w="240" w:type="dxa"/>
            <w:vAlign w:val="bottom"/>
          </w:tcPr>
          <w:p>
            <w:pPr>
              <w:spacing w:after="0"/>
              <w:rPr>
                <w:sz w:val="19"/>
                <w:szCs w:val="19"/>
                <w:color w:val="auto"/>
              </w:rPr>
            </w:pP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26"/>
        </w:trPr>
        <w:tc>
          <w:tcPr>
            <w:tcW w:w="240" w:type="dxa"/>
            <w:vAlign w:val="bottom"/>
          </w:tcPr>
          <w:p>
            <w:pPr>
              <w:spacing w:after="0"/>
              <w:rPr>
                <w:sz w:val="19"/>
                <w:szCs w:val="19"/>
                <w:color w:val="auto"/>
              </w:rPr>
            </w:pPr>
          </w:p>
        </w:tc>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226"/>
        </w:trPr>
        <w:tc>
          <w:tcPr>
            <w:tcW w:w="240" w:type="dxa"/>
            <w:vAlign w:val="bottom"/>
          </w:tcPr>
          <w:p>
            <w:pPr>
              <w:spacing w:after="0"/>
              <w:rPr>
                <w:sz w:val="19"/>
                <w:szCs w:val="19"/>
                <w:color w:val="auto"/>
              </w:rPr>
            </w:pPr>
          </w:p>
        </w:tc>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w:t>
            </w:r>
          </w:p>
        </w:tc>
      </w:tr>
      <w:tr>
        <w:trPr>
          <w:trHeight w:val="219"/>
        </w:trPr>
        <w:tc>
          <w:tcPr>
            <w:tcW w:w="240" w:type="dxa"/>
            <w:vAlign w:val="bottom"/>
          </w:tcPr>
          <w:p>
            <w:pPr>
              <w:spacing w:after="0"/>
              <w:rPr>
                <w:sz w:val="19"/>
                <w:szCs w:val="19"/>
                <w:color w:val="auto"/>
              </w:rPr>
            </w:pPr>
          </w:p>
        </w:tc>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undiscounted future lease payments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w:t>
            </w:r>
          </w:p>
        </w:tc>
      </w:tr>
      <w:tr>
        <w:trPr>
          <w:trHeight w:val="226"/>
        </w:trPr>
        <w:tc>
          <w:tcPr>
            <w:tcW w:w="240" w:type="dxa"/>
            <w:vAlign w:val="bottom"/>
          </w:tcPr>
          <w:p>
            <w:pPr>
              <w:spacing w:after="0"/>
              <w:rPr>
                <w:sz w:val="19"/>
                <w:szCs w:val="19"/>
                <w:color w:val="auto"/>
              </w:rPr>
            </w:pPr>
          </w:p>
        </w:tc>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w:t>
            </w:r>
          </w:p>
        </w:tc>
      </w:tr>
      <w:tr>
        <w:trPr>
          <w:trHeight w:val="219"/>
        </w:trPr>
        <w:tc>
          <w:tcPr>
            <w:tcW w:w="240" w:type="dxa"/>
            <w:vAlign w:val="bottom"/>
          </w:tcPr>
          <w:p>
            <w:pPr>
              <w:spacing w:after="0"/>
              <w:rPr>
                <w:sz w:val="19"/>
                <w:szCs w:val="19"/>
                <w:color w:val="auto"/>
              </w:rPr>
            </w:pPr>
          </w:p>
        </w:tc>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24,993</w:t>
            </w:r>
          </w:p>
        </w:tc>
      </w:tr>
      <w:tr>
        <w:trPr>
          <w:trHeight w:val="226"/>
        </w:trPr>
        <w:tc>
          <w:tcPr>
            <w:tcW w:w="240" w:type="dxa"/>
            <w:vAlign w:val="bottom"/>
          </w:tcPr>
          <w:p>
            <w:pPr>
              <w:spacing w:after="0"/>
              <w:rPr>
                <w:sz w:val="19"/>
                <w:szCs w:val="19"/>
                <w:color w:val="auto"/>
              </w:rPr>
            </w:pPr>
          </w:p>
        </w:tc>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w:t>
            </w:r>
          </w:p>
        </w:tc>
      </w:tr>
      <w:tr>
        <w:trPr>
          <w:trHeight w:val="244"/>
        </w:trPr>
        <w:tc>
          <w:tcPr>
            <w:tcW w:w="240" w:type="dxa"/>
            <w:vAlign w:val="bottom"/>
          </w:tcPr>
          <w:p>
            <w:pPr>
              <w:spacing w:after="0"/>
              <w:rPr>
                <w:sz w:val="20"/>
                <w:szCs w:val="20"/>
                <w:color w:val="auto"/>
              </w:rPr>
            </w:pPr>
          </w:p>
        </w:tc>
        <w:tc>
          <w:tcPr>
            <w:tcW w:w="8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w:t>
            </w:r>
          </w:p>
        </w:tc>
      </w:tr>
      <w:tr>
        <w:trPr>
          <w:trHeight w:val="20"/>
        </w:trPr>
        <w:tc>
          <w:tcPr>
            <w:tcW w:w="240" w:type="dxa"/>
            <w:vAlign w:val="bottom"/>
          </w:tcPr>
          <w:p>
            <w:pPr>
              <w:spacing w:after="0" w:line="20" w:lineRule="exact"/>
              <w:rPr>
                <w:sz w:val="1"/>
                <w:szCs w:val="1"/>
                <w:color w:val="auto"/>
              </w:rPr>
            </w:pPr>
          </w:p>
        </w:tc>
        <w:tc>
          <w:tcPr>
            <w:tcW w:w="8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 xml:space="preserve">6. </w:t>
      </w:r>
      <w:r>
        <w:rPr>
          <w:rFonts w:ascii="Times New Roman" w:cs="Times New Roman" w:eastAsia="Times New Roman" w:hAnsi="Times New Roman"/>
          <w:sz w:val="21"/>
          <w:szCs w:val="21"/>
          <w:b w:val="1"/>
          <w:bCs w:val="1"/>
          <w:i w:val="1"/>
          <w:iCs w:val="1"/>
          <w:color w:val="231F20"/>
        </w:rPr>
        <w:t>Intangible Assets, Net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4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The balances of intangible assets and accumulated amortization were as follows: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As of March 31, 2025</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20" w:type="dxa"/>
            <w:vAlign w:val="bottom"/>
            <w:gridSpan w:val="2"/>
          </w:tcPr>
          <w:p>
            <w:pPr>
              <w:jc w:val="center"/>
              <w:ind w:right="100"/>
              <w:spacing w:after="0" w:line="16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20" w:type="dxa"/>
            <w:vAlign w:val="bottom"/>
            <w:gridSpan w:val="2"/>
          </w:tcPr>
          <w:p>
            <w:pPr>
              <w:jc w:val="center"/>
              <w:ind w:right="80"/>
              <w:spacing w:after="0" w:line="17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5"/>
                <w:szCs w:val="15"/>
                <w:color w:val="auto"/>
              </w:rPr>
            </w:pPr>
          </w:p>
        </w:tc>
        <w:tc>
          <w:tcPr>
            <w:tcW w:w="14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Net Carrying</w:t>
            </w: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7"/>
              </w:rPr>
              <w:t>Average Useful</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19"/>
                <w:szCs w:val="19"/>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Trademarks/tradenames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As of December 31, 2024</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20" w:type="dxa"/>
            <w:vAlign w:val="bottom"/>
            <w:gridSpan w:val="2"/>
          </w:tcPr>
          <w:p>
            <w:pPr>
              <w:jc w:val="center"/>
              <w:ind w:right="100"/>
              <w:spacing w:after="0" w:line="16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20" w:type="dxa"/>
            <w:vAlign w:val="bottom"/>
            <w:gridSpan w:val="2"/>
          </w:tcPr>
          <w:p>
            <w:pPr>
              <w:jc w:val="center"/>
              <w:ind w:right="80"/>
              <w:spacing w:after="0" w:line="173"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5"/>
                <w:szCs w:val="15"/>
                <w:color w:val="auto"/>
              </w:rPr>
            </w:pPr>
          </w:p>
        </w:tc>
        <w:tc>
          <w:tcPr>
            <w:tcW w:w="14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Net Carrying</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20" w:type="dxa"/>
            <w:vAlign w:val="bottom"/>
            <w:gridSpan w:val="2"/>
          </w:tcPr>
          <w:p>
            <w:pPr>
              <w:jc w:val="center"/>
              <w:ind w:right="80"/>
              <w:spacing w:after="0" w:line="173" w:lineRule="exact"/>
              <w:rPr>
                <w:sz w:val="20"/>
                <w:szCs w:val="20"/>
                <w:color w:val="auto"/>
              </w:rPr>
            </w:pPr>
            <w:r>
              <w:rPr>
                <w:rFonts w:ascii="Times New Roman" w:cs="Times New Roman" w:eastAsia="Times New Roman" w:hAnsi="Times New Roman"/>
                <w:sz w:val="18"/>
                <w:szCs w:val="18"/>
                <w:b w:val="1"/>
                <w:bCs w:val="1"/>
                <w:color w:val="auto"/>
                <w:w w:val="97"/>
              </w:rPr>
              <w:t>Average Useful</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2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Trademarks/tradenames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40" w:type="dxa"/>
            <w:vAlign w:val="bottom"/>
            <w:vMerge w:val="restart"/>
          </w:tcPr>
          <w:p>
            <w:pPr>
              <w:jc w:val="right"/>
              <w:ind w:right="611"/>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2"/>
        </w:trPr>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72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Amortization of intangible assets recorded in the condensed consolidated statements of operations was as follows:</w:t>
      </w:r>
    </w:p>
    <w:p>
      <w:pPr>
        <w:spacing w:after="0" w:line="138"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260" w:type="dxa"/>
            <w:vAlign w:val="bottom"/>
          </w:tcPr>
          <w:p>
            <w:pPr>
              <w:spacing w:after="0"/>
              <w:rPr>
                <w:sz w:val="20"/>
                <w:szCs w:val="20"/>
                <w:color w:val="auto"/>
              </w:rPr>
            </w:pPr>
          </w:p>
        </w:tc>
        <w:tc>
          <w:tcPr>
            <w:tcW w:w="744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9"/>
        </w:trPr>
        <w:tc>
          <w:tcPr>
            <w:tcW w:w="260" w:type="dxa"/>
            <w:vAlign w:val="bottom"/>
            <w:tcBorders>
              <w:right w:val="single" w:sz="8" w:color="CCEEFF"/>
            </w:tcBorders>
          </w:tcPr>
          <w:p>
            <w:pPr>
              <w:spacing w:after="0"/>
              <w:rPr>
                <w:sz w:val="19"/>
                <w:szCs w:val="19"/>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96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60" w:type="dxa"/>
            <w:vAlign w:val="bottom"/>
            <w:tcBorders>
              <w:right w:val="single" w:sz="8" w:color="CCEEFF"/>
            </w:tcBorders>
          </w:tcPr>
          <w:p>
            <w:pPr>
              <w:spacing w:after="0"/>
              <w:rPr>
                <w:sz w:val="19"/>
                <w:szCs w:val="19"/>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60" w:type="dxa"/>
            <w:vAlign w:val="bottom"/>
          </w:tcPr>
          <w:p>
            <w:pPr>
              <w:spacing w:after="0"/>
              <w:rPr>
                <w:sz w:val="19"/>
                <w:szCs w:val="19"/>
                <w:color w:val="auto"/>
              </w:rPr>
            </w:pPr>
          </w:p>
        </w:tc>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9"/>
        </w:trPr>
        <w:tc>
          <w:tcPr>
            <w:tcW w:w="260" w:type="dxa"/>
            <w:vAlign w:val="bottom"/>
            <w:tcBorders>
              <w:right w:val="single" w:sz="8" w:color="CCEEFF"/>
            </w:tcBorders>
          </w:tcPr>
          <w:p>
            <w:pPr>
              <w:spacing w:after="0"/>
              <w:rPr>
                <w:sz w:val="19"/>
                <w:szCs w:val="19"/>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60" w:type="dxa"/>
            <w:vAlign w:val="bottom"/>
            <w:tcBorders>
              <w:right w:val="single" w:sz="8" w:color="CCEEFF"/>
            </w:tcBorders>
          </w:tcPr>
          <w:p>
            <w:pPr>
              <w:spacing w:after="0" w:line="20" w:lineRule="exact"/>
              <w:rPr>
                <w:sz w:val="1"/>
                <w:szCs w:val="1"/>
                <w:color w:val="auto"/>
              </w:rPr>
            </w:pPr>
          </w:p>
        </w:tc>
        <w:tc>
          <w:tcPr>
            <w:tcW w:w="74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31F20"/>
              </w:rPr>
              <w:t xml:space="preserve">Estimated future </w:t>
            </w:r>
            <w:r>
              <w:rPr>
                <w:rFonts w:ascii="Times New Roman" w:cs="Times New Roman" w:eastAsia="Times New Roman" w:hAnsi="Times New Roman"/>
                <w:sz w:val="18"/>
                <w:szCs w:val="18"/>
                <w:color w:val="000000"/>
              </w:rPr>
              <w:t>amortization</w:t>
            </w:r>
            <w:r>
              <w:rPr>
                <w:rFonts w:ascii="Times New Roman" w:cs="Times New Roman" w:eastAsia="Times New Roman" w:hAnsi="Times New Roman"/>
                <w:sz w:val="18"/>
                <w:szCs w:val="18"/>
                <w:color w:val="231F20"/>
              </w:rPr>
              <w:t xml:space="preserve"> of intangible assets was as follows:</w:t>
            </w: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7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9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19"/>
        </w:trPr>
        <w:tc>
          <w:tcPr>
            <w:tcW w:w="260" w:type="dxa"/>
            <w:vAlign w:val="bottom"/>
          </w:tcPr>
          <w:p>
            <w:pPr>
              <w:spacing w:after="0"/>
              <w:rPr>
                <w:sz w:val="19"/>
                <w:szCs w:val="19"/>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26"/>
        </w:trPr>
        <w:tc>
          <w:tcPr>
            <w:tcW w:w="2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26"/>
        </w:trPr>
        <w:tc>
          <w:tcPr>
            <w:tcW w:w="260" w:type="dxa"/>
            <w:vAlign w:val="bottom"/>
          </w:tcPr>
          <w:p>
            <w:pPr>
              <w:spacing w:after="0"/>
              <w:rPr>
                <w:sz w:val="19"/>
                <w:szCs w:val="19"/>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26"/>
        </w:trPr>
        <w:tc>
          <w:tcPr>
            <w:tcW w:w="2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26"/>
        </w:trPr>
        <w:tc>
          <w:tcPr>
            <w:tcW w:w="260" w:type="dxa"/>
            <w:vAlign w:val="bottom"/>
          </w:tcPr>
          <w:p>
            <w:pPr>
              <w:spacing w:after="0"/>
              <w:rPr>
                <w:sz w:val="19"/>
                <w:szCs w:val="19"/>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6"/>
        </w:trPr>
        <w:tc>
          <w:tcPr>
            <w:tcW w:w="260" w:type="dxa"/>
            <w:vAlign w:val="bottom"/>
          </w:tcPr>
          <w:p>
            <w:pPr>
              <w:spacing w:after="0"/>
              <w:rPr>
                <w:sz w:val="19"/>
                <w:szCs w:val="19"/>
                <w:color w:val="auto"/>
              </w:rPr>
            </w:pPr>
          </w:p>
        </w:tc>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 xml:space="preserve">7. </w:t>
      </w:r>
      <w:r>
        <w:rPr>
          <w:rFonts w:ascii="Times New Roman" w:cs="Times New Roman" w:eastAsia="Times New Roman" w:hAnsi="Times New Roman"/>
          <w:sz w:val="21"/>
          <w:szCs w:val="21"/>
          <w:b w:val="1"/>
          <w:bCs w:val="1"/>
          <w:i w:val="1"/>
          <w:iCs w:val="1"/>
          <w:color w:val="231F20"/>
        </w:rPr>
        <w:t>Accrued Liabilities</w:t>
      </w:r>
    </w:p>
    <w:p>
      <w:pPr>
        <w:spacing w:after="0" w:line="131"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Company’s accrued liabilities consisted of the following:</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05"/>
        </w:trPr>
        <w:tc>
          <w:tcPr>
            <w:tcW w:w="2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60" w:type="dxa"/>
            <w:vAlign w:val="bottom"/>
          </w:tcPr>
          <w:p>
            <w:pPr>
              <w:spacing w:after="0"/>
              <w:rPr>
                <w:sz w:val="24"/>
                <w:szCs w:val="24"/>
                <w:color w:val="auto"/>
              </w:rPr>
            </w:pPr>
          </w:p>
        </w:tc>
        <w:tc>
          <w:tcPr>
            <w:tcW w:w="13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37"/>
        </w:trPr>
        <w:tc>
          <w:tcPr>
            <w:tcW w:w="24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20"/>
                <w:szCs w:val="20"/>
                <w:color w:val="auto"/>
              </w:rPr>
            </w:pPr>
          </w:p>
        </w:tc>
        <w:tc>
          <w:tcPr>
            <w:tcW w:w="130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22"/>
        </w:trPr>
        <w:tc>
          <w:tcPr>
            <w:tcW w:w="240" w:type="dxa"/>
            <w:vAlign w:val="bottom"/>
          </w:tcPr>
          <w:p>
            <w:pPr>
              <w:spacing w:after="0"/>
              <w:rPr>
                <w:sz w:val="19"/>
                <w:szCs w:val="19"/>
                <w:color w:val="auto"/>
              </w:rPr>
            </w:pPr>
          </w:p>
        </w:tc>
        <w:tc>
          <w:tcPr>
            <w:tcW w:w="72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19"/>
        </w:trPr>
        <w:tc>
          <w:tcPr>
            <w:tcW w:w="240" w:type="dxa"/>
            <w:vAlign w:val="bottom"/>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traffic acquisition costs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39,985</w:t>
            </w:r>
          </w:p>
        </w:tc>
      </w:tr>
      <w:tr>
        <w:trPr>
          <w:trHeight w:val="226"/>
        </w:trPr>
        <w:tc>
          <w:tcPr>
            <w:tcW w:w="240" w:type="dxa"/>
            <w:vAlign w:val="bottom"/>
          </w:tcPr>
          <w:p>
            <w:pPr>
              <w:spacing w:after="0"/>
              <w:rPr>
                <w:sz w:val="19"/>
                <w:szCs w:val="19"/>
                <w:color w:val="auto"/>
              </w:rPr>
            </w:pPr>
          </w:p>
        </w:tc>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r>
      <w:tr>
        <w:trPr>
          <w:trHeight w:val="244"/>
        </w:trPr>
        <w:tc>
          <w:tcPr>
            <w:tcW w:w="240" w:type="dxa"/>
            <w:vAlign w:val="bottom"/>
          </w:tcPr>
          <w:p>
            <w:pPr>
              <w:spacing w:after="0"/>
              <w:rPr>
                <w:sz w:val="20"/>
                <w:szCs w:val="20"/>
                <w:color w:val="auto"/>
              </w:rPr>
            </w:pPr>
          </w:p>
        </w:tc>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47,352</w:t>
            </w:r>
          </w:p>
        </w:tc>
      </w:tr>
      <w:tr>
        <w:trPr>
          <w:trHeight w:val="20"/>
        </w:trPr>
        <w:tc>
          <w:tcPr>
            <w:tcW w:w="24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As of March 31, 2025 and December 31, 2024, the Company had a balance of $0.1 million and $0.3 million, respectively, payable to related parties for expenses such related parties incurred on the Company's behalf, which was recorded within accrued liabilities on the condensed consolidated balance sheets. The related expense incurred by the Company was $0.4 million for the three months ended March 31, 2025, and $0.1 million for the three months ended March 31, 2024.</w:t>
      </w:r>
    </w:p>
    <w:p>
      <w:pPr>
        <w:spacing w:after="0" w:line="287" w:lineRule="exact"/>
        <w:rPr>
          <w:sz w:val="20"/>
          <w:szCs w:val="20"/>
          <w:color w:val="auto"/>
        </w:rPr>
      </w:pPr>
    </w:p>
    <w:p>
      <w:pPr>
        <w:ind w:left="220" w:hanging="214"/>
        <w:spacing w:after="0"/>
        <w:tabs>
          <w:tab w:leader="none" w:pos="220" w:val="left"/>
        </w:tabs>
        <w:numPr>
          <w:ilvl w:val="0"/>
          <w:numId w:val="9"/>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Revolving Credit Facility</w:t>
      </w:r>
    </w:p>
    <w:p>
      <w:pPr>
        <w:spacing w:after="0" w:line="117" w:lineRule="exact"/>
        <w:rPr>
          <w:sz w:val="20"/>
          <w:szCs w:val="20"/>
          <w:color w:val="auto"/>
        </w:rPr>
      </w:pPr>
    </w:p>
    <w:p>
      <w:pPr>
        <w:ind w:right="140" w:firstLine="479"/>
        <w:spacing w:after="0" w:line="252" w:lineRule="auto"/>
        <w:rPr>
          <w:sz w:val="20"/>
          <w:szCs w:val="20"/>
          <w:color w:val="auto"/>
        </w:rPr>
      </w:pPr>
      <w:r>
        <w:rPr>
          <w:rFonts w:ascii="Times New Roman" w:cs="Times New Roman" w:eastAsia="Times New Roman" w:hAnsi="Times New Roman"/>
          <w:sz w:val="18"/>
          <w:szCs w:val="18"/>
          <w:color w:val="231F20"/>
        </w:rPr>
        <w:t>On October 31, 2019, the Company entere</w:t>
      </w:r>
      <w:r>
        <w:rPr>
          <w:rFonts w:ascii="Times New Roman" w:cs="Times New Roman" w:eastAsia="Times New Roman" w:hAnsi="Times New Roman"/>
          <w:sz w:val="18"/>
          <w:szCs w:val="18"/>
          <w:color w:val="000000"/>
        </w:rPr>
        <w:t>d into an asset-based revolving credit and security agreement (the "Loan Agreement") with PNC Bank,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National Association (“PNC Bank”) that originally provided a senior secured revolving credit facility with borrowing capacity of up to $40.0 million and a maturity date of October 31, 2024. On April 4, 2023, the Company entered into an amendment to the Loan Agreement (as so amended, the "Amended Loan Agreement") that increased the borrowing capacity under the revolving credit facility to $75.0 million, extended the maturity date to April 4, 2028, and changed the rates at which advances will bear interest. </w:t>
      </w:r>
      <w:r>
        <w:rPr>
          <w:rFonts w:ascii="Times New Roman" w:cs="Times New Roman" w:eastAsia="Times New Roman" w:hAnsi="Times New Roman"/>
          <w:sz w:val="18"/>
          <w:szCs w:val="18"/>
          <w:color w:val="231F20"/>
        </w:rPr>
        <w:t>The Amended Loan Agreement is collateralized by security interests in substantially all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Company's assets.</w:t>
      </w:r>
    </w:p>
    <w:p>
      <w:pPr>
        <w:spacing w:after="0" w:line="79"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231F20"/>
        </w:rPr>
        <w:t>Advances under the Amended Loan Agreement bear interest through maturity at a variable rate based upon the selection of either a Domestic Rate Loan or a Term SOFR Rate Loan (each, as defined in the Amended Loan Agreement). For Domestic Rate Loans, borrowings bear interest at the Alternate Base Rate plus an applicable margin. The Alternate Base Rate is defined as a fluctuating interest rate equal to the greater of (1) the base commercial lending rate of PNC Bank, (2) the overnight federal funds rate plus 0.50% and (3) the Daily Simple SOFR plus 1.00%. For Term SOFR Rate Loans, borrowings bear interest at the Term SOFR Rate (as defined in the Amended Loan Agreement) plus the SOFR Adjustment of 0.10% plus an applicable margin. The applicable margin</w:t>
      </w:r>
    </w:p>
    <w:p>
      <w:pPr>
        <w:sectPr>
          <w:pgSz w:w="11900" w:h="16838" w:orient="portrait"/>
          <w:cols w:equalWidth="0" w:num="1">
            <w:col w:w="11200"/>
          </w:cols>
          <w:pgMar w:left="320" w:top="119" w:right="379" w:bottom="1440" w:gutter="0" w:footer="0" w:header="0"/>
        </w:sectPr>
      </w:pPr>
    </w:p>
    <w:p>
      <w:pPr>
        <w:spacing w:after="0" w:line="39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14" w:name="page15"/>
    <w:bookmarkEnd w:id="14"/>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is between 1.00% to 1.25% for Domestic Rate Loans and between 2.00% and 2.25% for Term SOFR Rate Loans based on the average undrawn availability under the revolving credit facility. The applicable margin as of March 31, 2025 was equal to 1.00% for Domestic Rate Loans and 2.00% for Term SOFR Rate Loans. The facility fee for undrawn amounts under the Amended Loan Agreement is 0.375% per annum; additionally, the Company pays customary letter of credit fees as applicable.</w:t>
      </w:r>
    </w:p>
    <w:p>
      <w:pPr>
        <w:spacing w:after="0" w:line="74" w:lineRule="exact"/>
        <w:rPr>
          <w:sz w:val="20"/>
          <w:szCs w:val="20"/>
          <w:color w:val="auto"/>
        </w:rPr>
      </w:pPr>
    </w:p>
    <w:p>
      <w:pPr>
        <w:ind w:right="40" w:firstLine="479"/>
        <w:spacing w:after="0" w:line="252" w:lineRule="auto"/>
        <w:rPr>
          <w:sz w:val="20"/>
          <w:szCs w:val="20"/>
          <w:color w:val="auto"/>
        </w:rPr>
      </w:pPr>
      <w:r>
        <w:rPr>
          <w:rFonts w:ascii="Times New Roman" w:cs="Times New Roman" w:eastAsia="Times New Roman" w:hAnsi="Times New Roman"/>
          <w:sz w:val="18"/>
          <w:szCs w:val="18"/>
          <w:color w:val="231F20"/>
        </w:rPr>
        <w:t xml:space="preserve">The Amended Loan Agreement contains customary conditions to borrowings, events of default and covenants, including covenants that restrict the Company's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w:t>
      </w:r>
      <w:r>
        <w:rPr>
          <w:rFonts w:ascii="Times New Roman" w:cs="Times New Roman" w:eastAsia="Times New Roman" w:hAnsi="Times New Roman"/>
          <w:sz w:val="18"/>
          <w:szCs w:val="18"/>
          <w:color w:val="000000"/>
        </w:rPr>
        <w:t>The Amended Loan Agreement also requires that the Company maintain compliance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with a minimum Fixed Charge Coverage Ratio (as defined in the Amended Loan Agreement) of 1.40 to 1.00 at any time undrawn availability is less than 25%. </w:t>
      </w:r>
      <w:r>
        <w:rPr>
          <w:rFonts w:ascii="Times New Roman" w:cs="Times New Roman" w:eastAsia="Times New Roman" w:hAnsi="Times New Roman"/>
          <w:sz w:val="18"/>
          <w:szCs w:val="18"/>
          <w:color w:val="231F20"/>
        </w:rPr>
        <w:t>As of March 31, 2025, the Company was in compliance with all applicable covenants under the Amended Loan Agreement.</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Company did not have an outstanding balance under the revolving credit facility as of March 31, 2025 and December 31, 2024.</w:t>
      </w:r>
    </w:p>
    <w:p>
      <w:pPr>
        <w:spacing w:after="0" w:line="325" w:lineRule="exact"/>
        <w:rPr>
          <w:sz w:val="20"/>
          <w:szCs w:val="20"/>
          <w:color w:val="auto"/>
        </w:rPr>
      </w:pPr>
    </w:p>
    <w:p>
      <w:pPr>
        <w:ind w:left="220" w:hanging="214"/>
        <w:spacing w:after="0"/>
        <w:tabs>
          <w:tab w:leader="none" w:pos="220" w:val="left"/>
        </w:tabs>
        <w:numPr>
          <w:ilvl w:val="0"/>
          <w:numId w:val="10"/>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Stockholders' Equity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16" w:lineRule="exact"/>
        <w:rPr>
          <w:sz w:val="20"/>
          <w:szCs w:val="20"/>
          <w:color w:val="auto"/>
        </w:rPr>
      </w:pPr>
    </w:p>
    <w:p>
      <w:pPr>
        <w:ind w:firstLine="479"/>
        <w:spacing w:after="0" w:line="265" w:lineRule="auto"/>
        <w:rPr>
          <w:sz w:val="20"/>
          <w:szCs w:val="20"/>
          <w:color w:val="auto"/>
        </w:rPr>
      </w:pPr>
      <w:r>
        <w:rPr>
          <w:rFonts w:ascii="Times New Roman" w:cs="Times New Roman" w:eastAsia="Times New Roman" w:hAnsi="Times New Roman"/>
          <w:sz w:val="17"/>
          <w:szCs w:val="17"/>
          <w:color w:val="231F20"/>
        </w:rPr>
        <w:t xml:space="preserve">The Company is authorized to grant restricted stock units ("RSUs"), incentive stock options, nonqualified stock options ("NQSOs"), stock appreciation rights, restricted stock awards, and performance stock awards under its 2021 Long Term Incentive Plan (the “LTIP”). </w:t>
      </w:r>
      <w:r>
        <w:rPr>
          <w:rFonts w:ascii="Times New Roman" w:cs="Times New Roman" w:eastAsia="Times New Roman" w:hAnsi="Times New Roman"/>
          <w:sz w:val="17"/>
          <w:szCs w:val="17"/>
          <w:color w:val="000000"/>
        </w:rPr>
        <w:t>RSUs granted to employees generally</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vest over a period of two-to-four years, contingent upon continued employment through the vesting date. RSUs awarded to members of our board of directors (the "board") upon their initial appointment vest over a three-year period; provided that if board members are appointed on a date other than the date of an annual meeting of Viant’s stockholders, such board members will receive an additional initial grant of RSUs vesting in full on the date of the next annual meeting of Viant’s stockholders. RSUs awarded to board members annually vest in full on the earlier of (i) the date of the following year’s annual meeting or</w:t>
      </w:r>
    </w:p>
    <w:p>
      <w:pPr>
        <w:spacing w:after="0" w:line="1" w:lineRule="exact"/>
        <w:rPr>
          <w:sz w:val="20"/>
          <w:szCs w:val="20"/>
          <w:color w:val="auto"/>
        </w:rPr>
      </w:pPr>
    </w:p>
    <w:p>
      <w:pPr>
        <w:ind w:right="180" w:firstLine="6"/>
        <w:spacing w:after="0" w:line="253" w:lineRule="auto"/>
        <w:tabs>
          <w:tab w:leader="none" w:pos="26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anniversary of the date of grant. Nonqualified stock options generally vest over a period of two-to-four years and have a contractual term of ten years.</w:t>
      </w:r>
    </w:p>
    <w:p>
      <w:pPr>
        <w:spacing w:after="0" w:line="76" w:lineRule="exact"/>
        <w:rPr>
          <w:sz w:val="20"/>
          <w:szCs w:val="20"/>
          <w:color w:val="auto"/>
        </w:rPr>
      </w:pPr>
    </w:p>
    <w:p>
      <w:pPr>
        <w:ind w:right="40" w:firstLine="479"/>
        <w:spacing w:after="0" w:line="275"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the Company had only granted RSUs and NQSOs under the LTIP. Under the LTIP, 6.7 million shares of Class A common stock remained available for grant 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Stock-based compensation recorded in the condensed consolidated statements of operations was as follows:</w:t>
      </w:r>
    </w:p>
    <w:p>
      <w:pPr>
        <w:spacing w:after="0" w:line="150"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1"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0" w:type="dxa"/>
            <w:vAlign w:val="bottom"/>
          </w:tcPr>
          <w:p>
            <w:pPr>
              <w:spacing w:after="0"/>
              <w:rPr>
                <w:sz w:val="19"/>
                <w:szCs w:val="19"/>
                <w:color w:val="auto"/>
              </w:rPr>
            </w:pPr>
          </w:p>
        </w:tc>
        <w:tc>
          <w:tcPr>
            <w:tcW w:w="746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44"/>
        </w:trPr>
        <w:tc>
          <w:tcPr>
            <w:tcW w:w="720" w:type="dxa"/>
            <w:vAlign w:val="bottom"/>
          </w:tcPr>
          <w:p>
            <w:pPr>
              <w:spacing w:after="0"/>
              <w:rPr>
                <w:sz w:val="20"/>
                <w:szCs w:val="20"/>
                <w:color w:val="auto"/>
              </w:rPr>
            </w:pPr>
          </w:p>
        </w:tc>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RSUs</w:t>
            </w:r>
          </w:p>
        </w:tc>
        <w:tc>
          <w:tcPr>
            <w:tcW w:w="74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20" w:type="dxa"/>
            <w:vAlign w:val="bottom"/>
            <w:vMerge w:val="continue"/>
          </w:tcPr>
          <w:p>
            <w:pPr>
              <w:spacing w:after="0"/>
              <w:rPr>
                <w:sz w:val="24"/>
                <w:szCs w:val="24"/>
                <w:color w:val="auto"/>
              </w:rPr>
            </w:pPr>
          </w:p>
        </w:tc>
        <w:tc>
          <w:tcPr>
            <w:tcW w:w="74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231F20"/>
              </w:rPr>
              <w:t>The following summarizes RSU activity: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24"/>
                <w:szCs w:val="24"/>
                <w:color w:val="auto"/>
              </w:rPr>
            </w:pPr>
          </w:p>
        </w:tc>
        <w:tc>
          <w:tcPr>
            <w:tcW w:w="118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11"/>
              <w:spacing w:after="0" w:line="173"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380" w:type="dxa"/>
            <w:vAlign w:val="bottom"/>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0" w:type="dxa"/>
            <w:vAlign w:val="bottom"/>
          </w:tcPr>
          <w:p>
            <w:pPr>
              <w:spacing w:after="0"/>
              <w:rPr>
                <w:sz w:val="19"/>
                <w:szCs w:val="19"/>
                <w:color w:val="auto"/>
              </w:rPr>
            </w:pPr>
          </w:p>
        </w:tc>
        <w:tc>
          <w:tcPr>
            <w:tcW w:w="118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outstanding as of December 31, 2024</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74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Canceled/forfeited</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44"/>
        </w:trPr>
        <w:tc>
          <w:tcPr>
            <w:tcW w:w="720" w:type="dxa"/>
            <w:vAlign w:val="bottom"/>
          </w:tcPr>
          <w:p>
            <w:pPr>
              <w:spacing w:after="0"/>
              <w:rPr>
                <w:sz w:val="20"/>
                <w:szCs w:val="20"/>
                <w:color w:val="auto"/>
              </w:rPr>
            </w:pPr>
          </w:p>
        </w:tc>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outstanding as of March 31, 2025</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60" w:firstLine="479"/>
        <w:spacing w:after="0" w:line="275" w:lineRule="auto"/>
        <w:rPr>
          <w:sz w:val="20"/>
          <w:szCs w:val="20"/>
          <w:color w:val="auto"/>
        </w:rPr>
      </w:pPr>
      <w:r>
        <w:rPr>
          <w:rFonts w:ascii="Times New Roman" w:cs="Times New Roman" w:eastAsia="Times New Roman" w:hAnsi="Times New Roman"/>
          <w:sz w:val="18"/>
          <w:szCs w:val="18"/>
          <w:color w:val="auto"/>
        </w:rPr>
        <w:t>As of March 31, 2025, the Company had unrecognized stock-based compensation relating to RSUs of approximately $56.9 million, which is expected to be recognized over a weighted-average period of 2.4 years.</w:t>
      </w:r>
    </w:p>
    <w:p>
      <w:pPr>
        <w:sectPr>
          <w:pgSz w:w="11900" w:h="16838" w:orient="portrait"/>
          <w:cols w:equalWidth="0" w:num="1">
            <w:col w:w="11200"/>
          </w:cols>
          <w:pgMar w:left="320" w:top="119" w:right="379" w:bottom="1440" w:gutter="0" w:footer="0" w:header="0"/>
        </w:sectPr>
      </w:pP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15" w:name="page16"/>
    <w:bookmarkEnd w:id="1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Stock Options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5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following summarizes nonqualified stock option activity:</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line="17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20" w:type="dxa"/>
            <w:vAlign w:val="bottom"/>
          </w:tcPr>
          <w:p>
            <w:pPr>
              <w:spacing w:after="0"/>
              <w:rPr>
                <w:sz w:val="15"/>
                <w:szCs w:val="15"/>
                <w:color w:val="auto"/>
              </w:rPr>
            </w:pPr>
          </w:p>
        </w:tc>
        <w:tc>
          <w:tcPr>
            <w:tcW w:w="1260" w:type="dxa"/>
            <w:vAlign w:val="bottom"/>
            <w:vMerge w:val="restart"/>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4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b w:val="1"/>
                <w:bCs w:val="1"/>
                <w:color w:val="auto"/>
                <w:w w:val="96"/>
              </w:rPr>
              <w:t>Contractual</w:t>
            </w:r>
          </w:p>
        </w:tc>
        <w:tc>
          <w:tcPr>
            <w:tcW w:w="1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120" w:type="dxa"/>
            <w:vAlign w:val="bottom"/>
          </w:tcPr>
          <w:p>
            <w:pPr>
              <w:spacing w:after="0"/>
              <w:rPr>
                <w:sz w:val="15"/>
                <w:szCs w:val="15"/>
                <w:color w:val="auto"/>
              </w:rPr>
            </w:pPr>
          </w:p>
        </w:tc>
        <w:tc>
          <w:tcPr>
            <w:tcW w:w="1260" w:type="dxa"/>
            <w:vAlign w:val="bottom"/>
          </w:tcPr>
          <w:p>
            <w:pPr>
              <w:jc w:val="center"/>
              <w:ind w:right="51"/>
              <w:spacing w:after="0" w:line="176" w:lineRule="exact"/>
              <w:rPr>
                <w:sz w:val="20"/>
                <w:szCs w:val="20"/>
                <w:color w:val="auto"/>
              </w:rPr>
            </w:pPr>
            <w:r>
              <w:rPr>
                <w:rFonts w:ascii="Times New Roman" w:cs="Times New Roman" w:eastAsia="Times New Roman" w:hAnsi="Times New Roman"/>
                <w:sz w:val="18"/>
                <w:szCs w:val="18"/>
                <w:b w:val="1"/>
                <w:bCs w:val="1"/>
                <w:color w:val="auto"/>
                <w:w w:val="96"/>
              </w:rPr>
              <w:t>Intrinsic Value</w:t>
            </w: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Exercise 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380" w:type="dxa"/>
            <w:vAlign w:val="bottom"/>
            <w:gridSpan w:val="2"/>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auto"/>
                <w:w w:val="95"/>
              </w:rPr>
              <w:t>(in thousands)</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66,959</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40" w:right="80" w:hanging="315"/>
        <w:spacing w:after="0" w:line="275" w:lineRule="auto"/>
        <w:tabs>
          <w:tab w:leader="none" w:pos="6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aggregate intrinsic value is calculated as the difference between the exercise price of the underlying stock option awards and the closing market price of our Class A common stock as of </w:t>
      </w:r>
      <w:r>
        <w:rPr>
          <w:rFonts w:ascii="Times New Roman" w:cs="Times New Roman" w:eastAsia="Times New Roman" w:hAnsi="Times New Roman"/>
          <w:sz w:val="18"/>
          <w:szCs w:val="18"/>
          <w:color w:val="000000"/>
        </w:rPr>
        <w:t>March 31, 2025 and December 31, 2024.</w:t>
      </w:r>
    </w:p>
    <w:p>
      <w:pPr>
        <w:spacing w:after="0" w:line="58" w:lineRule="exact"/>
        <w:rPr>
          <w:sz w:val="20"/>
          <w:szCs w:val="20"/>
          <w:color w:val="auto"/>
        </w:rPr>
      </w:pPr>
    </w:p>
    <w:p>
      <w:pPr>
        <w:ind w:right="300" w:firstLine="479"/>
        <w:spacing w:after="0" w:line="275" w:lineRule="auto"/>
        <w:rPr>
          <w:sz w:val="20"/>
          <w:szCs w:val="20"/>
          <w:color w:val="auto"/>
        </w:rPr>
      </w:pPr>
      <w:r>
        <w:rPr>
          <w:rFonts w:ascii="Times New Roman" w:cs="Times New Roman" w:eastAsia="Times New Roman" w:hAnsi="Times New Roman"/>
          <w:sz w:val="18"/>
          <w:szCs w:val="18"/>
          <w:color w:val="auto"/>
        </w:rPr>
        <w:t>As of March 31, 2025, the Company had unrecognized stock-based compensation relating to unvested nonqualified stock options of approximately $5.2 million, which is expected to be recognized over a weighted-average period of 1.3 years.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assumptions used in the Black-Scholes model to determine the fair value of nonqualified stock options were as follows:</w:t>
      </w:r>
    </w:p>
    <w:p>
      <w:pPr>
        <w:spacing w:after="0" w:line="138"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60" w:type="dxa"/>
        <w:tblCellMar>
          <w:top w:w="0" w:type="dxa"/>
          <w:left w:w="0" w:type="dxa"/>
          <w:bottom w:w="0" w:type="dxa"/>
          <w:right w:w="0" w:type="dxa"/>
        </w:tblCellMar>
      </w:tblPr>
      <w:tr>
        <w:trPr>
          <w:trHeight w:val="232"/>
        </w:trPr>
        <w:tc>
          <w:tcPr>
            <w:tcW w:w="7280" w:type="dxa"/>
            <w:vAlign w:val="bottom"/>
            <w:tcBorders>
              <w:bottom w:val="single" w:sz="8" w:color="CCEEFF"/>
            </w:tcBorders>
          </w:tcPr>
          <w:p>
            <w:pPr>
              <w:spacing w:after="0"/>
              <w:rPr>
                <w:sz w:val="20"/>
                <w:szCs w:val="20"/>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top w:val="single" w:sz="8" w:color="auto"/>
              <w:bottom w:val="single" w:sz="8" w:color="CCEEFF"/>
            </w:tcBorders>
          </w:tcPr>
          <w:p>
            <w:pPr>
              <w:spacing w:after="0"/>
              <w:rPr>
                <w:sz w:val="20"/>
                <w:szCs w:val="20"/>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4.1%</w:t>
            </w:r>
          </w:p>
        </w:tc>
      </w:tr>
      <w:tr>
        <w:trPr>
          <w:trHeight w:val="22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74.4%</w:t>
            </w:r>
          </w:p>
        </w:tc>
      </w:tr>
      <w:tr>
        <w:trPr>
          <w:trHeight w:val="22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r>
    </w:tbl>
    <w:p>
      <w:pPr>
        <w:spacing w:after="0" w:line="160" w:lineRule="exact"/>
        <w:rPr>
          <w:sz w:val="20"/>
          <w:szCs w:val="20"/>
          <w:color w:val="auto"/>
        </w:rPr>
      </w:pPr>
    </w:p>
    <w:p>
      <w:pPr>
        <w:ind w:right="440" w:firstLine="479"/>
        <w:spacing w:after="0" w:line="277" w:lineRule="auto"/>
        <w:rPr>
          <w:sz w:val="20"/>
          <w:szCs w:val="20"/>
          <w:color w:val="auto"/>
        </w:rPr>
      </w:pPr>
      <w:r>
        <w:rPr>
          <w:rFonts w:ascii="Times New Roman" w:cs="Times New Roman" w:eastAsia="Times New Roman" w:hAnsi="Times New Roman"/>
          <w:sz w:val="18"/>
          <w:szCs w:val="18"/>
          <w:i w:val="1"/>
          <w:iCs w:val="1"/>
          <w:color w:val="231F20"/>
        </w:rPr>
        <w:t xml:space="preserve">Risk-Free Interest Rate. </w:t>
      </w:r>
      <w:r>
        <w:rPr>
          <w:rFonts w:ascii="Times New Roman" w:cs="Times New Roman" w:eastAsia="Times New Roman" w:hAnsi="Times New Roman"/>
          <w:sz w:val="18"/>
          <w:szCs w:val="18"/>
          <w:color w:val="231F20"/>
        </w:rPr>
        <w:t>The Company bases the risk-free interest rate assumption for equity awards on the rates for U.S. Treasury securities with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maturities similar to those of the expected term of the award being valued.</w:t>
      </w:r>
    </w:p>
    <w:p>
      <w:pPr>
        <w:spacing w:after="0" w:line="54" w:lineRule="exact"/>
        <w:rPr>
          <w:sz w:val="20"/>
          <w:szCs w:val="20"/>
          <w:color w:val="auto"/>
        </w:rPr>
      </w:pPr>
    </w:p>
    <w:p>
      <w:pPr>
        <w:ind w:firstLine="479"/>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Expected Volatility. </w:t>
      </w:r>
      <w:r>
        <w:rPr>
          <w:rFonts w:ascii="Times New Roman" w:cs="Times New Roman" w:eastAsia="Times New Roman" w:hAnsi="Times New Roman"/>
          <w:sz w:val="18"/>
          <w:szCs w:val="18"/>
          <w:color w:val="231F20"/>
        </w:rPr>
        <w:t>Due to the limited trading history of the Company’s Class A common stock, the expected volatility assumption is based on both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volatility of a peer group of similar companies whose share prices are publicly available as well as the historical volatility of the Company's daily stock prices. The Company will continue to apply this process until a sufficient amount of historical information regarding the volatility of the Company’s own stock price becomes available.</w:t>
      </w:r>
    </w:p>
    <w:p>
      <w:pPr>
        <w:spacing w:after="0" w:line="71" w:lineRule="exact"/>
        <w:rPr>
          <w:sz w:val="20"/>
          <w:szCs w:val="20"/>
          <w:color w:val="auto"/>
        </w:rPr>
      </w:pPr>
    </w:p>
    <w:p>
      <w:pPr>
        <w:ind w:right="400" w:firstLine="479"/>
        <w:spacing w:after="0" w:line="262" w:lineRule="auto"/>
        <w:rPr>
          <w:sz w:val="20"/>
          <w:szCs w:val="20"/>
          <w:color w:val="auto"/>
        </w:rPr>
      </w:pPr>
      <w:r>
        <w:rPr>
          <w:rFonts w:ascii="Times New Roman" w:cs="Times New Roman" w:eastAsia="Times New Roman" w:hAnsi="Times New Roman"/>
          <w:sz w:val="18"/>
          <w:szCs w:val="18"/>
          <w:i w:val="1"/>
          <w:iCs w:val="1"/>
          <w:color w:val="231F20"/>
        </w:rPr>
        <w:t xml:space="preserve">Expected Term. </w:t>
      </w:r>
      <w:r>
        <w:rPr>
          <w:rFonts w:ascii="Times New Roman" w:cs="Times New Roman" w:eastAsia="Times New Roman" w:hAnsi="Times New Roman"/>
          <w:sz w:val="18"/>
          <w:szCs w:val="18"/>
          <w:color w:val="231F20"/>
        </w:rPr>
        <w:t>Given the insufficient historical data relating to nonqualified stock option exercises, the expected term assumption is based on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simplified method, which uses the midpoint of the weighted-average vesting period and the contractual term. The Company will continue to apply this process until a sufficient amount of historical information regarding the Company’s nonqualified stock option exercises becomes available.</w:t>
      </w:r>
    </w:p>
    <w:p>
      <w:pPr>
        <w:spacing w:after="0" w:line="67" w:lineRule="exact"/>
        <w:rPr>
          <w:sz w:val="20"/>
          <w:szCs w:val="20"/>
          <w:color w:val="auto"/>
        </w:rPr>
      </w:pPr>
    </w:p>
    <w:p>
      <w:pPr>
        <w:ind w:right="100" w:firstLine="479"/>
        <w:spacing w:after="0" w:line="277" w:lineRule="auto"/>
        <w:rPr>
          <w:sz w:val="20"/>
          <w:szCs w:val="20"/>
          <w:color w:val="auto"/>
        </w:rPr>
      </w:pPr>
      <w:r>
        <w:rPr>
          <w:rFonts w:ascii="Times New Roman" w:cs="Times New Roman" w:eastAsia="Times New Roman" w:hAnsi="Times New Roman"/>
          <w:sz w:val="18"/>
          <w:szCs w:val="18"/>
          <w:i w:val="1"/>
          <w:iCs w:val="1"/>
          <w:color w:val="231F20"/>
        </w:rPr>
        <w:t xml:space="preserve">Expected Dividend Yield. </w:t>
      </w:r>
      <w:r>
        <w:rPr>
          <w:rFonts w:ascii="Times New Roman" w:cs="Times New Roman" w:eastAsia="Times New Roman" w:hAnsi="Times New Roman"/>
          <w:sz w:val="18"/>
          <w:szCs w:val="18"/>
          <w:color w:val="231F20"/>
        </w:rPr>
        <w:t>The Company’s expected dividend yield assumption is zero as it has never paid dividends and has no present intention to do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so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6"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On April 23, 2024, the Company's board of directors approved a stock repurchase program with authorization to purchase up to $50 million in shares of the Company's Class A common stock or Class B units of Viant Technology LLC. As of March 31, 2025, $11.1 million remained available under the stock repurchase program.</w:t>
      </w:r>
    </w:p>
    <w:p>
      <w:pPr>
        <w:spacing w:after="0" w:line="69"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The Company may make repurchases under the program, from time to time, through open market purchases, block trades, in privately negotiated transactions, accelerated stock repurchase transactions, or by other means. Open market repurchases will be structured to occur in accordance with applicable federal securities laws, including within the pricing and volume requirements of Rule 10b-18 under the Securities Exchange Act of 1934, as amended. The Company may also, from time to time, enter into Rule</w:t>
      </w:r>
    </w:p>
    <w:p>
      <w:pPr>
        <w:sectPr>
          <w:pgSz w:w="11900" w:h="16838" w:orient="portrait"/>
          <w:cols w:equalWidth="0" w:num="1">
            <w:col w:w="11220"/>
          </w:cols>
          <w:pgMar w:left="320" w:top="119" w:right="359" w:bottom="1440" w:gutter="0" w:footer="0" w:header="0"/>
        </w:sectPr>
      </w:pPr>
    </w:p>
    <w:p>
      <w:pPr>
        <w:spacing w:after="0" w:line="3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16" w:name="page17"/>
    <w:bookmarkEnd w:id="1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10b5-1 plans to facilitate repurchases under this authorization. The volume, timing, and manner of any repurchases will be determined at the Company's discretion, subject to general market conditions, as well as the Company's management of capital, general business conditions, other investment opportunities, regulatory requirements and other factors. The stock repurchase program does not obligate the Company to repurchase any specific number of shares of Class A common stock or Class B units, has no time limit, and may be modified, suspended, or discontinued at any time without notice, at the discretion of the board of directors. The Company expects to fund repurchases from existing cash and cash equivalents, short-term investments and/or future cash flows.</w:t>
      </w:r>
    </w:p>
    <w:p>
      <w:pPr>
        <w:spacing w:after="0" w:line="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Shares of Class A common stock and Class B units repurchased by the Company under the stock repurchase program were as follows (in thousands):</w:t>
      </w:r>
    </w:p>
    <w:p>
      <w:pPr>
        <w:spacing w:after="0" w:line="13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2820" w:type="dxa"/>
            <w:vAlign w:val="bottom"/>
            <w:gridSpan w:val="4"/>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7"/>
        </w:trPr>
        <w:tc>
          <w:tcPr>
            <w:tcW w:w="748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2"/>
        </w:trPr>
        <w:tc>
          <w:tcPr>
            <w:tcW w:w="7480" w:type="dxa"/>
            <w:vAlign w:val="bottom"/>
          </w:tcPr>
          <w:p>
            <w:pPr>
              <w:spacing w:after="0"/>
              <w:rPr>
                <w:sz w:val="19"/>
                <w:szCs w:val="19"/>
                <w:color w:val="auto"/>
              </w:rPr>
            </w:pPr>
          </w:p>
        </w:tc>
        <w:tc>
          <w:tcPr>
            <w:tcW w:w="1440" w:type="dxa"/>
            <w:vAlign w:val="bottom"/>
            <w:gridSpan w:val="2"/>
          </w:tcPr>
          <w:p>
            <w:pPr>
              <w:ind w:left="360"/>
              <w:spacing w:after="0" w:line="222" w:lineRule="exact"/>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9"/>
                <w:szCs w:val="19"/>
                <w:color w:val="auto"/>
              </w:rPr>
            </w:pPr>
          </w:p>
        </w:tc>
        <w:tc>
          <w:tcPr>
            <w:tcW w:w="1160" w:type="dxa"/>
            <w:vAlign w:val="bottom"/>
          </w:tcPr>
          <w:p>
            <w:pPr>
              <w:jc w:val="right"/>
              <w:ind w:right="231"/>
              <w:spacing w:after="0" w:line="222" w:lineRule="exact"/>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23"/>
                <w:szCs w:val="23"/>
                <w:b w:val="1"/>
                <w:bCs w:val="1"/>
                <w:color w:val="auto"/>
                <w:vertAlign w:val="superscript"/>
              </w:rPr>
              <w:t>(2)</w:t>
            </w:r>
          </w:p>
        </w:tc>
      </w:tr>
      <w:tr>
        <w:trPr>
          <w:trHeight w:val="219"/>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repurchases</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17,361</w:t>
            </w:r>
          </w:p>
        </w:tc>
      </w:tr>
      <w:tr>
        <w:trPr>
          <w:trHeight w:val="22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Class B unit repurchases</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repurchases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960" w:hanging="315"/>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Shares repurchased include unsettled repurchases as of </w:t>
      </w:r>
      <w:r>
        <w:rPr>
          <w:rFonts w:ascii="Times New Roman" w:cs="Times New Roman" w:eastAsia="Times New Roman" w:hAnsi="Times New Roman"/>
          <w:sz w:val="18"/>
          <w:szCs w:val="18"/>
          <w:color w:val="000000"/>
        </w:rPr>
        <w:t>March 31, 2025.</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costs associated with the repurchase such as commissions and excise taxes.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Shares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Upon vesting of shares under the LTIP, the Company will issue treasury stock. If treasury stock is not available, newly issued stock will be issued.</w:t>
      </w:r>
    </w:p>
    <w:p>
      <w:pPr>
        <w:spacing w:after="0" w:line="325"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Income Taxes and Tax Receivable Agreement</w:t>
      </w:r>
    </w:p>
    <w:p>
      <w:pPr>
        <w:spacing w:after="0" w:line="117" w:lineRule="exact"/>
        <w:rPr>
          <w:sz w:val="20"/>
          <w:szCs w:val="20"/>
          <w:color w:val="auto"/>
        </w:rPr>
      </w:pPr>
    </w:p>
    <w:p>
      <w:pPr>
        <w:ind w:right="160" w:firstLine="479"/>
        <w:spacing w:after="0" w:line="252" w:lineRule="auto"/>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applicable U.S. statutory federal income tax rate of 21% and blended state tax rate to income before provision of income taxes due to various book-tax differences, including state taxes, non-controlling interest, tax credits and valuation allowance. For the three months ended March 31, 2025, the Company recognized an income tax benefit of $0.2 million, attributable to the year-to-date loss and excess tax benefit on vested stock-based compensation, resulting in an effective tax rate of 4.4%. For the three months ended March 31, 2024, the Company recognized an income tax benefit of $0.1 million due to year-to-date loss and excess tax benefit on vested stock-based compensation, which resulted in an effective tax rate of 3.0%.</w:t>
      </w:r>
    </w:p>
    <w:p>
      <w:pPr>
        <w:spacing w:after="0" w:line="7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As of March 31, 2025, management determined based on applicable accounting standards and the weight of all available evidence, that it was not more likely than not (“MLTN”) that the Company will generate sufficient taxable income to realize its deferred tax assets including the difference in tax basis in excess of the financial reporting value for its investment in Viant Technology LLC. Consequently, the Company has established a full valuation allowance against its deferred tax assets as of March 31, 2025. In the event that management subsequently determines that it is MLTN that the Company will realize its deferred tax assets in the future, the valuation allowance will be released, which will reduce the provision for income taxes.</w:t>
      </w:r>
    </w:p>
    <w:p>
      <w:pPr>
        <w:spacing w:after="0" w:line="79"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In connection with its initial public offering ("IPO"), the Company entered into a Tax Receivable Agreement ("TRA") with Viant Technology LLC, continuing members of Viant Technology LLC and the TRA Representative (as defined in the TRA) on February 9, 2021. Due to the valuation allowance, the Company has not recorded a liability related to the remaining tax savings it may realize from utilization of the deferred tax assets except for $0.3 million related to the current portion of the TRA. If utilization of the deferred tax assets subject to the TRA becomes more likely than not in the future, the Company will release the valuation allowance and record a liability related to the TRA.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w:t>
      </w:r>
      <w:r>
        <w:rPr>
          <w:rFonts w:ascii="Times New Roman" w:cs="Times New Roman" w:eastAsia="Times New Roman" w:hAnsi="Times New Roman"/>
          <w:sz w:val="21"/>
          <w:szCs w:val="21"/>
          <w:b w:val="1"/>
          <w:bCs w:val="1"/>
          <w:color w:val="231F20"/>
        </w:rPr>
        <w:t>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231F20"/>
        </w:rPr>
        <w:t>Earnings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color w:val="231F20"/>
        </w:rPr>
        <w:t>(</w:t>
      </w:r>
      <w:r>
        <w:rPr>
          <w:rFonts w:ascii="Times New Roman" w:cs="Times New Roman" w:eastAsia="Times New Roman" w:hAnsi="Times New Roman"/>
          <w:sz w:val="21"/>
          <w:szCs w:val="21"/>
          <w:b w:val="1"/>
          <w:bCs w:val="1"/>
          <w:i w:val="1"/>
          <w:iCs w:val="1"/>
          <w:color w:val="231F20"/>
        </w:rPr>
        <w:t>Loss) Per Share</w:t>
      </w:r>
    </w:p>
    <w:p>
      <w:pPr>
        <w:spacing w:after="0" w:line="117" w:lineRule="exact"/>
        <w:rPr>
          <w:sz w:val="20"/>
          <w:szCs w:val="20"/>
          <w:color w:val="auto"/>
        </w:rPr>
      </w:pPr>
    </w:p>
    <w:p>
      <w:pPr>
        <w:ind w:right="120" w:firstLine="479"/>
        <w:spacing w:after="0" w:line="253" w:lineRule="auto"/>
        <w:rPr>
          <w:sz w:val="20"/>
          <w:szCs w:val="20"/>
          <w:color w:val="auto"/>
        </w:rPr>
      </w:pPr>
      <w:r>
        <w:rPr>
          <w:rFonts w:ascii="Times New Roman" w:cs="Times New Roman" w:eastAsia="Times New Roman" w:hAnsi="Times New Roman"/>
          <w:sz w:val="18"/>
          <w:szCs w:val="18"/>
          <w:color w:val="231F20"/>
        </w:rPr>
        <w:t xml:space="preserve">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basic earnings (loss) per share has been calculated by dividing net income (loss) attributable to Class A common stockholders by the weighted-average number of shares of Class A common stock outstanding for the same period. </w:t>
      </w:r>
      <w:r>
        <w:rPr>
          <w:rFonts w:ascii="Times New Roman" w:cs="Times New Roman" w:eastAsia="Times New Roman" w:hAnsi="Times New Roman"/>
          <w:sz w:val="18"/>
          <w:szCs w:val="18"/>
          <w:color w:val="000000"/>
        </w:rPr>
        <w:t>Shares</w:t>
      </w:r>
      <w:r>
        <w:rPr>
          <w:rFonts w:ascii="Times New Roman" w:cs="Times New Roman" w:eastAsia="Times New Roman" w:hAnsi="Times New Roman"/>
          <w:sz w:val="18"/>
          <w:szCs w:val="18"/>
          <w:color w:val="231F20"/>
        </w:rPr>
        <w:t xml:space="preserve"> of Class A common stock are weighted for the portion of the period in which the shares were outstanding. Diluted earnings (loss) per share has been calculated in a manner consistent with that of basic earnings (loss) per share while considering all potentially dilutive shares of Class A common stock outstanding during the period.</w:t>
      </w:r>
    </w:p>
    <w:p>
      <w:pPr>
        <w:spacing w:after="0" w:line="39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7" w:name="page18"/>
    <w:bookmarkEnd w:id="17"/>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following</w:t>
      </w:r>
      <w:r>
        <w:rPr>
          <w:rFonts w:ascii="Times New Roman" w:cs="Times New Roman" w:eastAsia="Times New Roman" w:hAnsi="Times New Roman"/>
          <w:sz w:val="18"/>
          <w:szCs w:val="18"/>
          <w:color w:val="231F20"/>
        </w:rPr>
        <w:t xml:space="preserve"> table presents the calculation of basic and diluted earnings (loss) per share for the </w:t>
      </w:r>
      <w:r>
        <w:rPr>
          <w:rFonts w:ascii="Times New Roman" w:cs="Times New Roman" w:eastAsia="Times New Roman" w:hAnsi="Times New Roman"/>
          <w:sz w:val="18"/>
          <w:szCs w:val="18"/>
          <w:color w:val="000000"/>
        </w:rPr>
        <w:t>periods presented:</w:t>
      </w:r>
    </w:p>
    <w:p>
      <w:pPr>
        <w:spacing w:after="0" w:line="138"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74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1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Viant Technology Inc.—basic</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460" w:type="dxa"/>
            <w:vAlign w:val="bottom"/>
            <w:shd w:val="clear" w:color="auto" w:fill="CCEEFF"/>
          </w:tcPr>
          <w:p>
            <w:pPr>
              <w:ind w:left="160"/>
              <w:spacing w:after="0" w:line="139" w:lineRule="exact"/>
              <w:rPr>
                <w:sz w:val="20"/>
                <w:szCs w:val="20"/>
                <w:color w:val="auto"/>
              </w:rPr>
            </w:pPr>
            <w:r>
              <w:rPr>
                <w:rFonts w:ascii="Times New Roman" w:cs="Times New Roman" w:eastAsia="Times New Roman" w:hAnsi="Times New Roman"/>
                <w:sz w:val="16"/>
                <w:szCs w:val="16"/>
                <w:color w:val="auto"/>
              </w:rPr>
              <w:t>Add back: Reallocation of net loss attributable to noncontrolling interest from the assumed exchange</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 RSUs and NQSOs for Class A common stock</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7460" w:type="dxa"/>
            <w:vAlign w:val="bottom"/>
          </w:tcPr>
          <w:p>
            <w:pPr>
              <w:ind w:left="160"/>
              <w:spacing w:after="0" w:line="173" w:lineRule="exact"/>
              <w:rPr>
                <w:sz w:val="20"/>
                <w:szCs w:val="20"/>
                <w:color w:val="auto"/>
              </w:rPr>
            </w:pPr>
            <w:r>
              <w:rPr>
                <w:rFonts w:ascii="Times New Roman" w:cs="Times New Roman" w:eastAsia="Times New Roman" w:hAnsi="Times New Roman"/>
                <w:sz w:val="18"/>
                <w:szCs w:val="18"/>
                <w:color w:val="auto"/>
              </w:rPr>
              <w:t>Income tax benefit (expense) from the assumed exchange of dilutive securities for Class A common</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w:t>
            </w:r>
          </w:p>
        </w:tc>
        <w:tc>
          <w:tcPr>
            <w:tcW w:w="320" w:type="dxa"/>
            <w:vAlign w:val="bottom"/>
          </w:tcPr>
          <w:p>
            <w:pPr>
              <w:spacing w:after="0"/>
              <w:rPr>
                <w:sz w:val="20"/>
                <w:szCs w:val="20"/>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7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Viant Technology, Inc.—diluted</w:t>
            </w: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4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outstanding—basic</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0" w:type="dxa"/>
            <w:vAlign w:val="bottom"/>
          </w:tcPr>
          <w:p>
            <w:pPr>
              <w:spacing w:after="0"/>
              <w:rPr>
                <w:sz w:val="1"/>
                <w:szCs w:val="1"/>
                <w:color w:val="auto"/>
              </w:rPr>
            </w:pP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7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outstanding—diluted</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 of Class A common stock—basic</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Earnings (loss) per share of Class A common stock—diluted</w:t>
            </w:r>
          </w:p>
        </w:tc>
        <w:tc>
          <w:tcPr>
            <w:tcW w:w="320" w:type="dxa"/>
            <w:vAlign w:val="bottom"/>
            <w:tcBorders>
              <w:bottom w:val="single" w:sz="8" w:color="auto"/>
            </w:tcBorders>
          </w:tcPr>
          <w:p>
            <w:pPr>
              <w:jc w:val="right"/>
              <w:ind w:right="13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1"/>
              <w:spacing w:after="0" w:line="19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shares excluded from earnings (loss) per share of Class A common stock—diluted: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0" w:type="dxa"/>
            <w:vAlign w:val="bottom"/>
          </w:tcPr>
          <w:p>
            <w:pPr>
              <w:spacing w:after="0"/>
              <w:rPr>
                <w:sz w:val="1"/>
                <w:szCs w:val="1"/>
                <w:color w:val="auto"/>
              </w:rPr>
            </w:pPr>
          </w:p>
        </w:tc>
      </w:tr>
      <w:tr>
        <w:trPr>
          <w:trHeight w:val="21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excluded from earnings (loss) per share of Class A common stock—diluted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57,034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57,804</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Noncontrolling Interests</w:t>
      </w:r>
    </w:p>
    <w:p>
      <w:pPr>
        <w:spacing w:after="0" w:line="117" w:lineRule="exact"/>
        <w:rPr>
          <w:sz w:val="20"/>
          <w:szCs w:val="20"/>
          <w:color w:val="auto"/>
        </w:rPr>
      </w:pPr>
    </w:p>
    <w:p>
      <w:pPr>
        <w:ind w:firstLine="479"/>
        <w:spacing w:after="0" w:line="250" w:lineRule="auto"/>
        <w:rPr>
          <w:sz w:val="20"/>
          <w:szCs w:val="20"/>
          <w:color w:val="auto"/>
        </w:rPr>
      </w:pPr>
      <w:r>
        <w:rPr>
          <w:rFonts w:ascii="Times New Roman" w:cs="Times New Roman" w:eastAsia="Times New Roman" w:hAnsi="Times New Roman"/>
          <w:sz w:val="18"/>
          <w:szCs w:val="18"/>
          <w:color w:val="231F20"/>
        </w:rPr>
        <w:t xml:space="preserve">Viant Technology Inc. is the sole managing member of Viant Technology LLC and, as a result, consolidates the financial results of Viant Technology LLC. We report noncontrolling interests representing the economic interests in Viant Technology LLC held by the other members of Viant Technology LLC. </w:t>
      </w:r>
      <w:r>
        <w:rPr>
          <w:rFonts w:ascii="Times New Roman" w:cs="Times New Roman" w:eastAsia="Times New Roman" w:hAnsi="Times New Roman"/>
          <w:sz w:val="18"/>
          <w:szCs w:val="18"/>
          <w:color w:val="000000"/>
        </w:rPr>
        <w:t xml:space="preserve">The limited liability company agreement of Viant Technology LLC, as amended and restated, classifies the interests acquired by the Company as Class A units and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Times New Roman" w:cs="Times New Roman" w:eastAsia="Times New Roman" w:hAnsi="Times New Roman"/>
          <w:sz w:val="18"/>
          <w:szCs w:val="18"/>
          <w:color w:val="231F20"/>
        </w:rPr>
        <w:t>Changes in the Company’s ownership interest in Viant Technology LLC while retaining control of Viant Technology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LLC will be accounted for as equity transactions. As such, future redemptions or direct exchanges of Class B units in Viant Technology LLC by the other members and future issuances of Class A common stock under the LTIP will result in a change in ownership, where the Company will rebalance the noncontrolling interest, offset by a change in additional-paid-in-capital.</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ownership of Viant Technology LLC:</w:t>
      </w:r>
    </w:p>
    <w:p>
      <w:pPr>
        <w:spacing w:after="0" w:line="150"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4400" w:type="dxa"/>
            <w:vAlign w:val="bottom"/>
          </w:tcPr>
          <w:p>
            <w:pPr>
              <w:spacing w:after="0"/>
              <w:rPr>
                <w:sz w:val="20"/>
                <w:szCs w:val="20"/>
                <w:color w:val="auto"/>
              </w:rPr>
            </w:pPr>
          </w:p>
        </w:tc>
        <w:tc>
          <w:tcPr>
            <w:tcW w:w="300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29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0" w:type="dxa"/>
            <w:vAlign w:val="bottom"/>
          </w:tcPr>
          <w:p>
            <w:pPr>
              <w:spacing w:after="0"/>
              <w:rPr>
                <w:sz w:val="1"/>
                <w:szCs w:val="1"/>
                <w:color w:val="auto"/>
              </w:rPr>
            </w:pPr>
          </w:p>
        </w:tc>
      </w:tr>
      <w:tr>
        <w:trPr>
          <w:trHeight w:val="166"/>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4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1480" w:type="dxa"/>
            <w:vAlign w:val="bottom"/>
            <w:tcBorders>
              <w:top w:val="single" w:sz="8" w:color="auto"/>
            </w:tcBorders>
          </w:tcPr>
          <w:p>
            <w:pPr>
              <w:jc w:val="right"/>
              <w:ind w:right="231"/>
              <w:spacing w:after="0" w:line="166"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100" w:type="dxa"/>
            <w:vAlign w:val="bottom"/>
          </w:tcPr>
          <w:p>
            <w:pPr>
              <w:spacing w:after="0"/>
              <w:rPr>
                <w:sz w:val="14"/>
                <w:szCs w:val="14"/>
                <w:color w:val="auto"/>
              </w:rPr>
            </w:pPr>
          </w:p>
        </w:tc>
        <w:tc>
          <w:tcPr>
            <w:tcW w:w="14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1480" w:type="dxa"/>
            <w:vAlign w:val="bottom"/>
            <w:tcBorders>
              <w:top w:val="single" w:sz="8" w:color="auto"/>
            </w:tcBorders>
          </w:tcPr>
          <w:p>
            <w:pPr>
              <w:jc w:val="right"/>
              <w:ind w:right="251"/>
              <w:spacing w:after="0" w:line="166"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239"/>
        </w:trPr>
        <w:tc>
          <w:tcPr>
            <w:tcW w:w="4400" w:type="dxa"/>
            <w:vAlign w:val="bottom"/>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420" w:type="dxa"/>
            <w:vAlign w:val="bottom"/>
            <w:gridSpan w:val="2"/>
            <w:vMerge w:val="continue"/>
          </w:tcPr>
          <w:p>
            <w:pPr>
              <w:spacing w:after="0"/>
              <w:rPr>
                <w:sz w:val="20"/>
                <w:szCs w:val="20"/>
                <w:color w:val="auto"/>
              </w:rPr>
            </w:pPr>
          </w:p>
        </w:tc>
        <w:tc>
          <w:tcPr>
            <w:tcW w:w="14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Viant Technology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16,415,283</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8"/>
              </w:rPr>
              <w:t>16,368,452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26"/>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46,720,212</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8"/>
              </w:rPr>
              <w:t>46,753,841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74.1 %</w:t>
            </w: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63,135,495</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8"/>
              </w:rPr>
              <w:t>63,122,293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19" w:right="419" w:bottom="1440" w:gutter="0" w:footer="0" w:header="0"/>
        </w:sectPr>
      </w:pPr>
    </w:p>
    <w:p>
      <w:pPr>
        <w:spacing w:after="0" w:line="30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type w:val="continuous"/>
        </w:sectPr>
      </w:pPr>
    </w:p>
    <w:bookmarkStart w:id="18" w:name="page19"/>
    <w:bookmarkEnd w:id="1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60" w:firstLine="479"/>
        <w:spacing w:after="0" w:line="261" w:lineRule="auto"/>
        <w:rPr>
          <w:sz w:val="20"/>
          <w:szCs w:val="20"/>
          <w:color w:val="auto"/>
        </w:rPr>
      </w:pPr>
      <w:r>
        <w:rPr>
          <w:rFonts w:ascii="Times New Roman" w:cs="Times New Roman" w:eastAsia="Times New Roman" w:hAnsi="Times New Roman"/>
          <w:sz w:val="18"/>
          <w:szCs w:val="18"/>
          <w:color w:val="231F20"/>
        </w:rPr>
        <w:t xml:space="preserve">During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months ended March 31, 2025, </w:t>
      </w:r>
      <w:r>
        <w:rPr>
          <w:rFonts w:ascii="Times New Roman" w:cs="Times New Roman" w:eastAsia="Times New Roman" w:hAnsi="Times New Roman"/>
          <w:sz w:val="18"/>
          <w:szCs w:val="18"/>
          <w:color w:val="000000"/>
        </w:rPr>
        <w:t>noncontrolling interests exchanged 33,629 Class B units of Viant Technology LLC for 33,629 shares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 the Company’s Class A common stock, which also resulted in the cancellation of 33,629 shares of the Company's Class B common stock that were previously held by noncontrolling interests with no additional consideration provided.</w:t>
      </w:r>
    </w:p>
    <w:p>
      <w:pPr>
        <w:spacing w:after="0" w:line="69" w:lineRule="exact"/>
        <w:rPr>
          <w:sz w:val="20"/>
          <w:szCs w:val="20"/>
          <w:color w:val="auto"/>
        </w:rPr>
      </w:pPr>
    </w:p>
    <w:p>
      <w:pPr>
        <w:ind w:right="380"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effect of changes in the Company’s ownership interest in Viant Technology LLC on the Company’s equity for the periods indicated:</w:t>
      </w:r>
    </w:p>
    <w:p>
      <w:pPr>
        <w:spacing w:after="0" w:line="83"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74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noncontrolling interests: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73"/>
        </w:trPr>
        <w:tc>
          <w:tcPr>
            <w:tcW w:w="7460" w:type="dxa"/>
            <w:vAlign w:val="bottom"/>
            <w:shd w:val="clear" w:color="auto" w:fill="CCEEFF"/>
          </w:tcPr>
          <w:p>
            <w:pPr>
              <w:ind w:left="160"/>
              <w:spacing w:after="0" w:line="173" w:lineRule="exact"/>
              <w:rPr>
                <w:sz w:val="20"/>
                <w:szCs w:val="20"/>
                <w:color w:val="auto"/>
              </w:rPr>
            </w:pPr>
            <w:r>
              <w:rPr>
                <w:rFonts w:ascii="Times New Roman" w:cs="Times New Roman" w:eastAsia="Times New Roman" w:hAnsi="Times New Roman"/>
                <w:sz w:val="18"/>
                <w:szCs w:val="18"/>
                <w:color w:val="auto"/>
                <w:w w:val="99"/>
              </w:rPr>
              <w:t>Decrease in the additional-paid-in-capital of Viant Technology Inc. resulting from ownership changes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9"/>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Viant Technology LLC</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1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Change from net loss attributable to Viant Technology Inc. and transfers to noncontrolling interests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0"/>
        </w:trPr>
        <w:tc>
          <w:tcPr>
            <w:tcW w:w="7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ind w:left="320" w:hanging="314"/>
        <w:spacing w:after="0"/>
        <w:tabs>
          <w:tab w:leader="none" w:pos="320" w:val="left"/>
        </w:tabs>
        <w:numPr>
          <w:ilvl w:val="0"/>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Commitments and Contingencies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March 31, 2025, we had non-cancelable operating lease commitments for office space that have been recorded as operating lease liabilities.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5—Leases for additional information regarding lease commitments.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Hosting Commitments</w:t>
      </w:r>
    </w:p>
    <w:p>
      <w:pPr>
        <w:spacing w:after="0" w:line="116" w:lineRule="exact"/>
        <w:rPr>
          <w:sz w:val="20"/>
          <w:szCs w:val="20"/>
          <w:color w:val="auto"/>
        </w:rPr>
      </w:pPr>
    </w:p>
    <w:p>
      <w:pPr>
        <w:jc w:val="both"/>
        <w:ind w:right="60" w:firstLine="479"/>
        <w:spacing w:after="0" w:line="261" w:lineRule="auto"/>
        <w:rPr>
          <w:sz w:val="20"/>
          <w:szCs w:val="20"/>
          <w:color w:val="auto"/>
        </w:rPr>
      </w:pPr>
      <w:r>
        <w:rPr>
          <w:rFonts w:ascii="Times New Roman" w:cs="Times New Roman" w:eastAsia="Times New Roman" w:hAnsi="Times New Roman"/>
          <w:sz w:val="18"/>
          <w:szCs w:val="18"/>
          <w:color w:val="auto"/>
        </w:rPr>
        <w:t>As of March 31, 2025, we had non-cancelable contractual agreements primarily related to the hosting of our data storage processing, storage and other computing services. As of March 31, 2025, we estimate these obligations to be approximately $11.6 million for the remainder of 2025, $15.1 million in 2026, $10.5 million in 2027, and $2.1 million in 2028.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16"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231F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Indemnities</w:t>
      </w:r>
    </w:p>
    <w:p>
      <w:pPr>
        <w:spacing w:after="0" w:line="116"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8"/>
          <w:szCs w:val="18"/>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condensed consolidated financial statements. Accordingly, no amounts for any obligation have been recorded as of March 31, 2025.</w:t>
      </w:r>
    </w:p>
    <w:p>
      <w:pPr>
        <w:spacing w:after="0" w:line="293" w:lineRule="exact"/>
        <w:rPr>
          <w:sz w:val="20"/>
          <w:szCs w:val="20"/>
          <w:color w:val="auto"/>
        </w:rPr>
      </w:pPr>
    </w:p>
    <w:p>
      <w:pPr>
        <w:ind w:left="320" w:hanging="314"/>
        <w:spacing w:after="0"/>
        <w:tabs>
          <w:tab w:leader="none" w:pos="320" w:val="left"/>
        </w:tabs>
        <w:numPr>
          <w:ilvl w:val="0"/>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Subsequent Events</w:t>
      </w:r>
    </w:p>
    <w:p>
      <w:pPr>
        <w:spacing w:after="0" w:line="117" w:lineRule="exact"/>
        <w:rPr>
          <w:sz w:val="20"/>
          <w:szCs w:val="20"/>
          <w:color w:val="auto"/>
        </w:rPr>
      </w:pPr>
    </w:p>
    <w:p>
      <w:pPr>
        <w:ind w:right="100" w:firstLine="479"/>
        <w:spacing w:after="0" w:line="275" w:lineRule="auto"/>
        <w:rPr>
          <w:sz w:val="20"/>
          <w:szCs w:val="20"/>
          <w:color w:val="auto"/>
        </w:rPr>
      </w:pPr>
      <w:r>
        <w:rPr>
          <w:rFonts w:ascii="Times New Roman" w:cs="Times New Roman" w:eastAsia="Times New Roman" w:hAnsi="Times New Roman"/>
          <w:sz w:val="18"/>
          <w:szCs w:val="18"/>
          <w:color w:val="231F20"/>
        </w:rPr>
        <w:t>On May 5, 2025, the Company’s board of directors authorized an increase to the existing stock repurchase program, approving the repurchase of up to an additional $50.0 million of the Company’s Class A common stock or Class B units of Viant Technology LLC.</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2" w:lineRule="exact"/>
        <w:rPr>
          <w:sz w:val="20"/>
          <w:szCs w:val="20"/>
          <w:color w:val="auto"/>
        </w:rPr>
      </w:pPr>
    </w:p>
    <w:p>
      <w:pPr>
        <w:ind w:firstLine="479"/>
        <w:spacing w:after="0" w:line="250" w:lineRule="auto"/>
        <w:rPr>
          <w:sz w:val="20"/>
          <w:szCs w:val="20"/>
          <w:color w:val="auto"/>
        </w:rPr>
      </w:pPr>
      <w:r>
        <w:rPr>
          <w:rFonts w:ascii="Times New Roman" w:cs="Times New Roman" w:eastAsia="Times New Roman" w:hAnsi="Times New Roman"/>
          <w:sz w:val="18"/>
          <w:szCs w:val="18"/>
          <w:i w:val="1"/>
          <w:iCs w:val="1"/>
          <w:color w:val="231F20"/>
        </w:rPr>
        <w:t>The following Management’s Discussion and Analysis of Financial Condition and Results of Operations of Viant Technology Inc. and its subsidiaries (“Viant,” “we,” “us,” “our” or the “Company”) should be read in conjunction with, and is qualified in its entirety by reference to, our unaudited condensed consolidated financial statements and the related notes thereto and other financial information appearing elsewhere in this Quar</w:t>
      </w:r>
      <w:r>
        <w:rPr>
          <w:rFonts w:ascii="Times New Roman" w:cs="Times New Roman" w:eastAsia="Times New Roman" w:hAnsi="Times New Roman"/>
          <w:sz w:val="18"/>
          <w:szCs w:val="18"/>
          <w:i w:val="1"/>
          <w:iCs w:val="1"/>
          <w:color w:val="000000"/>
        </w:rPr>
        <w:t>terly Report on Form 10-Q</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000000"/>
        </w:rPr>
        <w:t>Quarterly Report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000000"/>
        </w:rPr>
        <w:t xml:space="preserve">) and our audited consolidated financial statements and notes thereto and the related Management’s Discussion and Analysis of Financial Condition and Results of Operations included in our Annual Report on Form 10-K for the year ended December 31, 2024, which was filed with the Securities and Exchange Commission (“SEC”) on March 3, 2025. In addition to historical financial information, the following discussion and analysis contains forward-looking statements that involve risks and uncertainties which could cause our actual results to differ materially from those anticipated in these forward-looking statements, including, but not limited to, the risks and uncertainties discussed under the heading </w:t>
      </w:r>
      <w:r>
        <w:rPr>
          <w:rFonts w:ascii="Times New Roman" w:cs="Times New Roman" w:eastAsia="Times New Roman" w:hAnsi="Times New Roman"/>
          <w:sz w:val="18"/>
          <w:szCs w:val="18"/>
          <w:color w:val="000000"/>
        </w:rPr>
        <w:t xml:space="preserve">“Special Note Regarding Forward-Looking Statements” </w:t>
      </w:r>
      <w:r>
        <w:rPr>
          <w:rFonts w:ascii="Times New Roman" w:cs="Times New Roman" w:eastAsia="Times New Roman" w:hAnsi="Times New Roman"/>
          <w:sz w:val="18"/>
          <w:szCs w:val="18"/>
          <w:i w:val="1"/>
          <w:iCs w:val="1"/>
          <w:color w:val="000000"/>
        </w:rPr>
        <w:t>and</w:t>
      </w:r>
      <w:r>
        <w:rPr>
          <w:rFonts w:ascii="Times New Roman" w:cs="Times New Roman" w:eastAsia="Times New Roman" w:hAnsi="Times New Roman"/>
          <w:sz w:val="18"/>
          <w:szCs w:val="18"/>
          <w:color w:val="000000"/>
        </w:rPr>
        <w:t xml:space="preserve"> “Risk Factors” </w:t>
      </w:r>
      <w:r>
        <w:rPr>
          <w:rFonts w:ascii="Times New Roman" w:cs="Times New Roman" w:eastAsia="Times New Roman" w:hAnsi="Times New Roman"/>
          <w:sz w:val="18"/>
          <w:szCs w:val="18"/>
          <w:i w:val="1"/>
          <w:iCs w:val="1"/>
          <w:color w:val="000000"/>
        </w:rPr>
        <w:t>and discussed elsewhere in this Quarterly Report. Additionally, our historical results are not necessarily indicative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of the results that may be expected for any period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14"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231F20"/>
        </w:rPr>
        <w:t>We are an advertising technology company. Our cloud-based demand side platform (“DSP”)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spacing w:after="0" w:line="69"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231F20"/>
        </w:rPr>
        <w:t>Our DSP is used by marketers and their advertising agencies to centralize the planning, buying and measurement of their digital advertising across most channels. Through our omni-channel platform, a marketer can easily buy ads on connected TV ("CTV"), streaming audio, digital out-of-home, mobile and desktop.</w:t>
      </w:r>
    </w:p>
    <w:p>
      <w:pPr>
        <w:spacing w:after="0" w:line="69" w:lineRule="exact"/>
        <w:rPr>
          <w:sz w:val="20"/>
          <w:szCs w:val="20"/>
          <w:color w:val="auto"/>
        </w:rPr>
      </w:pPr>
    </w:p>
    <w:p>
      <w:pPr>
        <w:ind w:right="60" w:firstLine="479"/>
        <w:spacing w:after="0" w:line="270" w:lineRule="auto"/>
        <w:rPr>
          <w:sz w:val="20"/>
          <w:szCs w:val="20"/>
          <w:color w:val="auto"/>
        </w:rPr>
      </w:pPr>
      <w:r>
        <w:rPr>
          <w:rFonts w:ascii="Times New Roman" w:cs="Times New Roman" w:eastAsia="Times New Roman" w:hAnsi="Times New Roman"/>
          <w:sz w:val="17"/>
          <w:szCs w:val="17"/>
          <w:color w:val="auto"/>
        </w:rPr>
        <w:t>Our DSP is an easy-to-use self-service platform that provides our customers with transparency and control over their advertising campaigns. Our platform offers customers unique visibility across a variety of inventory, allowing them to create customized audience segments and leverage our addressability solutions, Household ID ("HHID") and IRIS_ID,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 on advertising spend across channels, a feature we believe helps us grow our customer base as more customers recognize its benefits.</w:t>
      </w:r>
    </w:p>
    <w:p>
      <w:pPr>
        <w:spacing w:after="0" w:line="63" w:lineRule="exact"/>
        <w:rPr>
          <w:sz w:val="20"/>
          <w:szCs w:val="20"/>
          <w:color w:val="auto"/>
        </w:rPr>
      </w:pPr>
    </w:p>
    <w:p>
      <w:pPr>
        <w:ind w:right="180" w:firstLine="479"/>
        <w:spacing w:after="0" w:line="275" w:lineRule="auto"/>
        <w:rPr>
          <w:sz w:val="20"/>
          <w:szCs w:val="20"/>
          <w:color w:val="auto"/>
        </w:rPr>
      </w:pPr>
      <w:r>
        <w:rPr>
          <w:rFonts w:ascii="Times New Roman" w:cs="Times New Roman" w:eastAsia="Times New Roman" w:hAnsi="Times New Roman"/>
          <w:sz w:val="18"/>
          <w:szCs w:val="18"/>
          <w:color w:val="231F20"/>
        </w:rPr>
        <w:t xml:space="preserve">We generate revenue by charging </w:t>
      </w:r>
      <w:r>
        <w:rPr>
          <w:rFonts w:ascii="Times New Roman" w:cs="Times New Roman" w:eastAsia="Times New Roman" w:hAnsi="Times New Roman"/>
          <w:sz w:val="18"/>
          <w:szCs w:val="18"/>
          <w:color w:val="000000"/>
        </w:rPr>
        <w:t>platform fees and service fees pursuant to agreements that enable a wide variety of marketers and their agencies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select the mix of pricing and service options that suits their unique business and </w:t>
      </w:r>
      <w:r>
        <w:rPr>
          <w:rFonts w:ascii="Times New Roman" w:cs="Times New Roman" w:eastAsia="Times New Roman" w:hAnsi="Times New Roman"/>
          <w:sz w:val="18"/>
          <w:szCs w:val="18"/>
          <w:color w:val="231F20"/>
        </w:rPr>
        <w:t>advertising budget</w:t>
      </w:r>
      <w:r>
        <w:rPr>
          <w:rFonts w:ascii="Times New Roman" w:cs="Times New Roman" w:eastAsia="Times New Roman" w:hAnsi="Times New Roman"/>
          <w:sz w:val="18"/>
          <w:szCs w:val="18"/>
          <w:color w:val="000000"/>
        </w:rPr>
        <w:t>.</w:t>
      </w:r>
    </w:p>
    <w:p>
      <w:pPr>
        <w:spacing w:after="0" w:line="58" w:lineRule="exact"/>
        <w:rPr>
          <w:sz w:val="20"/>
          <w:szCs w:val="20"/>
          <w:color w:val="auto"/>
        </w:rPr>
      </w:pPr>
    </w:p>
    <w:p>
      <w:pPr>
        <w:ind w:firstLine="479"/>
        <w:spacing w:after="0" w:line="268" w:lineRule="auto"/>
        <w:rPr>
          <w:sz w:val="20"/>
          <w:szCs w:val="20"/>
          <w:color w:val="auto"/>
        </w:rPr>
      </w:pPr>
      <w:r>
        <w:rPr>
          <w:rFonts w:ascii="Times New Roman" w:cs="Times New Roman" w:eastAsia="Times New Roman" w:hAnsi="Times New Roman"/>
          <w:sz w:val="17"/>
          <w:szCs w:val="17"/>
          <w:color w:val="231F20"/>
        </w:rPr>
        <w:t xml:space="preserve">These options consist of a percentage of spend pricing option and a fixed cost per mille (“CPM”) pricing option. Customers who prefer to use our platform on a self-service basis to execute their advertising campaigns enter into master service agreements (“MSAs”) with us, and we generate revenue under these arrangements by charging a platform fee that is primarily a </w:t>
      </w:r>
      <w:r>
        <w:rPr>
          <w:rFonts w:ascii="Times New Roman" w:cs="Times New Roman" w:eastAsia="Times New Roman" w:hAnsi="Times New Roman"/>
          <w:sz w:val="17"/>
          <w:szCs w:val="17"/>
          <w:color w:val="000000"/>
        </w:rPr>
        <w:t>percentage of spend. Customers who prefer to use our fixed CPM pricing option enter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into insertion order (“IO”) arrangements with us, </w:t>
      </w:r>
      <w:r>
        <w:rPr>
          <w:rFonts w:ascii="Times New Roman" w:cs="Times New Roman" w:eastAsia="Times New Roman" w:hAnsi="Times New Roman"/>
          <w:sz w:val="17"/>
          <w:szCs w:val="17"/>
          <w:color w:val="231F20"/>
        </w:rPr>
        <w:t>and we generate revenue by charging these customers a platform fee at a price for every 1,000 impressions</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an ad receives. We also offer additional service options to customers accessing our platform under an MSA or an IO, which enables them to use our services to aid them in data management, media execution and advanced reporting. When customers utilize these service options, we generate revenue by charging a service fee separate from the platform fee consisting of (1) a fee that represents a percentage of spend; (2) a flat monthly fee; or (3) a fixed CPM.</w:t>
      </w:r>
    </w:p>
    <w:p>
      <w:pPr>
        <w:spacing w:after="0" w:line="68" w:lineRule="exact"/>
        <w:rPr>
          <w:sz w:val="20"/>
          <w:szCs w:val="20"/>
          <w:color w:val="auto"/>
        </w:rPr>
      </w:pPr>
    </w:p>
    <w:p>
      <w:pPr>
        <w:ind w:right="40" w:firstLine="479"/>
        <w:spacing w:after="0" w:line="275" w:lineRule="auto"/>
        <w:rPr>
          <w:sz w:val="20"/>
          <w:szCs w:val="20"/>
          <w:color w:val="auto"/>
        </w:rPr>
      </w:pPr>
      <w:r>
        <w:rPr>
          <w:rFonts w:ascii="Times New Roman" w:cs="Times New Roman" w:eastAsia="Times New Roman" w:hAnsi="Times New Roman"/>
          <w:sz w:val="18"/>
          <w:szCs w:val="18"/>
          <w:color w:val="231F20"/>
        </w:rPr>
        <w:t>We believe that offering a mix of pricing and service options provides greater flexibility and access to our platform for marketers and their advertising agencies seeking to plan, buy and measure programmatic campaigns.</w:t>
      </w:r>
    </w:p>
    <w:p>
      <w:pPr>
        <w:spacing w:after="0" w:line="58"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231F20"/>
        </w:rPr>
        <w:t>Additionally, we believe our artificial intelligence product suite, ViantAI, will be the foundational component of our long-term vision for autonomous advertising to create the most efficient and cost-effective experience for our customers. We expect that ViantAI will handle every stage of programmatic advertising, from building campaigns to optimizing execution, allowing advertisers and their agencies to rely on ViantAI to manage their campaigns while they focus on broader strategic goals.</w:t>
      </w:r>
    </w:p>
    <w:p>
      <w:pPr>
        <w:spacing w:after="0" w:line="74"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8"/>
          <w:szCs w:val="18"/>
          <w:color w:val="231F20"/>
        </w:rPr>
        <w:t>Our ViantAI suite currently includes AI Planning, which enables media planners to design high-impact campaigns in seconds, and AI Bidding, which optimizes inventory costs by lowering the effective cost per mille ("eCPM") through automated bid adjustments. Looking ahead, our ViantAI product roadmap features AI Measurement and Analysis, which provides accessible measurement and insights via a user-friendly chat interface, and AI Decisioning, which empowers an AI agent to dynamically optimize campaigns in real-time by leveraging advanced ad strategies such as channel allocation, publisher selection, dayparting, and audience discovery.</w:t>
      </w:r>
    </w:p>
    <w:p>
      <w:pPr>
        <w:spacing w:after="0" w:line="39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20" w:name="page21"/>
    <w:bookmarkEnd w:id="2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Our financial results for the three months ended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and 2024, respectively, include:</w:t>
      </w:r>
    </w:p>
    <w:p>
      <w:pPr>
        <w:spacing w:after="0" w:line="112" w:lineRule="exact"/>
        <w:rPr>
          <w:sz w:val="20"/>
          <w:szCs w:val="20"/>
          <w:color w:val="auto"/>
        </w:rPr>
      </w:pPr>
    </w:p>
    <w:p>
      <w:pPr>
        <w:ind w:left="800" w:hanging="635"/>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Revenue of $70.6 million and $53.4 million, representing an increase of 32%;</w:t>
      </w:r>
    </w:p>
    <w:p>
      <w:pPr>
        <w:spacing w:after="0" w:line="112" w:lineRule="exact"/>
        <w:rPr>
          <w:rFonts w:ascii="Times New Roman" w:cs="Times New Roman" w:eastAsia="Times New Roman" w:hAnsi="Times New Roman"/>
          <w:sz w:val="18"/>
          <w:szCs w:val="18"/>
          <w:color w:val="auto"/>
        </w:rPr>
      </w:pPr>
    </w:p>
    <w:p>
      <w:pPr>
        <w:ind w:left="800" w:hanging="635"/>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Gross profit of $30.6 million and $23.5 million, representing an increase of 30%;</w:t>
      </w:r>
    </w:p>
    <w:p>
      <w:pPr>
        <w:spacing w:after="0" w:line="108" w:lineRule="exact"/>
        <w:rPr>
          <w:rFonts w:ascii="Times New Roman" w:cs="Times New Roman" w:eastAsia="Times New Roman" w:hAnsi="Times New Roman"/>
          <w:sz w:val="18"/>
          <w:szCs w:val="18"/>
          <w:color w:val="auto"/>
        </w:rPr>
      </w:pPr>
    </w:p>
    <w:p>
      <w:pPr>
        <w:ind w:left="800" w:hanging="635"/>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Contribution ex-TAC</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$42.7 million and $34.1 million, representing an increase of 25%;</w:t>
      </w:r>
    </w:p>
    <w:p>
      <w:pPr>
        <w:spacing w:after="0" w:line="57" w:lineRule="exact"/>
        <w:rPr>
          <w:rFonts w:ascii="Times New Roman" w:cs="Times New Roman" w:eastAsia="Times New Roman" w:hAnsi="Times New Roman"/>
          <w:sz w:val="18"/>
          <w:szCs w:val="18"/>
          <w:color w:val="auto"/>
        </w:rPr>
      </w:pPr>
    </w:p>
    <w:p>
      <w:pPr>
        <w:ind w:left="800" w:hanging="635"/>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Net loss of $3.3 million and $3.2 million, representing an increase of 3%;</w:t>
      </w:r>
    </w:p>
    <w:p>
      <w:pPr>
        <w:spacing w:after="0" w:line="108" w:lineRule="exact"/>
        <w:rPr>
          <w:rFonts w:ascii="Times New Roman" w:cs="Times New Roman" w:eastAsia="Times New Roman" w:hAnsi="Times New Roman"/>
          <w:sz w:val="18"/>
          <w:szCs w:val="18"/>
          <w:color w:val="auto"/>
        </w:rPr>
      </w:pPr>
    </w:p>
    <w:p>
      <w:pPr>
        <w:ind w:left="800" w:hanging="635"/>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Non-GAAP net income</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$2.8 million and $1.3 million, representing an increase of 109%; and</w:t>
      </w:r>
    </w:p>
    <w:p>
      <w:pPr>
        <w:spacing w:after="0" w:line="54" w:lineRule="exact"/>
        <w:rPr>
          <w:rFonts w:ascii="Times New Roman" w:cs="Times New Roman" w:eastAsia="Times New Roman" w:hAnsi="Times New Roman"/>
          <w:sz w:val="18"/>
          <w:szCs w:val="18"/>
          <w:color w:val="auto"/>
        </w:rPr>
      </w:pPr>
    </w:p>
    <w:p>
      <w:pPr>
        <w:ind w:left="800" w:hanging="635"/>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$5.4 million and $3.1 million, representing an increase of 76%.</w:t>
      </w:r>
    </w:p>
    <w:p>
      <w:pPr>
        <w:spacing w:after="0" w:line="164" w:lineRule="exact"/>
        <w:rPr>
          <w:sz w:val="20"/>
          <w:szCs w:val="20"/>
          <w:color w:val="auto"/>
        </w:rPr>
      </w:pPr>
    </w:p>
    <w:p>
      <w:pPr>
        <w:ind w:left="480" w:hanging="315"/>
        <w:spacing w:after="0" w:line="276" w:lineRule="auto"/>
        <w:tabs>
          <w:tab w:leader="none" w:pos="474" w:val="left"/>
        </w:tabs>
        <w:numPr>
          <w:ilvl w:val="0"/>
          <w:numId w:val="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Contribution ex-TAC, non-GAAP net income (loss) and adjusted EBITDA are non-GAAP financial measures. For a detailed discussion of our key operating and financial performance measures and a reconciliation of contribution ex-TAC, non-GAAP net income (loss) and adjusted EBITDA to the most directly comparable financial measures calculated in accordance with generally accepted </w:t>
      </w:r>
      <w:r>
        <w:rPr>
          <w:rFonts w:ascii="Times New Roman" w:cs="Times New Roman" w:eastAsia="Times New Roman" w:hAnsi="Times New Roman"/>
          <w:sz w:val="17"/>
          <w:szCs w:val="17"/>
          <w:color w:val="000000"/>
        </w:rPr>
        <w:t>accounting principles in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United States of America </w:t>
      </w:r>
      <w:r>
        <w:rPr>
          <w:rFonts w:ascii="Times New Roman" w:cs="Times New Roman" w:eastAsia="Times New Roman" w:hAnsi="Times New Roman"/>
          <w:sz w:val="17"/>
          <w:szCs w:val="17"/>
          <w:color w:val="231F20"/>
        </w:rPr>
        <w:t>(“GAAP”), see “</w:t>
      </w:r>
      <w:r>
        <w:rPr>
          <w:rFonts w:ascii="Times New Roman" w:cs="Times New Roman" w:eastAsia="Times New Roman" w:hAnsi="Times New Roman"/>
          <w:sz w:val="17"/>
          <w:szCs w:val="17"/>
          <w:i w:val="1"/>
          <w:iCs w:val="1"/>
          <w:color w:val="231F20"/>
        </w:rPr>
        <w:t>—Key Operating and Financial Performance Measures—Use of Non-GAAP Financial Measures.</w:t>
      </w:r>
      <w:r>
        <w:rPr>
          <w:rFonts w:ascii="Times New Roman" w:cs="Times New Roman" w:eastAsia="Times New Roman" w:hAnsi="Times New Roman"/>
          <w:sz w:val="17"/>
          <w:szCs w:val="17"/>
          <w:color w:val="231F20"/>
        </w:rPr>
        <w:t>”</w:t>
      </w:r>
    </w:p>
    <w:p>
      <w:pPr>
        <w:spacing w:after="0" w:line="3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580"/>
          </w:cols>
          <w:pgMar w:left="800" w:top="119" w:right="519" w:bottom="1440" w:gutter="0" w:footer="0" w:header="0"/>
        </w:sectPr>
      </w:pPr>
    </w:p>
    <w:bookmarkStart w:id="21" w:name="page22"/>
    <w:bookmarkEnd w:id="2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Factors Affecting Our Performance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Attract, Retain and Grow our Customer Base</w:t>
      </w:r>
    </w:p>
    <w:p>
      <w:pPr>
        <w:spacing w:after="0" w:line="116" w:lineRule="exact"/>
        <w:rPr>
          <w:sz w:val="20"/>
          <w:szCs w:val="20"/>
          <w:color w:val="auto"/>
        </w:rPr>
      </w:pPr>
    </w:p>
    <w:p>
      <w:pPr>
        <w:ind w:right="40" w:firstLine="479"/>
        <w:spacing w:after="0" w:line="250" w:lineRule="auto"/>
        <w:rPr>
          <w:sz w:val="20"/>
          <w:szCs w:val="20"/>
          <w:color w:val="auto"/>
        </w:rPr>
      </w:pPr>
      <w:r>
        <w:rPr>
          <w:rFonts w:ascii="Times New Roman" w:cs="Times New Roman" w:eastAsia="Times New Roman" w:hAnsi="Times New Roman"/>
          <w:sz w:val="18"/>
          <w:szCs w:val="18"/>
          <w:color w:val="231F20"/>
        </w:rPr>
        <w:t>Our future growth depends on our ability to enhance and improve our offerings and platform to increase our customers' usage of our platform and add new customers. We believe many advertisers are in the early stages of moving a greater percentage of their advertising budgets to programmatic channels. By providing solutions for the planning, buying and measuring of their media spend acros</w:t>
      </w:r>
      <w:r>
        <w:rPr>
          <w:rFonts w:ascii="Times New Roman" w:cs="Times New Roman" w:eastAsia="Times New Roman" w:hAnsi="Times New Roman"/>
          <w:sz w:val="18"/>
          <w:szCs w:val="18"/>
          <w:color w:val="000000"/>
        </w:rPr>
        <w:t>s most channels, we believe we are well positioned to capture more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our customers’ programmatic budgets. We also continue to add functionality to our platform to encourage our customers to increase their usage. For instance, we continue to leverage artificial intelligence and machine learning in our platform to help our customers improve the efficiency and effectiveness of their advertising campaigns. We expect ViantAI to accelerate market share gains and expand our total addressable market. Furthe</w:t>
      </w:r>
      <w:r>
        <w:rPr>
          <w:rFonts w:ascii="Times New Roman" w:cs="Times New Roman" w:eastAsia="Times New Roman" w:hAnsi="Times New Roman"/>
          <w:sz w:val="18"/>
          <w:szCs w:val="18"/>
          <w:color w:val="231F20"/>
        </w:rPr>
        <w:t>r, we intend to continue to grow</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our sales and marketing efforts to increase awareness of our DSP and highlight the advantages of our addressability solutions, HHID and IRIS_ID, and strategic partner data as a superior option to cookie-based targeting.</w:t>
      </w:r>
    </w:p>
    <w:p>
      <w:pPr>
        <w:spacing w:after="0" w:line="83"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We evaluate our customers' usage of our platform and assess our market penetration and scale based on changes in revenue, contribution ex-TAC and advertiser spend. We define advertiser spend as the total amount billed to our customers for activity on our platform inclusive of the costs of advertising media, third-party data, other add-on features and our platform fee that we charge customers. For the three months ended March 31, 2025 compared to the three months ended March 31, 2024, our revenue grew 32%. We believe growing customer adoption of our newer products and platform features continued to drive incremental revenue, gross profit and contribution ex-TAC during the three months ended March 31, 2025. For a detailed discussion of our key operating measures, see “</w:t>
      </w:r>
      <w:r>
        <w:rPr>
          <w:rFonts w:ascii="Times New Roman" w:cs="Times New Roman" w:eastAsia="Times New Roman" w:hAnsi="Times New Roman"/>
          <w:sz w:val="18"/>
          <w:szCs w:val="18"/>
          <w:i w:val="1"/>
          <w:iCs w:val="1"/>
          <w:color w:val="auto"/>
        </w:rPr>
        <w:t>—Key Operating and Financial Performance Measures—Use of Non-GAAP Financial Measures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Investment in Growth</w:t>
      </w:r>
    </w:p>
    <w:p>
      <w:pPr>
        <w:spacing w:after="0" w:line="116"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8"/>
          <w:szCs w:val="18"/>
          <w:color w:val="231F20"/>
        </w:rPr>
        <w:t>We believe that the advertising market is in the early stages of a shift toward programmatic advertising. We plan to invest for long-term growth. We anticipate that our operating expenses will continue to increase over the long-term as we invest in platform operations, technology and development to enhance our product capabilities including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Impact of Macroeconomic and Geopolitical Conditions</w:t>
      </w:r>
    </w:p>
    <w:p>
      <w:pPr>
        <w:spacing w:after="0" w:line="116" w:lineRule="exact"/>
        <w:rPr>
          <w:sz w:val="20"/>
          <w:szCs w:val="20"/>
          <w:color w:val="auto"/>
        </w:rPr>
      </w:pPr>
    </w:p>
    <w:p>
      <w:pPr>
        <w:ind w:right="80" w:firstLine="479"/>
        <w:spacing w:after="0" w:line="250" w:lineRule="auto"/>
        <w:rPr>
          <w:sz w:val="20"/>
          <w:szCs w:val="20"/>
          <w:color w:val="auto"/>
        </w:rPr>
      </w:pPr>
      <w:r>
        <w:rPr>
          <w:rFonts w:ascii="Times New Roman" w:cs="Times New Roman" w:eastAsia="Times New Roman" w:hAnsi="Times New Roman"/>
          <w:sz w:val="18"/>
          <w:szCs w:val="18"/>
          <w:color w:val="231F20"/>
        </w:rPr>
        <w:t>Macroeconomic conditions and geopolitical events, such as pandemics, inflation, high interest rates, new or increased tariffs and international trade conflict, tightening of credit markets, recession risks, labor shortages, supply chain disruptions, political election cycles, changes in laws and interpretations of laws, changes in the volume and relative mix of U.S. government spending, cost-cutting and efficiency initiatives and potential disruptions from international conflicts and acts of terrorism, have impacted and may continue to impact our business and the business of our customers, while also disrupting sales channels and advertising and marketing activities. We continue to actively monitor the impact of these macroeconomic factors on our results of operations, financial condition and cash flows, and on our clients, partners, industry and employees. The extent to which these factors impact our operational and financial performance, including our ability to execute our business strategies and initiatives in the expected time frame, will depend on future developments, which are uncertain and cannot be predicted. Due to the nature of our business, the effect of these macroeconomic conditions and geopolitical events may not be fully reflected in our results of operations until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Growth of the Digital Advertising Market</w:t>
      </w:r>
    </w:p>
    <w:p>
      <w:pPr>
        <w:spacing w:after="0" w:line="116" w:lineRule="exact"/>
        <w:rPr>
          <w:sz w:val="20"/>
          <w:szCs w:val="20"/>
          <w:color w:val="auto"/>
        </w:rPr>
      </w:pPr>
    </w:p>
    <w:p>
      <w:pPr>
        <w:ind w:right="100" w:firstLine="479"/>
        <w:spacing w:after="0" w:line="256" w:lineRule="auto"/>
        <w:rPr>
          <w:sz w:val="20"/>
          <w:szCs w:val="20"/>
          <w:color w:val="auto"/>
        </w:rPr>
      </w:pPr>
      <w:r>
        <w:rPr>
          <w:rFonts w:ascii="Times New Roman" w:cs="Times New Roman" w:eastAsia="Times New Roman" w:hAnsi="Times New Roman"/>
          <w:sz w:val="18"/>
          <w:szCs w:val="18"/>
          <w:color w:val="231F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Seasonality</w:t>
      </w:r>
    </w:p>
    <w:p>
      <w:pPr>
        <w:spacing w:after="0" w:line="116" w:lineRule="exact"/>
        <w:rPr>
          <w:sz w:val="20"/>
          <w:szCs w:val="20"/>
          <w:color w:val="auto"/>
        </w:rPr>
      </w:pPr>
    </w:p>
    <w:p>
      <w:pPr>
        <w:ind w:firstLine="479"/>
        <w:spacing w:after="0" w:line="250" w:lineRule="auto"/>
        <w:rPr>
          <w:sz w:val="20"/>
          <w:szCs w:val="20"/>
          <w:color w:val="auto"/>
        </w:rPr>
      </w:pPr>
      <w:r>
        <w:rPr>
          <w:rFonts w:ascii="Times New Roman" w:cs="Times New Roman" w:eastAsia="Times New Roman" w:hAnsi="Times New Roman"/>
          <w:sz w:val="18"/>
          <w:szCs w:val="18"/>
          <w:color w:val="231F20"/>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and related revenue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potential impacts of the evolving macroeconomic and geopolitical conditions discussed above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pacing w:after="0" w:line="200" w:lineRule="exact"/>
        <w:rPr>
          <w:sz w:val="20"/>
          <w:szCs w:val="20"/>
          <w:color w:val="auto"/>
        </w:rPr>
      </w:pPr>
    </w:p>
    <w:p>
      <w:pPr>
        <w:spacing w:after="0" w:line="20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2" w:name="page23"/>
    <w:bookmarkEnd w:id="2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4"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231F20"/>
        </w:rPr>
        <w:t>The following tables present our unaudited condensed consolidated statements of operations, our condensed consolidated statements of operations as a percentage of revenue, and the impact of stock-based compensation, depreciation and amortization on each operating expense line item for the three months ended March 31, 2025 and 2024:</w:t>
      </w:r>
    </w:p>
    <w:p>
      <w:pPr>
        <w:spacing w:after="0" w:line="9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74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70,642</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53,393</w:t>
            </w:r>
          </w:p>
        </w:tc>
      </w:tr>
      <w:tr>
        <w:trPr>
          <w:trHeight w:val="226"/>
        </w:trPr>
        <w:tc>
          <w:tcPr>
            <w:tcW w:w="7460" w:type="dxa"/>
            <w:vAlign w:val="bottom"/>
            <w:shd w:val="clear" w:color="auto" w:fill="CCEEFF"/>
          </w:tcPr>
          <w:p>
            <w:pPr>
              <w:spacing w:after="0" w:line="226"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Platform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29,880</w:t>
            </w:r>
          </w:p>
        </w:tc>
      </w:tr>
      <w:tr>
        <w:trPr>
          <w:trHeight w:val="226"/>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w:t>
            </w:r>
          </w:p>
        </w:tc>
      </w:tr>
      <w:tr>
        <w:trPr>
          <w:trHeight w:val="226"/>
        </w:trPr>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w:t>
            </w:r>
          </w:p>
        </w:tc>
      </w:tr>
      <w:tr>
        <w:trPr>
          <w:trHeight w:val="226"/>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w:t>
            </w:r>
          </w:p>
        </w:tc>
      </w:tr>
      <w:tr>
        <w:trPr>
          <w:trHeight w:val="219"/>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75,501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59,085</w:t>
            </w:r>
          </w:p>
        </w:tc>
      </w:tr>
      <w:tr>
        <w:trPr>
          <w:trHeight w:val="21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w:t>
            </w:r>
          </w:p>
        </w:tc>
      </w:tr>
      <w:tr>
        <w:trPr>
          <w:trHeight w:val="22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r>
      <w:tr>
        <w:trPr>
          <w:trHeight w:val="21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r>
      <w:tr>
        <w:trPr>
          <w:trHeight w:val="22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2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r>
      <w:tr>
        <w:trPr>
          <w:trHeight w:val="244"/>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72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59"/>
        </w:trPr>
        <w:tc>
          <w:tcPr>
            <w:tcW w:w="7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 of revenue*)</w:t>
            </w:r>
          </w:p>
        </w:tc>
        <w:tc>
          <w:tcPr>
            <w:tcW w:w="920" w:type="dxa"/>
            <w:vAlign w:val="bottom"/>
          </w:tcPr>
          <w:p>
            <w:pPr>
              <w:spacing w:after="0"/>
              <w:rPr>
                <w:sz w:val="22"/>
                <w:szCs w:val="22"/>
                <w:color w:val="auto"/>
              </w:rPr>
            </w:pPr>
          </w:p>
        </w:tc>
      </w:tr>
      <w:tr>
        <w:trPr>
          <w:trHeight w:val="226"/>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6"/>
        </w:trPr>
        <w:tc>
          <w:tcPr>
            <w:tcW w:w="816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6"/>
        </w:trPr>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Platform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6"/>
        </w:trPr>
        <w:tc>
          <w:tcPr>
            <w:tcW w:w="8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6"/>
        </w:trPr>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6"/>
        </w:trPr>
        <w:tc>
          <w:tcPr>
            <w:tcW w:w="8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19"/>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1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9"/>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9"/>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6"/>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9"/>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40"/>
        <w:spacing w:after="0"/>
        <w:tabs>
          <w:tab w:leader="none" w:pos="940" w:val="left"/>
        </w:tabs>
        <w:rPr>
          <w:sz w:val="20"/>
          <w:szCs w:val="20"/>
          <w:color w:val="auto"/>
        </w:rPr>
      </w:pPr>
      <w:r>
        <w:rPr>
          <w:rFonts w:ascii="Times New Roman" w:cs="Times New Roman" w:eastAsia="Times New Roman" w:hAnsi="Times New Roman"/>
          <w:sz w:val="18"/>
          <w:szCs w:val="18"/>
          <w:color w:val="231F20"/>
        </w:rPr>
        <w:t>*</w:t>
        <w:tab/>
        <w:t>Percentages may not sum due to rounding.</w:t>
      </w:r>
    </w:p>
    <w:p>
      <w:pPr>
        <w:spacing w:after="0" w:line="200" w:lineRule="exact"/>
        <w:rPr>
          <w:sz w:val="20"/>
          <w:szCs w:val="20"/>
          <w:color w:val="auto"/>
        </w:rPr>
      </w:pPr>
    </w:p>
    <w:p>
      <w:pPr>
        <w:spacing w:after="0" w:line="2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23" w:name="page24"/>
    <w:bookmarkEnd w:id="23"/>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2" w:lineRule="exact"/>
        <w:rPr>
          <w:sz w:val="20"/>
          <w:szCs w:val="20"/>
          <w:color w:val="auto"/>
        </w:rPr>
      </w:pPr>
    </w:p>
    <w:p>
      <w:pPr>
        <w:ind w:left="960" w:hanging="315"/>
        <w:spacing w:after="0"/>
        <w:tabs>
          <w:tab w:leader="none" w:pos="9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Stock-based compensation, depreciation and amortization included in operating expenses were as follows:</w:t>
      </w:r>
    </w:p>
    <w:p>
      <w:pPr>
        <w:spacing w:after="0" w:line="138"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74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2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2,489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1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5,639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0"/>
        </w:trPr>
        <w:tc>
          <w:tcPr>
            <w:tcW w:w="7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74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3,455</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r>
      <w:tr>
        <w:trPr>
          <w:trHeight w:val="22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w:t>
            </w:r>
          </w:p>
        </w:tc>
        <w:tc>
          <w:tcPr>
            <w:tcW w:w="8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4,161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w:t>
            </w:r>
          </w:p>
        </w:tc>
      </w:tr>
      <w:tr>
        <w:trPr>
          <w:trHeight w:val="20"/>
        </w:trPr>
        <w:tc>
          <w:tcPr>
            <w:tcW w:w="7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1"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0" w:type="dxa"/>
            <w:vAlign w:val="bottom"/>
          </w:tcPr>
          <w:p>
            <w:pPr>
              <w:spacing w:after="0"/>
              <w:rPr>
                <w:sz w:val="19"/>
                <w:szCs w:val="19"/>
                <w:color w:val="auto"/>
              </w:rPr>
            </w:pPr>
          </w:p>
        </w:tc>
        <w:tc>
          <w:tcPr>
            <w:tcW w:w="45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Comparison of the Three Months Ended March 31, 2025 and 2024</w:t>
            </w: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5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5"/>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vMerge w:val="continue"/>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231F20"/>
        </w:rPr>
        <w:t xml:space="preserve">Revenue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$17.2 million, or 32%, during the three months ended March 31, 2025 compared to the three months ended March 31, 2024.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increase was primarily due to an 84% increase in revenue from marketers in the consumer goods, business services, and healthcare industry verticals and a net 12% increase in all other industry verticals.</w:t>
      </w:r>
    </w:p>
    <w:p>
      <w:pPr>
        <w:spacing w:after="0" w:line="38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Platform Operations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27,913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19,272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platform operations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12,167</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10,608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4"/>
        </w:trPr>
        <w:tc>
          <w:tcPr>
            <w:tcW w:w="7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40,080</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29,880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20" w:type="dxa"/>
            <w:vAlign w:val="bottom"/>
          </w:tcPr>
          <w:p>
            <w:pPr>
              <w:spacing w:after="0"/>
              <w:rPr>
                <w:sz w:val="17"/>
                <w:szCs w:val="17"/>
                <w:color w:val="auto"/>
              </w:rPr>
            </w:pPr>
          </w:p>
        </w:tc>
        <w:tc>
          <w:tcPr>
            <w:tcW w:w="43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56 %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8"/>
          <w:szCs w:val="18"/>
          <w:color w:val="231F20"/>
        </w:rPr>
        <w:t xml:space="preserve">Platform operations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$10.2 million, or 34%, during the three months ended March 31, 2025 compared to the three months ended March 31, 2024.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to an $8.6 million increase in traffic acquisition costs (“TAC”), </w:t>
      </w:r>
      <w:r>
        <w:rPr>
          <w:rFonts w:ascii="Times New Roman" w:cs="Times New Roman" w:eastAsia="Times New Roman" w:hAnsi="Times New Roman"/>
          <w:sz w:val="18"/>
          <w:szCs w:val="18"/>
          <w:color w:val="000000"/>
        </w:rPr>
        <w:t>a variable function of revenue related to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fixed CPM pricing option and certain arrangements related to our percentage of spend pricing option. The increase was also due to higher other platform operations expense which was driven by a $</w:t>
      </w:r>
      <w:r>
        <w:rPr>
          <w:rFonts w:ascii="Times New Roman" w:cs="Times New Roman" w:eastAsia="Times New Roman" w:hAnsi="Times New Roman"/>
          <w:sz w:val="18"/>
          <w:szCs w:val="18"/>
          <w:color w:val="231F20"/>
        </w:rPr>
        <w:t>0.6</w:t>
      </w:r>
      <w:r>
        <w:rPr>
          <w:rFonts w:ascii="Times New Roman" w:cs="Times New Roman" w:eastAsia="Times New Roman" w:hAnsi="Times New Roman"/>
          <w:sz w:val="18"/>
          <w:szCs w:val="18"/>
          <w:color w:val="000000"/>
        </w:rPr>
        <w:t xml:space="preserve"> million increase in cloud and data center services in support of our DSP, a $</w:t>
      </w:r>
      <w:r>
        <w:rPr>
          <w:rFonts w:ascii="Times New Roman" w:cs="Times New Roman" w:eastAsia="Times New Roman" w:hAnsi="Times New Roman"/>
          <w:sz w:val="18"/>
          <w:szCs w:val="18"/>
          <w:color w:val="231F20"/>
        </w:rPr>
        <w:t>0.5</w:t>
      </w:r>
      <w:r>
        <w:rPr>
          <w:rFonts w:ascii="Times New Roman" w:cs="Times New Roman" w:eastAsia="Times New Roman" w:hAnsi="Times New Roman"/>
          <w:sz w:val="18"/>
          <w:szCs w:val="18"/>
          <w:color w:val="000000"/>
        </w:rPr>
        <w:t xml:space="preserve"> million increase in personnel costs, and a $0.5 million increase in stock-based compensation.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Sales and Marketing</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14,229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12,899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231F20"/>
        </w:rPr>
        <w:t xml:space="preserve">Sales and marketing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$1.3 million, or 10%, during the three months ended March 31, 2025 compared to the three months ended March 31, 2024.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to a $1.3 million increase in personnel costs, a $0.7 million increase in stock-based compensation and a $0.1 million increase in professional services, partially offset by a $0.7 million decrease in travel and entertainment expense and a $0.1 million decrease in advertising expense.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Technology and Development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6,911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5,232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231F20"/>
        </w:rPr>
        <w:t xml:space="preserve">Technology and development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$1.7 million, or 32%, during the three months ended March 31, 2025 compared to the three months ended March 31, 2024. </w:t>
      </w:r>
      <w:r>
        <w:rPr>
          <w:rFonts w:ascii="Times New Roman" w:cs="Times New Roman" w:eastAsia="Times New Roman" w:hAnsi="Times New Roman"/>
          <w:sz w:val="18"/>
          <w:szCs w:val="18"/>
          <w:color w:val="000000"/>
        </w:rPr>
        <w:t>This increase was primarily due to a $0.9 million increase in personnel costs, a $0.3 million increase in stock-based compensation,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$0.3 million increase in technology costs in support of our DSP and a $0.2 million increase in depreciation expense.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14,281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11,074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firstLine="479"/>
        <w:spacing w:after="0" w:line="253" w:lineRule="auto"/>
        <w:rPr>
          <w:sz w:val="20"/>
          <w:szCs w:val="20"/>
          <w:color w:val="auto"/>
        </w:rPr>
      </w:pPr>
      <w:r>
        <w:rPr>
          <w:rFonts w:ascii="Times New Roman" w:cs="Times New Roman" w:eastAsia="Times New Roman" w:hAnsi="Times New Roman"/>
          <w:sz w:val="18"/>
          <w:szCs w:val="18"/>
          <w:color w:val="231F20"/>
        </w:rPr>
        <w:t xml:space="preserve">General and administrative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$3.2 million, or 29%, during the three months ended March 31, 2025 compared to the three months ended March 31, 2024. </w:t>
      </w:r>
      <w:r>
        <w:rPr>
          <w:rFonts w:ascii="Times New Roman" w:cs="Times New Roman" w:eastAsia="Times New Roman" w:hAnsi="Times New Roman"/>
          <w:sz w:val="18"/>
          <w:szCs w:val="18"/>
          <w:color w:val="000000"/>
        </w:rPr>
        <w:t>This increase was primarily due to a $1.5 million increase in travel and entertainment expense driven by Company events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employee-related expenses, a $1.2 million increase in personnel costs, a $0.5 million increase in bad debt expense and a $0.3 million increase in accounting, legal, and consulting expenses associated with general corporate and compliance matters, partially offset by a $0.3 million decrease in stock-based compensation.</w:t>
      </w:r>
    </w:p>
    <w:p>
      <w:pPr>
        <w:sectPr>
          <w:pgSz w:w="11900" w:h="16838" w:orient="portrait"/>
          <w:cols w:equalWidth="0" w:num="1">
            <w:col w:w="11220"/>
          </w:cols>
          <w:pgMar w:left="320" w:top="119" w:right="359" w:bottom="1440" w:gutter="0" w:footer="0" w:header="0"/>
        </w:sectPr>
      </w:pPr>
    </w:p>
    <w:p>
      <w:pPr>
        <w:spacing w:after="0" w:line="39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25" w:name="page26"/>
    <w:bookmarkEnd w:id="25"/>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Total Other Expense (Income),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40" w:firstLine="479"/>
        <w:spacing w:after="0" w:line="261" w:lineRule="auto"/>
        <w:rPr>
          <w:sz w:val="20"/>
          <w:szCs w:val="20"/>
          <w:color w:val="auto"/>
        </w:rPr>
      </w:pPr>
      <w:r>
        <w:rPr>
          <w:rFonts w:ascii="Times New Roman" w:cs="Times New Roman" w:eastAsia="Times New Roman" w:hAnsi="Times New Roman"/>
          <w:sz w:val="18"/>
          <w:szCs w:val="18"/>
          <w:color w:val="231F20"/>
        </w:rPr>
        <w:t xml:space="preserve">Total other expense (income), net </w:t>
      </w:r>
      <w:r>
        <w:rPr>
          <w:rFonts w:ascii="Times New Roman" w:cs="Times New Roman" w:eastAsia="Times New Roman" w:hAnsi="Times New Roman"/>
          <w:sz w:val="18"/>
          <w:szCs w:val="18"/>
          <w:color w:val="000000"/>
        </w:rPr>
        <w:t>decreased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$1.0</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41%,</w:t>
      </w:r>
      <w:r>
        <w:rPr>
          <w:rFonts w:ascii="Times New Roman" w:cs="Times New Roman" w:eastAsia="Times New Roman" w:hAnsi="Times New Roman"/>
          <w:sz w:val="18"/>
          <w:szCs w:val="18"/>
          <w:color w:val="231F20"/>
        </w:rPr>
        <w:t xml:space="preserve"> during the three months ended March 31, 2025 compared to the three months ended March 31, 2024. </w:t>
      </w:r>
      <w:r>
        <w:rPr>
          <w:rFonts w:ascii="Times New Roman" w:cs="Times New Roman" w:eastAsia="Times New Roman" w:hAnsi="Times New Roman"/>
          <w:sz w:val="18"/>
          <w:szCs w:val="18"/>
          <w:color w:val="000000"/>
        </w:rPr>
        <w:t>This decrease was primarily due to a $0.7 million decrease in interest income on cash and cash equivalents driven by lower interest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rates as well as Tax Receivable Agreement ("TRA") expense of $0.3 million in the three months ended March 31, 2025.</w:t>
      </w:r>
    </w:p>
    <w:p>
      <w:pPr>
        <w:spacing w:after="0" w:line="69" w:lineRule="exact"/>
        <w:rPr>
          <w:sz w:val="20"/>
          <w:szCs w:val="20"/>
          <w:color w:val="auto"/>
        </w:rPr>
      </w:pPr>
    </w:p>
    <w:p>
      <w:pPr>
        <w:ind w:right="220" w:firstLine="479"/>
        <w:spacing w:after="0" w:line="275" w:lineRule="auto"/>
        <w:rPr>
          <w:sz w:val="20"/>
          <w:szCs w:val="20"/>
          <w:color w:val="auto"/>
        </w:rPr>
      </w:pPr>
      <w:r>
        <w:rPr>
          <w:rFonts w:ascii="Times New Roman" w:cs="Times New Roman" w:eastAsia="Times New Roman" w:hAnsi="Times New Roman"/>
          <w:sz w:val="18"/>
          <w:szCs w:val="18"/>
          <w:color w:val="auto"/>
        </w:rPr>
        <w:t>For the three months ended March 31, 2025 and 2024, total interest cost incurred was $0.1 million. Interest costs capitalized during the three months ended March 31, 2025 and 2024 were zero.</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Provision For (Benefit From) Income Taxes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spacing w:after="0"/>
              <w:rPr>
                <w:sz w:val="20"/>
                <w:szCs w:val="20"/>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100" w:firstLine="479"/>
        <w:spacing w:after="0" w:line="261" w:lineRule="auto"/>
        <w:rPr>
          <w:sz w:val="20"/>
          <w:szCs w:val="20"/>
          <w:color w:val="auto"/>
        </w:rPr>
      </w:pPr>
      <w:r>
        <w:rPr>
          <w:rFonts w:ascii="Times New Roman" w:cs="Times New Roman" w:eastAsia="Times New Roman" w:hAnsi="Times New Roman"/>
          <w:sz w:val="18"/>
          <w:szCs w:val="18"/>
          <w:color w:val="231F20"/>
        </w:rPr>
        <w:t xml:space="preserve">The U.S. federal statutory tax rate was 21% for the three months ended March 31, 2025 and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The benefit from income taxes increased by </w:t>
      </w:r>
      <w:r>
        <w:rPr>
          <w:rFonts w:ascii="Times New Roman" w:cs="Times New Roman" w:eastAsia="Times New Roman" w:hAnsi="Times New Roman"/>
          <w:sz w:val="18"/>
          <w:szCs w:val="18"/>
          <w:color w:val="000000"/>
        </w:rPr>
        <w:t>$0.1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million, or 55%, during the three months ended </w:t>
      </w:r>
      <w:r>
        <w:rPr>
          <w:rFonts w:ascii="Times New Roman" w:cs="Times New Roman" w:eastAsia="Times New Roman" w:hAnsi="Times New Roman"/>
          <w:sz w:val="18"/>
          <w:szCs w:val="18"/>
          <w:color w:val="231F20"/>
        </w:rPr>
        <w:t>March 31, 2025,</w:t>
      </w:r>
      <w:r>
        <w:rPr>
          <w:rFonts w:ascii="Times New Roman" w:cs="Times New Roman" w:eastAsia="Times New Roman" w:hAnsi="Times New Roman"/>
          <w:sz w:val="18"/>
          <w:szCs w:val="18"/>
          <w:color w:val="000000"/>
        </w:rPr>
        <w:t xml:space="preserve"> compared to the three months ended </w:t>
      </w:r>
      <w:r>
        <w:rPr>
          <w:rFonts w:ascii="Times New Roman" w:cs="Times New Roman" w:eastAsia="Times New Roman" w:hAnsi="Times New Roman"/>
          <w:sz w:val="18"/>
          <w:szCs w:val="18"/>
          <w:color w:val="231F20"/>
        </w:rPr>
        <w:t>March 31, 2024 due to year-to-date loss and excess tax</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benefit on vested stock-based compensation.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Operating and Financial Performance Measures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Non-GAAP Financial Measures</w:t>
      </w:r>
    </w:p>
    <w:p>
      <w:pPr>
        <w:spacing w:after="0" w:line="116" w:lineRule="exact"/>
        <w:rPr>
          <w:sz w:val="20"/>
          <w:szCs w:val="20"/>
          <w:color w:val="auto"/>
        </w:rPr>
      </w:pPr>
    </w:p>
    <w:p>
      <w:pPr>
        <w:ind w:firstLine="479"/>
        <w:spacing w:after="0" w:line="249" w:lineRule="auto"/>
        <w:rPr>
          <w:sz w:val="20"/>
          <w:szCs w:val="20"/>
          <w:color w:val="auto"/>
        </w:rPr>
      </w:pPr>
      <w:r>
        <w:rPr>
          <w:rFonts w:ascii="Times New Roman" w:cs="Times New Roman" w:eastAsia="Times New Roman" w:hAnsi="Times New Roman"/>
          <w:sz w:val="18"/>
          <w:szCs w:val="18"/>
          <w:color w:val="231F20"/>
        </w:rPr>
        <w:t xml:space="preserve">We monitor certain non-GAAP financial measures to help us evaluate growth trends, establish budgets, measure the effectiveness of our sales and marketing efforts and assess our operational efficiencies. </w:t>
      </w:r>
      <w:r>
        <w:rPr>
          <w:rFonts w:ascii="Times New Roman" w:cs="Times New Roman" w:eastAsia="Times New Roman" w:hAnsi="Times New Roman"/>
          <w:sz w:val="18"/>
          <w:szCs w:val="18"/>
          <w:color w:val="000000"/>
        </w:rPr>
        <w:t>We believe these measures enhance an understanding of our overall performance and investors’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ability to review our business from the same perspective as management and facilitate comparisons of this period’s results with prior periods on a consistent basis by excluding items that management does not believe are indicative of our ongoing operating performance. </w:t>
      </w:r>
      <w:r>
        <w:rPr>
          <w:rFonts w:ascii="Times New Roman" w:cs="Times New Roman" w:eastAsia="Times New Roman" w:hAnsi="Times New Roman"/>
          <w:sz w:val="18"/>
          <w:szCs w:val="18"/>
          <w:color w:val="231F20"/>
        </w:rPr>
        <w:t>These non-GAAP financial measures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include contribution ex-TAC, non-GAAP operating expenses, adjusted EBITDA, adjusted EBITDA as a percentage of contribution ex-TAC, non-GAAP net income (loss), and non-GAAP earnings (loss) per share of Class A common stock—basic and diluted, each of which are discussed immediately following the table below.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43"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60" w:type="dxa"/>
            <w:vAlign w:val="bottom"/>
          </w:tcPr>
          <w:p>
            <w:pPr>
              <w:spacing w:after="0"/>
              <w:rPr>
                <w:sz w:val="17"/>
                <w:szCs w:val="17"/>
                <w:color w:val="auto"/>
              </w:rPr>
            </w:pPr>
          </w:p>
        </w:tc>
      </w:tr>
      <w:tr>
        <w:trPr>
          <w:trHeight w:val="234"/>
        </w:trPr>
        <w:tc>
          <w:tcPr>
            <w:tcW w:w="5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5"/>
        </w:trPr>
        <w:tc>
          <w:tcPr>
            <w:tcW w:w="5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08"/>
        </w:trPr>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(NM = Not Meaningful)</w:t>
            </w:r>
          </w:p>
        </w:tc>
        <w:tc>
          <w:tcPr>
            <w:tcW w:w="1460" w:type="dxa"/>
            <w:vAlign w:val="bottom"/>
          </w:tcPr>
          <w:p>
            <w:pPr>
              <w:spacing w:after="0"/>
              <w:rPr>
                <w:sz w:val="18"/>
                <w:szCs w:val="18"/>
                <w:color w:val="auto"/>
              </w:rPr>
            </w:pPr>
          </w:p>
        </w:tc>
      </w:tr>
      <w:tr>
        <w:trPr>
          <w:trHeight w:val="24"/>
        </w:trPr>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and Financial Performance Measures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30,562</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23,513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ex-TAC</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42,729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34,121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75,501</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59,085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37,327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31,046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loss as a percentage of gross profit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as a percentage of contribution ex-TAC</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2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share—basic</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share—diluted</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earnings (loss) per share—basic</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Non-GAAP earnings (loss) per share—diluted</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ex-TAC</w:t>
      </w:r>
    </w:p>
    <w:p>
      <w:pPr>
        <w:spacing w:after="0" w:line="114" w:lineRule="exact"/>
        <w:rPr>
          <w:sz w:val="20"/>
          <w:szCs w:val="20"/>
          <w:color w:val="auto"/>
        </w:rPr>
      </w:pPr>
    </w:p>
    <w:p>
      <w:pPr>
        <w:ind w:firstLine="479"/>
        <w:spacing w:after="0" w:line="270" w:lineRule="auto"/>
        <w:rPr>
          <w:sz w:val="20"/>
          <w:szCs w:val="20"/>
          <w:color w:val="auto"/>
        </w:rPr>
      </w:pPr>
      <w:r>
        <w:rPr>
          <w:rFonts w:ascii="Times New Roman" w:cs="Times New Roman" w:eastAsia="Times New Roman" w:hAnsi="Times New Roman"/>
          <w:sz w:val="17"/>
          <w:szCs w:val="17"/>
          <w:color w:val="auto"/>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63" w:lineRule="exact"/>
        <w:rPr>
          <w:sz w:val="20"/>
          <w:szCs w:val="20"/>
          <w:color w:val="auto"/>
        </w:rPr>
      </w:pPr>
    </w:p>
    <w:p>
      <w:pPr>
        <w:ind w:right="180" w:firstLine="479"/>
        <w:spacing w:after="0" w:line="253" w:lineRule="auto"/>
        <w:rPr>
          <w:sz w:val="20"/>
          <w:szCs w:val="20"/>
          <w:color w:val="auto"/>
        </w:rPr>
      </w:pPr>
      <w:r>
        <w:rPr>
          <w:rFonts w:ascii="Times New Roman" w:cs="Times New Roman" w:eastAsia="Times New Roman" w:hAnsi="Times New Roman"/>
          <w:sz w:val="18"/>
          <w:szCs w:val="18"/>
          <w:color w:val="auto"/>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calculation of gross profit and reconciliation of gross profit to contribution ex-TAC for the periods presented:</w:t>
      </w:r>
    </w:p>
    <w:p>
      <w:pPr>
        <w:spacing w:after="0" w:line="138"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74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6"/>
              </w:rPr>
              <w:t>70,642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6"/>
              </w:rPr>
              <w:t>53,393</w:t>
            </w:r>
          </w:p>
        </w:tc>
      </w:tr>
      <w:tr>
        <w:trPr>
          <w:trHeight w:val="226"/>
        </w:trPr>
        <w:tc>
          <w:tcPr>
            <w:tcW w:w="74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Less: Platform operations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291"/>
              <w:spacing w:after="0"/>
              <w:rPr>
                <w:sz w:val="20"/>
                <w:szCs w:val="20"/>
                <w:color w:val="auto"/>
              </w:rPr>
            </w:pPr>
            <w:r>
              <w:rPr>
                <w:rFonts w:ascii="Times New Roman" w:cs="Times New Roman" w:eastAsia="Times New Roman" w:hAnsi="Times New Roman"/>
                <w:sz w:val="18"/>
                <w:szCs w:val="18"/>
                <w:color w:val="auto"/>
                <w:w w:val="97"/>
              </w:rPr>
              <w:t>(40,080)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291"/>
              <w:spacing w:after="0"/>
              <w:rPr>
                <w:sz w:val="20"/>
                <w:szCs w:val="20"/>
                <w:color w:val="auto"/>
              </w:rPr>
            </w:pPr>
            <w:r>
              <w:rPr>
                <w:rFonts w:ascii="Times New Roman" w:cs="Times New Roman" w:eastAsia="Times New Roman" w:hAnsi="Times New Roman"/>
                <w:sz w:val="18"/>
                <w:szCs w:val="18"/>
                <w:color w:val="auto"/>
                <w:w w:val="97"/>
              </w:rPr>
              <w:t>(29,880)</w:t>
            </w:r>
          </w:p>
        </w:tc>
      </w:tr>
      <w:tr>
        <w:trPr>
          <w:trHeight w:val="21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6"/>
              </w:rPr>
              <w:t>30,562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6"/>
              </w:rPr>
              <w:t>23,513</w:t>
            </w:r>
          </w:p>
        </w:tc>
      </w:tr>
      <w:tr>
        <w:trPr>
          <w:trHeight w:val="226"/>
        </w:trPr>
        <w:tc>
          <w:tcPr>
            <w:tcW w:w="74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Add: Other platform operations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8"/>
                <w:szCs w:val="18"/>
                <w:color w:val="auto"/>
                <w:w w:val="96"/>
              </w:rPr>
              <w:t>12,167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8"/>
                <w:szCs w:val="18"/>
                <w:color w:val="auto"/>
                <w:w w:val="96"/>
              </w:rPr>
              <w:t>10,608</w:t>
            </w:r>
          </w:p>
        </w:tc>
      </w:tr>
      <w:tr>
        <w:trPr>
          <w:trHeight w:val="244"/>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ex-TAC</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6"/>
              </w:rPr>
              <w:t>42,729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6"/>
              </w:rPr>
              <w:t>34,121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operating expenses</w:t>
      </w:r>
    </w:p>
    <w:p>
      <w:pPr>
        <w:spacing w:after="0" w:line="114"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auto"/>
        </w:rPr>
        <w:t>Non-GAAP operating expenses is a non-GAAP financial measure. Total operating expenses is the most comparable GAAP financial measure. Non-GAAP operating expenses is defined by us as total operating expenses plus other expense (income), net, less TAC, stock-based compensation, depreciation, amortization and certain other items that are not related to our core operations, such as restructuring and other charges, transaction expense, and TRA remeasurement expense. Non-GAAP operating expenses is a key</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27" w:name="page28"/>
    <w:bookmarkEnd w:id="27"/>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component in calculating adjusted EBITDA, which is one of the measures we use to provide our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TAC, stock-based compensation, depreciation, amortization and certain other items not related to our core operations provides another measure for period-to-period comparisons of our business, provides additional insight into our core controllable costs and is a useful metric for investors because it allows them to evaluate our operational performance in the same manner as our management and board of directors.</w:t>
      </w:r>
    </w:p>
    <w:p>
      <w:pPr>
        <w:spacing w:after="0" w:line="79"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231F20"/>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 presents a reconciliation of total operating expenses to non-GAAP operating expenses for the periods presented:</w:t>
      </w:r>
    </w:p>
    <w:p>
      <w:pPr>
        <w:spacing w:after="0" w:line="138"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74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6"/>
        </w:trPr>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Platform operations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40,080</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29,880</w:t>
            </w:r>
          </w:p>
        </w:tc>
      </w:tr>
      <w:tr>
        <w:trPr>
          <w:trHeight w:val="226"/>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w:t>
            </w:r>
          </w:p>
        </w:tc>
      </w:tr>
      <w:tr>
        <w:trPr>
          <w:trHeight w:val="226"/>
        </w:trPr>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w:t>
            </w:r>
          </w:p>
        </w:tc>
      </w:tr>
      <w:tr>
        <w:trPr>
          <w:trHeight w:val="226"/>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w:t>
            </w:r>
          </w:p>
        </w:tc>
      </w:tr>
      <w:tr>
        <w:trPr>
          <w:trHeight w:val="21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59,085</w:t>
            </w:r>
          </w:p>
        </w:tc>
      </w:tr>
      <w:tr>
        <w:trPr>
          <w:trHeight w:val="22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(19,272)</w:t>
            </w:r>
          </w:p>
        </w:tc>
      </w:tr>
      <w:tr>
        <w:trPr>
          <w:trHeight w:val="226"/>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26"/>
        </w:trPr>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26"/>
        </w:trPr>
        <w:tc>
          <w:tcPr>
            <w:tcW w:w="7460" w:type="dxa"/>
            <w:vAlign w:val="bottom"/>
            <w:shd w:val="clear" w:color="auto" w:fill="CCEEFF"/>
          </w:tcPr>
          <w:p>
            <w:pPr>
              <w:ind w:left="160"/>
              <w:spacing w:after="0" w:line="226"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6"/>
        </w:trPr>
        <w:tc>
          <w:tcPr>
            <w:tcW w:w="7460" w:type="dxa"/>
            <w:vAlign w:val="bottom"/>
          </w:tcPr>
          <w:p>
            <w:pPr>
              <w:ind w:left="160"/>
              <w:spacing w:after="0" w:line="226"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460" w:type="dxa"/>
            <w:vAlign w:val="bottom"/>
            <w:shd w:val="clear" w:color="auto" w:fill="CCEEFF"/>
          </w:tcPr>
          <w:p>
            <w:pPr>
              <w:ind w:left="160"/>
              <w:spacing w:after="0" w:line="226" w:lineRule="exact"/>
              <w:rPr>
                <w:sz w:val="20"/>
                <w:szCs w:val="20"/>
                <w:color w:val="auto"/>
              </w:rPr>
            </w:pPr>
            <w:r>
              <w:rPr>
                <w:rFonts w:ascii="Times New Roman" w:cs="Times New Roman" w:eastAsia="Times New Roman" w:hAnsi="Times New Roman"/>
                <w:sz w:val="18"/>
                <w:szCs w:val="18"/>
                <w:color w:val="auto"/>
              </w:rPr>
              <w:t>TRA remeasurement expense</w:t>
            </w:r>
            <w:r>
              <w:rPr>
                <w:rFonts w:ascii="Times New Roman" w:cs="Times New Roman" w:eastAsia="Times New Roman" w:hAnsi="Times New Roman"/>
                <w:sz w:val="23"/>
                <w:szCs w:val="23"/>
                <w:color w:val="auto"/>
                <w:vertAlign w:val="superscript"/>
              </w:rPr>
              <w:t>(3)</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31,046</w:t>
            </w:r>
          </w:p>
        </w:tc>
      </w:tr>
      <w:tr>
        <w:trPr>
          <w:trHeight w:val="20"/>
        </w:trPr>
        <w:tc>
          <w:tcPr>
            <w:tcW w:w="7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960" w:right="360" w:hanging="315"/>
        <w:spacing w:after="0" w:line="275" w:lineRule="auto"/>
        <w:tabs>
          <w:tab w:leader="none" w:pos="954"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Restructuring and other includes severance and other charges related to aligning our workforce with our strategic performance goals for the three months ended March 31, 2024</w:t>
      </w:r>
      <w:r>
        <w:rPr>
          <w:rFonts w:ascii="Times New Roman" w:cs="Times New Roman" w:eastAsia="Times New Roman" w:hAnsi="Times New Roman"/>
          <w:sz w:val="18"/>
          <w:szCs w:val="18"/>
          <w:color w:val="000000"/>
        </w:rPr>
        <w:t>.</w:t>
      </w:r>
    </w:p>
    <w:p>
      <w:pPr>
        <w:spacing w:after="0" w:line="57" w:lineRule="exact"/>
        <w:rPr>
          <w:rFonts w:ascii="Times New Roman" w:cs="Times New Roman" w:eastAsia="Times New Roman" w:hAnsi="Times New Roman"/>
          <w:sz w:val="18"/>
          <w:szCs w:val="18"/>
          <w:color w:val="231F20"/>
        </w:rPr>
      </w:pPr>
    </w:p>
    <w:p>
      <w:pPr>
        <w:ind w:left="960" w:right="280" w:hanging="315"/>
        <w:spacing w:after="0" w:line="275" w:lineRule="auto"/>
        <w:tabs>
          <w:tab w:leader="none" w:pos="954"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Transaction expense consists of costs incurred related to our contemplated and completed acquisitions for the three months ended </w:t>
      </w:r>
      <w:r>
        <w:rPr>
          <w:rFonts w:ascii="Times New Roman" w:cs="Times New Roman" w:eastAsia="Times New Roman" w:hAnsi="Times New Roman"/>
          <w:sz w:val="18"/>
          <w:szCs w:val="18"/>
          <w:color w:val="231F20"/>
        </w:rPr>
        <w:t>March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2025</w:t>
      </w:r>
      <w:r>
        <w:rPr>
          <w:rFonts w:ascii="Times New Roman" w:cs="Times New Roman" w:eastAsia="Times New Roman" w:hAnsi="Times New Roman"/>
          <w:sz w:val="18"/>
          <w:szCs w:val="18"/>
          <w:color w:val="000000"/>
        </w:rPr>
        <w:t>.</w:t>
      </w:r>
    </w:p>
    <w:p>
      <w:pPr>
        <w:spacing w:after="0" w:line="57" w:lineRule="exact"/>
        <w:rPr>
          <w:rFonts w:ascii="Times New Roman" w:cs="Times New Roman" w:eastAsia="Times New Roman" w:hAnsi="Times New Roman"/>
          <w:sz w:val="18"/>
          <w:szCs w:val="18"/>
          <w:color w:val="231F20"/>
        </w:rPr>
      </w:pPr>
    </w:p>
    <w:p>
      <w:pPr>
        <w:ind w:left="960" w:hanging="315"/>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 remeasurement expense reflects the remeasurement of the TRA liability as of </w:t>
      </w:r>
      <w:r>
        <w:rPr>
          <w:rFonts w:ascii="Times New Roman" w:cs="Times New Roman" w:eastAsia="Times New Roman" w:hAnsi="Times New Roman"/>
          <w:sz w:val="18"/>
          <w:szCs w:val="18"/>
          <w:color w:val="231F20"/>
        </w:rPr>
        <w:t>March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Adjusted EBITDA and adjusted EBITDA as a percentage of contribution ex-TAC</w:t>
      </w:r>
    </w:p>
    <w:p>
      <w:pPr>
        <w:spacing w:after="0" w:line="114"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231F20"/>
        </w:rPr>
        <w:t>Adjusted EBITDA is a non-GAAP financial measure defined by us as net income (loss) before interest expense (income), net, income tax benefit (expense), depreciation, amortization, stock-based compensation and certain other items that are not related to our core operations, such as restructuring and other charges, transaction expense, and TRA remeasurement expense. Net income (loss) is the most comparable GAAP financial measure. Adjusted EBITDA as a percentage of contribution ex-TAC is a non-GAAP financial measure we calculate by dividing adjusted EBITDA by contribution ex-TAC for the period or periods presented. Net income (loss) as a percentage of gross profit is the most comparable GAAP financial measure.</w:t>
      </w:r>
    </w:p>
    <w:p>
      <w:pPr>
        <w:spacing w:after="0" w:line="79" w:lineRule="exact"/>
        <w:rPr>
          <w:sz w:val="20"/>
          <w:szCs w:val="20"/>
          <w:color w:val="auto"/>
        </w:rPr>
      </w:pPr>
    </w:p>
    <w:p>
      <w:pPr>
        <w:ind w:right="220" w:firstLine="479"/>
        <w:spacing w:after="0" w:line="275" w:lineRule="auto"/>
        <w:rPr>
          <w:sz w:val="20"/>
          <w:szCs w:val="20"/>
          <w:color w:val="auto"/>
        </w:rPr>
      </w:pPr>
      <w:r>
        <w:rPr>
          <w:rFonts w:ascii="Times New Roman" w:cs="Times New Roman" w:eastAsia="Times New Roman" w:hAnsi="Times New Roman"/>
          <w:sz w:val="18"/>
          <w:szCs w:val="18"/>
          <w:color w:val="231F20"/>
        </w:rPr>
        <w:t>Adjusted EBITDA and adjusted EBITDA as a percentage of contribution ex-TAC are used by our management and board of directors to understand and evaluate our core operating performance and trends, to prepare and approve our annual budget and to</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8" w:name="page29"/>
    <w:bookmarkEnd w:id="2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2"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231F20"/>
        </w:rPr>
        <w:t>develop short- and long-term operational plans. In particular, we believe that the exclusion of the amounts eliminated in calculating adjusted EBITDA can provide a measure for period-to-period comparisons of our business. Adjusted EBITDA as a percentage of contribution ex-TAC, a non-GAAP financial measure, is used by our management and board of directors to evaluate adjusted EBITDA relative to our profitability after costs that are directly variable to revenues, which comprise TAC. Accordingly, we believe that adjusted EBITDA and adjusted EBITDA as a percentage of contribution ex-TAC provide information to investors and the market in understanding and evaluating our operating results in the same manner as our management and board of directors.</w:t>
      </w:r>
    </w:p>
    <w:p>
      <w:pPr>
        <w:spacing w:after="0" w:line="62" w:lineRule="exact"/>
        <w:rPr>
          <w:sz w:val="20"/>
          <w:szCs w:val="20"/>
          <w:color w:val="auto"/>
        </w:rPr>
      </w:pPr>
    </w:p>
    <w:p>
      <w:pPr>
        <w:ind w:right="200" w:firstLine="479"/>
        <w:spacing w:after="0" w:line="261" w:lineRule="auto"/>
        <w:rPr>
          <w:sz w:val="20"/>
          <w:szCs w:val="20"/>
          <w:color w:val="auto"/>
        </w:rPr>
      </w:pPr>
      <w:r>
        <w:rPr>
          <w:rFonts w:ascii="Times New Roman" w:cs="Times New Roman" w:eastAsia="Times New Roman" w:hAnsi="Times New Roman"/>
          <w:sz w:val="18"/>
          <w:szCs w:val="18"/>
          <w:color w:val="231F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spacing w:after="0" w:line="69" w:lineRule="exact"/>
        <w:rPr>
          <w:sz w:val="20"/>
          <w:szCs w:val="20"/>
          <w:color w:val="auto"/>
        </w:rPr>
      </w:pPr>
    </w:p>
    <w:p>
      <w:pPr>
        <w:ind w:left="1280" w:hanging="635"/>
        <w:spacing w:after="0" w:line="261"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w:t>
      </w:r>
    </w:p>
    <w:p>
      <w:pPr>
        <w:spacing w:after="0" w:line="69" w:lineRule="exact"/>
        <w:rPr>
          <w:rFonts w:ascii="Times New Roman" w:cs="Times New Roman" w:eastAsia="Times New Roman" w:hAnsi="Times New Roman"/>
          <w:sz w:val="18"/>
          <w:szCs w:val="18"/>
          <w:color w:val="auto"/>
        </w:rPr>
      </w:pPr>
    </w:p>
    <w:p>
      <w:pPr>
        <w:ind w:left="1280" w:right="200" w:hanging="635"/>
        <w:spacing w:after="0" w:line="261"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69" w:lineRule="exact"/>
        <w:rPr>
          <w:rFonts w:ascii="Times New Roman" w:cs="Times New Roman" w:eastAsia="Times New Roman" w:hAnsi="Times New Roman"/>
          <w:sz w:val="18"/>
          <w:szCs w:val="18"/>
          <w:color w:val="auto"/>
        </w:rPr>
      </w:pPr>
    </w:p>
    <w:p>
      <w:pPr>
        <w:ind w:left="1280" w:right="440" w:hanging="635"/>
        <w:spacing w:after="0" w:line="275"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 does not reflect changes in, or cash requirements for, our working capital needs or the potentially dilutive impact of stock-based compensation.</w:t>
      </w:r>
    </w:p>
    <w:p>
      <w:pPr>
        <w:spacing w:after="0" w:line="58" w:lineRule="exact"/>
        <w:rPr>
          <w:sz w:val="20"/>
          <w:szCs w:val="20"/>
          <w:color w:val="auto"/>
        </w:rPr>
      </w:pPr>
    </w:p>
    <w:p>
      <w:pPr>
        <w:ind w:right="240" w:firstLine="479"/>
        <w:spacing w:after="0" w:line="275" w:lineRule="auto"/>
        <w:rPr>
          <w:sz w:val="20"/>
          <w:szCs w:val="20"/>
          <w:color w:val="auto"/>
        </w:rPr>
      </w:pPr>
      <w:r>
        <w:rPr>
          <w:rFonts w:ascii="Times New Roman" w:cs="Times New Roman" w:eastAsia="Times New Roman" w:hAnsi="Times New Roman"/>
          <w:sz w:val="18"/>
          <w:szCs w:val="18"/>
          <w:color w:val="231F20"/>
        </w:rPr>
        <w:t>Because of these and other potential limitations, you should consider our non-GAAP financial measures only as supplemental to other GAAP-based financial performance measures, including revenue, net income (loss) and cash flows.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 presents a reconciliation of net loss to adjusted EBITDA for the periods presented:</w:t>
      </w:r>
    </w:p>
    <w:p>
      <w:pPr>
        <w:spacing w:after="0" w:line="138"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74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Add back (less):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r>
      <w:tr>
        <w:trPr>
          <w:trHeight w:val="226"/>
        </w:trPr>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6"/>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26"/>
        </w:trPr>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26"/>
        </w:trPr>
        <w:tc>
          <w:tcPr>
            <w:tcW w:w="7460" w:type="dxa"/>
            <w:vAlign w:val="bottom"/>
            <w:shd w:val="clear" w:color="auto" w:fill="CCEEFF"/>
          </w:tcPr>
          <w:p>
            <w:pPr>
              <w:ind w:left="160"/>
              <w:spacing w:after="0" w:line="226"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6"/>
        </w:trPr>
        <w:tc>
          <w:tcPr>
            <w:tcW w:w="7460" w:type="dxa"/>
            <w:vAlign w:val="bottom"/>
          </w:tcPr>
          <w:p>
            <w:pPr>
              <w:ind w:left="160"/>
              <w:spacing w:after="0" w:line="226"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460" w:type="dxa"/>
            <w:vAlign w:val="bottom"/>
            <w:shd w:val="clear" w:color="auto" w:fill="CCEEFF"/>
          </w:tcPr>
          <w:p>
            <w:pPr>
              <w:ind w:left="160"/>
              <w:spacing w:after="0" w:line="226" w:lineRule="exact"/>
              <w:rPr>
                <w:sz w:val="20"/>
                <w:szCs w:val="20"/>
                <w:color w:val="auto"/>
              </w:rPr>
            </w:pPr>
            <w:r>
              <w:rPr>
                <w:rFonts w:ascii="Times New Roman" w:cs="Times New Roman" w:eastAsia="Times New Roman" w:hAnsi="Times New Roman"/>
                <w:sz w:val="18"/>
                <w:szCs w:val="18"/>
                <w:color w:val="auto"/>
              </w:rPr>
              <w:t>TRA remeasurement expense</w:t>
            </w:r>
            <w:r>
              <w:rPr>
                <w:rFonts w:ascii="Times New Roman" w:cs="Times New Roman" w:eastAsia="Times New Roman" w:hAnsi="Times New Roman"/>
                <w:sz w:val="23"/>
                <w:szCs w:val="23"/>
                <w:color w:val="auto"/>
                <w:vertAlign w:val="superscript"/>
              </w:rPr>
              <w:t>(3)</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r>
      <w:tr>
        <w:trPr>
          <w:trHeight w:val="20"/>
        </w:trPr>
        <w:tc>
          <w:tcPr>
            <w:tcW w:w="7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960" w:right="380" w:hanging="315"/>
        <w:spacing w:after="0" w:line="275" w:lineRule="auto"/>
        <w:tabs>
          <w:tab w:leader="none" w:pos="954"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Restructuring and other includes severance and other charges related to aligning our workforce with our strategic performance goals for the three months ended March 31, 2024</w:t>
      </w:r>
      <w:r>
        <w:rPr>
          <w:rFonts w:ascii="Times New Roman" w:cs="Times New Roman" w:eastAsia="Times New Roman" w:hAnsi="Times New Roman"/>
          <w:sz w:val="18"/>
          <w:szCs w:val="18"/>
          <w:color w:val="000000"/>
        </w:rPr>
        <w:t>.</w:t>
      </w:r>
    </w:p>
    <w:p>
      <w:pPr>
        <w:spacing w:after="0" w:line="57" w:lineRule="exact"/>
        <w:rPr>
          <w:rFonts w:ascii="Times New Roman" w:cs="Times New Roman" w:eastAsia="Times New Roman" w:hAnsi="Times New Roman"/>
          <w:sz w:val="18"/>
          <w:szCs w:val="18"/>
          <w:color w:val="231F20"/>
        </w:rPr>
      </w:pPr>
    </w:p>
    <w:p>
      <w:pPr>
        <w:ind w:left="960" w:right="300" w:hanging="315"/>
        <w:spacing w:after="0" w:line="275" w:lineRule="auto"/>
        <w:tabs>
          <w:tab w:leader="none" w:pos="954"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Transaction expense consists of costs incurred related to our contemplated and completed acquisitions for the three months ended </w:t>
      </w:r>
      <w:r>
        <w:rPr>
          <w:rFonts w:ascii="Times New Roman" w:cs="Times New Roman" w:eastAsia="Times New Roman" w:hAnsi="Times New Roman"/>
          <w:sz w:val="18"/>
          <w:szCs w:val="18"/>
          <w:color w:val="231F20"/>
        </w:rPr>
        <w:t>March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2025</w:t>
      </w:r>
      <w:r>
        <w:rPr>
          <w:rFonts w:ascii="Times New Roman" w:cs="Times New Roman" w:eastAsia="Times New Roman" w:hAnsi="Times New Roman"/>
          <w:sz w:val="18"/>
          <w:szCs w:val="18"/>
          <w:color w:val="000000"/>
        </w:rPr>
        <w:t>.</w:t>
      </w:r>
    </w:p>
    <w:p>
      <w:pPr>
        <w:spacing w:after="0" w:line="57" w:lineRule="exact"/>
        <w:rPr>
          <w:rFonts w:ascii="Times New Roman" w:cs="Times New Roman" w:eastAsia="Times New Roman" w:hAnsi="Times New Roman"/>
          <w:sz w:val="18"/>
          <w:szCs w:val="18"/>
          <w:color w:val="231F20"/>
        </w:rPr>
      </w:pPr>
    </w:p>
    <w:p>
      <w:pPr>
        <w:ind w:left="960" w:hanging="315"/>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 remeasurement expense reflects the remeasurement of the TRA liability as of </w:t>
      </w:r>
      <w:r>
        <w:rPr>
          <w:rFonts w:ascii="Times New Roman" w:cs="Times New Roman" w:eastAsia="Times New Roman" w:hAnsi="Times New Roman"/>
          <w:sz w:val="18"/>
          <w:szCs w:val="18"/>
          <w:color w:val="231F20"/>
        </w:rPr>
        <w:t>March 31, 2025.</w:t>
      </w:r>
    </w:p>
    <w:p>
      <w:pPr>
        <w:spacing w:after="0" w:line="200" w:lineRule="exact"/>
        <w:rPr>
          <w:sz w:val="20"/>
          <w:szCs w:val="20"/>
          <w:color w:val="auto"/>
        </w:rPr>
      </w:pPr>
    </w:p>
    <w:p>
      <w:pPr>
        <w:spacing w:after="0" w:line="2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9" w:name="page30"/>
    <w:bookmarkEnd w:id="2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9" w:lineRule="exact"/>
        <w:rPr>
          <w:sz w:val="20"/>
          <w:szCs w:val="20"/>
          <w:color w:val="auto"/>
        </w:rPr>
      </w:pPr>
    </w:p>
    <w:p>
      <w:pPr>
        <w:ind w:right="460" w:firstLine="479"/>
        <w:spacing w:after="0" w:line="275" w:lineRule="auto"/>
        <w:rPr>
          <w:sz w:val="20"/>
          <w:szCs w:val="20"/>
          <w:color w:val="auto"/>
        </w:rPr>
      </w:pPr>
      <w:r>
        <w:rPr>
          <w:rFonts w:ascii="Times New Roman" w:cs="Times New Roman" w:eastAsia="Times New Roman" w:hAnsi="Times New Roman"/>
          <w:sz w:val="18"/>
          <w:szCs w:val="18"/>
          <w:color w:val="231F20"/>
        </w:rPr>
        <w:t>The following table presents the calculation of net loss as a percentage of gross profit and the calculation of adjusted EBITDA as a percentage of contribution ex-TAC for the periods presented:</w:t>
      </w:r>
    </w:p>
    <w:p>
      <w:pPr>
        <w:spacing w:after="0" w:line="83"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72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30,562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23,513</w:t>
            </w:r>
          </w:p>
        </w:tc>
      </w:tr>
      <w:tr>
        <w:trPr>
          <w:trHeight w:val="22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(3,214)</w:t>
            </w:r>
          </w:p>
        </w:tc>
      </w:tr>
      <w:tr>
        <w:trPr>
          <w:trHeight w:val="22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as a percentage of gross profit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6"/>
        </w:trPr>
        <w:tc>
          <w:tcPr>
            <w:tcW w:w="7220" w:type="dxa"/>
            <w:vAlign w:val="bottom"/>
          </w:tcPr>
          <w:p>
            <w:pPr>
              <w:spacing w:after="0" w:line="226" w:lineRule="exact"/>
              <w:rPr>
                <w:sz w:val="20"/>
                <w:szCs w:val="20"/>
                <w:color w:val="auto"/>
              </w:rPr>
            </w:pPr>
            <w:r>
              <w:rPr>
                <w:rFonts w:ascii="Times New Roman" w:cs="Times New Roman" w:eastAsia="Times New Roman" w:hAnsi="Times New Roman"/>
                <w:sz w:val="18"/>
                <w:szCs w:val="18"/>
                <w:color w:val="auto"/>
              </w:rPr>
              <w:t>Contribution ex-TAC</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42,729</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34,121</w:t>
            </w:r>
          </w:p>
        </w:tc>
      </w:tr>
      <w:tr>
        <w:trPr>
          <w:trHeight w:val="22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3,075</w:t>
            </w:r>
          </w:p>
        </w:tc>
      </w:tr>
      <w:tr>
        <w:trPr>
          <w:trHeight w:val="232"/>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as a percentage of contribution ex-TAC</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80" w:lineRule="exact"/>
        <w:rPr>
          <w:sz w:val="20"/>
          <w:szCs w:val="20"/>
          <w:color w:val="auto"/>
        </w:rPr>
      </w:pPr>
    </w:p>
    <w:p>
      <w:pPr>
        <w:ind w:left="960" w:right="320" w:hanging="315"/>
        <w:spacing w:after="0" w:line="277" w:lineRule="auto"/>
        <w:tabs>
          <w:tab w:leader="none" w:pos="954"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Contribution ex-TAC</w:t>
      </w:r>
      <w:r>
        <w:rPr>
          <w:rFonts w:ascii="Times New Roman" w:cs="Times New Roman" w:eastAsia="Times New Roman" w:hAnsi="Times New Roman"/>
          <w:sz w:val="18"/>
          <w:szCs w:val="18"/>
          <w:color w:val="231F20"/>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net income (loss)</w:t>
      </w:r>
    </w:p>
    <w:p>
      <w:pPr>
        <w:spacing w:after="0" w:line="114" w:lineRule="exact"/>
        <w:rPr>
          <w:sz w:val="20"/>
          <w:szCs w:val="20"/>
          <w:color w:val="auto"/>
        </w:rPr>
      </w:pPr>
    </w:p>
    <w:p>
      <w:pPr>
        <w:ind w:firstLine="479"/>
        <w:spacing w:after="0" w:line="250" w:lineRule="auto"/>
        <w:rPr>
          <w:sz w:val="20"/>
          <w:szCs w:val="20"/>
          <w:color w:val="auto"/>
        </w:rPr>
      </w:pPr>
      <w:r>
        <w:rPr>
          <w:rFonts w:ascii="Times New Roman" w:cs="Times New Roman" w:eastAsia="Times New Roman" w:hAnsi="Times New Roman"/>
          <w:sz w:val="18"/>
          <w:szCs w:val="18"/>
          <w:color w:val="231F20"/>
        </w:rPr>
        <w:t>Non-GAAP net income (loss) is a non-GAAP financial measure defined by us as net income (loss) adjusted to eliminate the impact of stock-based compensation and certain other items that are not related to our core operations, such as restructuring and other charges, transaction expense, and TRA remeasurement expense, as well as the income tax effect of these adjustments.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spacing w:after="0" w:line="83"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231F20"/>
        </w:rPr>
        <w:t>Our use of non-GAAP net income (loss) has limitations as an analytical tool, and you should not consider this measure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net loss to non-GAAP net income for the </w:t>
      </w:r>
      <w:r>
        <w:rPr>
          <w:rFonts w:ascii="Times New Roman" w:cs="Times New Roman" w:eastAsia="Times New Roman" w:hAnsi="Times New Roman"/>
          <w:sz w:val="18"/>
          <w:szCs w:val="18"/>
          <w:color w:val="231F20"/>
        </w:rPr>
        <w:t>periods presented:</w:t>
      </w:r>
    </w:p>
    <w:p>
      <w:pPr>
        <w:spacing w:after="0" w:line="138"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74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Add back (less):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26"/>
        </w:trPr>
        <w:tc>
          <w:tcPr>
            <w:tcW w:w="7460" w:type="dxa"/>
            <w:vAlign w:val="bottom"/>
          </w:tcPr>
          <w:p>
            <w:pPr>
              <w:ind w:left="160"/>
              <w:spacing w:after="0" w:line="226"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6"/>
        </w:trPr>
        <w:tc>
          <w:tcPr>
            <w:tcW w:w="7460" w:type="dxa"/>
            <w:vAlign w:val="bottom"/>
            <w:shd w:val="clear" w:color="auto" w:fill="CCEEFF"/>
          </w:tcPr>
          <w:p>
            <w:pPr>
              <w:ind w:left="160"/>
              <w:spacing w:after="0" w:line="226"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460" w:type="dxa"/>
            <w:vAlign w:val="bottom"/>
          </w:tcPr>
          <w:p>
            <w:pPr>
              <w:ind w:left="160"/>
              <w:spacing w:after="0" w:line="226" w:lineRule="exact"/>
              <w:rPr>
                <w:sz w:val="20"/>
                <w:szCs w:val="20"/>
                <w:color w:val="auto"/>
              </w:rPr>
            </w:pPr>
            <w:r>
              <w:rPr>
                <w:rFonts w:ascii="Times New Roman" w:cs="Times New Roman" w:eastAsia="Times New Roman" w:hAnsi="Times New Roman"/>
                <w:sz w:val="18"/>
                <w:szCs w:val="18"/>
                <w:color w:val="auto"/>
              </w:rPr>
              <w:t>TRA remeasurement expense</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3"/>
        </w:trPr>
        <w:tc>
          <w:tcPr>
            <w:tcW w:w="7460" w:type="dxa"/>
            <w:vAlign w:val="bottom"/>
            <w:shd w:val="clear" w:color="auto" w:fill="CCEEFF"/>
          </w:tcPr>
          <w:p>
            <w:pPr>
              <w:ind w:left="160"/>
              <w:spacing w:after="0" w:line="173" w:lineRule="exact"/>
              <w:rPr>
                <w:sz w:val="20"/>
                <w:szCs w:val="20"/>
                <w:color w:val="auto"/>
              </w:rPr>
            </w:pPr>
            <w:r>
              <w:rPr>
                <w:rFonts w:ascii="Times New Roman" w:cs="Times New Roman" w:eastAsia="Times New Roman" w:hAnsi="Times New Roman"/>
                <w:sz w:val="18"/>
                <w:szCs w:val="18"/>
                <w:color w:val="auto"/>
              </w:rPr>
              <w:t>Income tax benefit (expense) related to Viant Technology Inc.’s share of non-GAAP pre-tax income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9"/>
        </w:trPr>
        <w:tc>
          <w:tcPr>
            <w:tcW w:w="7460" w:type="dxa"/>
            <w:vAlign w:val="bottom"/>
            <w:shd w:val="clear" w:color="auto" w:fill="CCEEFF"/>
          </w:tcPr>
          <w:p>
            <w:pPr>
              <w:ind w:left="240"/>
              <w:spacing w:after="0" w:line="240" w:lineRule="exact"/>
              <w:rPr>
                <w:sz w:val="20"/>
                <w:szCs w:val="20"/>
                <w:color w:val="auto"/>
              </w:rPr>
            </w:pPr>
            <w:r>
              <w:rPr>
                <w:rFonts w:ascii="Times New Roman" w:cs="Times New Roman" w:eastAsia="Times New Roman" w:hAnsi="Times New Roman"/>
                <w:sz w:val="18"/>
                <w:szCs w:val="18"/>
                <w:color w:val="auto"/>
              </w:rPr>
              <w:t>(loss)</w:t>
            </w:r>
            <w:r>
              <w:rPr>
                <w:rFonts w:ascii="Times New Roman" w:cs="Times New Roman" w:eastAsia="Times New Roman" w:hAnsi="Times New Roman"/>
                <w:sz w:val="23"/>
                <w:szCs w:val="23"/>
                <w:color w:val="auto"/>
                <w:vertAlign w:val="superscript"/>
              </w:rPr>
              <w:t>(4)</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0"/>
        </w:trPr>
        <w:tc>
          <w:tcPr>
            <w:tcW w:w="7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960" w:right="380" w:hanging="315"/>
        <w:spacing w:after="0" w:line="275" w:lineRule="auto"/>
        <w:tabs>
          <w:tab w:leader="none" w:pos="954"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Restructuring and other includes severance and other charges related to aligning our workforce with our strategic performance goals for the three months ended March 31, 2024</w:t>
      </w:r>
      <w:r>
        <w:rPr>
          <w:rFonts w:ascii="Times New Roman" w:cs="Times New Roman" w:eastAsia="Times New Roman" w:hAnsi="Times New Roman"/>
          <w:sz w:val="18"/>
          <w:szCs w:val="18"/>
          <w:color w:val="000000"/>
        </w:rPr>
        <w:t>.</w:t>
      </w:r>
    </w:p>
    <w:p>
      <w:pPr>
        <w:spacing w:after="0" w:line="57" w:lineRule="exact"/>
        <w:rPr>
          <w:rFonts w:ascii="Times New Roman" w:cs="Times New Roman" w:eastAsia="Times New Roman" w:hAnsi="Times New Roman"/>
          <w:sz w:val="18"/>
          <w:szCs w:val="18"/>
          <w:color w:val="231F20"/>
        </w:rPr>
      </w:pPr>
    </w:p>
    <w:p>
      <w:pPr>
        <w:ind w:left="960" w:right="300" w:hanging="315"/>
        <w:spacing w:after="0" w:line="275" w:lineRule="auto"/>
        <w:tabs>
          <w:tab w:leader="none" w:pos="954"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Transaction expense consists of costs incurred related to our contemplated and completed acquisitions for the three months ended </w:t>
      </w:r>
      <w:r>
        <w:rPr>
          <w:rFonts w:ascii="Times New Roman" w:cs="Times New Roman" w:eastAsia="Times New Roman" w:hAnsi="Times New Roman"/>
          <w:sz w:val="18"/>
          <w:szCs w:val="18"/>
          <w:color w:val="231F20"/>
        </w:rPr>
        <w:t>March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2025</w:t>
      </w:r>
      <w:r>
        <w:rPr>
          <w:rFonts w:ascii="Times New Roman" w:cs="Times New Roman" w:eastAsia="Times New Roman" w:hAnsi="Times New Roman"/>
          <w:sz w:val="18"/>
          <w:szCs w:val="18"/>
          <w:color w:val="000000"/>
        </w:rPr>
        <w:t>.</w:t>
      </w:r>
    </w:p>
    <w:p>
      <w:pPr>
        <w:spacing w:after="0" w:line="57" w:lineRule="exact"/>
        <w:rPr>
          <w:rFonts w:ascii="Times New Roman" w:cs="Times New Roman" w:eastAsia="Times New Roman" w:hAnsi="Times New Roman"/>
          <w:sz w:val="18"/>
          <w:szCs w:val="18"/>
          <w:color w:val="231F20"/>
        </w:rPr>
      </w:pPr>
    </w:p>
    <w:p>
      <w:pPr>
        <w:ind w:left="960" w:hanging="315"/>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 remeasurement expense reflects the remeasurement of the TRA liability as of </w:t>
      </w:r>
      <w:r>
        <w:rPr>
          <w:rFonts w:ascii="Times New Roman" w:cs="Times New Roman" w:eastAsia="Times New Roman" w:hAnsi="Times New Roman"/>
          <w:sz w:val="18"/>
          <w:szCs w:val="18"/>
          <w:color w:val="231F20"/>
        </w:rPr>
        <w:t>March 31, 2025.</w:t>
      </w:r>
    </w:p>
    <w:p>
      <w:pPr>
        <w:spacing w:after="0" w:line="200" w:lineRule="exact"/>
        <w:rPr>
          <w:sz w:val="20"/>
          <w:szCs w:val="20"/>
          <w:color w:val="auto"/>
        </w:rPr>
      </w:pPr>
    </w:p>
    <w:p>
      <w:pPr>
        <w:spacing w:after="0" w:line="2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0" w:name="page31"/>
    <w:bookmarkEnd w:id="3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2" w:lineRule="exact"/>
        <w:rPr>
          <w:sz w:val="20"/>
          <w:szCs w:val="20"/>
          <w:color w:val="auto"/>
        </w:rPr>
      </w:pPr>
    </w:p>
    <w:p>
      <w:pPr>
        <w:ind w:left="960" w:hanging="315"/>
        <w:spacing w:after="0" w:line="261" w:lineRule="auto"/>
        <w:tabs>
          <w:tab w:leader="none" w:pos="954"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estimated income tax effect of our share of income (loss) after non-GAAP reconciling items for the three months ended March 31, 2025 and 2024 is calculated using assumed blended tax rates of 23% and 27%, respectively, which represent our expected corporate tax rates, excluding discrete and non-recurring tax items.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earnings (loss) per share of Class A common stock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basic and diluted</w:t>
      </w:r>
    </w:p>
    <w:p>
      <w:pPr>
        <w:spacing w:after="0" w:line="114" w:lineRule="exact"/>
        <w:rPr>
          <w:sz w:val="20"/>
          <w:szCs w:val="20"/>
          <w:color w:val="auto"/>
        </w:rPr>
      </w:pPr>
    </w:p>
    <w:p>
      <w:pPr>
        <w:ind w:right="20" w:firstLine="479"/>
        <w:spacing w:after="0" w:line="249" w:lineRule="auto"/>
        <w:rPr>
          <w:sz w:val="20"/>
          <w:szCs w:val="20"/>
          <w:color w:val="auto"/>
        </w:rPr>
      </w:pPr>
      <w:r>
        <w:rPr>
          <w:rFonts w:ascii="Times New Roman" w:cs="Times New Roman" w:eastAsia="Times New Roman" w:hAnsi="Times New Roman"/>
          <w:sz w:val="18"/>
          <w:szCs w:val="18"/>
          <w:color w:val="231F20"/>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restructuring and other charges, transaction expense, and TRA remeasurement expense, as well as the income tax effect of these adjustments.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 basic and diluted provides information to investors and the market generally that aids in the understanding and evaluation of our results of operations in the same manner as our management and board of directors.</w:t>
      </w:r>
    </w:p>
    <w:p>
      <w:pPr>
        <w:spacing w:after="0" w:line="86" w:lineRule="exact"/>
        <w:rPr>
          <w:sz w:val="20"/>
          <w:szCs w:val="20"/>
          <w:color w:val="auto"/>
        </w:rPr>
      </w:pPr>
    </w:p>
    <w:p>
      <w:pPr>
        <w:ind w:right="80" w:firstLine="479"/>
        <w:spacing w:after="0" w:line="252" w:lineRule="auto"/>
        <w:rPr>
          <w:sz w:val="20"/>
          <w:szCs w:val="20"/>
          <w:color w:val="auto"/>
        </w:rPr>
      </w:pPr>
      <w:r>
        <w:rPr>
          <w:rFonts w:ascii="Times New Roman" w:cs="Times New Roman" w:eastAsia="Times New Roman" w:hAnsi="Times New Roman"/>
          <w:sz w:val="18"/>
          <w:szCs w:val="18"/>
          <w:color w:val="231F20"/>
        </w:rPr>
        <w:t>Our use of non-GAAP earnings (loss) per share of Class A common stock—basic and diluted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Because of this and other potential limitations, you should consider our non-GAAP financial measures only as supplemental to other GAAP-based financial performance measures, including earnings (loss) per share of Class A common stock—basic and diluted.</w:t>
      </w:r>
    </w:p>
    <w:p>
      <w:pPr>
        <w:spacing w:after="0" w:line="79" w:lineRule="exact"/>
        <w:rPr>
          <w:sz w:val="20"/>
          <w:szCs w:val="20"/>
          <w:color w:val="auto"/>
        </w:rPr>
      </w:pPr>
    </w:p>
    <w:p>
      <w:pPr>
        <w:jc w:val="both"/>
        <w:ind w:right="40" w:firstLine="479"/>
        <w:spacing w:after="0" w:line="256" w:lineRule="auto"/>
        <w:rPr>
          <w:sz w:val="20"/>
          <w:szCs w:val="20"/>
          <w:color w:val="auto"/>
        </w:rPr>
      </w:pPr>
      <w:r>
        <w:rPr>
          <w:rFonts w:ascii="Times New Roman" w:cs="Times New Roman" w:eastAsia="Times New Roman" w:hAnsi="Times New Roman"/>
          <w:sz w:val="18"/>
          <w:szCs w:val="18"/>
          <w:color w:val="auto"/>
        </w:rPr>
        <w:t xml:space="preserve">Basic non-GAAP earnings (loss) per share of Class A common stock is calculated by dividing the non-GAAP net income (loss) attributable to Class A common stockholders by the number of weighted-average shares of Class A common stock outstanding. </w:t>
      </w:r>
      <w:r>
        <w:rPr>
          <w:rFonts w:ascii="Times New Roman" w:cs="Times New Roman" w:eastAsia="Times New Roman" w:hAnsi="Times New Roman"/>
          <w:sz w:val="18"/>
          <w:szCs w:val="18"/>
          <w:color w:val="231F20"/>
        </w:rPr>
        <w:t>Shares of our Class B common stock do not share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our earnings or losses and are therefore not participating securities. As such, separate presentation of basic and diluted non-GAAP earnings (loss) of Class B common stock under the two-class method has not been presented.</w:t>
      </w:r>
    </w:p>
    <w:p>
      <w:pPr>
        <w:spacing w:after="0" w:line="74" w:lineRule="exact"/>
        <w:rPr>
          <w:sz w:val="20"/>
          <w:szCs w:val="20"/>
          <w:color w:val="auto"/>
        </w:rPr>
      </w:pPr>
    </w:p>
    <w:p>
      <w:pPr>
        <w:ind w:right="20" w:firstLine="479"/>
        <w:spacing w:after="0" w:line="267" w:lineRule="auto"/>
        <w:rPr>
          <w:sz w:val="20"/>
          <w:szCs w:val="20"/>
          <w:color w:val="auto"/>
        </w:rPr>
      </w:pPr>
      <w:r>
        <w:rPr>
          <w:rFonts w:ascii="Times New Roman" w:cs="Times New Roman" w:eastAsia="Times New Roman" w:hAnsi="Times New Roman"/>
          <w:sz w:val="17"/>
          <w:szCs w:val="17"/>
          <w:color w:val="auto"/>
        </w:rPr>
        <w:t xml:space="preserve">Diluted non-GAAP earnings (loss) per share of Class A common stock adjusts the basic non-GAAP earnings (loss) per share for the potential dilutive impact of shares of Class A common stock such as equity awards using the treasury-stock method and Class B common stock using the if-converted method. Diluted non-GAAP earnings (loss) per share of Class A common stock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For the </w:t>
      </w:r>
      <w:r>
        <w:rPr>
          <w:rFonts w:ascii="Times New Roman" w:cs="Times New Roman" w:eastAsia="Times New Roman" w:hAnsi="Times New Roman"/>
          <w:sz w:val="17"/>
          <w:szCs w:val="17"/>
          <w:color w:val="231F20"/>
        </w:rPr>
        <w:t>three</w:t>
      </w:r>
      <w:r>
        <w:rPr>
          <w:rFonts w:ascii="Times New Roman" w:cs="Times New Roman" w:eastAsia="Times New Roman" w:hAnsi="Times New Roman"/>
          <w:sz w:val="17"/>
          <w:szCs w:val="17"/>
          <w:color w:val="auto"/>
        </w:rPr>
        <w:t xml:space="preserve"> months ended </w:t>
      </w:r>
      <w:r>
        <w:rPr>
          <w:rFonts w:ascii="Times New Roman" w:cs="Times New Roman" w:eastAsia="Times New Roman" w:hAnsi="Times New Roman"/>
          <w:sz w:val="17"/>
          <w:szCs w:val="17"/>
          <w:color w:val="231F20"/>
        </w:rPr>
        <w:t>March 31, 2025</w:t>
      </w:r>
      <w:r>
        <w:rPr>
          <w:rFonts w:ascii="Times New Roman" w:cs="Times New Roman" w:eastAsia="Times New Roman" w:hAnsi="Times New Roman"/>
          <w:sz w:val="17"/>
          <w:szCs w:val="17"/>
          <w:color w:val="auto"/>
        </w:rPr>
        <w:t xml:space="preserve">, Class B common stock has been excluded from the computation of diluted earnings (loss) per share of Class A common stock because the effect would have been anti-dilutive under the if-converted method. For the </w:t>
      </w:r>
      <w:r>
        <w:rPr>
          <w:rFonts w:ascii="Times New Roman" w:cs="Times New Roman" w:eastAsia="Times New Roman" w:hAnsi="Times New Roman"/>
          <w:sz w:val="17"/>
          <w:szCs w:val="17"/>
          <w:color w:val="231F20"/>
        </w:rPr>
        <w:t>three</w:t>
      </w:r>
      <w:r>
        <w:rPr>
          <w:rFonts w:ascii="Times New Roman" w:cs="Times New Roman" w:eastAsia="Times New Roman" w:hAnsi="Times New Roman"/>
          <w:sz w:val="17"/>
          <w:szCs w:val="17"/>
          <w:color w:val="auto"/>
        </w:rPr>
        <w:t xml:space="preserve"> months ended </w:t>
      </w:r>
      <w:r>
        <w:rPr>
          <w:rFonts w:ascii="Times New Roman" w:cs="Times New Roman" w:eastAsia="Times New Roman" w:hAnsi="Times New Roman"/>
          <w:sz w:val="17"/>
          <w:szCs w:val="17"/>
          <w:color w:val="231F20"/>
        </w:rPr>
        <w:t>March 31, 2024</w:t>
      </w:r>
      <w:r>
        <w:rPr>
          <w:rFonts w:ascii="Times New Roman" w:cs="Times New Roman" w:eastAsia="Times New Roman" w:hAnsi="Times New Roman"/>
          <w:sz w:val="17"/>
          <w:szCs w:val="17"/>
          <w:color w:val="auto"/>
        </w:rPr>
        <w:t>, Class B common stock has been excluded from the computation of diluted earnings (loss) per share of Class A common stock because the effect would have been anti-dilutive under the if-converted method.</w:t>
      </w:r>
    </w:p>
    <w:p>
      <w:pPr>
        <w:spacing w:after="0" w:line="38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1" w:name="page32"/>
    <w:bookmarkEnd w:id="3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tables present the reconciliation of earnings (loss) per share of Class A common stock—basic and diluted to non-GAAP earnings (loss)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per share of Class A common stock—basic and diluted for the periods presented: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5"/>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6"/>
          </w:tcPr>
          <w:p>
            <w:pPr>
              <w:jc w:val="center"/>
              <w:ind w:left="7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114"/>
              <w:spacing w:after="0" w:line="134"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93"/>
              <w:spacing w:after="0" w:line="134" w:lineRule="exact"/>
              <w:rPr>
                <w:sz w:val="20"/>
                <w:szCs w:val="20"/>
                <w:color w:val="auto"/>
              </w:rPr>
            </w:pPr>
            <w:r>
              <w:rPr>
                <w:rFonts w:ascii="Times New Roman" w:cs="Times New Roman" w:eastAsia="Times New Roman" w:hAnsi="Times New Roman"/>
                <w:sz w:val="14"/>
                <w:szCs w:val="14"/>
                <w:b w:val="1"/>
                <w:bCs w:val="1"/>
                <w:color w:val="auto"/>
              </w:rPr>
              <w:t>Non-GAAP</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114"/>
              <w:spacing w:after="0" w:line="134"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14"/>
              <w:spacing w:after="0" w:line="145" w:lineRule="exact"/>
              <w:rPr>
                <w:sz w:val="20"/>
                <w:szCs w:val="20"/>
                <w:color w:val="auto"/>
              </w:rPr>
            </w:pPr>
            <w:r>
              <w:rPr>
                <w:rFonts w:ascii="Times New Roman" w:cs="Times New Roman" w:eastAsia="Times New Roman" w:hAnsi="Times New Roman"/>
                <w:sz w:val="14"/>
                <w:szCs w:val="14"/>
                <w:b w:val="1"/>
                <w:bCs w:val="1"/>
                <w:color w:val="auto"/>
                <w:w w:val="99"/>
              </w:rPr>
              <w:t>(Loss) per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160" w:type="dxa"/>
            <w:vAlign w:val="bottom"/>
          </w:tcPr>
          <w:p>
            <w:pPr>
              <w:spacing w:after="0"/>
              <w:rPr>
                <w:sz w:val="12"/>
                <w:szCs w:val="12"/>
                <w:color w:val="auto"/>
              </w:rPr>
            </w:pPr>
          </w:p>
        </w:tc>
        <w:tc>
          <w:tcPr>
            <w:tcW w:w="880" w:type="dxa"/>
            <w:vAlign w:val="bottom"/>
          </w:tcPr>
          <w:p>
            <w:pPr>
              <w:jc w:val="center"/>
              <w:ind w:right="94"/>
              <w:spacing w:after="0" w:line="145"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02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160" w:type="dxa"/>
            <w:vAlign w:val="bottom"/>
          </w:tcPr>
          <w:p>
            <w:pPr>
              <w:spacing w:after="0"/>
              <w:rPr>
                <w:sz w:val="16"/>
                <w:szCs w:val="16"/>
                <w:color w:val="auto"/>
              </w:rPr>
            </w:pP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10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Add back: Restructuring and other</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10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Add back: Transaction expense</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10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Add back: TRA remeasurement expense</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4100" w:type="dxa"/>
            <w:vAlign w:val="bottom"/>
          </w:tcPr>
          <w:p>
            <w:pPr>
              <w:ind w:left="180"/>
              <w:spacing w:after="0" w:line="173" w:lineRule="exact"/>
              <w:rPr>
                <w:sz w:val="20"/>
                <w:szCs w:val="20"/>
                <w:color w:val="auto"/>
              </w:rPr>
            </w:pPr>
            <w:r>
              <w:rPr>
                <w:rFonts w:ascii="Times New Roman" w:cs="Times New Roman" w:eastAsia="Times New Roman" w:hAnsi="Times New Roman"/>
                <w:sz w:val="18"/>
                <w:szCs w:val="18"/>
                <w:color w:val="auto"/>
              </w:rPr>
              <w:t>Income tax benefit (expense) related to Viant</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80" w:type="dxa"/>
            <w:vAlign w:val="bottom"/>
          </w:tcPr>
          <w:p>
            <w:pPr>
              <w:spacing w:after="0"/>
              <w:rPr>
                <w:sz w:val="15"/>
                <w:szCs w:val="15"/>
                <w:color w:val="auto"/>
              </w:rPr>
            </w:pPr>
          </w:p>
        </w:tc>
        <w:tc>
          <w:tcPr>
            <w:tcW w:w="4100" w:type="dxa"/>
            <w:vAlign w:val="bottom"/>
          </w:tcPr>
          <w:p>
            <w:pPr>
              <w:ind w:left="260"/>
              <w:spacing w:after="0" w:line="178" w:lineRule="exact"/>
              <w:rPr>
                <w:sz w:val="20"/>
                <w:szCs w:val="20"/>
                <w:color w:val="auto"/>
              </w:rPr>
            </w:pPr>
            <w:r>
              <w:rPr>
                <w:rFonts w:ascii="Times New Roman" w:cs="Times New Roman" w:eastAsia="Times New Roman" w:hAnsi="Times New Roman"/>
                <w:sz w:val="18"/>
                <w:szCs w:val="18"/>
                <w:color w:val="auto"/>
              </w:rPr>
              <w:t>Technology Inc.'s share of non-GAAP pre-tax</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4100" w:type="dxa"/>
            <w:vAlign w:val="bottom"/>
            <w:tcBorders>
              <w:bottom w:val="single" w:sz="8" w:color="CCEEFF"/>
            </w:tcBorders>
          </w:tcPr>
          <w:p>
            <w:pPr>
              <w:ind w:left="260"/>
              <w:spacing w:after="0" w:line="234" w:lineRule="exact"/>
              <w:rPr>
                <w:sz w:val="20"/>
                <w:szCs w:val="20"/>
                <w:color w:val="auto"/>
              </w:rPr>
            </w:pPr>
            <w:r>
              <w:rPr>
                <w:rFonts w:ascii="Times New Roman" w:cs="Times New Roman" w:eastAsia="Times New Roman" w:hAnsi="Times New Roman"/>
                <w:sz w:val="18"/>
                <w:szCs w:val="18"/>
                <w:color w:val="auto"/>
              </w:rPr>
              <w:t>income (loss)</w:t>
            </w:r>
            <w:r>
              <w:rPr>
                <w:rFonts w:ascii="Times New Roman" w:cs="Times New Roman" w:eastAsia="Times New Roman" w:hAnsi="Times New Roman"/>
                <w:sz w:val="23"/>
                <w:szCs w:val="23"/>
                <w:color w:val="auto"/>
                <w:vertAlign w:val="superscript"/>
              </w:rPr>
              <w:t>(4)</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9"/>
        </w:trPr>
        <w:tc>
          <w:tcPr>
            <w:tcW w:w="48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(loss)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4100" w:type="dxa"/>
            <w:vAlign w:val="bottom"/>
          </w:tcPr>
          <w:p>
            <w:pPr>
              <w:ind w:left="180"/>
              <w:spacing w:after="0" w:line="173"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4100" w:type="dxa"/>
            <w:vAlign w:val="bottom"/>
            <w:tcBorders>
              <w:bottom w:val="single" w:sz="8" w:color="CCEEFF"/>
            </w:tcBorders>
          </w:tcPr>
          <w:p>
            <w:pPr>
              <w:ind w:left="260"/>
              <w:spacing w:after="0" w:line="240" w:lineRule="exact"/>
              <w:rPr>
                <w:sz w:val="20"/>
                <w:szCs w:val="20"/>
                <w:color w:val="auto"/>
              </w:rPr>
            </w:pPr>
            <w:r>
              <w:rPr>
                <w:rFonts w:ascii="Times New Roman" w:cs="Times New Roman" w:eastAsia="Times New Roman" w:hAnsi="Times New Roman"/>
                <w:sz w:val="18"/>
                <w:szCs w:val="18"/>
                <w:color w:val="auto"/>
              </w:rPr>
              <w:t>interests</w:t>
            </w:r>
            <w:r>
              <w:rPr>
                <w:rFonts w:ascii="Times New Roman" w:cs="Times New Roman" w:eastAsia="Times New Roman" w:hAnsi="Times New Roman"/>
                <w:sz w:val="23"/>
                <w:szCs w:val="23"/>
                <w:color w:val="auto"/>
                <w:vertAlign w:val="superscript"/>
              </w:rPr>
              <w:t>(5)</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41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7"/>
                <w:szCs w:val="17"/>
                <w:color w:val="auto"/>
              </w:rPr>
              <w:t>Net income (loss) attributable to Viant Technology Inc.</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4100" w:type="dxa"/>
            <w:vAlign w:val="bottom"/>
          </w:tcPr>
          <w:p>
            <w:pPr>
              <w:ind w:left="180"/>
              <w:spacing w:after="0" w:line="153" w:lineRule="exact"/>
              <w:rPr>
                <w:sz w:val="20"/>
                <w:szCs w:val="20"/>
                <w:color w:val="auto"/>
              </w:rPr>
            </w:pPr>
            <w:r>
              <w:rPr>
                <w:rFonts w:ascii="Times New Roman" w:cs="Times New Roman" w:eastAsia="Times New Roman" w:hAnsi="Times New Roman"/>
                <w:sz w:val="17"/>
                <w:szCs w:val="17"/>
                <w:color w:val="auto"/>
              </w:rPr>
              <w:t>Add back: Reallocation of net income (loss)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80" w:type="dxa"/>
            <w:vAlign w:val="bottom"/>
          </w:tcPr>
          <w:p>
            <w:pPr>
              <w:spacing w:after="0"/>
              <w:rPr>
                <w:sz w:val="15"/>
                <w:szCs w:val="15"/>
                <w:color w:val="auto"/>
              </w:rPr>
            </w:pPr>
          </w:p>
        </w:tc>
        <w:tc>
          <w:tcPr>
            <w:tcW w:w="410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attributable to noncontrolling interest from the</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80" w:type="dxa"/>
            <w:vAlign w:val="bottom"/>
          </w:tcPr>
          <w:p>
            <w:pPr>
              <w:spacing w:after="0"/>
              <w:rPr>
                <w:sz w:val="15"/>
                <w:szCs w:val="15"/>
                <w:color w:val="auto"/>
              </w:rPr>
            </w:pPr>
          </w:p>
        </w:tc>
        <w:tc>
          <w:tcPr>
            <w:tcW w:w="4100" w:type="dxa"/>
            <w:vAlign w:val="bottom"/>
          </w:tcPr>
          <w:p>
            <w:pPr>
              <w:ind w:left="260"/>
              <w:spacing w:after="0" w:line="178" w:lineRule="exact"/>
              <w:rPr>
                <w:sz w:val="20"/>
                <w:szCs w:val="20"/>
                <w:color w:val="auto"/>
              </w:rPr>
            </w:pPr>
            <w:r>
              <w:rPr>
                <w:rFonts w:ascii="Times New Roman" w:cs="Times New Roman" w:eastAsia="Times New Roman" w:hAnsi="Times New Roman"/>
                <w:sz w:val="18"/>
                <w:szCs w:val="18"/>
                <w:color w:val="auto"/>
              </w:rPr>
              <w:t>assumed exchange of RSUs and NQSOs for Class A</w:t>
            </w: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4100" w:type="dxa"/>
            <w:vAlign w:val="bottom"/>
            <w:shd w:val="clear" w:color="auto" w:fill="CCEEFF"/>
          </w:tcPr>
          <w:p>
            <w:pPr>
              <w:ind w:left="180"/>
              <w:spacing w:after="0" w:line="173" w:lineRule="exact"/>
              <w:rPr>
                <w:sz w:val="20"/>
                <w:szCs w:val="20"/>
                <w:color w:val="auto"/>
              </w:rPr>
            </w:pPr>
            <w:r>
              <w:rPr>
                <w:rFonts w:ascii="Times New Roman" w:cs="Times New Roman" w:eastAsia="Times New Roman" w:hAnsi="Times New Roman"/>
                <w:sz w:val="18"/>
                <w:szCs w:val="18"/>
                <w:color w:val="auto"/>
              </w:rPr>
              <w:t>Income tax benefit (expense) from the assumed</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0" w:type="dxa"/>
            <w:vAlign w:val="bottom"/>
          </w:tcPr>
          <w:p>
            <w:pPr>
              <w:spacing w:after="0"/>
              <w:rPr>
                <w:sz w:val="15"/>
                <w:szCs w:val="15"/>
                <w:color w:val="auto"/>
              </w:rPr>
            </w:pPr>
          </w:p>
        </w:tc>
        <w:tc>
          <w:tcPr>
            <w:tcW w:w="410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8"/>
                <w:szCs w:val="18"/>
                <w:color w:val="auto"/>
              </w:rPr>
              <w:t>exchange of dilutive securities for Class A common</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80" w:type="dxa"/>
            <w:vAlign w:val="bottom"/>
          </w:tcPr>
          <w:p>
            <w:pPr>
              <w:spacing w:after="0"/>
              <w:rPr>
                <w:sz w:val="20"/>
                <w:szCs w:val="20"/>
                <w:color w:val="auto"/>
              </w:rPr>
            </w:pP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4100" w:type="dxa"/>
            <w:vAlign w:val="bottom"/>
          </w:tcPr>
          <w:p>
            <w:pPr>
              <w:ind w:left="20"/>
              <w:spacing w:after="0" w:line="153" w:lineRule="exact"/>
              <w:rPr>
                <w:sz w:val="20"/>
                <w:szCs w:val="20"/>
                <w:color w:val="auto"/>
              </w:rPr>
            </w:pPr>
            <w:r>
              <w:rPr>
                <w:rFonts w:ascii="Times New Roman" w:cs="Times New Roman" w:eastAsia="Times New Roman" w:hAnsi="Times New Roman"/>
                <w:sz w:val="17"/>
                <w:szCs w:val="17"/>
                <w:color w:val="auto"/>
              </w:rPr>
              <w:t>Net income (loss) attributable to Viant Technology Inc.</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0" w:type="dxa"/>
            <w:vAlign w:val="bottom"/>
          </w:tcPr>
          <w:p>
            <w:pPr>
              <w:spacing w:after="0"/>
              <w:rPr>
                <w:sz w:val="16"/>
                <w:szCs w:val="16"/>
                <w:color w:val="auto"/>
              </w:rPr>
            </w:pPr>
          </w:p>
        </w:tc>
        <w:tc>
          <w:tcPr>
            <w:tcW w:w="410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41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—basic</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4100" w:type="dxa"/>
            <w:vAlign w:val="bottom"/>
          </w:tcPr>
          <w:p>
            <w:pPr>
              <w:ind w:left="20"/>
              <w:spacing w:after="0" w:line="153" w:lineRule="exact"/>
              <w:rPr>
                <w:sz w:val="20"/>
                <w:szCs w:val="20"/>
                <w:color w:val="auto"/>
              </w:rPr>
            </w:pPr>
            <w:r>
              <w:rPr>
                <w:rFonts w:ascii="Times New Roman" w:cs="Times New Roman" w:eastAsia="Times New Roman" w:hAnsi="Times New Roman"/>
                <w:sz w:val="17"/>
                <w:szCs w:val="17"/>
                <w:color w:val="auto"/>
              </w:rPr>
              <w:t>Weighted-average shares of Class A common stock</w:t>
            </w: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22,039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—diluted</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8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41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80" w:type="dxa"/>
            <w:vAlign w:val="bottom"/>
          </w:tcPr>
          <w:p>
            <w:pPr>
              <w:spacing w:after="0"/>
              <w:rPr>
                <w:sz w:val="12"/>
                <w:szCs w:val="12"/>
                <w:color w:val="auto"/>
              </w:rPr>
            </w:pPr>
          </w:p>
        </w:tc>
        <w:tc>
          <w:tcPr>
            <w:tcW w:w="41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color w:val="auto"/>
              </w:rPr>
              <w:t>Earnings (loss) per share of Class A common stock—</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410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Anti-dilutive shares excluded from earnings (loss) per</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Class A common stock—diluted:</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41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7"/>
                <w:szCs w:val="17"/>
                <w:color w:val="auto"/>
              </w:rPr>
              <w:t>Total shares excluded from earnings (loss) per share of</w:t>
            </w: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stock—diluted</w:t>
            </w: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CCEEFF"/>
            </w:tcBorders>
            <w:gridSpan w:val="3"/>
            <w:vMerge w:val="restart"/>
          </w:tcPr>
          <w:p>
            <w:pPr>
              <w:jc w:val="right"/>
              <w:ind w:right="71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5"/>
        </w:trPr>
        <w:tc>
          <w:tcPr>
            <w:tcW w:w="4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19" w:right="279" w:bottom="1440" w:gutter="0" w:footer="0" w:header="0"/>
        </w:sectPr>
      </w:pPr>
    </w:p>
    <w:bookmarkStart w:id="32" w:name="page33"/>
    <w:bookmarkEnd w:id="3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9" w:lineRule="exact"/>
        <w:rPr>
          <w:sz w:val="20"/>
          <w:szCs w:val="20"/>
          <w:color w:val="auto"/>
        </w:rPr>
      </w:pPr>
    </w:p>
    <w:p>
      <w:pPr>
        <w:ind w:left="960" w:right="400" w:hanging="315"/>
        <w:spacing w:after="0" w:line="275" w:lineRule="auto"/>
        <w:tabs>
          <w:tab w:leader="none" w:pos="954"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Restructuring and other includes severance and other charges related to aligning our workforce with our strategic performance goals for the three months ended March 31, 2024</w:t>
      </w:r>
      <w:r>
        <w:rPr>
          <w:rFonts w:ascii="Times New Roman" w:cs="Times New Roman" w:eastAsia="Times New Roman" w:hAnsi="Times New Roman"/>
          <w:sz w:val="18"/>
          <w:szCs w:val="18"/>
          <w:color w:val="000000"/>
        </w:rPr>
        <w:t>.</w:t>
      </w:r>
    </w:p>
    <w:p>
      <w:pPr>
        <w:spacing w:after="0" w:line="57" w:lineRule="exact"/>
        <w:rPr>
          <w:rFonts w:ascii="Times New Roman" w:cs="Times New Roman" w:eastAsia="Times New Roman" w:hAnsi="Times New Roman"/>
          <w:sz w:val="18"/>
          <w:szCs w:val="18"/>
          <w:color w:val="231F20"/>
        </w:rPr>
      </w:pPr>
    </w:p>
    <w:p>
      <w:pPr>
        <w:ind w:left="960" w:right="320" w:hanging="315"/>
        <w:spacing w:after="0" w:line="275" w:lineRule="auto"/>
        <w:tabs>
          <w:tab w:leader="none" w:pos="954"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Transaction expense consists of costs incurred related to our contemplated and completed acquisitions for the three months ended </w:t>
      </w:r>
      <w:r>
        <w:rPr>
          <w:rFonts w:ascii="Times New Roman" w:cs="Times New Roman" w:eastAsia="Times New Roman" w:hAnsi="Times New Roman"/>
          <w:sz w:val="18"/>
          <w:szCs w:val="18"/>
          <w:color w:val="231F20"/>
        </w:rPr>
        <w:t>March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2025</w:t>
      </w:r>
      <w:r>
        <w:rPr>
          <w:rFonts w:ascii="Times New Roman" w:cs="Times New Roman" w:eastAsia="Times New Roman" w:hAnsi="Times New Roman"/>
          <w:sz w:val="18"/>
          <w:szCs w:val="18"/>
          <w:color w:val="000000"/>
        </w:rPr>
        <w:t>.</w:t>
      </w:r>
    </w:p>
    <w:p>
      <w:pPr>
        <w:spacing w:after="0" w:line="57" w:lineRule="exact"/>
        <w:rPr>
          <w:rFonts w:ascii="Times New Roman" w:cs="Times New Roman" w:eastAsia="Times New Roman" w:hAnsi="Times New Roman"/>
          <w:sz w:val="18"/>
          <w:szCs w:val="18"/>
          <w:color w:val="231F20"/>
        </w:rPr>
      </w:pPr>
    </w:p>
    <w:p>
      <w:pPr>
        <w:ind w:left="960" w:hanging="315"/>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 remeasurement expense reflects the remeasurement of the TRA liability as of </w:t>
      </w:r>
      <w:r>
        <w:rPr>
          <w:rFonts w:ascii="Times New Roman" w:cs="Times New Roman" w:eastAsia="Times New Roman" w:hAnsi="Times New Roman"/>
          <w:sz w:val="18"/>
          <w:szCs w:val="18"/>
          <w:color w:val="231F20"/>
        </w:rPr>
        <w:t>March 31, 2025.</w:t>
      </w:r>
    </w:p>
    <w:p>
      <w:pPr>
        <w:spacing w:after="0" w:line="112" w:lineRule="exact"/>
        <w:rPr>
          <w:rFonts w:ascii="Times New Roman" w:cs="Times New Roman" w:eastAsia="Times New Roman" w:hAnsi="Times New Roman"/>
          <w:sz w:val="18"/>
          <w:szCs w:val="18"/>
          <w:color w:val="auto"/>
        </w:rPr>
      </w:pPr>
    </w:p>
    <w:p>
      <w:pPr>
        <w:ind w:left="960" w:right="20" w:hanging="315"/>
        <w:spacing w:after="0" w:line="261" w:lineRule="auto"/>
        <w:tabs>
          <w:tab w:leader="none" w:pos="954"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estimated income tax effect of our share of income (loss) after non-GAAP reconciling items for the three months ended March 31, 2025 and 2024 is calculated using assumed blended tax rates of 23% and 27%, respectively, which represent our expected corporate tax rates, excluding discrete and non-recurring tax items.</w:t>
      </w:r>
    </w:p>
    <w:p>
      <w:pPr>
        <w:spacing w:after="0" w:line="69" w:lineRule="exact"/>
        <w:rPr>
          <w:rFonts w:ascii="Times New Roman" w:cs="Times New Roman" w:eastAsia="Times New Roman" w:hAnsi="Times New Roman"/>
          <w:sz w:val="18"/>
          <w:szCs w:val="18"/>
          <w:color w:val="231F20"/>
        </w:rPr>
      </w:pPr>
    </w:p>
    <w:p>
      <w:pPr>
        <w:ind w:left="960" w:right="20" w:hanging="315"/>
        <w:spacing w:after="0" w:line="275" w:lineRule="auto"/>
        <w:tabs>
          <w:tab w:leader="none" w:pos="954"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adjustment to net income (loss) attributable to noncontrolling interests represents stock-based compensation, restructuring and other charges and transaction expense attributed to the noncontrolling interests outstanding during the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14" w:lineRule="exact"/>
        <w:rPr>
          <w:sz w:val="20"/>
          <w:szCs w:val="20"/>
          <w:color w:val="auto"/>
        </w:rPr>
      </w:pPr>
    </w:p>
    <w:p>
      <w:pPr>
        <w:ind w:right="200" w:firstLine="479"/>
        <w:spacing w:after="0" w:line="275" w:lineRule="auto"/>
        <w:rPr>
          <w:sz w:val="20"/>
          <w:szCs w:val="20"/>
          <w:color w:val="auto"/>
        </w:rPr>
      </w:pPr>
      <w:r>
        <w:rPr>
          <w:rFonts w:ascii="Times New Roman" w:cs="Times New Roman" w:eastAsia="Times New Roman" w:hAnsi="Times New Roman"/>
          <w:sz w:val="18"/>
          <w:szCs w:val="18"/>
          <w:color w:val="auto"/>
        </w:rPr>
        <w:t xml:space="preserve">As of March 31, 2025, we had cash and cash equivalents of $173.9 million and working capital, consisting of current assets less current liabilities, of $199.0 million, compared to cash and cash equivalents of $205.0 million and working capital of $217.0 million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right="300" w:firstLine="479"/>
        <w:spacing w:after="0" w:line="256" w:lineRule="auto"/>
        <w:rPr>
          <w:sz w:val="20"/>
          <w:szCs w:val="20"/>
          <w:color w:val="auto"/>
        </w:rPr>
      </w:pPr>
      <w:r>
        <w:rPr>
          <w:rFonts w:ascii="Times New Roman" w:cs="Times New Roman" w:eastAsia="Times New Roman" w:hAnsi="Times New Roman"/>
          <w:sz w:val="18"/>
          <w:szCs w:val="18"/>
          <w:color w:val="auto"/>
        </w:rPr>
        <w:t>Our primary sources of cash are revenues derived from the programmatic purchase of advertising on our platform and our existing cash and cash equivalents, although we have addressed, and may in the future address, our liquidity needs by utilizing our borrowing capacity under the asset-based revolving credit and security agreement we have with PNC Bank (as amended in April 2023) (the “Amended Loan Agreement”), obtaining debt financing from other sources or raising additional funds by issuing equity.</w:t>
      </w:r>
    </w:p>
    <w:p>
      <w:pPr>
        <w:spacing w:after="0" w:line="74"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8"/>
          <w:szCs w:val="18"/>
          <w:color w:val="auto"/>
        </w:rPr>
        <w:t>Our primary uses of cash are capital expenditures to develop our technology in support of enhancing our platform; purchases of property and equipment in support of our expanding headcount as a result of our growth; the payment of debt obligations used to finance our operations, capital expenditures, platform development and rapid growth; future minimum payments under our non-cancelable operating leases; repurchases under the stock repurchase program; and acquisitions. We intend to continue investing in critical areas of our business for the remainder of 2025 to further accelerate demand for our product and growth across the platform.</w:t>
      </w:r>
    </w:p>
    <w:p>
      <w:pPr>
        <w:spacing w:after="0" w:line="79" w:lineRule="exact"/>
        <w:rPr>
          <w:sz w:val="20"/>
          <w:szCs w:val="20"/>
          <w:color w:val="auto"/>
        </w:rPr>
      </w:pPr>
    </w:p>
    <w:p>
      <w:pPr>
        <w:ind w:right="40" w:firstLine="479"/>
        <w:spacing w:after="0" w:line="250"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and cash equivalents, cash flow from revenues derived from the programmatic purchase of advertising on our platform and the undrawn availability under our revolving credit facility will be sufficient to meet our cash requirements over the next 12 months from the date of this report. We believe we will meet longer-term expected future cash requirements and obligations beyond the next 12 months through a combination of existing cash and cash equivalents, cash flow from operations, the undrawn availability under our revolving credit facility and issuances of equity securities or debt offerings. Our ability to fund longer-term operating needs will depend on our ability to generate positive cash flows through programmatic advertising purchases on our platform, our ability to access the capital markets and other factors, including those discussed under the section titled “Risk Factors” in this Quarterly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6" w:lineRule="exact"/>
        <w:rPr>
          <w:sz w:val="20"/>
          <w:szCs w:val="20"/>
          <w:color w:val="auto"/>
        </w:rPr>
      </w:pPr>
    </w:p>
    <w:p>
      <w:pPr>
        <w:ind w:right="100" w:firstLine="479"/>
        <w:spacing w:after="0" w:line="253" w:lineRule="auto"/>
        <w:rPr>
          <w:sz w:val="20"/>
          <w:szCs w:val="20"/>
          <w:color w:val="auto"/>
        </w:rPr>
      </w:pPr>
      <w:r>
        <w:rPr>
          <w:rFonts w:ascii="Times New Roman" w:cs="Times New Roman" w:eastAsia="Times New Roman" w:hAnsi="Times New Roman"/>
          <w:sz w:val="18"/>
          <w:szCs w:val="18"/>
          <w:color w:val="auto"/>
        </w:rPr>
        <w:t>As of March 31, 2025, our material cash requirements from non-cancelable contractual obligations with an original duration of over one year included future minimum payments under our non-cancelable operating leases, which we estimate will be approximately $4.4 million for the remainder of 2025, $5.5 million in 2026, $5.4 million in 2027, $4.1 million in 2028, and $3.6 million in 2029, and non-cancelable contractual agreements primarily related to the hosting of our data storage processing, storage, and other computing services, which we estimate will be approximately $11.6 million for the remainder of 2025, $15.1 million in 2026, $10.5 million in 2027, and $2.1 million in 2028.</w:t>
      </w:r>
    </w:p>
    <w:p>
      <w:pPr>
        <w:spacing w:after="0" w:line="79" w:lineRule="exact"/>
        <w:rPr>
          <w:sz w:val="20"/>
          <w:szCs w:val="20"/>
          <w:color w:val="auto"/>
        </w:rPr>
      </w:pPr>
    </w:p>
    <w:p>
      <w:pPr>
        <w:ind w:right="100" w:firstLine="479"/>
        <w:spacing w:after="0" w:line="261" w:lineRule="auto"/>
        <w:rPr>
          <w:sz w:val="20"/>
          <w:szCs w:val="20"/>
          <w:color w:val="auto"/>
        </w:rPr>
      </w:pPr>
      <w:r>
        <w:rPr>
          <w:rFonts w:ascii="Times New Roman" w:cs="Times New Roman" w:eastAsia="Times New Roman" w:hAnsi="Times New Roman"/>
          <w:sz w:val="18"/>
          <w:szCs w:val="18"/>
          <w:color w:val="auto"/>
        </w:rPr>
        <w:t>We did not have any other off-balance sheet arrangements as of March 31, 2025 other than the minimum payments under the operating leases, hosting arrangements and the indemnification agreements described above and in Note 13—Commitments and Contingencies to our unaudited condensed consolidated financial statements included elsewhere in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Tax Receivable Agreement</w:t>
      </w:r>
    </w:p>
    <w:p>
      <w:pPr>
        <w:spacing w:after="0" w:line="116"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In connection with the initial public offering ("IPO"), we entered into a TRA with Viant Technology LLC, continuing members of Viant Technology LLC and the TRA Representative (as defined in the TRA) on February 9, 2021, as described under Note 10—Income Taxes and Tax Receivable Agreement to our unaudited condensed consolidated financial statements included elsewhere in this Quarterly Report. As of March 31, 2025, we concluded that it was not more likely than not that our deferred tax assets subject to the TRA will be realized. Therefore, we have not recorded a liability related to the remaining tax savings we may realize from utilization</w:t>
      </w:r>
    </w:p>
    <w:p>
      <w:pPr>
        <w:spacing w:after="0" w:line="39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of such deferred tax assets except for $0.3 million related to the current portion of the TRA. The total unrecorded liability for the TRA is approximately $10.7 million as of March 31, 2025. If utilization of the deferred tax assets subject to the TRA becomes more likely than not in the future, we will record a liability related to the TRA.</w:t>
      </w:r>
    </w:p>
    <w:p>
      <w:pPr>
        <w:spacing w:after="0" w:line="69" w:lineRule="exact"/>
        <w:rPr>
          <w:sz w:val="20"/>
          <w:szCs w:val="20"/>
          <w:color w:val="auto"/>
        </w:rPr>
      </w:pPr>
    </w:p>
    <w:p>
      <w:pPr>
        <w:jc w:val="both"/>
        <w:ind w:right="40" w:firstLine="479"/>
        <w:spacing w:after="0" w:line="261" w:lineRule="auto"/>
        <w:rPr>
          <w:sz w:val="20"/>
          <w:szCs w:val="20"/>
          <w:color w:val="auto"/>
        </w:rPr>
      </w:pPr>
      <w:r>
        <w:rPr>
          <w:rFonts w:ascii="Times New Roman" w:cs="Times New Roman" w:eastAsia="Times New Roman" w:hAnsi="Times New Roman"/>
          <w:sz w:val="18"/>
          <w:szCs w:val="18"/>
          <w:color w:val="auto"/>
        </w:rPr>
        <w:t>From time to time, our subsidiary, Viant Technology LLC, makes cash distributions on a pro rata basis to its members as necessary and to the extent of available cash necessary to cover the members’ tax liabilities with respect to their share of earnings of Viant Technology LLC. These payments are reflected within “Payment of member tax distributions” on the condensed consolidated statements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16" w:lineRule="exact"/>
        <w:rPr>
          <w:sz w:val="20"/>
          <w:szCs w:val="20"/>
          <w:color w:val="auto"/>
        </w:rPr>
      </w:pPr>
    </w:p>
    <w:p>
      <w:pPr>
        <w:ind w:right="20" w:firstLine="479"/>
        <w:spacing w:after="0" w:line="251" w:lineRule="auto"/>
        <w:rPr>
          <w:sz w:val="20"/>
          <w:szCs w:val="20"/>
          <w:color w:val="auto"/>
        </w:rPr>
      </w:pPr>
      <w:r>
        <w:rPr>
          <w:rFonts w:ascii="Times New Roman" w:cs="Times New Roman" w:eastAsia="Times New Roman" w:hAnsi="Times New Roman"/>
          <w:sz w:val="18"/>
          <w:szCs w:val="18"/>
          <w:color w:val="auto"/>
        </w:rPr>
        <w:t>On March 22, 2024, we filed a “shelf” registration statement on Form S-3 (Reg. No. 333-278177) with the SEC, which was declared effective on April 23, 2024. This shelf registration statement, which includes a base prospectus, allows us at any time to offer any combination of securities described in the prospectus in one or more offerings for our own account in an aggregate amount up to $100 million and allows certain selling securityholders to offer and sell up to 10,000,000 shares of Class A common stock in one or more offerings.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 We would not receive any proceeds from any sale of our Class A common stock by the selling securityholders.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6" w:lineRule="exact"/>
        <w:rPr>
          <w:sz w:val="20"/>
          <w:szCs w:val="20"/>
          <w:color w:val="auto"/>
        </w:rPr>
      </w:pPr>
    </w:p>
    <w:p>
      <w:pPr>
        <w:ind w:right="20" w:firstLine="479"/>
        <w:spacing w:after="0" w:line="268" w:lineRule="auto"/>
        <w:rPr>
          <w:sz w:val="20"/>
          <w:szCs w:val="20"/>
          <w:color w:val="auto"/>
        </w:rPr>
      </w:pPr>
      <w:r>
        <w:rPr>
          <w:rFonts w:ascii="Times New Roman" w:cs="Times New Roman" w:eastAsia="Times New Roman" w:hAnsi="Times New Roman"/>
          <w:sz w:val="17"/>
          <w:szCs w:val="17"/>
          <w:color w:val="auto"/>
        </w:rPr>
        <w:t xml:space="preserve">On April 23, 2024, our board of directors approved a stock repurchase program with authorization to purchase up to $50 million in shares of our Class A common stock or Class B units of Viant Technology LLC. During the </w:t>
      </w:r>
      <w:r>
        <w:rPr>
          <w:rFonts w:ascii="Times New Roman" w:cs="Times New Roman" w:eastAsia="Times New Roman" w:hAnsi="Times New Roman"/>
          <w:sz w:val="17"/>
          <w:szCs w:val="17"/>
          <w:color w:val="231F20"/>
        </w:rPr>
        <w:t>three</w:t>
      </w:r>
      <w:r>
        <w:rPr>
          <w:rFonts w:ascii="Times New Roman" w:cs="Times New Roman" w:eastAsia="Times New Roman" w:hAnsi="Times New Roman"/>
          <w:sz w:val="17"/>
          <w:szCs w:val="17"/>
          <w:color w:val="auto"/>
        </w:rPr>
        <w:t xml:space="preserve"> months ended March 31, 2025, we repurchased 1.2 million shares of our Class A common stock, which includes unsettled repurchases as of March 31, 2025, for an aggregate amount of $17.4 million, including costs associated with the repurchases. As of March 31, 2025, $11.1 million remained available under the stock repurchase program for Class A common stock and Class B unit repurchases. On May 5, 2025, our board of directors authorized an increase to the existing stock repurchase program, approving the repurchase of up to an additional $50.0 million of the Company’s Class A common stock or Class B units of Viant Technology LLC. For additional information related to share repurchases, refer to Note 9—Stockholders' Equity to our unaudited condensed consolidated financial statements included elsewhere in this Quarterly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Revolving Credit Facility</w:t>
      </w:r>
    </w:p>
    <w:p>
      <w:pPr>
        <w:spacing w:after="0" w:line="116"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As of March 31, 2025, our Amended Loan Agreement provided us with access to a $75.0 million senior secured revolving credit facility with a maturity date of April 4, 2028 that is collateralized by security interests in substantially all of our assets. As of March 31, 2025 and December 31, 2024, there was no outstanding balance and up to $74.1 million of undrawn availability under the revolving credit facility.</w:t>
      </w:r>
    </w:p>
    <w:p>
      <w:pPr>
        <w:spacing w:after="0" w:line="69" w:lineRule="exact"/>
        <w:rPr>
          <w:sz w:val="20"/>
          <w:szCs w:val="20"/>
          <w:color w:val="auto"/>
        </w:rPr>
      </w:pPr>
    </w:p>
    <w:p>
      <w:pPr>
        <w:ind w:right="140" w:firstLine="479"/>
        <w:spacing w:after="0" w:line="253" w:lineRule="auto"/>
        <w:rPr>
          <w:sz w:val="20"/>
          <w:szCs w:val="20"/>
          <w:color w:val="auto"/>
        </w:rPr>
      </w:pPr>
      <w:r>
        <w:rPr>
          <w:rFonts w:ascii="Times New Roman" w:cs="Times New Roman" w:eastAsia="Times New Roman" w:hAnsi="Times New Roman"/>
          <w:sz w:val="18"/>
          <w:szCs w:val="18"/>
          <w:color w:val="auto"/>
        </w:rPr>
        <w:t>The Amended Loan Agreement contains customary conditions to borrowings, events of default and covenants, and also contains a financial covenant requiring us to maintain a minimum fixed charge coverage ratio of 1.40 to 1 when undrawn availability under the Amended Loan Agreement is less than 25%. As of March 31, 2025, the Company was in compliance with all applicable covenants under the Amended Loan Agreement. We do not believe this covenant or any other provision in the Amended Loan Agreement will materially impact our liquidity or otherwise restrict our ability to execute on our business plan during or beyond the next 12 months from the date of this report.</w:t>
      </w:r>
    </w:p>
    <w:p>
      <w:pPr>
        <w:spacing w:after="0" w:line="79" w:lineRule="exact"/>
        <w:rPr>
          <w:sz w:val="20"/>
          <w:szCs w:val="20"/>
          <w:color w:val="auto"/>
        </w:rPr>
      </w:pPr>
    </w:p>
    <w:p>
      <w:pPr>
        <w:jc w:val="both"/>
        <w:ind w:right="120" w:firstLine="479"/>
        <w:spacing w:after="0" w:line="261" w:lineRule="auto"/>
        <w:rPr>
          <w:sz w:val="20"/>
          <w:szCs w:val="20"/>
          <w:color w:val="auto"/>
        </w:rPr>
      </w:pPr>
      <w:r>
        <w:rPr>
          <w:rFonts w:ascii="Times New Roman" w:cs="Times New Roman" w:eastAsia="Times New Roman" w:hAnsi="Times New Roman"/>
          <w:sz w:val="18"/>
          <w:szCs w:val="18"/>
          <w:color w:val="auto"/>
        </w:rPr>
        <w:t>We are a holding company with no operations of our own and are dependent on distributions from Viant Technology LLC to pay our taxes and satisfy any current or future cash requirements. Our Amended Loan Agreement imposes, and any future credit facilities may impose, limitations on our ability and the ability of Viant Technology LLC to pay dividends to third parties.</w:t>
      </w:r>
    </w:p>
    <w:p>
      <w:pPr>
        <w:spacing w:after="0" w:line="69" w:lineRule="exact"/>
        <w:rPr>
          <w:sz w:val="20"/>
          <w:szCs w:val="20"/>
          <w:color w:val="auto"/>
        </w:rPr>
      </w:pPr>
    </w:p>
    <w:p>
      <w:pPr>
        <w:ind w:right="20" w:firstLine="479"/>
        <w:spacing w:after="0" w:line="275" w:lineRule="auto"/>
        <w:rPr>
          <w:sz w:val="20"/>
          <w:szCs w:val="20"/>
          <w:color w:val="auto"/>
        </w:rPr>
      </w:pPr>
      <w:r>
        <w:rPr>
          <w:rFonts w:ascii="Times New Roman" w:cs="Times New Roman" w:eastAsia="Times New Roman" w:hAnsi="Times New Roman"/>
          <w:sz w:val="18"/>
          <w:szCs w:val="18"/>
          <w:color w:val="auto"/>
        </w:rPr>
        <w:t>For further discussion of our Amended Loan Agreement, refer to Note 8—Revolving Credit Facility to our unaudited condensed consolidated financial statements included elsewhere in this Quarterly Report</w:t>
      </w:r>
      <w:r>
        <w:rPr>
          <w:rFonts w:ascii="Times New Roman" w:cs="Times New Roman" w:eastAsia="Times New Roman" w:hAnsi="Times New Roman"/>
          <w:sz w:val="18"/>
          <w:szCs w:val="18"/>
          <w:color w:val="231F20"/>
        </w:rPr>
        <w:t>.</w:t>
      </w: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4" w:name="page35"/>
    <w:bookmarkEnd w:id="34"/>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114" w:lineRule="exact"/>
        <w:rPr>
          <w:sz w:val="20"/>
          <w:szCs w:val="20"/>
          <w:color w:val="auto"/>
        </w:rPr>
      </w:pPr>
    </w:p>
    <w:p>
      <w:pPr>
        <w:ind w:right="40" w:firstLine="479"/>
        <w:spacing w:after="0" w:line="275"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as reflected in the unaudited consolidated statements of cash flows included in Item 1 of this Quarterly Report, are summarized in the following table for the periods presented:</w:t>
      </w:r>
    </w:p>
    <w:p>
      <w:pPr>
        <w:spacing w:after="0" w:line="83"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74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(used in) operating activities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r>
      <w:tr>
        <w:trPr>
          <w:trHeight w:val="22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r>
      <w:tr>
        <w:trPr>
          <w:trHeight w:val="22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(10,177)</w:t>
            </w:r>
          </w:p>
        </w:tc>
      </w:tr>
      <w:tr>
        <w:trPr>
          <w:trHeight w:val="244"/>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Provided by (Used in) Operating Activities</w:t>
      </w:r>
    </w:p>
    <w:p>
      <w:pPr>
        <w:spacing w:after="0" w:line="114" w:lineRule="exact"/>
        <w:rPr>
          <w:sz w:val="20"/>
          <w:szCs w:val="20"/>
          <w:color w:val="auto"/>
        </w:rPr>
      </w:pPr>
    </w:p>
    <w:p>
      <w:pPr>
        <w:ind w:right="280" w:firstLine="479"/>
        <w:spacing w:after="0" w:line="252" w:lineRule="auto"/>
        <w:rPr>
          <w:sz w:val="20"/>
          <w:szCs w:val="20"/>
          <w:color w:val="auto"/>
        </w:rPr>
      </w:pPr>
      <w:r>
        <w:rPr>
          <w:rFonts w:ascii="Times New Roman" w:cs="Times New Roman" w:eastAsia="Times New Roman" w:hAnsi="Times New Roman"/>
          <w:sz w:val="18"/>
          <w:szCs w:val="18"/>
          <w:color w:val="auto"/>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79"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8"/>
          <w:szCs w:val="18"/>
          <w:color w:val="auto"/>
        </w:rPr>
        <w:t xml:space="preserve">Cash flows used in operating activities was $4.5 million for the three months ended March 31, 2025, resulting primarily from net loss of </w:t>
      </w:r>
      <w:r>
        <w:rPr>
          <w:rFonts w:ascii="Times New Roman" w:cs="Times New Roman" w:eastAsia="Times New Roman" w:hAnsi="Times New Roman"/>
          <w:sz w:val="18"/>
          <w:szCs w:val="18"/>
          <w:color w:val="231F20"/>
        </w:rPr>
        <w:t>$3.3 million;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noncash add back adjustments to net loss of $11.5 million, including $5.6 million for stock-based compensation, $4.3 million for depreciation and amortization and </w:t>
      </w:r>
      <w:r>
        <w:rPr>
          <w:rFonts w:ascii="Times New Roman" w:cs="Times New Roman" w:eastAsia="Times New Roman" w:hAnsi="Times New Roman"/>
          <w:sz w:val="18"/>
          <w:szCs w:val="18"/>
          <w:color w:val="000000"/>
        </w:rPr>
        <w:t>$1.1</w:t>
      </w:r>
      <w:r>
        <w:rPr>
          <w:rFonts w:ascii="Times New Roman" w:cs="Times New Roman" w:eastAsia="Times New Roman" w:hAnsi="Times New Roman"/>
          <w:sz w:val="18"/>
          <w:szCs w:val="18"/>
          <w:color w:val="231F20"/>
        </w:rPr>
        <w:t xml:space="preserve"> million for noncash lease expense; and a decrease of $12.6 million from changes in working capital, primarily including a net decrease of $15.2 million in accounts receivable, prepaid assets and other assets related to higher sales and timing of customer collections due to seasonal fluctuations, as well as a net increase of $24.7 million in accounts payable, accrued liabilities and accrued compensation related to timing of payments.</w:t>
      </w:r>
    </w:p>
    <w:p>
      <w:pPr>
        <w:spacing w:after="0" w:line="79"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cash flows provided by operating activities of $3.8 million resulted primarily from net loss of $3.2 million offset by noncash add back adjustments to net loss of $9.5 million primarily comprised of $4.4 million for stock-based compensation, $4.1 million for depreciation and amortization and $1.0 million for noncash lease expense as well as a decrease in working capital (excluding deferred revenue, operating lease liabilities and other liabilities) of $0.6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Investing Activities</w:t>
      </w:r>
    </w:p>
    <w:p>
      <w:pPr>
        <w:spacing w:after="0" w:line="114" w:lineRule="exact"/>
        <w:rPr>
          <w:sz w:val="20"/>
          <w:szCs w:val="20"/>
          <w:color w:val="auto"/>
        </w:rPr>
      </w:pPr>
    </w:p>
    <w:p>
      <w:pPr>
        <w:ind w:right="60" w:firstLine="479"/>
        <w:spacing w:after="0" w:line="251" w:lineRule="auto"/>
        <w:rPr>
          <w:sz w:val="20"/>
          <w:szCs w:val="20"/>
          <w:color w:val="auto"/>
        </w:rPr>
      </w:pPr>
      <w:r>
        <w:rPr>
          <w:rFonts w:ascii="Times New Roman" w:cs="Times New Roman" w:eastAsia="Times New Roman" w:hAnsi="Times New Roman"/>
          <w:sz w:val="18"/>
          <w:szCs w:val="18"/>
          <w:color w:val="auto"/>
        </w:rPr>
        <w:t>Our primary investing activities have consisted of capital expenditures to develop our technology in support of enhancing our platform and purchases of property and equipment in support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platform development projects. Purchases of property and equipment and capitalized software development costs may vary from period-to-period due to the timing of the expansion of our operations, the addition or reduction of headcount and the timing of our platform development cycles. As a result of capitalization of stock-based compensation in future periods and the growth of our business, we expect our capital expenditures and our investment activity to continue to increase.</w:t>
      </w:r>
    </w:p>
    <w:p>
      <w:pPr>
        <w:spacing w:after="0" w:line="80" w:lineRule="exact"/>
        <w:rPr>
          <w:sz w:val="20"/>
          <w:szCs w:val="20"/>
          <w:color w:val="auto"/>
        </w:rPr>
      </w:pPr>
    </w:p>
    <w:p>
      <w:pPr>
        <w:ind w:right="480" w:firstLine="479"/>
        <w:spacing w:after="0" w:line="261" w:lineRule="auto"/>
        <w:rPr>
          <w:sz w:val="20"/>
          <w:szCs w:val="20"/>
          <w:color w:val="auto"/>
        </w:rPr>
      </w:pPr>
      <w:r>
        <w:rPr>
          <w:rFonts w:ascii="Times New Roman" w:cs="Times New Roman" w:eastAsia="Times New Roman" w:hAnsi="Times New Roman"/>
          <w:sz w:val="18"/>
          <w:szCs w:val="18"/>
          <w:color w:val="auto"/>
        </w:rPr>
        <w:t xml:space="preserve">Cash flows used in investing activities was $4.0 million for the three months ended March 31, 2025, resulting primarily from $3.6 million of investments in capitalized software to develop our technology in support of enhancing our platform, $0.3 million of cash paid for acquisitions and </w:t>
      </w:r>
      <w:r>
        <w:rPr>
          <w:rFonts w:ascii="Times New Roman" w:cs="Times New Roman" w:eastAsia="Times New Roman" w:hAnsi="Times New Roman"/>
          <w:sz w:val="18"/>
          <w:szCs w:val="18"/>
          <w:color w:val="231F20"/>
        </w:rPr>
        <w:t>$0.1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million of purchases of property and equipment.</w:t>
      </w:r>
    </w:p>
    <w:p>
      <w:pPr>
        <w:spacing w:after="0" w:line="69" w:lineRule="exact"/>
        <w:rPr>
          <w:sz w:val="20"/>
          <w:szCs w:val="20"/>
          <w:color w:val="auto"/>
        </w:rPr>
      </w:pPr>
    </w:p>
    <w:p>
      <w:pPr>
        <w:ind w:right="300" w:firstLine="479"/>
        <w:spacing w:after="0" w:line="275" w:lineRule="auto"/>
        <w:rPr>
          <w:sz w:val="20"/>
          <w:szCs w:val="20"/>
          <w:color w:val="auto"/>
        </w:rPr>
      </w:pPr>
      <w:r>
        <w:rPr>
          <w:rFonts w:ascii="Times New Roman" w:cs="Times New Roman" w:eastAsia="Times New Roman" w:hAnsi="Times New Roman"/>
          <w:sz w:val="18"/>
          <w:szCs w:val="18"/>
          <w:color w:val="231F20"/>
        </w:rPr>
        <w:t xml:space="preserve">During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31F20"/>
        </w:rPr>
        <w:t xml:space="preserve">, cash flows used in investing activities of </w:t>
      </w:r>
      <w:r>
        <w:rPr>
          <w:rFonts w:ascii="Times New Roman" w:cs="Times New Roman" w:eastAsia="Times New Roman" w:hAnsi="Times New Roman"/>
          <w:sz w:val="18"/>
          <w:szCs w:val="18"/>
          <w:color w:val="000000"/>
        </w:rPr>
        <w:t>$4.1</w:t>
      </w:r>
      <w:r>
        <w:rPr>
          <w:rFonts w:ascii="Times New Roman" w:cs="Times New Roman" w:eastAsia="Times New Roman" w:hAnsi="Times New Roman"/>
          <w:sz w:val="18"/>
          <w:szCs w:val="18"/>
          <w:color w:val="231F20"/>
        </w:rPr>
        <w:t xml:space="preserve"> million resulted from </w:t>
      </w:r>
      <w:r>
        <w:rPr>
          <w:rFonts w:ascii="Times New Roman" w:cs="Times New Roman" w:eastAsia="Times New Roman" w:hAnsi="Times New Roman"/>
          <w:sz w:val="18"/>
          <w:szCs w:val="18"/>
          <w:color w:val="000000"/>
        </w:rPr>
        <w:t>$3.5</w:t>
      </w:r>
      <w:r>
        <w:rPr>
          <w:rFonts w:ascii="Times New Roman" w:cs="Times New Roman" w:eastAsia="Times New Roman" w:hAnsi="Times New Roman"/>
          <w:sz w:val="18"/>
          <w:szCs w:val="18"/>
          <w:color w:val="231F20"/>
        </w:rPr>
        <w:t xml:space="preserve"> million of investments in capitalized software development costs and </w:t>
      </w:r>
      <w:r>
        <w:rPr>
          <w:rFonts w:ascii="Times New Roman" w:cs="Times New Roman" w:eastAsia="Times New Roman" w:hAnsi="Times New Roman"/>
          <w:sz w:val="18"/>
          <w:szCs w:val="18"/>
          <w:color w:val="000000"/>
        </w:rPr>
        <w:t>$0.5</w:t>
      </w:r>
      <w:r>
        <w:rPr>
          <w:rFonts w:ascii="Times New Roman" w:cs="Times New Roman" w:eastAsia="Times New Roman" w:hAnsi="Times New Roman"/>
          <w:sz w:val="18"/>
          <w:szCs w:val="18"/>
          <w:color w:val="231F20"/>
        </w:rPr>
        <w:t xml:space="preserve"> million of purchases of property and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Financing Activities</w:t>
      </w:r>
    </w:p>
    <w:p>
      <w:pPr>
        <w:spacing w:after="0" w:line="114" w:lineRule="exact"/>
        <w:rPr>
          <w:sz w:val="20"/>
          <w:szCs w:val="20"/>
          <w:color w:val="auto"/>
        </w:rPr>
      </w:pPr>
    </w:p>
    <w:p>
      <w:pPr>
        <w:ind w:right="220" w:firstLine="479"/>
        <w:spacing w:after="0" w:line="256" w:lineRule="auto"/>
        <w:rPr>
          <w:sz w:val="20"/>
          <w:szCs w:val="20"/>
          <w:color w:val="auto"/>
        </w:rPr>
      </w:pPr>
      <w:r>
        <w:rPr>
          <w:rFonts w:ascii="Times New Roman" w:cs="Times New Roman" w:eastAsia="Times New Roman" w:hAnsi="Times New Roman"/>
          <w:sz w:val="18"/>
          <w:szCs w:val="18"/>
          <w:color w:val="auto"/>
        </w:rPr>
        <w:t>Our financing activities have consisted primarily of issuances of our equity and payments of member distributions in accordance with their assumed tax liabilities, repurchases of stock in connection with the taxes paid related to the vesting of equity awards and repurchases of stock related to the stock repurchase program. Historical financing activities have also included proceeds from borrowings and repayments of debt. Net cash provided by or used in financing activities has been and will be used to finance our operations, capital expenditures, platform development and growth.</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5" w:name="page36"/>
    <w:bookmarkEnd w:id="35"/>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2"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 xml:space="preserve">Cash flows used in financing activities was $22.7 million for the three months ended March 31, 2025, resulting primarily from $17.0 </w:t>
      </w:r>
      <w:r>
        <w:rPr>
          <w:rFonts w:ascii="Times New Roman" w:cs="Times New Roman" w:eastAsia="Times New Roman" w:hAnsi="Times New Roman"/>
          <w:sz w:val="18"/>
          <w:szCs w:val="18"/>
          <w:color w:val="231F20"/>
        </w:rPr>
        <w:t>million for the</w:t>
      </w:r>
      <w:r>
        <w:rPr>
          <w:rFonts w:ascii="Times New Roman" w:cs="Times New Roman" w:eastAsia="Times New Roman" w:hAnsi="Times New Roman"/>
          <w:sz w:val="18"/>
          <w:szCs w:val="18"/>
          <w:color w:val="auto"/>
        </w:rPr>
        <w:t xml:space="preserve"> repurchase of stock related to the stock repurchase program, </w:t>
      </w:r>
      <w:r>
        <w:rPr>
          <w:rFonts w:ascii="Times New Roman" w:cs="Times New Roman" w:eastAsia="Times New Roman" w:hAnsi="Times New Roman"/>
          <w:sz w:val="18"/>
          <w:szCs w:val="18"/>
          <w:color w:val="231F20"/>
        </w:rPr>
        <w:t>$3.2 million for the repurchase of stock in connection with the taxes paid related to the vesting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equity award</w:t>
      </w:r>
      <w:r>
        <w:rPr>
          <w:rFonts w:ascii="Times New Roman" w:cs="Times New Roman" w:eastAsia="Times New Roman" w:hAnsi="Times New Roman"/>
          <w:sz w:val="18"/>
          <w:szCs w:val="18"/>
          <w:color w:val="000000"/>
        </w:rPr>
        <w:t>s and $3.6 million for payments related to member tax distributions, partially offset by $1.2 million of proceeds related to the exercise of 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options.</w:t>
      </w:r>
    </w:p>
    <w:p>
      <w:pPr>
        <w:spacing w:after="0" w:line="74"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231F20"/>
        </w:rPr>
        <w:t xml:space="preserve">During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March 31, 2024, cash used in financing activities of $10.2 million resulted from $5.5 million for the repurchase of 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 connection with the taxes paid related to the vesting of equity awards and $4.7 million for payments related to member tax distributions.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114" w:lineRule="exact"/>
        <w:rPr>
          <w:sz w:val="20"/>
          <w:szCs w:val="20"/>
          <w:color w:val="auto"/>
        </w:rPr>
      </w:pPr>
    </w:p>
    <w:p>
      <w:pPr>
        <w:ind w:right="120" w:firstLine="479"/>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4" w:lineRule="exact"/>
        <w:rPr>
          <w:sz w:val="20"/>
          <w:szCs w:val="20"/>
          <w:color w:val="auto"/>
        </w:rPr>
      </w:pPr>
    </w:p>
    <w:p>
      <w:pPr>
        <w:ind w:right="60" w:firstLine="479"/>
        <w:spacing w:after="0" w:line="252"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stock and stock-based compensation and internal use software have the greatest potential impact on our condensed consolidated financial statements. Therefore, we consider these to be our critical accounting policies and estimates.</w:t>
      </w:r>
    </w:p>
    <w:p>
      <w:pPr>
        <w:spacing w:after="0" w:line="79" w:lineRule="exact"/>
        <w:rPr>
          <w:sz w:val="20"/>
          <w:szCs w:val="20"/>
          <w:color w:val="auto"/>
        </w:rPr>
      </w:pPr>
    </w:p>
    <w:p>
      <w:pPr>
        <w:ind w:right="320" w:firstLine="479"/>
        <w:spacing w:after="0" w:line="305" w:lineRule="auto"/>
        <w:rPr>
          <w:sz w:val="20"/>
          <w:szCs w:val="20"/>
          <w:color w:val="auto"/>
        </w:rPr>
      </w:pPr>
      <w:r>
        <w:rPr>
          <w:rFonts w:ascii="Times New Roman" w:cs="Times New Roman" w:eastAsia="Times New Roman" w:hAnsi="Times New Roman"/>
          <w:sz w:val="17"/>
          <w:szCs w:val="17"/>
          <w:color w:val="auto"/>
        </w:rPr>
        <w:t>Since the date of our Annual Report on Form 10-K for the year ended December 31, 2024, there have been no material changes in our critical accounting policies and estimates disclosed in Part II, Item 7 “Management’s Discussion and Analysis of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Accounting Pronouncements</w:t>
      </w:r>
    </w:p>
    <w:p>
      <w:pPr>
        <w:spacing w:after="0" w:line="114" w:lineRule="exact"/>
        <w:rPr>
          <w:sz w:val="20"/>
          <w:szCs w:val="20"/>
          <w:color w:val="auto"/>
        </w:rPr>
      </w:pPr>
    </w:p>
    <w:p>
      <w:pPr>
        <w:ind w:right="340" w:firstLine="479"/>
        <w:spacing w:after="0" w:line="275" w:lineRule="auto"/>
        <w:rPr>
          <w:sz w:val="20"/>
          <w:szCs w:val="20"/>
          <w:color w:val="auto"/>
        </w:rPr>
      </w:pPr>
      <w:r>
        <w:rPr>
          <w:rFonts w:ascii="Times New Roman" w:cs="Times New Roman" w:eastAsia="Times New Roman" w:hAnsi="Times New Roman"/>
          <w:sz w:val="18"/>
          <w:szCs w:val="18"/>
          <w:color w:val="231F20"/>
        </w:rPr>
        <w:t xml:space="preserve">For information regarding recently issued accounting pronouncements, see </w:t>
      </w:r>
      <w:r>
        <w:rPr>
          <w:rFonts w:ascii="Times New Roman" w:cs="Times New Roman" w:eastAsia="Times New Roman" w:hAnsi="Times New Roman"/>
          <w:sz w:val="18"/>
          <w:szCs w:val="18"/>
          <w:color w:val="000000"/>
        </w:rPr>
        <w:t>Note 2—Basis of Presentation and Summary of Significant Accounting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Policies </w:t>
      </w:r>
      <w:r>
        <w:rPr>
          <w:rFonts w:ascii="Times New Roman" w:cs="Times New Roman" w:eastAsia="Times New Roman" w:hAnsi="Times New Roman"/>
          <w:sz w:val="18"/>
          <w:szCs w:val="18"/>
          <w:color w:val="231F20"/>
        </w:rPr>
        <w:t>to our unaudited condensed consolidated financial statements.</w:t>
      </w: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4"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there have been no material changes in our exposure to market risk. For a discussion of our exposure to market risk, see Part II, Item 7A “Quantitative and Qualitative Disclosures About Market Risk” of our Annual Report on Form 10-K for the fiscal year ended December 31, 2024.</w:t>
      </w:r>
    </w:p>
    <w:p>
      <w:pPr>
        <w:spacing w:after="0" w:line="38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1316"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6" w:lineRule="exact"/>
        <w:rPr>
          <w:sz w:val="20"/>
          <w:szCs w:val="20"/>
          <w:color w:val="auto"/>
        </w:rPr>
      </w:pPr>
    </w:p>
    <w:p>
      <w:pPr>
        <w:ind w:right="120" w:firstLine="479"/>
        <w:spacing w:after="0" w:line="25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6" w:lineRule="exact"/>
        <w:rPr>
          <w:sz w:val="20"/>
          <w:szCs w:val="20"/>
          <w:color w:val="auto"/>
        </w:rPr>
      </w:pPr>
    </w:p>
    <w:p>
      <w:pPr>
        <w:ind w:right="100" w:firstLine="479"/>
        <w:spacing w:after="0" w:line="305" w:lineRule="auto"/>
        <w:rPr>
          <w:sz w:val="20"/>
          <w:szCs w:val="20"/>
          <w:color w:val="auto"/>
        </w:rPr>
      </w:pPr>
      <w:r>
        <w:rPr>
          <w:rFonts w:ascii="Times New Roman" w:cs="Times New Roman" w:eastAsia="Times New Roman" w:hAnsi="Times New Roman"/>
          <w:sz w:val="17"/>
          <w:szCs w:val="17"/>
          <w:color w:val="auto"/>
        </w:rPr>
        <w:t xml:space="preserve">There was no change in our internal control over financial reporting (as defined in Rules 13a-15(d) and 15d-15(d) under the Exchange Act) during the three months ended </w:t>
      </w:r>
      <w:r>
        <w:rPr>
          <w:rFonts w:ascii="Times New Roman" w:cs="Times New Roman" w:eastAsia="Times New Roman" w:hAnsi="Times New Roman"/>
          <w:sz w:val="17"/>
          <w:szCs w:val="17"/>
          <w:color w:val="231F20"/>
        </w:rPr>
        <w:t>March 31, 2025</w:t>
      </w:r>
      <w:r>
        <w:rPr>
          <w:rFonts w:ascii="Times New Roman" w:cs="Times New Roman" w:eastAsia="Times New Roman" w:hAnsi="Times New Roman"/>
          <w:sz w:val="17"/>
          <w:szCs w:val="17"/>
          <w:color w:val="auto"/>
        </w:rPr>
        <w:t xml:space="preserve"> that has materially affected, or is reasonably likely to materially affect, our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116" w:lineRule="exact"/>
        <w:rPr>
          <w:sz w:val="20"/>
          <w:szCs w:val="20"/>
          <w:color w:val="auto"/>
        </w:rPr>
      </w:pPr>
    </w:p>
    <w:p>
      <w:pPr>
        <w:ind w:firstLine="479"/>
        <w:spacing w:after="0" w:line="249"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316" w:right="359" w:bottom="1440" w:gutter="0" w:footer="0" w:header="0"/>
        </w:sectPr>
      </w:pPr>
    </w:p>
    <w:bookmarkStart w:id="38" w:name="page39"/>
    <w:bookmarkEnd w:id="38"/>
    <w:p>
      <w:pPr>
        <w:ind w:left="446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4"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2" w:lineRule="exact"/>
        <w:rPr>
          <w:sz w:val="20"/>
          <w:szCs w:val="20"/>
          <w:color w:val="auto"/>
        </w:rPr>
      </w:pPr>
    </w:p>
    <w:p>
      <w:pPr>
        <w:ind w:right="60"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following risks and uncertainties described below, together with all other information contained in this Quarterly Report, including our unaudited condensed consolidated financial statements and the related notes included elsewhere in this Quarterly Report, and in our other public filings with the SEC.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 of your investment.</w:t>
      </w:r>
    </w:p>
    <w:p>
      <w:pPr>
        <w:spacing w:after="0" w:line="18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2" w:lineRule="exact"/>
        <w:rPr>
          <w:sz w:val="20"/>
          <w:szCs w:val="20"/>
          <w:color w:val="auto"/>
        </w:rPr>
      </w:pPr>
    </w:p>
    <w:p>
      <w:pPr>
        <w:ind w:right="40" w:firstLine="479"/>
        <w:spacing w:after="0" w:line="26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Quarterly Report. You should carefully consider these risks and uncertainties when investing in our Class A common stock. Some of the principal risks and uncertainties include the following:</w:t>
      </w:r>
    </w:p>
    <w:p>
      <w:pPr>
        <w:spacing w:after="0" w:line="69" w:lineRule="exact"/>
        <w:rPr>
          <w:sz w:val="20"/>
          <w:szCs w:val="20"/>
          <w:color w:val="auto"/>
        </w:rPr>
      </w:pPr>
    </w:p>
    <w:p>
      <w:pPr>
        <w:ind w:left="960" w:right="140" w:hanging="475"/>
        <w:spacing w:after="0" w:line="275" w:lineRule="auto"/>
        <w:tabs>
          <w:tab w:leader="none" w:pos="9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revenue growth are dependent on enhancing and improving our platform and effectively educating and training our customers on how to make full use of our platform;</w:t>
      </w:r>
    </w:p>
    <w:p>
      <w:pPr>
        <w:spacing w:after="0" w:line="57"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expected benefits of an industry shift away from cookie-based consumer tracking;</w:t>
      </w:r>
    </w:p>
    <w:p>
      <w:pPr>
        <w:spacing w:after="0" w:line="112" w:lineRule="exact"/>
        <w:rPr>
          <w:rFonts w:ascii="Times New Roman" w:cs="Times New Roman" w:eastAsia="Times New Roman" w:hAnsi="Times New Roman"/>
          <w:sz w:val="18"/>
          <w:szCs w:val="18"/>
          <w:color w:val="auto"/>
        </w:rPr>
      </w:pPr>
    </w:p>
    <w:p>
      <w:pPr>
        <w:ind w:left="960" w:right="240" w:hanging="475"/>
        <w:spacing w:after="0" w:line="275" w:lineRule="auto"/>
        <w:tabs>
          <w:tab w:leader="none" w:pos="9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innovate and make the right investment decisions in our offerings and platform, we may not attract and retain customers, and our revenue and results of operations may decline;</w:t>
      </w:r>
    </w:p>
    <w:p>
      <w:pPr>
        <w:spacing w:after="0" w:line="57" w:lineRule="exact"/>
        <w:rPr>
          <w:rFonts w:ascii="Times New Roman" w:cs="Times New Roman" w:eastAsia="Times New Roman" w:hAnsi="Times New Roman"/>
          <w:sz w:val="18"/>
          <w:szCs w:val="18"/>
          <w:color w:val="auto"/>
        </w:rPr>
      </w:pPr>
    </w:p>
    <w:p>
      <w:pPr>
        <w:ind w:left="960" w:right="460" w:hanging="475"/>
        <w:spacing w:after="0" w:line="275" w:lineRule="auto"/>
        <w:tabs>
          <w:tab w:leader="none" w:pos="9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programmatic advertising is evolving. If this market develops slower or differently than we expect, our business, operating results and financial condition would be adversely affected;</w:t>
      </w:r>
    </w:p>
    <w:p>
      <w:pPr>
        <w:spacing w:after="0" w:line="57" w:lineRule="exact"/>
        <w:rPr>
          <w:rFonts w:ascii="Times New Roman" w:cs="Times New Roman" w:eastAsia="Times New Roman" w:hAnsi="Times New Roman"/>
          <w:sz w:val="18"/>
          <w:szCs w:val="18"/>
          <w:color w:val="auto"/>
        </w:rPr>
      </w:pPr>
    </w:p>
    <w:p>
      <w:pPr>
        <w:ind w:left="960" w:right="420" w:hanging="475"/>
        <w:spacing w:after="0" w:line="305" w:lineRule="auto"/>
        <w:tabs>
          <w:tab w:leader="none" w:pos="95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spacing w:after="0" w:line="34" w:lineRule="exact"/>
        <w:rPr>
          <w:rFonts w:ascii="Times New Roman" w:cs="Times New Roman" w:eastAsia="Times New Roman" w:hAnsi="Times New Roman"/>
          <w:sz w:val="17"/>
          <w:szCs w:val="17"/>
          <w:color w:val="auto"/>
        </w:rPr>
      </w:pPr>
    </w:p>
    <w:p>
      <w:pPr>
        <w:ind w:left="960" w:right="40" w:hanging="475"/>
        <w:spacing w:after="0" w:line="305" w:lineRule="auto"/>
        <w:tabs>
          <w:tab w:leader="none" w:pos="95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34" w:lineRule="exact"/>
        <w:rPr>
          <w:rFonts w:ascii="Times New Roman" w:cs="Times New Roman" w:eastAsia="Times New Roman" w:hAnsi="Times New Roman"/>
          <w:sz w:val="17"/>
          <w:szCs w:val="17"/>
          <w:color w:val="auto"/>
        </w:rPr>
      </w:pPr>
    </w:p>
    <w:p>
      <w:pPr>
        <w:jc w:val="both"/>
        <w:ind w:left="960" w:right="320" w:hanging="475"/>
        <w:spacing w:after="0" w:line="305" w:lineRule="auto"/>
        <w:tabs>
          <w:tab w:leader="none" w:pos="95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macroeconomic conditions and geopolitical events, such as inflation, international trade conflict, high interest rates, and other adverse market events, have had, and could in the future have, an adverse impact on our business, operating results and financial condition;</w:t>
      </w:r>
    </w:p>
    <w:p>
      <w:pPr>
        <w:spacing w:after="0" w:line="34" w:lineRule="exact"/>
        <w:rPr>
          <w:rFonts w:ascii="Times New Roman" w:cs="Times New Roman" w:eastAsia="Times New Roman" w:hAnsi="Times New Roman"/>
          <w:sz w:val="17"/>
          <w:szCs w:val="17"/>
          <w:color w:val="auto"/>
        </w:rPr>
      </w:pPr>
    </w:p>
    <w:p>
      <w:pPr>
        <w:ind w:left="960" w:hanging="475"/>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access to advertising inventory is diminished or fails to grow, our revenue could decline, and our growth could be impeded;</w:t>
      </w:r>
    </w:p>
    <w:p>
      <w:pPr>
        <w:spacing w:after="0" w:line="112" w:lineRule="exact"/>
        <w:rPr>
          <w:rFonts w:ascii="Times New Roman" w:cs="Times New Roman" w:eastAsia="Times New Roman" w:hAnsi="Times New Roman"/>
          <w:sz w:val="18"/>
          <w:szCs w:val="18"/>
          <w:color w:val="auto"/>
        </w:rPr>
      </w:pPr>
    </w:p>
    <w:p>
      <w:pPr>
        <w:ind w:left="960" w:right="180" w:hanging="475"/>
        <w:spacing w:after="0" w:line="275" w:lineRule="auto"/>
        <w:tabs>
          <w:tab w:leader="none" w:pos="9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access to data is diminished, the effectiveness of our platform would be decreased, which could harm our operating results and financial condition;</w:t>
      </w:r>
    </w:p>
    <w:p>
      <w:pPr>
        <w:spacing w:after="0" w:line="57" w:lineRule="exact"/>
        <w:rPr>
          <w:rFonts w:ascii="Times New Roman" w:cs="Times New Roman" w:eastAsia="Times New Roman" w:hAnsi="Times New Roman"/>
          <w:sz w:val="18"/>
          <w:szCs w:val="18"/>
          <w:color w:val="auto"/>
        </w:rPr>
      </w:pPr>
    </w:p>
    <w:p>
      <w:pPr>
        <w:ind w:left="960" w:hanging="475"/>
        <w:spacing w:after="0" w:line="253" w:lineRule="auto"/>
        <w:tabs>
          <w:tab w:leader="none" w:pos="9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obligations related to data privacy, artificial intelligence,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 revenue declines, increases to the cost of data, reductions in the availability of data, reductions to our ability to utilize or disclose data, adverse effects on the demand for our products and services, or other adverse business consequences;</w:t>
      </w:r>
    </w:p>
    <w:p>
      <w:pPr>
        <w:spacing w:after="0" w:line="79" w:lineRule="exact"/>
        <w:rPr>
          <w:rFonts w:ascii="Times New Roman" w:cs="Times New Roman" w:eastAsia="Times New Roman" w:hAnsi="Times New Roman"/>
          <w:sz w:val="18"/>
          <w:szCs w:val="18"/>
          <w:color w:val="auto"/>
        </w:rPr>
      </w:pPr>
    </w:p>
    <w:p>
      <w:pPr>
        <w:ind w:left="960" w:right="300" w:hanging="475"/>
        <w:spacing w:after="0" w:line="261" w:lineRule="auto"/>
        <w:tabs>
          <w:tab w:leader="none" w:pos="9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p>
    <w:p>
      <w:pPr>
        <w:spacing w:after="0" w:line="38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316" w:right="359" w:bottom="1440" w:gutter="0" w:footer="0" w:header="0"/>
        </w:sectPr>
      </w:pPr>
    </w:p>
    <w:bookmarkStart w:id="39" w:name="page40"/>
    <w:bookmarkEnd w:id="39"/>
    <w:p>
      <w:pPr>
        <w:ind w:left="960" w:right="280" w:hanging="475"/>
        <w:spacing w:after="0" w:line="261" w:lineRule="auto"/>
        <w:tabs>
          <w:tab w:leader="none" w:pos="9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breach of or other security incident involving our IT Systems or Confidential Data (each as defined in this Item 1A), or of the security of our or our customers’, suppliers’, or other third parties’ systems or data upon which we rely could be detrimental to our business, reputation and results of operations;</w:t>
      </w:r>
    </w:p>
    <w:p>
      <w:pPr>
        <w:spacing w:after="0" w:line="69" w:lineRule="exact"/>
        <w:rPr>
          <w:rFonts w:ascii="Times New Roman" w:cs="Times New Roman" w:eastAsia="Times New Roman" w:hAnsi="Times New Roman"/>
          <w:sz w:val="18"/>
          <w:szCs w:val="18"/>
          <w:color w:val="auto"/>
        </w:rPr>
      </w:pPr>
    </w:p>
    <w:p>
      <w:pPr>
        <w:ind w:left="960" w:right="100" w:hanging="475"/>
        <w:spacing w:after="0" w:line="261" w:lineRule="auto"/>
        <w:tabs>
          <w:tab w:leader="none" w:pos="9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artificial intelligence technologies may not result in the benefits we anticipate for our business, and may result in a decline in the performance of our products, services and business, as well as our reputation and the reputations of our customers, or cause us to incur liability resulting from the violation of laws or contracts to which we are a party;</w:t>
      </w:r>
    </w:p>
    <w:p>
      <w:pPr>
        <w:spacing w:after="0" w:line="69" w:lineRule="exact"/>
        <w:rPr>
          <w:rFonts w:ascii="Times New Roman" w:cs="Times New Roman" w:eastAsia="Times New Roman" w:hAnsi="Times New Roman"/>
          <w:sz w:val="18"/>
          <w:szCs w:val="18"/>
          <w:color w:val="auto"/>
        </w:rPr>
      </w:pPr>
    </w:p>
    <w:p>
      <w:pPr>
        <w:ind w:left="960" w:right="40" w:hanging="475"/>
        <w:spacing w:after="0" w:line="275" w:lineRule="auto"/>
        <w:tabs>
          <w:tab w:leader="none" w:pos="9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which could enable others to copy or use aspects of our technology without compensating us, thereby eroding our competitive advantages and harming our business;</w:t>
      </w:r>
    </w:p>
    <w:p>
      <w:pPr>
        <w:spacing w:after="0" w:line="57" w:lineRule="exact"/>
        <w:rPr>
          <w:rFonts w:ascii="Times New Roman" w:cs="Times New Roman" w:eastAsia="Times New Roman" w:hAnsi="Times New Roman"/>
          <w:sz w:val="18"/>
          <w:szCs w:val="18"/>
          <w:color w:val="auto"/>
        </w:rPr>
      </w:pPr>
    </w:p>
    <w:p>
      <w:pPr>
        <w:ind w:left="960" w:right="900" w:hanging="475"/>
        <w:spacing w:after="0" w:line="275" w:lineRule="auto"/>
        <w:tabs>
          <w:tab w:leader="none" w:pos="9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common stock has been and may continue to be volatile or may decline regardless of our operating performance;</w:t>
      </w:r>
    </w:p>
    <w:p>
      <w:pPr>
        <w:spacing w:after="0" w:line="57"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a series of risks associated with climate change and environmental, social and governance matters; and</w:t>
      </w:r>
    </w:p>
    <w:p>
      <w:pPr>
        <w:spacing w:after="0" w:line="112" w:lineRule="exact"/>
        <w:rPr>
          <w:rFonts w:ascii="Times New Roman" w:cs="Times New Roman" w:eastAsia="Times New Roman" w:hAnsi="Times New Roman"/>
          <w:sz w:val="18"/>
          <w:szCs w:val="18"/>
          <w:color w:val="auto"/>
        </w:rPr>
      </w:pPr>
    </w:p>
    <w:p>
      <w:pPr>
        <w:ind w:left="960" w:right="80" w:hanging="475"/>
        <w:spacing w:after="0" w:line="275" w:lineRule="auto"/>
        <w:tabs>
          <w:tab w:leader="none" w:pos="9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listing standards of the Nasdaq Global Select Market and, as a result, qualify for, and rely on, exemptions from certain corporate governance requirements.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16"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success and revenue growth are dependent on enhancing and improving our platform and effectively educating and training our customers on how to make full use of our platform.</w:t>
      </w:r>
    </w:p>
    <w:p>
      <w:pPr>
        <w:spacing w:after="0" w:line="53" w:lineRule="exact"/>
        <w:rPr>
          <w:sz w:val="20"/>
          <w:szCs w:val="20"/>
          <w:color w:val="auto"/>
        </w:rPr>
      </w:pPr>
    </w:p>
    <w:p>
      <w:pPr>
        <w:ind w:firstLine="479"/>
        <w:spacing w:after="0" w:line="248" w:lineRule="auto"/>
        <w:rPr>
          <w:sz w:val="20"/>
          <w:szCs w:val="20"/>
          <w:color w:val="auto"/>
        </w:rPr>
      </w:pPr>
      <w:r>
        <w:rPr>
          <w:rFonts w:ascii="Times New Roman" w:cs="Times New Roman" w:eastAsia="Times New Roman" w:hAnsi="Times New Roman"/>
          <w:sz w:val="18"/>
          <w:szCs w:val="18"/>
          <w:color w:val="auto"/>
        </w:rPr>
        <w:t>Our success is dependent on our ability to enhance and improve our offerings and platform, build our brand, scale our technology capabilities, add functionality to and improve the performance of our DSP, and address technological and industry advancements, including the use of AI, to increase our customers’ usage of our platform and add new customers.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return on advertising spend. Accordingly, we must continually work to win new customers and retain existing customers, increase their usage of our platform and capture a larger share of their advertising spend. For those customers utilizing our self-service or AI capabilities, we may not be successful at educating and training customers, particularly our newer customers, on how to use our platform,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 or at all.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of an industry shift away from cookie-based consumer tracking.</w:t>
      </w:r>
    </w:p>
    <w:p>
      <w:pPr>
        <w:spacing w:after="0" w:line="116" w:lineRule="exact"/>
        <w:rPr>
          <w:sz w:val="20"/>
          <w:szCs w:val="20"/>
          <w:color w:val="auto"/>
        </w:rPr>
      </w:pPr>
    </w:p>
    <w:p>
      <w:pPr>
        <w:ind w:right="120" w:firstLine="479"/>
        <w:spacing w:after="0" w:line="253" w:lineRule="auto"/>
        <w:rPr>
          <w:sz w:val="20"/>
          <w:szCs w:val="20"/>
          <w:color w:val="auto"/>
        </w:rPr>
      </w:pPr>
      <w:r>
        <w:rPr>
          <w:rFonts w:ascii="Times New Roman" w:cs="Times New Roman" w:eastAsia="Times New Roman" w:hAnsi="Times New Roman"/>
          <w:sz w:val="18"/>
          <w:szCs w:val="18"/>
          <w:color w:val="auto"/>
        </w:rPr>
        <w:t>We expect to benefit relative to others in our industry from marketers reducing their reliance on vendors and advertising technology platforms that utilize third-party cookies for tracking. However, the shift away from cookie-based consumer tracking may not happen as rapidly as or to the degree that we expect, and our competitors may adapt their services. Additionally, even as this shift occurs,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 which could harm our business.</w:t>
      </w:r>
    </w:p>
    <w:p>
      <w:pPr>
        <w:spacing w:after="0" w:line="181"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and make the right investment decisions in our offerings and platform, we may not attract and retain customers, and our revenue and results of operations may decline.</w:t>
      </w:r>
    </w:p>
    <w:p>
      <w:pPr>
        <w:spacing w:after="0" w:line="53" w:lineRule="exact"/>
        <w:rPr>
          <w:sz w:val="20"/>
          <w:szCs w:val="20"/>
          <w:color w:val="auto"/>
        </w:rPr>
      </w:pPr>
    </w:p>
    <w:p>
      <w:pPr>
        <w:ind w:right="100" w:firstLine="479"/>
        <w:spacing w:after="0" w:line="251" w:lineRule="auto"/>
        <w:rPr>
          <w:sz w:val="20"/>
          <w:szCs w:val="20"/>
          <w:color w:val="auto"/>
        </w:rPr>
      </w:pPr>
      <w:r>
        <w:rPr>
          <w:rFonts w:ascii="Times New Roman" w:cs="Times New Roman" w:eastAsia="Times New Roman" w:hAnsi="Times New Roman"/>
          <w:sz w:val="18"/>
          <w:szCs w:val="18"/>
          <w:color w:val="auto"/>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including those leveraging AI and machine learning, our offerings could become technologically or commercially obsolete over time, in which case our revenue and operating</w:t>
      </w:r>
    </w:p>
    <w:p>
      <w:pPr>
        <w:spacing w:after="0" w:line="39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1" w:right="379" w:bottom="1440" w:gutter="0" w:footer="0" w:header="0"/>
        </w:sectPr>
      </w:pPr>
    </w:p>
    <w:bookmarkStart w:id="40" w:name="page41"/>
    <w:bookmarkEnd w:id="40"/>
    <w:p>
      <w:pPr>
        <w:spacing w:after="0" w:line="251" w:lineRule="auto"/>
        <w:rPr>
          <w:sz w:val="20"/>
          <w:szCs w:val="20"/>
          <w:color w:val="auto"/>
        </w:rPr>
      </w:pPr>
      <w:r>
        <w:rPr>
          <w:rFonts w:ascii="Times New Roman" w:cs="Times New Roman" w:eastAsia="Times New Roman" w:hAnsi="Times New Roman"/>
          <w:sz w:val="18"/>
          <w:szCs w:val="18"/>
          <w:color w:val="auto"/>
        </w:rPr>
        <w:t>results would suffer. In addition, such new products, services or enhancements may create new, or exacerbate existing, technological, security, legal and other challenges, could cause unintended consequences, and may not perform as intended. If new or existing competitors replicate our offerings or have more attractive offerings, we may lose customers or customers may decrease their use of our platform. New customer demands, superior competitive offerings or new industry standards could require us to make unanticipated and costly changes to our platform or business model. In addition, as we develop and introduce new products and services, including those incorporating or utilizing AI and machine learning and new processing of information, they may raise new, or heighten existing, technological, security, legal and other risks and challenges, that may cause unintended consequences and may not function properly or may be misused by our clients.</w:t>
      </w:r>
    </w:p>
    <w:p>
      <w:pPr>
        <w:spacing w:after="0" w:line="80" w:lineRule="exact"/>
        <w:rPr>
          <w:sz w:val="20"/>
          <w:szCs w:val="20"/>
          <w:color w:val="auto"/>
        </w:rPr>
      </w:pPr>
    </w:p>
    <w:p>
      <w:pPr>
        <w:ind w:right="200" w:firstLine="479"/>
        <w:spacing w:after="0" w:line="261" w:lineRule="auto"/>
        <w:rPr>
          <w:sz w:val="20"/>
          <w:szCs w:val="20"/>
          <w:color w:val="auto"/>
        </w:rPr>
      </w:pPr>
      <w:r>
        <w:rPr>
          <w:rFonts w:ascii="Times New Roman" w:cs="Times New Roman" w:eastAsia="Times New Roman" w:hAnsi="Times New Roman"/>
          <w:sz w:val="18"/>
          <w:szCs w:val="18"/>
          <w:color w:val="auto"/>
        </w:rPr>
        <w:t>If we fail to enhance our current products and services or fail to develop new products to adapt to our rapidly changing industry and applicable laws, regulations, and other legal obligations, or to evolving customer needs, demand for our platform could decrease and our business, operating results and financial condition may be adversely affected.</w:t>
      </w:r>
    </w:p>
    <w:p>
      <w:pPr>
        <w:spacing w:after="0" w:line="172"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market for programmatic advertising is evolving. If this market develops slower or differently than we expect, our business, operating results and financial condition would be adversely affected.</w:t>
      </w:r>
    </w:p>
    <w:p>
      <w:pPr>
        <w:spacing w:after="0" w:line="53" w:lineRule="exact"/>
        <w:rPr>
          <w:sz w:val="20"/>
          <w:szCs w:val="20"/>
          <w:color w:val="auto"/>
        </w:rPr>
      </w:pPr>
    </w:p>
    <w:p>
      <w:pPr>
        <w:ind w:right="220" w:firstLine="479"/>
        <w:spacing w:after="0" w:line="252" w:lineRule="auto"/>
        <w:rPr>
          <w:sz w:val="20"/>
          <w:szCs w:val="20"/>
          <w:color w:val="auto"/>
        </w:rPr>
      </w:pPr>
      <w:r>
        <w:rPr>
          <w:rFonts w:ascii="Times New Roman" w:cs="Times New Roman" w:eastAsia="Times New Roman" w:hAnsi="Times New Roman"/>
          <w:sz w:val="18"/>
          <w:szCs w:val="18"/>
          <w:color w:val="auto"/>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ads is relatively established, the market in other channels is still emerging, and our current and potential customers may not shift quickly enough to programmatic ad buying from other buying methods, which could reduce our growth potential. If the market for programmatic ad buying deteriorates or develops more slowly than we expect, it could reduce demand for our platform, and our business, growth prospects and financial condition would be adversely affected.</w:t>
      </w:r>
    </w:p>
    <w:p>
      <w:pPr>
        <w:spacing w:after="0" w:line="79" w:lineRule="exact"/>
        <w:rPr>
          <w:sz w:val="20"/>
          <w:szCs w:val="20"/>
          <w:color w:val="auto"/>
        </w:rPr>
      </w:pPr>
    </w:p>
    <w:p>
      <w:pPr>
        <w:ind w:right="40" w:firstLine="479"/>
        <w:spacing w:after="0" w:line="249" w:lineRule="auto"/>
        <w:rPr>
          <w:sz w:val="20"/>
          <w:szCs w:val="20"/>
          <w:color w:val="auto"/>
        </w:rPr>
      </w:pPr>
      <w:r>
        <w:rPr>
          <w:rFonts w:ascii="Times New Roman" w:cs="Times New Roman" w:eastAsia="Times New Roman" w:hAnsi="Times New Roman"/>
          <w:sz w:val="18"/>
          <w:szCs w:val="18"/>
          <w:color w:val="auto"/>
        </w:rPr>
        <w:t>In particular, the market for programmatic advertising across most advertising channels, including CTV, streaming audio, digital out-of-home, mobile and desktop is an emerging market. Our ability to provide capabilities across most advertising channels, which we refer to as omnichannel, may be constrained if we are not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the growth in demand for our CTV offering may not continue. Furthermore, if our channel mix changes due to a shift in customer demand, such as customers shifting their usage more quickly or more extensively than expected to channels in which we have relatively less functionality, features or inventory, then demand for our platform could decrease, and our business, financial condition and results of operations could be adversely affected. In addition, our revenue may not necessarily grow at the same rate as spend on our platform. As the market for programmatic buying for advertising matures, growth in spend may outpace growth in our revenue due to a number of factors, including pricing competition, volume discounts and shifts in media, client and channel mix, and the composition of offerings provided to our clients. A significant change in revenue as a percentage of spend could reflect an adverse change in our business and growth prospects. In addition, any such fluctuations, even if they reflect our strategic decisions, could cause our performance to fall below the expectations of securities analysts and investors, and adversely affect the price of our Class A common stock.</w:t>
      </w:r>
    </w:p>
    <w:p>
      <w:pPr>
        <w:spacing w:after="0" w:line="18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spacing w:after="0" w:line="53"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A significant amount of our revenue comes from advertising agencies. Many of these agencies are owned by advertising agency holding companies, where decision-making is generally highly decentralized such that purchasing decisions are made, and relationships with marketers are located, at the agency, local branch or division level. Due to the highly decentralized operations and decision-making at the agencies owned by each of these advertising agency holding companies, we consider the individual agencies rather than the holding company to be our customers.</w:t>
      </w:r>
    </w:p>
    <w:p>
      <w:pPr>
        <w:spacing w:after="0" w:line="74"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Often, we enter into separate contracts and billing relationships with the individual agencies and account for them as separate customers. However, some holding companies for these agencies may choose to exert control over the individual agencies in the future. A holding company may be acquired by, or consolidate with, another holding company that does not utilize our platform, or may otherwise reduce overall spend on our platform as a result of an acquisition or consolidation. If so, any consolidation of, or loss of relationships with such holding companies and, consequently, of their agencies, local branches or divisions, as customers could significantly harm our business, operating results and financial condition.</w:t>
      </w:r>
    </w:p>
    <w:p>
      <w:pPr>
        <w:spacing w:after="0" w:line="79" w:lineRule="exact"/>
        <w:rPr>
          <w:sz w:val="20"/>
          <w:szCs w:val="20"/>
          <w:color w:val="auto"/>
        </w:rPr>
      </w:pPr>
    </w:p>
    <w:p>
      <w:pPr>
        <w:ind w:right="120" w:firstLine="479"/>
        <w:spacing w:after="0" w:line="256" w:lineRule="auto"/>
        <w:rPr>
          <w:sz w:val="20"/>
          <w:szCs w:val="20"/>
          <w:color w:val="auto"/>
        </w:rPr>
      </w:pPr>
      <w:r>
        <w:rPr>
          <w:rFonts w:ascii="Times New Roman" w:cs="Times New Roman" w:eastAsia="Times New Roman" w:hAnsi="Times New Roman"/>
          <w:sz w:val="18"/>
          <w:szCs w:val="18"/>
          <w:color w:val="auto"/>
        </w:rPr>
        <w:t>We do not have exclusive relationships with advertising agencies, and we depend on agencies to work with us as they embark on advertising campaigns for their clients. The loss of such agencies could significantly harm our business, operating results and financial condition. If we fail to maintain satisfactory relationships with an advertising agency or an advertising agency otherwise chooses not to do business with us, we risk losing business from the marketers represented by that agency.</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41" w:name="page42"/>
    <w:bookmarkEnd w:id="41"/>
    <w:p>
      <w:pPr>
        <w:ind w:right="20" w:firstLine="479"/>
        <w:spacing w:after="0" w:line="252" w:lineRule="auto"/>
        <w:rPr>
          <w:sz w:val="20"/>
          <w:szCs w:val="20"/>
          <w:color w:val="auto"/>
        </w:rPr>
      </w:pPr>
      <w:r>
        <w:rPr>
          <w:rFonts w:ascii="Times New Roman" w:cs="Times New Roman" w:eastAsia="Times New Roman" w:hAnsi="Times New Roman"/>
          <w:sz w:val="18"/>
          <w:szCs w:val="18"/>
          <w:color w:val="auto"/>
        </w:rPr>
        <w:t>Marketers may change advertising agencies. If a marketer switches from an agency that utilizes our platform to one that does not, we could lose revenue from that marketer. In addition, some advertising agencies have strong relationships with competing DSPs or other platforms and may direct their marketers to such other platforms. We are primarily focused on the U.S. market, while competing DSPs may be focused on international markets. Advertising agencies who seek both domestic and international services, or otherwise limit the number or types of DSPs used, may choose to consolidate with competing DSPs. If a significant number of marketers and their agencies begin to utilize competing platforms for the administration of their advertising campaigns, our business, financial condition and results of operations could be adversely affected.</w:t>
      </w:r>
    </w:p>
    <w:p>
      <w:pPr>
        <w:spacing w:after="0" w:line="181"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53" w:lineRule="exact"/>
        <w:rPr>
          <w:sz w:val="20"/>
          <w:szCs w:val="20"/>
          <w:color w:val="auto"/>
        </w:rPr>
      </w:pPr>
    </w:p>
    <w:p>
      <w:pPr>
        <w:ind w:firstLine="479"/>
        <w:spacing w:after="0" w:line="250" w:lineRule="auto"/>
        <w:rPr>
          <w:sz w:val="20"/>
          <w:szCs w:val="20"/>
          <w:color w:val="auto"/>
        </w:rPr>
      </w:pPr>
      <w:r>
        <w:rPr>
          <w:rFonts w:ascii="Times New Roman" w:cs="Times New Roman" w:eastAsia="Times New Roman" w:hAnsi="Times New Roman"/>
          <w:sz w:val="18"/>
          <w:szCs w:val="18"/>
          <w:color w:val="auto"/>
        </w:rPr>
        <w:t>Our sales cycle, from initial contact to contract execution and implementation, can take significant time. As part of our sales cycle, we may incur significant expenses before we generate any revenue from a prospective customer. The substantial time and money spent on our sales efforts may not generate significant revenue. If conditions in the marketplace, generally or with a specific prospective customer, change negatively, it is possible that we will be unable to recover any of these expenses. Our sales efforts involve educating our customers about the use, technical capabilities and benefits of our platform. Many of our prospective customers undertake a lengthy evaluation process that involves assessing our platform against the offerings of our competitors. As a result, it is difficult to predict when or if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spacing w:after="0" w:line="18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effects of macroeconomic conditions and geopolitical events, such as inflation, new or increased tariffs, high interest rates and other adverse market events have had, and could in the future have, an adverse impact on our business, operating results and financial condition.</w:t>
      </w:r>
    </w:p>
    <w:p>
      <w:pPr>
        <w:spacing w:after="0" w:line="53"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Our business and operations have been and could in the future be adversely affected by macroeconomic conditions and geopolitical events, such as bank failures, high interest rates, inflationary pressures, new or increased tariffs, labor shortages, shortages of goods and services, supply chain constraints, pandemics, political election cycles, changes in laws and interpretations of laws, and potential disruptions from international conflicts and acts of terrorism. A recession, depression, or other economic slowdown resulting from macroeconomic conditions and geopolitical events could materially and adversely affect our business and that of our customers or potential customers and our results could fluctuate unpredictably.</w:t>
      </w:r>
    </w:p>
    <w:p>
      <w:pPr>
        <w:spacing w:after="0" w:line="79" w:lineRule="exact"/>
        <w:rPr>
          <w:sz w:val="20"/>
          <w:szCs w:val="20"/>
          <w:color w:val="auto"/>
        </w:rPr>
      </w:pPr>
    </w:p>
    <w:p>
      <w:pPr>
        <w:ind w:right="60" w:firstLine="479"/>
        <w:spacing w:after="0" w:line="264" w:lineRule="auto"/>
        <w:rPr>
          <w:sz w:val="20"/>
          <w:szCs w:val="20"/>
          <w:color w:val="auto"/>
        </w:rPr>
      </w:pPr>
      <w:r>
        <w:rPr>
          <w:rFonts w:ascii="Times New Roman" w:cs="Times New Roman" w:eastAsia="Times New Roman" w:hAnsi="Times New Roman"/>
          <w:sz w:val="17"/>
          <w:szCs w:val="17"/>
          <w:color w:val="auto"/>
        </w:rPr>
        <w:t>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Our customers’ and potential customers’ businesses or cash flows have recently been and may continue to be negatively impacted by the economic uncertainty related to, among other things, pandemics, bank failures, inflation and monetary supply shifts, labor shortages, supply disruptions, new or increased tariffs, tightening of credit markets, political election cycles, changes in laws and interpretations of laws, changes in the volume and relative mix of U.S. government spending, cost-cutting and efficiency initiatives, and potential disruptions from international conflicts and acts of terrorism,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have in the past and may in the future be adversely impacted if the business or financial condition of our customers and marketers is negatively affected by macroeconomic conditions and geopolitical events.</w:t>
      </w:r>
    </w:p>
    <w:p>
      <w:pPr>
        <w:spacing w:after="0" w:line="77" w:lineRule="exact"/>
        <w:rPr>
          <w:sz w:val="20"/>
          <w:szCs w:val="20"/>
          <w:color w:val="auto"/>
        </w:rPr>
      </w:pPr>
    </w:p>
    <w:p>
      <w:pPr>
        <w:ind w:right="140" w:firstLine="479"/>
        <w:spacing w:after="0" w:line="256" w:lineRule="auto"/>
        <w:rPr>
          <w:sz w:val="20"/>
          <w:szCs w:val="20"/>
          <w:color w:val="auto"/>
        </w:rPr>
      </w:pPr>
      <w:r>
        <w:rPr>
          <w:rFonts w:ascii="Times New Roman" w:cs="Times New Roman" w:eastAsia="Times New Roman" w:hAnsi="Times New Roman"/>
          <w:sz w:val="18"/>
          <w:szCs w:val="18"/>
          <w:color w:val="auto"/>
        </w:rPr>
        <w:t>Economic uncertainty caused by macroeconomic and geopolitical conditions can also make it more difficult to forecast revenue and operating results and to make decisions regarding operational cost structures and investments. We have committed, and we plan to continue to commit, resources to grow our business, including to further develop our platform and systems, and such investments may be impacted by adverse macroeconomic conditions and geopolitical events.</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42" w:name="page43"/>
    <w:bookmarkEnd w:id="42"/>
    <w:p>
      <w:pPr>
        <w:ind w:right="1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Customers have the option to use our platform on a self-service basis, which requires us to commit substantial time and expenses toward training potential customers on how to make full use of our platform. If we fail to offer sufficient customer training and support for our platform, we may not be able to attract new customers or maintain our current customers.</w:t>
      </w:r>
    </w:p>
    <w:p>
      <w:pPr>
        <w:spacing w:after="0" w:line="68" w:lineRule="exact"/>
        <w:rPr>
          <w:sz w:val="20"/>
          <w:szCs w:val="20"/>
          <w:color w:val="auto"/>
        </w:rPr>
      </w:pPr>
    </w:p>
    <w:p>
      <w:pPr>
        <w:ind w:right="60" w:firstLine="479"/>
        <w:spacing w:after="0" w:line="270" w:lineRule="auto"/>
        <w:rPr>
          <w:sz w:val="20"/>
          <w:szCs w:val="20"/>
          <w:color w:val="auto"/>
        </w:rPr>
      </w:pPr>
      <w:r>
        <w:rPr>
          <w:rFonts w:ascii="Times New Roman" w:cs="Times New Roman" w:eastAsia="Times New Roman" w:hAnsi="Times New Roman"/>
          <w:sz w:val="17"/>
          <w:szCs w:val="17"/>
          <w:color w:val="auto"/>
        </w:rPr>
        <w:t>Because we operate a platform that has many powerful and complex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spacing w:after="0" w:line="63" w:lineRule="exact"/>
        <w:rPr>
          <w:sz w:val="20"/>
          <w:szCs w:val="20"/>
          <w:color w:val="auto"/>
        </w:rPr>
      </w:pPr>
    </w:p>
    <w:p>
      <w:pPr>
        <w:ind w:right="160" w:firstLine="479"/>
        <w:spacing w:after="0" w:line="253" w:lineRule="auto"/>
        <w:rPr>
          <w:sz w:val="20"/>
          <w:szCs w:val="20"/>
          <w:color w:val="auto"/>
        </w:rPr>
      </w:pPr>
      <w:r>
        <w:rPr>
          <w:rFonts w:ascii="Times New Roman" w:cs="Times New Roman" w:eastAsia="Times New Roman" w:hAnsi="Times New Roman"/>
          <w:sz w:val="18"/>
          <w:szCs w:val="18"/>
          <w:color w:val="auto"/>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 customers’ advertising campaigns, our ability to retain our existing customers could suffer and our reputation with existing or potential customers could be harmed, which would negatively impact our business.</w:t>
      </w:r>
    </w:p>
    <w:p>
      <w:pPr>
        <w:spacing w:after="0" w:line="181"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and if our customers do not pay or dispute their invoices, our business, operating results and financial condition may be adversely affected.</w:t>
      </w:r>
    </w:p>
    <w:p>
      <w:pPr>
        <w:spacing w:after="0" w:line="53" w:lineRule="exact"/>
        <w:rPr>
          <w:sz w:val="20"/>
          <w:szCs w:val="20"/>
          <w:color w:val="auto"/>
        </w:rPr>
      </w:pPr>
    </w:p>
    <w:p>
      <w:pPr>
        <w:ind w:right="20" w:firstLine="479"/>
        <w:spacing w:after="0" w:line="250" w:lineRule="auto"/>
        <w:rPr>
          <w:sz w:val="20"/>
          <w:szCs w:val="20"/>
          <w:color w:val="auto"/>
        </w:rPr>
      </w:pPr>
      <w:r>
        <w:rPr>
          <w:rFonts w:ascii="Times New Roman" w:cs="Times New Roman" w:eastAsia="Times New Roman" w:hAnsi="Times New Roman"/>
          <w:sz w:val="18"/>
          <w:szCs w:val="18"/>
          <w:color w:val="auto"/>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and credit risk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spacing w:after="0" w:line="83"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spacing w:after="0" w:line="74" w:lineRule="exact"/>
        <w:rPr>
          <w:sz w:val="20"/>
          <w:szCs w:val="20"/>
          <w:color w:val="auto"/>
        </w:rPr>
      </w:pPr>
    </w:p>
    <w:p>
      <w:pPr>
        <w:ind w:right="20" w:firstLine="479"/>
        <w:spacing w:after="0" w:line="251" w:lineRule="auto"/>
        <w:rPr>
          <w:sz w:val="20"/>
          <w:szCs w:val="20"/>
          <w:color w:val="auto"/>
        </w:rPr>
      </w:pPr>
      <w:r>
        <w:rPr>
          <w:rFonts w:ascii="Times New Roman" w:cs="Times New Roman" w:eastAsia="Times New Roman" w:hAnsi="Times New Roman"/>
          <w:sz w:val="18"/>
          <w:szCs w:val="18"/>
          <w:color w:val="auto"/>
        </w:rPr>
        <w:t>Due to this potential imbalance in our collections and payments, we may rely on our credit facility to partially or completely fund our working capital requirements or other needs. As we continue to grow, our business may not generate sufficient cash flow from operations and future borrowings may not be available to us under the credit facility in an amount sufficient to fund our working capital requirements or other needs. If our cash flows and credit facility borrowings are insufficient to fund our working capital requirements or other needs, we may not be able to grow at the rate we currently expect or at all. In addition, in the absence of sufficient cash flows from operations, we might be unable to meet our obligations under our credit facility and we may be at risk of default thereunder. We may not be able to access additional financing or increase our borrowing or borrowing capacity under our current or any future credit facility on commercially reasonable terms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access to advertising inventory is diminished or fails to grow, our revenue could decline, and our growth could be impeded.</w:t>
      </w:r>
    </w:p>
    <w:p>
      <w:pPr>
        <w:spacing w:after="0" w:line="116" w:lineRule="exact"/>
        <w:rPr>
          <w:sz w:val="20"/>
          <w:szCs w:val="20"/>
          <w:color w:val="auto"/>
        </w:rPr>
      </w:pPr>
    </w:p>
    <w:p>
      <w:pPr>
        <w:ind w:firstLine="479"/>
        <w:spacing w:after="0" w:line="249" w:lineRule="auto"/>
        <w:rPr>
          <w:sz w:val="20"/>
          <w:szCs w:val="20"/>
          <w:color w:val="auto"/>
        </w:rPr>
      </w:pPr>
      <w:r>
        <w:rPr>
          <w:rFonts w:ascii="Times New Roman" w:cs="Times New Roman" w:eastAsia="Times New Roman" w:hAnsi="Times New Roman"/>
          <w:sz w:val="18"/>
          <w:szCs w:val="18"/>
          <w:color w:val="auto"/>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We may not have access to a consistent supply of inventory on favorable terms or at all. In addition, we compete with companies with which we have business relationships. For example, Google is an advertising inventory supplier in addition to being one of our competitors. If Google or any other company with attractive advertising inventory limits our access to its advertising inventory, our business could be adversely affected. If our relationships with certain of our suppliers were to cease, or if the material terms of these relationships were to change unfavorably, our business would be negatively impacted.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 or seek to sell inventory directly to a marketer or advertising agency instead of, or in addition to, a DSP.</w:t>
      </w:r>
    </w:p>
    <w:p>
      <w:pPr>
        <w:spacing w:after="0" w:line="200" w:lineRule="exact"/>
        <w:rPr>
          <w:sz w:val="20"/>
          <w:szCs w:val="20"/>
          <w:color w:val="auto"/>
        </w:rPr>
      </w:pPr>
    </w:p>
    <w:p>
      <w:pPr>
        <w:spacing w:after="0" w:line="20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43" w:name="page44"/>
    <w:bookmarkEnd w:id="43"/>
    <w:p>
      <w:pPr>
        <w:ind w:right="120"/>
        <w:spacing w:after="0" w:line="275" w:lineRule="auto"/>
        <w:rPr>
          <w:sz w:val="20"/>
          <w:szCs w:val="20"/>
          <w:color w:val="auto"/>
        </w:rPr>
      </w:pPr>
      <w:r>
        <w:rPr>
          <w:rFonts w:ascii="Times New Roman" w:cs="Times New Roman" w:eastAsia="Times New Roman" w:hAnsi="Times New Roman"/>
          <w:sz w:val="18"/>
          <w:szCs w:val="18"/>
          <w:color w:val="auto"/>
        </w:rPr>
        <w:t>Furthermore, the inventory that we access through real-time advertising exchanges may be of low quality or misrepresented to us, despite attempts by us and our suppliers to prevent fraud and conduct quality assurance checks.</w:t>
      </w:r>
    </w:p>
    <w:p>
      <w:pPr>
        <w:spacing w:after="0" w:line="58"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8"/>
          <w:szCs w:val="18"/>
          <w:color w:val="auto"/>
        </w:rPr>
        <w:t>As new types of inventory, such as digital advertising for television, become more readily available, we will need to expend significant resources to ensure we have access to such new inventory. Although television advertising is a large market, only a relatively small percentage of it is currently purchased programmatically. We are investing heavily in our programmatic television offering, including by adding new features, functions and integrations to our platform. If the digital television advertising market does not grow as we anticipate or we fail to successfully serve such a market, our growth prospects could be harmed.</w:t>
      </w:r>
    </w:p>
    <w:p>
      <w:pPr>
        <w:spacing w:after="0" w:line="79" w:lineRule="exact"/>
        <w:rPr>
          <w:sz w:val="20"/>
          <w:szCs w:val="20"/>
          <w:color w:val="auto"/>
        </w:rPr>
      </w:pPr>
    </w:p>
    <w:p>
      <w:pPr>
        <w:ind w:right="140" w:firstLine="479"/>
        <w:spacing w:after="0" w:line="275" w:lineRule="auto"/>
        <w:rPr>
          <w:sz w:val="20"/>
          <w:szCs w:val="20"/>
          <w:color w:val="auto"/>
        </w:rPr>
      </w:pPr>
      <w:r>
        <w:rPr>
          <w:rFonts w:ascii="Times New Roman" w:cs="Times New Roman" w:eastAsia="Times New Roman" w:hAnsi="Times New Roman"/>
          <w:sz w:val="18"/>
          <w:szCs w:val="18"/>
          <w:color w:val="auto"/>
        </w:rPr>
        <w:t>Our success depends on consistently adding valued inventory in a cost-effective manner. If we are unable to maintain a consistent supply of inventory for any reason, customer retention, loyalty and operating results and financial condition could be harmed.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access to data is diminished, the effectiveness of our platform would be decreased, which could harm our operating results and financial condition.</w:t>
      </w:r>
    </w:p>
    <w:p>
      <w:pPr>
        <w:spacing w:after="0" w:line="128"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8"/>
          <w:szCs w:val="18"/>
          <w:color w:val="auto"/>
        </w:rPr>
        <w:t>Much of the data that we use is obtained through integrations with third parties. We are dependent upon our ability to obtain necessary data licenses on commercially reasonable terms. We could suffer material adverse consequences if we were unable to obtain data through our integrations with third parties, including inventory and data suppliers. Our ability to serve particular customers is also enhanced when such customers upload their own first-party data. Our operation of our platform and access to data could be negatively affected if, due to legal, contractual, privacy, reputational, market optics, competition or other economic concerns, third parties cease entering into integration agreements with us or customers cease uploading their data to our platform. Additionally, if our third-party partners, including inventory or data suppliers, fail to adhere to our data quality and privacy standards, we may scale back or terminate relationships with such companies.</w:t>
      </w:r>
    </w:p>
    <w:p>
      <w:pPr>
        <w:spacing w:after="0" w:line="80" w:lineRule="exact"/>
        <w:rPr>
          <w:sz w:val="20"/>
          <w:szCs w:val="20"/>
          <w:color w:val="auto"/>
        </w:rPr>
      </w:pPr>
    </w:p>
    <w:p>
      <w:pPr>
        <w:ind w:right="20" w:firstLine="479"/>
        <w:spacing w:after="0" w:line="251" w:lineRule="auto"/>
        <w:rPr>
          <w:sz w:val="20"/>
          <w:szCs w:val="20"/>
          <w:color w:val="auto"/>
        </w:rPr>
      </w:pPr>
      <w:r>
        <w:rPr>
          <w:rFonts w:ascii="Times New Roman" w:cs="Times New Roman" w:eastAsia="Times New Roman" w:hAnsi="Times New Roman"/>
          <w:sz w:val="18"/>
          <w:szCs w:val="18"/>
          <w:color w:val="auto"/>
        </w:rPr>
        <w:t>Legislators, regulators, and other authorities have focused heavily on third-party data suppliers and the advertising industry in recent years, and we expect this to continue. State Privacy Laws and other U.S. and foreign laws governing Personal Information and privacy pose additional and material compliance risks to such suppliers and companies operating in the advertising industry. In addition, state lawmakers continue to update or enact new laws governing activities of data brokers. For example, in California, lawmakers have introduced requirements to honor requests submitted through a universal deletion mechanism that the state would develop and materially increase penalties for non-compliance. We and our suppliers may face compliance risks under these laws and limitations on our ability to use certain data, including data provided by our third-party suppliers, which could impact our business and diminish our revenue.</w:t>
      </w:r>
    </w:p>
    <w:p>
      <w:pPr>
        <w:spacing w:after="0" w:line="80" w:lineRule="exact"/>
        <w:rPr>
          <w:sz w:val="20"/>
          <w:szCs w:val="20"/>
          <w:color w:val="auto"/>
        </w:rPr>
      </w:pPr>
    </w:p>
    <w:p>
      <w:pPr>
        <w:ind w:right="20" w:firstLine="479"/>
        <w:spacing w:after="0" w:line="248" w:lineRule="auto"/>
        <w:rPr>
          <w:sz w:val="20"/>
          <w:szCs w:val="20"/>
          <w:color w:val="auto"/>
        </w:rPr>
      </w:pPr>
      <w:r>
        <w:rPr>
          <w:rFonts w:ascii="Times New Roman" w:cs="Times New Roman" w:eastAsia="Times New Roman" w:hAnsi="Times New Roman"/>
          <w:sz w:val="18"/>
          <w:szCs w:val="18"/>
          <w:color w:val="auto"/>
        </w:rPr>
        <w:t>Furthermore, digital advertising and in-app advertising are largely dependent on established technology companies and their operation of the most commonly used internet browsers (Chrome, Firefox, Internet Explorer and Safari), devices, operating systems (such as Android and iOS) and applications.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For example, Apple introduced an iOS update in April 2021 that only allows tracking of user activity after an opt-in by users, and in October 2021, Google introduced similar changes that provided users with the ability to opt-out of tracking across devices using the Android operating system. Individuals may increasingly resist or turn off the collection, use, and sharing of Personal Information to deliver targeted advertising. Individuals are increasingly becoming aware of options related to consent, browser-based signals including the “Global Privacy Control,” a browser setting that notifies websites of a user's privacy preferences, and other “ad-blocking” software, any of which could materially impact our and our data supplier’s ability to collect, use and disclose Personal Information.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 Please see “</w:t>
      </w:r>
      <w:r>
        <w:rPr>
          <w:rFonts w:ascii="Times New Roman" w:cs="Times New Roman" w:eastAsia="Times New Roman" w:hAnsi="Times New Roman"/>
          <w:sz w:val="18"/>
          <w:szCs w:val="18"/>
          <w:i w:val="1"/>
          <w:iCs w:val="1"/>
          <w:color w:val="auto"/>
        </w:rPr>
        <w:t>—Risks Related to Data Privacy and Artificial Intelligence</w:t>
      </w:r>
      <w:r>
        <w:rPr>
          <w:rFonts w:ascii="Times New Roman" w:cs="Times New Roman" w:eastAsia="Times New Roman" w:hAnsi="Times New Roman"/>
          <w:sz w:val="18"/>
          <w:szCs w:val="18"/>
          <w:color w:val="auto"/>
        </w:rPr>
        <w:t>” for additional discussion of the laws and regulations governing the collection of data to which we are or may become subject and about the risks to our business associated with such laws and regulations.</w:t>
      </w:r>
    </w:p>
    <w:p>
      <w:pPr>
        <w:spacing w:after="0" w:line="88" w:lineRule="exact"/>
        <w:rPr>
          <w:sz w:val="20"/>
          <w:szCs w:val="20"/>
          <w:color w:val="auto"/>
        </w:rPr>
      </w:pPr>
    </w:p>
    <w:p>
      <w:pPr>
        <w:jc w:val="both"/>
        <w:ind w:right="340" w:firstLine="479"/>
        <w:spacing w:after="0" w:line="261" w:lineRule="auto"/>
        <w:rPr>
          <w:sz w:val="20"/>
          <w:szCs w:val="20"/>
          <w:color w:val="auto"/>
        </w:rPr>
      </w:pPr>
      <w:r>
        <w:rPr>
          <w:rFonts w:ascii="Times New Roman" w:cs="Times New Roman" w:eastAsia="Times New Roman" w:hAnsi="Times New Roman"/>
          <w:sz w:val="18"/>
          <w:szCs w:val="18"/>
          <w:color w:val="auto"/>
        </w:rPr>
        <w:t>If we were to lose access to significant amounts of the data or the compliance obligations for our suppliers or us become too onerous, our ability to provide products and services to our customers could be materially and adversely impacted, which could be materially adverse to our business, operating results and financial condition.</w:t>
      </w:r>
    </w:p>
    <w:p>
      <w:pPr>
        <w:spacing w:after="0" w:line="172" w:lineRule="exact"/>
        <w:rPr>
          <w:sz w:val="20"/>
          <w:szCs w:val="20"/>
          <w:color w:val="auto"/>
        </w:rPr>
      </w:pPr>
    </w:p>
    <w:p>
      <w:pPr>
        <w:jc w:val="both"/>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grow and train our sales and support teams, we may be unable to add new customers or increase usage of our platform by our existing customers and our business will be adversely affected.</w:t>
      </w:r>
    </w:p>
    <w:p>
      <w:pPr>
        <w:spacing w:after="0" w:line="53" w:lineRule="exact"/>
        <w:rPr>
          <w:sz w:val="20"/>
          <w:szCs w:val="20"/>
          <w:color w:val="auto"/>
        </w:rPr>
      </w:pPr>
    </w:p>
    <w:p>
      <w:pPr>
        <w:ind w:right="760" w:firstLine="479"/>
        <w:spacing w:after="0" w:line="275" w:lineRule="auto"/>
        <w:rPr>
          <w:sz w:val="20"/>
          <w:szCs w:val="20"/>
          <w:color w:val="auto"/>
        </w:rPr>
      </w:pPr>
      <w:r>
        <w:rPr>
          <w:rFonts w:ascii="Times New Roman" w:cs="Times New Roman" w:eastAsia="Times New Roman" w:hAnsi="Times New Roman"/>
          <w:sz w:val="18"/>
          <w:szCs w:val="18"/>
          <w:color w:val="auto"/>
        </w:rPr>
        <w:t>We are substantially dependent on our sales and support teams to obtain new customers and to increase usage of our platform by our existing customers. We believe that there is significant competition for sales personnel with the skills and technical knowledge</w:t>
      </w: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4" w:name="page45"/>
    <w:bookmarkEnd w:id="44"/>
    <w:p>
      <w:pPr>
        <w:ind w:right="20"/>
        <w:spacing w:after="0" w:line="252" w:lineRule="auto"/>
        <w:rPr>
          <w:sz w:val="20"/>
          <w:szCs w:val="20"/>
          <w:color w:val="auto"/>
        </w:rPr>
      </w:pPr>
      <w:r>
        <w:rPr>
          <w:rFonts w:ascii="Times New Roman" w:cs="Times New Roman" w:eastAsia="Times New Roman" w:hAnsi="Times New Roman"/>
          <w:sz w:val="18"/>
          <w:szCs w:val="18"/>
          <w:color w:val="auto"/>
        </w:rPr>
        <w:t>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spacing w:after="0" w:line="181"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are unable to maintain it, whether as a result of corporate growth or reduction in force, our business, operating results and financial condition could be harmed.</w:t>
      </w:r>
    </w:p>
    <w:p>
      <w:pPr>
        <w:spacing w:after="0" w:line="53" w:lineRule="exact"/>
        <w:rPr>
          <w:sz w:val="20"/>
          <w:szCs w:val="20"/>
          <w:color w:val="auto"/>
        </w:rPr>
      </w:pPr>
    </w:p>
    <w:p>
      <w:pPr>
        <w:jc w:val="both"/>
        <w:ind w:right="100" w:firstLine="479"/>
        <w:spacing w:after="0" w:line="270" w:lineRule="auto"/>
        <w:rPr>
          <w:sz w:val="20"/>
          <w:szCs w:val="20"/>
          <w:color w:val="auto"/>
        </w:rPr>
      </w:pPr>
      <w:r>
        <w:rPr>
          <w:rFonts w:ascii="Times New Roman" w:cs="Times New Roman" w:eastAsia="Times New Roman" w:hAnsi="Times New Roman"/>
          <w:sz w:val="17"/>
          <w:szCs w:val="17"/>
          <w:color w:val="auto"/>
        </w:rPr>
        <w:t>We had approximately 383 employees as of March 31, 2025. We believe our corporate culture has been critical to our success and we have invested substantial time and resources in building our team within our company culture. However, it may be difficult to maintain our culture, whether as a result of corporate growth or reduction in force, which could reduce our ability to innovate and operate effectively and proactively focus on and pursue our corporate objectives. The failure to maintain the key aspects of our culture could 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our business, operating results and financial condition could be harmed.</w:t>
      </w:r>
    </w:p>
    <w:p>
      <w:pPr>
        <w:spacing w:after="0" w:line="16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allow our customers and suppliers to utilize application programming interfaces ("APIs") with our platform, which could result in outages or security breaches and negatively impact our business, operating results and financial condition.</w:t>
      </w:r>
    </w:p>
    <w:p>
      <w:pPr>
        <w:spacing w:after="0" w:line="53" w:lineRule="exact"/>
        <w:rPr>
          <w:sz w:val="20"/>
          <w:szCs w:val="20"/>
          <w:color w:val="auto"/>
        </w:rPr>
      </w:pPr>
    </w:p>
    <w:p>
      <w:pPr>
        <w:ind w:right="80" w:firstLine="479"/>
        <w:spacing w:after="0" w:line="265" w:lineRule="auto"/>
        <w:rPr>
          <w:sz w:val="20"/>
          <w:szCs w:val="20"/>
          <w:color w:val="auto"/>
        </w:rPr>
      </w:pPr>
      <w:r>
        <w:rPr>
          <w:rFonts w:ascii="Times New Roman" w:cs="Times New Roman" w:eastAsia="Times New Roman" w:hAnsi="Times New Roman"/>
          <w:sz w:val="17"/>
          <w:szCs w:val="17"/>
          <w:color w:val="auto"/>
        </w:rPr>
        <w:t>The use of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cyber-attacks (including denial-of-service attacks), malicious internet-based activity online and offline fraud, and other similar activities threaten the confidentiality, integrity, and availability of our platform (for more information on risks related to cyber incidents, see “</w:t>
      </w:r>
      <w:r>
        <w:rPr>
          <w:rFonts w:ascii="Times New Roman" w:cs="Times New Roman" w:eastAsia="Times New Roman" w:hAnsi="Times New Roman"/>
          <w:sz w:val="17"/>
          <w:szCs w:val="17"/>
          <w:i w:val="1"/>
          <w:iCs w:val="1"/>
          <w:color w:val="auto"/>
        </w:rPr>
        <w:t>—A significant breach of our IT Systems or disclosure of our Confidential Data, or of the security of our or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customers’, suppliers’, or other third parties’ systems upon which we rely could be detrimental to our business, reputation and results of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Furthermore, while APIs allow customers and suppliers greater ease and power in accessing our platform, they also increase the risk of overusing our systems, potentially causing outages. We have experienced system slowdowns due to customer or supplier overuse of our systems through our APIs. While we have taken measures intended to decrease risks relating to security, performance and outages associated with the use of APIs, such measures may not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spacing w:after="0" w:line="171"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Operational and performance issues with our platform, whether actual or perceived, including a failure to respond to technological changes or to upgrade our technology systems, may adversely affect our business, operating results and financial condition.</w:t>
      </w:r>
    </w:p>
    <w:p>
      <w:pPr>
        <w:spacing w:after="0" w:line="53" w:lineRule="exact"/>
        <w:rPr>
          <w:sz w:val="20"/>
          <w:szCs w:val="20"/>
          <w:color w:val="auto"/>
        </w:rPr>
      </w:pPr>
    </w:p>
    <w:p>
      <w:pPr>
        <w:ind w:right="200" w:firstLine="479"/>
        <w:spacing w:after="0" w:line="256" w:lineRule="auto"/>
        <w:rPr>
          <w:sz w:val="20"/>
          <w:szCs w:val="20"/>
          <w:color w:val="auto"/>
        </w:rPr>
      </w:pPr>
      <w:r>
        <w:rPr>
          <w:rFonts w:ascii="Times New Roman" w:cs="Times New Roman" w:eastAsia="Times New Roman" w:hAnsi="Times New Roman"/>
          <w:sz w:val="18"/>
          <w:szCs w:val="18"/>
          <w:color w:val="auto"/>
        </w:rPr>
        <w:t>We depend upon the sustained and uninterrupted performance of our platform to manage our inventory supply; acquire inventory for each campaign; collect, process and interpret data; bid on inventory; optimize campaign performance in real time; generate campaign reporting; and provide billing information to our financial systems. If our platform cannot scale to meet demand, if there are errors in our execution of any of these functions on our platform, or if we experience outages, then our business may be harmed.</w:t>
      </w:r>
    </w:p>
    <w:p>
      <w:pPr>
        <w:spacing w:after="0" w:line="74" w:lineRule="exact"/>
        <w:rPr>
          <w:sz w:val="20"/>
          <w:szCs w:val="20"/>
          <w:color w:val="auto"/>
        </w:rPr>
      </w:pPr>
    </w:p>
    <w:p>
      <w:pPr>
        <w:ind w:firstLine="479"/>
        <w:spacing w:after="0" w:line="249" w:lineRule="auto"/>
        <w:rPr>
          <w:sz w:val="20"/>
          <w:szCs w:val="20"/>
          <w:color w:val="auto"/>
        </w:rPr>
      </w:pPr>
      <w:r>
        <w:rPr>
          <w:rFonts w:ascii="Times New Roman" w:cs="Times New Roman" w:eastAsia="Times New Roman" w:hAnsi="Times New Roman"/>
          <w:sz w:val="18"/>
          <w:szCs w:val="18"/>
          <w:color w:val="auto"/>
        </w:rPr>
        <w:t>Our platform is complex and multifaceted, and operational and performance issues can arise both from the platform itself or from outside factors, such as cyberattacks or other third-party attacks (for more information on risks related to cyber incidents, see “</w:t>
      </w:r>
      <w:r>
        <w:rPr>
          <w:rFonts w:ascii="Times New Roman" w:cs="Times New Roman" w:eastAsia="Times New Roman" w:hAnsi="Times New Roman"/>
          <w:sz w:val="18"/>
          <w:szCs w:val="18"/>
          <w:i w:val="1"/>
          <w:iCs w:val="1"/>
          <w:color w:val="auto"/>
        </w:rPr>
        <w:t>—A significant breach of our IT Systems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of our Confidential Data, or of the security of our or our customers’, suppliers’, or other third parties’ systems upon which we rely could be detrimental to our business, reputation and results of operations</w:t>
      </w:r>
      <w:r>
        <w:rPr>
          <w:rFonts w:ascii="Times New Roman" w:cs="Times New Roman" w:eastAsia="Times New Roman" w:hAnsi="Times New Roman"/>
          <w:sz w:val="18"/>
          <w:szCs w:val="18"/>
          <w:color w:val="auto"/>
        </w:rPr>
        <w:t>”). Errors, failures, vulnerabilities or bugs have been found in the past and may be found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We have not always been able in the past and may be unable in the future to detect vulnerabilities in our information technology systems (including our products), and vulnerabilities may not be detected until after a security incident has occurred. Further, we may experience delays in developing and deploying remedial measures designed to address any such identified vulnerabilities.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can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could shut our platform down completely, others only</w:t>
      </w:r>
    </w:p>
    <w:p>
      <w:pPr>
        <w:spacing w:after="0" w:line="39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5" w:name="page46"/>
    <w:bookmarkEnd w:id="45"/>
    <w:p>
      <w:pPr>
        <w:ind w:right="600"/>
        <w:spacing w:after="0" w:line="275" w:lineRule="auto"/>
        <w:rPr>
          <w:sz w:val="20"/>
          <w:szCs w:val="20"/>
          <w:color w:val="auto"/>
        </w:rPr>
      </w:pPr>
      <w:r>
        <w:rPr>
          <w:rFonts w:ascii="Times New Roman" w:cs="Times New Roman" w:eastAsia="Times New Roman" w:hAnsi="Times New Roman"/>
          <w:sz w:val="18"/>
          <w:szCs w:val="18"/>
          <w:color w:val="auto"/>
        </w:rPr>
        <w:t>partially. We provide service level agreements to some of our customers, and if our platform is not available for specified amounts of time, we may be required to provide credits or other financial compensation to our customers.</w:t>
      </w:r>
    </w:p>
    <w:p>
      <w:pPr>
        <w:spacing w:after="0" w:line="58" w:lineRule="exact"/>
        <w:rPr>
          <w:sz w:val="20"/>
          <w:szCs w:val="20"/>
          <w:color w:val="auto"/>
        </w:rPr>
      </w:pPr>
    </w:p>
    <w:p>
      <w:pPr>
        <w:ind w:right="40" w:firstLine="479"/>
        <w:spacing w:after="0" w:line="252" w:lineRule="auto"/>
        <w:rPr>
          <w:sz w:val="20"/>
          <w:szCs w:val="20"/>
          <w:color w:val="auto"/>
        </w:rPr>
      </w:pPr>
      <w:r>
        <w:rPr>
          <w:rFonts w:ascii="Times New Roman" w:cs="Times New Roman" w:eastAsia="Times New Roman" w:hAnsi="Times New Roman"/>
          <w:sz w:val="18"/>
          <w:szCs w:val="18"/>
          <w:color w:val="auto"/>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spacing w:after="0" w:line="79" w:lineRule="exact"/>
        <w:rPr>
          <w:sz w:val="20"/>
          <w:szCs w:val="20"/>
          <w:color w:val="auto"/>
        </w:rPr>
      </w:pPr>
    </w:p>
    <w:p>
      <w:pPr>
        <w:ind w:right="200" w:firstLine="479"/>
        <w:spacing w:after="0" w:line="253" w:lineRule="auto"/>
        <w:rPr>
          <w:sz w:val="20"/>
          <w:szCs w:val="20"/>
          <w:color w:val="auto"/>
        </w:rPr>
      </w:pPr>
      <w:r>
        <w:rPr>
          <w:rFonts w:ascii="Times New Roman" w:cs="Times New Roman" w:eastAsia="Times New Roman" w:hAnsi="Times New Roman"/>
          <w:sz w:val="18"/>
          <w:szCs w:val="18"/>
          <w:color w:val="auto"/>
        </w:rPr>
        <w:t>Operational and performance issues with our platform have resulted and may in the future result in unexpected costs, such as negative publicity, damage to our brand and reputation, loss of or delay in market acceptance of our platform, increased costs or loss of revenue, the obligation to issue credits, loss of the ability to access our platform, loss of competitive position or claims by customers for losses sustained by them. Alleviating problems resulting from such issues could require significant expenditures of capital and other resources and could cause interruptions, delays or the cessation of our business, any of which may adversely affect our operating results and financial condition.</w:t>
      </w:r>
    </w:p>
    <w:p>
      <w:pPr>
        <w:spacing w:after="0" w:line="181"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availability of third-party hosting and transmission services. Operational issues with, or changes to the costs of, our third-party data center providers could harm our business, reputation or results of operations.</w:t>
      </w:r>
    </w:p>
    <w:p>
      <w:pPr>
        <w:spacing w:after="0" w:line="53" w:lineRule="exact"/>
        <w:rPr>
          <w:sz w:val="20"/>
          <w:szCs w:val="20"/>
          <w:color w:val="auto"/>
        </w:rPr>
      </w:pPr>
    </w:p>
    <w:p>
      <w:pPr>
        <w:ind w:right="60" w:firstLine="479"/>
        <w:spacing w:after="0" w:line="251" w:lineRule="auto"/>
        <w:rPr>
          <w:sz w:val="20"/>
          <w:szCs w:val="20"/>
          <w:color w:val="auto"/>
        </w:rPr>
      </w:pPr>
      <w:r>
        <w:rPr>
          <w:rFonts w:ascii="Times New Roman" w:cs="Times New Roman" w:eastAsia="Times New Roman" w:hAnsi="Times New Roman"/>
          <w:sz w:val="18"/>
          <w:szCs w:val="18"/>
          <w:color w:val="auto"/>
        </w:rPr>
        <w:t>We currently serve our platform functions from third-party data center hosting facilities operated by Google Cloud Platform and Amazon Web Services, and we primarily use shared servers in such facilities. We are dependent on these third parties to provide continuous power, cooling, humidity control, internet connectivity and physical and technological security for our servers, and our operations depend, in part, on their ability to protect these facilities against any damage or interruption from natural disasters, such as earthquakes, wildfires, extreme temperatures, drought, flooding, storms,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80" w:lineRule="exact"/>
        <w:rPr>
          <w:sz w:val="20"/>
          <w:szCs w:val="20"/>
          <w:color w:val="auto"/>
        </w:rPr>
      </w:pPr>
    </w:p>
    <w:p>
      <w:pPr>
        <w:ind w:right="20" w:firstLine="479"/>
        <w:spacing w:after="0" w:line="249" w:lineRule="auto"/>
        <w:rPr>
          <w:sz w:val="20"/>
          <w:szCs w:val="20"/>
          <w:color w:val="auto"/>
        </w:rPr>
      </w:pPr>
      <w:r>
        <w:rPr>
          <w:rFonts w:ascii="Times New Roman" w:cs="Times New Roman" w:eastAsia="Times New Roman" w:hAnsi="Times New Roman"/>
          <w:sz w:val="18"/>
          <w:szCs w:val="18"/>
          <w:color w:val="auto"/>
        </w:rPr>
        <w:t>Any damage to, or failure of, the systems of our third-party providers could result in interruptions to our platform. Despite precautions taken by third-party data center hosting facilities, the occurrence of spikes in usage volume, a natural disaster, such as earthquakes, wildfires, extreme temperatures, drought, flooding, storms, an act of terrorism, vandalism or sabotage, a decision to close a facility without adequate notice, or other unanticipated problems at a facility could result in lengthy interruptions in the availability of our platform. Climate change or other environmental or social pressures may increase the frequency and/or intensity of certain of these events and/or of efforts to reduce the impact of such events. For example, in certain areas, there has been an increase in power shutoffs associated with wildfire prevention. Climate change may also result in chronic meteorological changes, including changes to precipitation and temperature patterns, which may likewise disrupt our or our suppliers’ operations, require us to incur additional operating or capital expenditures, or otherwise adversely impact our business, financial condition, or results of operations.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spacing w:after="0" w:line="84" w:lineRule="exact"/>
        <w:rPr>
          <w:sz w:val="20"/>
          <w:szCs w:val="20"/>
          <w:color w:val="auto"/>
        </w:rPr>
      </w:pPr>
    </w:p>
    <w:p>
      <w:pPr>
        <w:jc w:val="both"/>
        <w:ind w:right="360" w:firstLine="479"/>
        <w:spacing w:after="0" w:line="261" w:lineRule="auto"/>
        <w:rPr>
          <w:sz w:val="20"/>
          <w:szCs w:val="20"/>
          <w:color w:val="auto"/>
        </w:rPr>
      </w:pPr>
      <w:r>
        <w:rPr>
          <w:rFonts w:ascii="Times New Roman" w:cs="Times New Roman" w:eastAsia="Times New Roman" w:hAnsi="Times New Roman"/>
          <w:sz w:val="18"/>
          <w:szCs w:val="18"/>
          <w:color w:val="auto"/>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spacing w:after="0" w:line="17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the non-proprietary technology, software, products and services that we use are unavailable, have future terms we cannot agree to, or do not perform as we expect, our business, operating results and financial condition could be harmed.</w:t>
      </w:r>
    </w:p>
    <w:p>
      <w:pPr>
        <w:spacing w:after="0" w:line="53" w:lineRule="exact"/>
        <w:rPr>
          <w:sz w:val="20"/>
          <w:szCs w:val="20"/>
          <w:color w:val="auto"/>
        </w:rPr>
      </w:pPr>
    </w:p>
    <w:p>
      <w:pPr>
        <w:ind w:right="160" w:firstLine="479"/>
        <w:spacing w:after="0" w:line="251" w:lineRule="auto"/>
        <w:rPr>
          <w:sz w:val="20"/>
          <w:szCs w:val="20"/>
          <w:color w:val="auto"/>
        </w:rPr>
      </w:pPr>
      <w:r>
        <w:rPr>
          <w:rFonts w:ascii="Times New Roman" w:cs="Times New Roman" w:eastAsia="Times New Roman" w:hAnsi="Times New Roman"/>
          <w:sz w:val="18"/>
          <w:szCs w:val="18"/>
          <w:color w:val="auto"/>
        </w:rPr>
        <w:t>We depend on various third-party open-source and proprietary technologies, software, products and services,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services could result in outages or difficulties in our ability to provide our services, and our business, operating results and financial condition could be harmed.</w:t>
      </w:r>
    </w:p>
    <w:p>
      <w:pPr>
        <w:spacing w:after="0" w:line="39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6" w:name="page47"/>
    <w:bookmarkEnd w:id="46"/>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content and inventory standards and provide services that our customers and inventory suppliers trust, could harm our brand and reputation and negatively impact our business, operating results and financial condition.</w:t>
      </w:r>
    </w:p>
    <w:p>
      <w:pPr>
        <w:spacing w:after="0" w:line="53" w:lineRule="exact"/>
        <w:rPr>
          <w:sz w:val="20"/>
          <w:szCs w:val="20"/>
          <w:color w:val="auto"/>
        </w:rPr>
      </w:pPr>
    </w:p>
    <w:p>
      <w:pPr>
        <w:ind w:right="40" w:firstLine="479"/>
        <w:spacing w:after="0" w:line="264" w:lineRule="auto"/>
        <w:rPr>
          <w:sz w:val="20"/>
          <w:szCs w:val="20"/>
          <w:color w:val="auto"/>
        </w:rPr>
      </w:pPr>
      <w:r>
        <w:rPr>
          <w:rFonts w:ascii="Times New Roman" w:cs="Times New Roman" w:eastAsia="Times New Roman" w:hAnsi="Times New Roman"/>
          <w:sz w:val="17"/>
          <w:szCs w:val="17"/>
          <w:color w:val="auto"/>
        </w:rPr>
        <w:t>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and inventory suppliers.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may not be fully successful in our efforts to combat fraud. We may provide access to inventory that is objectionable to our customers or we may serve advertising that contains malware or objectionable content to our inventory suppliers, which could harm our or our customers’ brand and reputation, cause customers to decrease or terminate their relationship with us, cause suppliers to decrease or terminate the inventory supplied to us or their relationship with us, or otherwise negatively impact our business, operating results and financial condition. In addition, we may terminate MSAs or IOs in the event clients violate our ad policies or other contract terms, which could harm our business, operating results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human factor of inputting information into our platform.</w:t>
      </w:r>
    </w:p>
    <w:p>
      <w:pPr>
        <w:spacing w:after="0" w:line="116" w:lineRule="exact"/>
        <w:rPr>
          <w:sz w:val="20"/>
          <w:szCs w:val="20"/>
          <w:color w:val="auto"/>
        </w:rPr>
      </w:pPr>
    </w:p>
    <w:p>
      <w:pPr>
        <w:ind w:firstLine="479"/>
        <w:spacing w:after="0" w:line="268" w:lineRule="auto"/>
        <w:rPr>
          <w:sz w:val="20"/>
          <w:szCs w:val="20"/>
          <w:color w:val="auto"/>
        </w:rPr>
      </w:pPr>
      <w:r>
        <w:rPr>
          <w:rFonts w:ascii="Times New Roman" w:cs="Times New Roman" w:eastAsia="Times New Roman" w:hAnsi="Times New Roman"/>
          <w:sz w:val="17"/>
          <w:szCs w:val="17"/>
          <w:color w:val="auto"/>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accidentally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or alliances could disrupt our business and harm our business, operating results and financial condition.</w:t>
      </w:r>
    </w:p>
    <w:p>
      <w:pPr>
        <w:spacing w:after="0" w:line="116" w:lineRule="exact"/>
        <w:rPr>
          <w:sz w:val="20"/>
          <w:szCs w:val="20"/>
          <w:color w:val="auto"/>
        </w:rPr>
      </w:pPr>
    </w:p>
    <w:p>
      <w:pPr>
        <w:ind w:right="120" w:firstLine="479"/>
        <w:spacing w:after="0" w:line="265" w:lineRule="auto"/>
        <w:rPr>
          <w:sz w:val="20"/>
          <w:szCs w:val="20"/>
          <w:color w:val="auto"/>
        </w:rPr>
      </w:pPr>
      <w:r>
        <w:rPr>
          <w:rFonts w:ascii="Times New Roman" w:cs="Times New Roman" w:eastAsia="Times New Roman" w:hAnsi="Times New Roman"/>
          <w:sz w:val="17"/>
          <w:szCs w:val="17"/>
          <w:color w:val="auto"/>
        </w:rPr>
        <w:t>We have acquired businesses and technologies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actual or threatened litigation, privacy or cybersecurity issues or employee or customer issues.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not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spacing w:after="0" w:line="72" w:lineRule="exact"/>
        <w:rPr>
          <w:sz w:val="20"/>
          <w:szCs w:val="20"/>
          <w:color w:val="auto"/>
        </w:rPr>
      </w:pPr>
    </w:p>
    <w:p>
      <w:pPr>
        <w:ind w:left="960" w:hanging="475"/>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hurdles;</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anticipated benefits to materialize;</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2" w:lineRule="exact"/>
        <w:rPr>
          <w:rFonts w:ascii="Times New Roman" w:cs="Times New Roman" w:eastAsia="Times New Roman" w:hAnsi="Times New Roman"/>
          <w:sz w:val="18"/>
          <w:szCs w:val="18"/>
          <w:color w:val="auto"/>
        </w:rPr>
      </w:pPr>
    </w:p>
    <w:p>
      <w:pPr>
        <w:ind w:left="960" w:right="660" w:hanging="475"/>
        <w:spacing w:after="0" w:line="275" w:lineRule="auto"/>
        <w:tabs>
          <w:tab w:leader="none" w:pos="9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management information, human resources and other administrative and information technology systems;</w:t>
      </w: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47" w:name="page48"/>
    <w:bookmarkEnd w:id="47"/>
    <w:p>
      <w:pPr>
        <w:ind w:left="960" w:hanging="475"/>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products and technology;</w:t>
      </w:r>
    </w:p>
    <w:p>
      <w:pPr>
        <w:spacing w:after="0" w:line="112" w:lineRule="exact"/>
        <w:rPr>
          <w:rFonts w:ascii="Times New Roman" w:cs="Times New Roman" w:eastAsia="Times New Roman" w:hAnsi="Times New Roman"/>
          <w:sz w:val="18"/>
          <w:szCs w:val="18"/>
          <w:color w:val="auto"/>
        </w:rPr>
      </w:pPr>
    </w:p>
    <w:p>
      <w:pPr>
        <w:ind w:left="960" w:right="20" w:hanging="475"/>
        <w:spacing w:after="0" w:line="275" w:lineRule="auto"/>
        <w:tabs>
          <w:tab w:leader="none" w:pos="9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57"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product development and sales and marketing functions;</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known and unknown liabilities;</w:t>
      </w:r>
    </w:p>
    <w:p>
      <w:pPr>
        <w:spacing w:after="0" w:line="112" w:lineRule="exact"/>
        <w:rPr>
          <w:rFonts w:ascii="Times New Roman" w:cs="Times New Roman" w:eastAsia="Times New Roman" w:hAnsi="Times New Roman"/>
          <w:sz w:val="18"/>
          <w:szCs w:val="18"/>
          <w:color w:val="auto"/>
        </w:rPr>
      </w:pPr>
    </w:p>
    <w:p>
      <w:pPr>
        <w:ind w:left="960" w:right="180" w:hanging="475"/>
        <w:spacing w:after="0" w:line="275" w:lineRule="auto"/>
        <w:tabs>
          <w:tab w:leader="none" w:pos="9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former stockholders or other third parties; and</w:t>
      </w:r>
    </w:p>
    <w:p>
      <w:pPr>
        <w:spacing w:after="0" w:line="57"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reception to an acquisition by clients, suppliers, vendors, or investors.</w:t>
      </w:r>
    </w:p>
    <w:p>
      <w:pPr>
        <w:spacing w:after="0" w:line="112"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or the impairment of goodwill, any of which could harm our business, operating results and financial condition.</w:t>
      </w:r>
    </w:p>
    <w:p>
      <w:pPr>
        <w:spacing w:after="0" w:line="177"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the continuing efforts of our key employees, including Tim Vanderhook and Chris Vanderhook, and our ability to attract, hire, retain and motivate highly skilled employees in the future.</w:t>
      </w:r>
    </w:p>
    <w:p>
      <w:pPr>
        <w:spacing w:after="0" w:line="53"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 instrumental to our ability to attract and retain new talent. We also rely on employees in our engineering, technical, product development, support and sales teams to attract and retain key customers.</w:t>
      </w:r>
    </w:p>
    <w:p>
      <w:pPr>
        <w:spacing w:after="0" w:line="74" w:lineRule="exact"/>
        <w:rPr>
          <w:sz w:val="20"/>
          <w:szCs w:val="20"/>
          <w:color w:val="auto"/>
        </w:rPr>
      </w:pPr>
    </w:p>
    <w:p>
      <w:pPr>
        <w:ind w:right="120" w:firstLine="479"/>
        <w:spacing w:after="0" w:line="251" w:lineRule="auto"/>
        <w:rPr>
          <w:sz w:val="20"/>
          <w:szCs w:val="20"/>
          <w:color w:val="auto"/>
        </w:rPr>
      </w:pPr>
      <w:r>
        <w:rPr>
          <w:rFonts w:ascii="Times New Roman" w:cs="Times New Roman" w:eastAsia="Times New Roman" w:hAnsi="Times New Roman"/>
          <w:sz w:val="18"/>
          <w:szCs w:val="18"/>
          <w:color w:val="auto"/>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spacing w:after="0" w:line="80"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Tim Vanderhook and Chris Vanderhook, or our inability to attract and retain highly skilled employees could have an adverse effect on our business, operating results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liabilities arising out of our ownership and operation of Myspace.com.</w:t>
      </w:r>
    </w:p>
    <w:p>
      <w:pPr>
        <w:spacing w:after="0" w:line="116" w:lineRule="exact"/>
        <w:rPr>
          <w:sz w:val="20"/>
          <w:szCs w:val="20"/>
          <w:color w:val="auto"/>
        </w:rPr>
      </w:pPr>
    </w:p>
    <w:p>
      <w:pPr>
        <w:ind w:right="60" w:firstLine="479"/>
        <w:spacing w:after="0" w:line="249" w:lineRule="auto"/>
        <w:rPr>
          <w:sz w:val="20"/>
          <w:szCs w:val="20"/>
          <w:color w:val="auto"/>
        </w:rPr>
      </w:pPr>
      <w:r>
        <w:rPr>
          <w:rFonts w:ascii="Times New Roman" w:cs="Times New Roman" w:eastAsia="Times New Roman" w:hAnsi="Times New Roman"/>
          <w:sz w:val="18"/>
          <w:szCs w:val="18"/>
          <w:color w:val="auto"/>
        </w:rPr>
        <w:t>In 2011, we acquired Myspace LLC, which owns Myspace.com. We have faced and may continue to face claims, investigations,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("EU") passed a directive expanding online platform liability for copyright infringement and regulating certain uses of news content online, which member states had to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or if courts begin to interpret this law more narrowly than they have historically done. We could incur significant costs investigating and defending claims related to content published or made available on Myspace.com and, if we are found liable, could face significant damages.</w:t>
      </w:r>
    </w:p>
    <w:p>
      <w:pPr>
        <w:spacing w:after="0" w:line="82" w:lineRule="exact"/>
        <w:rPr>
          <w:sz w:val="20"/>
          <w:szCs w:val="20"/>
          <w:color w:val="auto"/>
        </w:rPr>
      </w:pPr>
    </w:p>
    <w:p>
      <w:pPr>
        <w:ind w:right="60" w:firstLine="479"/>
        <w:spacing w:after="0" w:line="256" w:lineRule="auto"/>
        <w:rPr>
          <w:sz w:val="20"/>
          <w:szCs w:val="20"/>
          <w:color w:val="auto"/>
        </w:rPr>
      </w:pPr>
      <w:r>
        <w:rPr>
          <w:rFonts w:ascii="Times New Roman" w:cs="Times New Roman" w:eastAsia="Times New Roman" w:hAnsi="Times New Roman"/>
          <w:sz w:val="18"/>
          <w:szCs w:val="18"/>
          <w:color w:val="auto"/>
        </w:rPr>
        <w:t>In late 2011, shortly after we acquired Myspace LLC, the Federal Trade Commission (“FTC”) initiated an investigation of the entity relating to certain of its historical privacy practices in place between 2008 and 2010. In connection with its 2012 settlement, Myspace LLC agreed to a consent order barring it from misrepresenting the extent to which it protects the privacy of users’ Personal Information or the extent to which it belongs to or complies with any privacy, security or other compliance program. The order also</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48" w:name="page49"/>
    <w:bookmarkEnd w:id="48"/>
    <w:p>
      <w:pPr>
        <w:ind w:right="280"/>
        <w:spacing w:after="0" w:line="275" w:lineRule="auto"/>
        <w:rPr>
          <w:sz w:val="20"/>
          <w:szCs w:val="20"/>
          <w:color w:val="auto"/>
        </w:rPr>
      </w:pPr>
      <w:r>
        <w:rPr>
          <w:rFonts w:ascii="Times New Roman" w:cs="Times New Roman" w:eastAsia="Times New Roman" w:hAnsi="Times New Roman"/>
          <w:sz w:val="18"/>
          <w:szCs w:val="18"/>
          <w:color w:val="auto"/>
        </w:rPr>
        <w:t>mandates Myspace LLC establish a comprehensive privacy program designed to protect consumers’ information, and to obtain biennial assessments of its privacy program by independent, third-party auditors for 20 years. The order terminates in August 2032.</w:t>
      </w:r>
    </w:p>
    <w:p>
      <w:pPr>
        <w:spacing w:after="0" w:line="58"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If Myspace LLC fails to comply with the mandates of the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spacing w:after="0" w:line="69" w:lineRule="exact"/>
        <w:rPr>
          <w:sz w:val="20"/>
          <w:szCs w:val="20"/>
          <w:color w:val="auto"/>
        </w:rPr>
      </w:pPr>
    </w:p>
    <w:p>
      <w:pPr>
        <w:ind w:right="120" w:firstLine="479"/>
        <w:spacing w:after="0" w:line="270" w:lineRule="auto"/>
        <w:rPr>
          <w:sz w:val="20"/>
          <w:szCs w:val="20"/>
          <w:color w:val="auto"/>
        </w:rPr>
      </w:pPr>
      <w:r>
        <w:rPr>
          <w:rFonts w:ascii="Times New Roman" w:cs="Times New Roman" w:eastAsia="Times New Roman" w:hAnsi="Times New Roman"/>
          <w:sz w:val="17"/>
          <w:szCs w:val="17"/>
          <w:color w:val="auto"/>
        </w:rPr>
        <w:t>Myspace.com has been and may in the future be subject to cybersecurity incidents or data breaches. In 2016, we discovered a third-party cyber-attack in which Myspace.com usernames, passwords and email addresses were stolen from the old Myspace.com platform prior to June 11, 2013. While we took steps to remediate the attack, any failure to prevent or mitigate security breaches and improper access to or disclosure of the data on Myspace.com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spacing w:after="0" w:line="63" w:lineRule="exact"/>
        <w:rPr>
          <w:sz w:val="20"/>
          <w:szCs w:val="20"/>
          <w:color w:val="auto"/>
        </w:rPr>
      </w:pPr>
    </w:p>
    <w:p>
      <w:pPr>
        <w:ind w:right="180" w:firstLine="479"/>
        <w:spacing w:after="0" w:line="253" w:lineRule="auto"/>
        <w:rPr>
          <w:sz w:val="20"/>
          <w:szCs w:val="20"/>
          <w:color w:val="auto"/>
        </w:rPr>
      </w:pPr>
      <w:r>
        <w:rPr>
          <w:rFonts w:ascii="Times New Roman" w:cs="Times New Roman" w:eastAsia="Times New Roman" w:hAnsi="Times New Roman"/>
          <w:sz w:val="18"/>
          <w:szCs w:val="18"/>
          <w:color w:val="auto"/>
        </w:rPr>
        <w:t>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 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in which we participate is intensely competitive, and we may not be able to compete successfully with our current or future competitors.</w:t>
      </w:r>
    </w:p>
    <w:p>
      <w:pPr>
        <w:spacing w:after="0" w:line="116" w:lineRule="exact"/>
        <w:rPr>
          <w:sz w:val="20"/>
          <w:szCs w:val="20"/>
          <w:color w:val="auto"/>
        </w:rPr>
      </w:pPr>
    </w:p>
    <w:p>
      <w:pPr>
        <w:ind w:firstLine="479"/>
        <w:spacing w:after="0" w:line="276" w:lineRule="auto"/>
        <w:rPr>
          <w:sz w:val="20"/>
          <w:szCs w:val="20"/>
          <w:color w:val="auto"/>
        </w:rPr>
      </w:pPr>
      <w:r>
        <w:rPr>
          <w:rFonts w:ascii="Times New Roman" w:cs="Times New Roman" w:eastAsia="Times New Roman" w:hAnsi="Times New Roman"/>
          <w:sz w:val="17"/>
          <w:szCs w:val="17"/>
          <w:color w:val="auto"/>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Furthermore, our brand promotion activities may not yield any increased revenue, and even if they do, any increased revenue may not offset the expenses we incurred in building our brand.</w:t>
      </w:r>
    </w:p>
    <w:p>
      <w:pPr>
        <w:spacing w:after="0" w:line="58" w:lineRule="exact"/>
        <w:rPr>
          <w:sz w:val="20"/>
          <w:szCs w:val="20"/>
          <w:color w:val="auto"/>
        </w:rPr>
      </w:pPr>
    </w:p>
    <w:p>
      <w:pPr>
        <w:ind w:firstLine="479"/>
        <w:spacing w:after="0" w:line="248" w:lineRule="auto"/>
        <w:rPr>
          <w:sz w:val="20"/>
          <w:szCs w:val="20"/>
          <w:color w:val="auto"/>
        </w:rPr>
      </w:pPr>
      <w:r>
        <w:rPr>
          <w:rFonts w:ascii="Times New Roman" w:cs="Times New Roman" w:eastAsia="Times New Roman" w:hAnsi="Times New Roman"/>
          <w:sz w:val="18"/>
          <w:szCs w:val="18"/>
          <w:color w:val="auto"/>
        </w:rPr>
        <w:t>We compete with large privately-held companies such as Yahoo DSP, with public companies exclusively serving our industry such as The Trade Desk, and with divisions of large, well-established public companies such as Google and Amazon.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and operate internationally. As a result, these competitors may be better able to respond quickly to new technologies, develop deeper marketer relationships, offer services at lower prices, or offer a global range of services and inventory.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 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spacing w:after="0" w:line="88" w:lineRule="exact"/>
        <w:rPr>
          <w:sz w:val="20"/>
          <w:szCs w:val="20"/>
          <w:color w:val="auto"/>
        </w:rPr>
      </w:pPr>
    </w:p>
    <w:p>
      <w:pPr>
        <w:ind w:right="360" w:firstLine="479"/>
        <w:spacing w:after="0" w:line="283" w:lineRule="auto"/>
        <w:rPr>
          <w:sz w:val="20"/>
          <w:szCs w:val="20"/>
          <w:color w:val="auto"/>
        </w:rPr>
      </w:pPr>
      <w:r>
        <w:rPr>
          <w:rFonts w:ascii="Times New Roman" w:cs="Times New Roman" w:eastAsia="Times New Roman" w:hAnsi="Times New Roman"/>
          <w:sz w:val="17"/>
          <w:szCs w:val="17"/>
          <w:color w:val="auto"/>
        </w:rPr>
        <w:t>In addition, we derive a significant portion of our revenue from advertising in the CTV, mobile, and desktop channels, which are rapidly evolving, highly competitive, complex and fragmented. We face significant competition in these markets which we expect will intensify in the future. We face significant competition in these channels and others, such as streaming audio and digital out-of-home, which we expect will intensify in the future.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and Artificial Intelligence</w:t>
      </w:r>
    </w:p>
    <w:p>
      <w:pPr>
        <w:spacing w:after="0" w:line="21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w:t>
      </w:r>
    </w:p>
    <w:p>
      <w:pPr>
        <w:spacing w:after="0" w:line="38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49" w:name="page50"/>
    <w:bookmarkEnd w:id="49"/>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revenue declines, increase the cost of data, reduce the availability of data, reduce our ability to utilize or disclose data, adverse effects on the demand for our products and services, or other adverse business consequences.</w:t>
      </w:r>
    </w:p>
    <w:p>
      <w:pPr>
        <w:spacing w:after="0" w:line="53" w:lineRule="exact"/>
        <w:rPr>
          <w:sz w:val="20"/>
          <w:szCs w:val="20"/>
          <w:color w:val="auto"/>
        </w:rPr>
      </w:pPr>
    </w:p>
    <w:p>
      <w:pPr>
        <w:ind w:right="260" w:firstLine="479"/>
        <w:spacing w:after="0" w:line="252" w:lineRule="auto"/>
        <w:rPr>
          <w:sz w:val="20"/>
          <w:szCs w:val="20"/>
          <w:color w:val="auto"/>
        </w:rPr>
      </w:pPr>
      <w:r>
        <w:rPr>
          <w:rFonts w:ascii="Times New Roman" w:cs="Times New Roman" w:eastAsia="Times New Roman" w:hAnsi="Times New Roman"/>
          <w:sz w:val="18"/>
          <w:szCs w:val="18"/>
          <w:color w:val="auto"/>
        </w:rPr>
        <w:t>We collect, receive, store, use, transmit, disclose, or otherwise process (collectively, "Process") Personal Information and other data such as confidential business data, trade secrets, and intellectual property, from and about consumers, our customers, employees, service providers, and other third parties. We also depend on a number of third-party vendors in relation to the operation of our business, some of which Process data on our behalf. Our and our third-party vendors handling of this data is subject to a wide variety of federal, state, local, and foreign laws regulations, guidance, industry standards, external and internal privacy and security policies, certifications, documents, contracts, and other obligations that govern the Processing of Personal Information by us and on our behalf.</w:t>
      </w:r>
    </w:p>
    <w:p>
      <w:pPr>
        <w:spacing w:after="0" w:line="79" w:lineRule="exact"/>
        <w:rPr>
          <w:sz w:val="20"/>
          <w:szCs w:val="20"/>
          <w:color w:val="auto"/>
        </w:rPr>
      </w:pPr>
    </w:p>
    <w:p>
      <w:pPr>
        <w:ind w:right="100" w:firstLine="479"/>
        <w:spacing w:after="0" w:line="250" w:lineRule="auto"/>
        <w:rPr>
          <w:sz w:val="20"/>
          <w:szCs w:val="20"/>
          <w:color w:val="auto"/>
        </w:rPr>
      </w:pPr>
      <w:r>
        <w:rPr>
          <w:rFonts w:ascii="Times New Roman" w:cs="Times New Roman" w:eastAsia="Times New Roman" w:hAnsi="Times New Roman"/>
          <w:sz w:val="18"/>
          <w:szCs w:val="18"/>
          <w:color w:val="auto"/>
        </w:rPr>
        <w:t>U.S. federal, state, and local governments, and foreign governments have adopted or proposed numerous laws relating to the Processing of Personal Information relating to individuals and households, including contact information and pseudonymous data, many with a particular focus on marketing and advertising uses of such Personal Information. The legal landscape for data privacy issues worldwide is complex, continually evolving and often conflicting, and is likely to remain uncertain for the foreseeable future. Because many of these laws are new, established interpretations and best practices are still emerging. As a result, regulators could allege that our practices do not comply with such laws or regulations, despite our ongoing efforts to comply. Any failure or perceived failure to comply with applicable laws or regulations regarding privacy, data protection and cybersecurity could adversely affect our business, brand or reputation and may result in claims, actions, investigations or proceedings against us by regulators or individuals and require us to change our practices, all of which may result in significant costs.</w:t>
      </w:r>
    </w:p>
    <w:p>
      <w:pPr>
        <w:spacing w:after="0" w:line="83" w:lineRule="exact"/>
        <w:rPr>
          <w:sz w:val="20"/>
          <w:szCs w:val="20"/>
          <w:color w:val="auto"/>
        </w:rPr>
      </w:pPr>
    </w:p>
    <w:p>
      <w:pPr>
        <w:ind w:right="180" w:firstLine="479"/>
        <w:spacing w:after="0" w:line="250" w:lineRule="auto"/>
        <w:rPr>
          <w:sz w:val="20"/>
          <w:szCs w:val="20"/>
          <w:color w:val="auto"/>
        </w:rPr>
      </w:pPr>
      <w:r>
        <w:rPr>
          <w:rFonts w:ascii="Times New Roman" w:cs="Times New Roman" w:eastAsia="Times New Roman" w:hAnsi="Times New Roman"/>
          <w:sz w:val="18"/>
          <w:szCs w:val="18"/>
          <w:color w:val="auto"/>
        </w:rPr>
        <w:t>In the United States, an ever-increasing number of laws and regulations apply to the Processing of Personal Information. In recent years, the U.S. federal and state legislatures, along with regulatory authorities at the state and federal level, have increased their focus on the collection and use of Personal Information, including relating to “interest-based,” “cross-context behavioral,” or “targeted” advertising. For example, the FTC has been very active in bringing enforcement actions against companies that handle personal data it views as sensitive for advertising purposes, including location data brokers and companies that process health-related data. These enforcement announcements signal increased ongoing regulatory scrutiny of advertising practices that involve “sensitive” categories of personal data such as health data and precise location information. The FTC could expand this focus by acting on new authority to enforce a federal law focused on disclosures of certain information it classifies as sensitive by companies operating as data brokers to certain restricted countries or entities under the control of such countries.</w:t>
      </w:r>
    </w:p>
    <w:p>
      <w:pPr>
        <w:spacing w:after="0" w:line="83" w:lineRule="exact"/>
        <w:rPr>
          <w:sz w:val="20"/>
          <w:szCs w:val="20"/>
          <w:color w:val="auto"/>
        </w:rPr>
      </w:pPr>
    </w:p>
    <w:p>
      <w:pPr>
        <w:ind w:right="60" w:firstLine="479"/>
        <w:spacing w:after="0" w:line="250" w:lineRule="auto"/>
        <w:rPr>
          <w:sz w:val="20"/>
          <w:szCs w:val="20"/>
          <w:color w:val="auto"/>
        </w:rPr>
      </w:pPr>
      <w:r>
        <w:rPr>
          <w:rFonts w:ascii="Times New Roman" w:cs="Times New Roman" w:eastAsia="Times New Roman" w:hAnsi="Times New Roman"/>
          <w:sz w:val="18"/>
          <w:szCs w:val="18"/>
          <w:color w:val="auto"/>
        </w:rPr>
        <w:t>State legislatures have also continued their focus in this area. For example, the State Privacy Laws require covered businesses to, among other things, provide disclosures to consumers and grant consumers a right to opt-out of use and disclosure of their Personal Information for purposes of showing targeted advertisements and “sales” of Personal Information, a concept that is broadly defined as the disclosure of Personal Information to a third party for monetary or other valuable consideration. Certain State Privacy Laws also require or will require companies to respond to user-enabled global privacy controls, such as a browser plug-in or privacy setting, device setting, or other mechanisms, that communicate or signal the consumer’s choice to opt-out of the sale or sharing of their Personal Information, or the use of their Personal Information for targeted advertising. Laws additionally require covered businesses to take extra precautions for data deemed “sensitive” and offer consumers rights to access, delete, and correct their Personal Information. These laws are generally enforced by each state’s attorney general with potentially steep penalties for violations.</w:t>
      </w:r>
    </w:p>
    <w:p>
      <w:pPr>
        <w:spacing w:after="0" w:line="83" w:lineRule="exact"/>
        <w:rPr>
          <w:sz w:val="20"/>
          <w:szCs w:val="20"/>
          <w:color w:val="auto"/>
        </w:rPr>
      </w:pPr>
    </w:p>
    <w:p>
      <w:pPr>
        <w:ind w:firstLine="479"/>
        <w:spacing w:after="0" w:line="250" w:lineRule="auto"/>
        <w:rPr>
          <w:sz w:val="20"/>
          <w:szCs w:val="20"/>
          <w:color w:val="auto"/>
        </w:rPr>
      </w:pPr>
      <w:r>
        <w:rPr>
          <w:rFonts w:ascii="Times New Roman" w:cs="Times New Roman" w:eastAsia="Times New Roman" w:hAnsi="Times New Roman"/>
          <w:sz w:val="18"/>
          <w:szCs w:val="18"/>
          <w:color w:val="auto"/>
        </w:rPr>
        <w:t>Lawmakers and regulators are also focused on data Processing by companies that do not have direct relationships with the consumers whose Personal Information they process. Several states, including California and Texas, have enacted or updated laws restricting the activities of data brokers, and state attorneys general are keen to enforce these laws, such as by checking companies’ data broker registration status. In late 2023, California passed the Delete Act, dramatically increasing obligations and potential penalties relative to the state’s preexisting data broker statute. Beyond additional transparency requirements, beginning in August 2026, companies registered as data brokers in California must honor universal deletion requests consumers make of all data brokers via a deletion mechanism the state will create. Beginning in 2028, data brokers must undergo audits verifying their compliance with the Delete Act. The California Privacy Protection Agency recently released new regulations regarding the Delete Act’s data broker registration requirements including to revise the definition of “data broker.” These obligations may reduce the data available to Viant, require us to develop complex and expensive compliance tools and procedures, and may result in reductions in revenue.</w:t>
      </w:r>
    </w:p>
    <w:p>
      <w:pPr>
        <w:spacing w:after="0" w:line="81" w:lineRule="exact"/>
        <w:rPr>
          <w:sz w:val="20"/>
          <w:szCs w:val="20"/>
          <w:color w:val="auto"/>
        </w:rPr>
      </w:pPr>
    </w:p>
    <w:p>
      <w:pPr>
        <w:ind w:right="20" w:firstLine="479"/>
        <w:spacing w:after="0" w:line="272" w:lineRule="auto"/>
        <w:rPr>
          <w:sz w:val="20"/>
          <w:szCs w:val="20"/>
          <w:color w:val="auto"/>
        </w:rPr>
      </w:pPr>
      <w:r>
        <w:rPr>
          <w:rFonts w:ascii="Times New Roman" w:cs="Times New Roman" w:eastAsia="Times New Roman" w:hAnsi="Times New Roman"/>
          <w:sz w:val="17"/>
          <w:szCs w:val="17"/>
          <w:color w:val="auto"/>
        </w:rPr>
        <w:t>Lawmakers, regulators, and advocates also continue to focus on activities involving the use of certain types of Personal Information perceived as especially sensitive, such as children’s data, health data, and location data, which will impact the advertising industry. For example, the FTC actively enforces the Children's Online Privacy Protection Act of 1998 ("COPPA") and recently updated and expanded certain parts of the law, such as by requiring separate consent to disclose children’s personal information to third parties. Additionally, several State Privacy Laws have increased the age at which a consumer can be shown targeted ads (without opt-in consent) from 13 to 16 or 18 years of age, and other state laws may ban targeted advertising to minors outright.</w:t>
      </w:r>
    </w:p>
    <w:p>
      <w:pPr>
        <w:spacing w:after="0" w:line="62" w:lineRule="exact"/>
        <w:rPr>
          <w:sz w:val="20"/>
          <w:szCs w:val="20"/>
          <w:color w:val="auto"/>
        </w:rPr>
      </w:pPr>
    </w:p>
    <w:p>
      <w:pPr>
        <w:ind w:right="160" w:firstLine="479"/>
        <w:spacing w:after="0" w:line="261" w:lineRule="auto"/>
        <w:rPr>
          <w:sz w:val="20"/>
          <w:szCs w:val="20"/>
          <w:color w:val="auto"/>
        </w:rPr>
      </w:pPr>
      <w:r>
        <w:rPr>
          <w:rFonts w:ascii="Times New Roman" w:cs="Times New Roman" w:eastAsia="Times New Roman" w:hAnsi="Times New Roman"/>
          <w:sz w:val="18"/>
          <w:szCs w:val="18"/>
          <w:color w:val="auto"/>
        </w:rPr>
        <w:t>Related to consumer health information, the Washington state My Health My Data Act ("MHMD") introduced a host of new requirements covering a very broadly defined notion of consumer health data, including obligations on disclosures of such data that will impact the advertising industry. MHMD is subject to a private right of action, and plaintiffs’ attorneys could explore claims</w:t>
      </w:r>
    </w:p>
    <w:p>
      <w:pPr>
        <w:spacing w:after="0" w:line="38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50" w:name="page51"/>
    <w:bookmarkEnd w:id="50"/>
    <w:p>
      <w:pPr>
        <w:ind w:right="400"/>
        <w:spacing w:after="0" w:line="275" w:lineRule="auto"/>
        <w:rPr>
          <w:sz w:val="20"/>
          <w:szCs w:val="20"/>
          <w:color w:val="auto"/>
        </w:rPr>
      </w:pPr>
      <w:r>
        <w:rPr>
          <w:rFonts w:ascii="Times New Roman" w:cs="Times New Roman" w:eastAsia="Times New Roman" w:hAnsi="Times New Roman"/>
          <w:sz w:val="18"/>
          <w:szCs w:val="18"/>
          <w:color w:val="auto"/>
        </w:rPr>
        <w:t>testing the bounds of the law’s text. Other states (e.g., Nevada) have enacted a similar law (though without a private right of action), and we expect more states will follow.</w:t>
      </w:r>
    </w:p>
    <w:p>
      <w:pPr>
        <w:spacing w:after="0" w:line="58" w:lineRule="exact"/>
        <w:rPr>
          <w:sz w:val="20"/>
          <w:szCs w:val="20"/>
          <w:color w:val="auto"/>
        </w:rPr>
      </w:pPr>
    </w:p>
    <w:p>
      <w:pPr>
        <w:ind w:right="40" w:firstLine="479"/>
        <w:spacing w:after="0" w:line="251" w:lineRule="auto"/>
        <w:rPr>
          <w:sz w:val="20"/>
          <w:szCs w:val="20"/>
          <w:color w:val="auto"/>
        </w:rPr>
      </w:pPr>
      <w:r>
        <w:rPr>
          <w:rFonts w:ascii="Times New Roman" w:cs="Times New Roman" w:eastAsia="Times New Roman" w:hAnsi="Times New Roman"/>
          <w:sz w:val="18"/>
          <w:szCs w:val="18"/>
          <w:color w:val="auto"/>
        </w:rPr>
        <w:t>These developments and other comprehensive data privacy and security laws that have been proposed at the federal, state, and local levels in recent years could lead to a varied and increasingly complex regulatory landscape, further complicating our compliance efforts and those of our data suppliers and customers. Additionally, plaintiffs have sought to apply federal wiretap and similar laws, such as the Federal Wiretap Act and Video Privacy Protection Act, and similar U.S. state laws, such as California’s Invasion of Privacy Act, to certain advertising and online tracking practices. Such laws include private causes of action, and could be costly to settle or litigate, regardless of the merit of the claim, and may result in significant monetary liability. In order to comply with the varying state data breach reporting laws, we must maintain adequate security measures, which require significant investments in resources and ongoing attention.</w:t>
      </w:r>
    </w:p>
    <w:p>
      <w:pPr>
        <w:spacing w:after="0" w:line="80" w:lineRule="exact"/>
        <w:rPr>
          <w:sz w:val="20"/>
          <w:szCs w:val="20"/>
          <w:color w:val="auto"/>
        </w:rPr>
      </w:pPr>
    </w:p>
    <w:p>
      <w:pPr>
        <w:ind w:right="40" w:firstLine="479"/>
        <w:spacing w:after="0" w:line="267" w:lineRule="auto"/>
        <w:rPr>
          <w:sz w:val="20"/>
          <w:szCs w:val="20"/>
          <w:color w:val="auto"/>
        </w:rPr>
      </w:pPr>
      <w:r>
        <w:rPr>
          <w:rFonts w:ascii="Times New Roman" w:cs="Times New Roman" w:eastAsia="Times New Roman" w:hAnsi="Times New Roman"/>
          <w:sz w:val="17"/>
          <w:szCs w:val="17"/>
          <w:color w:val="auto"/>
        </w:rPr>
        <w:t>Outside the United States, certain laws, regulations, and industry standards may apply to our or our suppliers’ or customers’ data privacy and security practices. The European Union’s General Data Protection Regulation 2016/679 (“EU GDPR”) and the UK counterpart regulation (“UK GDPR”) (collectively the “GDPR”) imposes strict requirements applicable to certain Processing of European Personal Information, respectively, in the EEA and the UK. The applicability analysis under the GDPR is complex, but if we were deemed to operate our business in a manner subject to GDPR, the GDPR provides for significant penalties for noncompliance of up to the greater of €20 million under the EU GDPR / 17.2 million pounds sterling under the UK GDPR, or, in each case, 4% of an enterprise’s global turnover (or revenue) for the preceding fiscal year. Companies that violate the GDPR may face prohibitions on data processing and other corrective action, such as class action brought by classes of data subjects or by consumer protection organizations authorized at law to represent their interests. Additionally, EU member states may assess other penalties for noncompliance on companies subject to GDPR.</w:t>
      </w:r>
    </w:p>
    <w:p>
      <w:pPr>
        <w:spacing w:after="0" w:line="68" w:lineRule="exact"/>
        <w:rPr>
          <w:sz w:val="20"/>
          <w:szCs w:val="20"/>
          <w:color w:val="auto"/>
        </w:rPr>
      </w:pPr>
    </w:p>
    <w:p>
      <w:pPr>
        <w:ind w:right="80" w:firstLine="479"/>
        <w:spacing w:after="0" w:line="275" w:lineRule="auto"/>
        <w:rPr>
          <w:sz w:val="20"/>
          <w:szCs w:val="20"/>
          <w:color w:val="auto"/>
        </w:rPr>
      </w:pPr>
      <w:r>
        <w:rPr>
          <w:rFonts w:ascii="Times New Roman" w:cs="Times New Roman" w:eastAsia="Times New Roman" w:hAnsi="Times New Roman"/>
          <w:sz w:val="18"/>
          <w:szCs w:val="18"/>
          <w:color w:val="auto"/>
        </w:rPr>
        <w:t>Several European legislative proposals could significantly affect our business. For example, the ePrivacy Regulation, which would repeal the ePrivacy Directive, could impose new obligations or limitations in areas affecting our business, notably with respect to the use of cookies.</w:t>
      </w:r>
    </w:p>
    <w:p>
      <w:pPr>
        <w:spacing w:after="0" w:line="58" w:lineRule="exact"/>
        <w:rPr>
          <w:sz w:val="20"/>
          <w:szCs w:val="20"/>
          <w:color w:val="auto"/>
        </w:rPr>
      </w:pPr>
    </w:p>
    <w:p>
      <w:pPr>
        <w:ind w:right="180" w:firstLine="479"/>
        <w:spacing w:after="0" w:line="256" w:lineRule="auto"/>
        <w:rPr>
          <w:sz w:val="20"/>
          <w:szCs w:val="20"/>
          <w:color w:val="auto"/>
        </w:rPr>
      </w:pPr>
      <w:r>
        <w:rPr>
          <w:rFonts w:ascii="Times New Roman" w:cs="Times New Roman" w:eastAsia="Times New Roman" w:hAnsi="Times New Roman"/>
          <w:sz w:val="18"/>
          <w:szCs w:val="18"/>
          <w:color w:val="auto"/>
        </w:rPr>
        <w:t>We may have to change our business practices to comply with such obligations. These changes to the regulatory landscape, coupled with EU and UK regulators’ increasing focus on compliance with requirements related to the online behavioral advertising ecosystem could, limit the ability to obtain data through integrations with data suppliers, divert the attention of our technology personnel, adversely affect our margins, subject us to liabilities, and may require us to make significant operational changes.</w:t>
      </w:r>
    </w:p>
    <w:p>
      <w:pPr>
        <w:spacing w:after="0" w:line="74" w:lineRule="exact"/>
        <w:rPr>
          <w:sz w:val="20"/>
          <w:szCs w:val="20"/>
          <w:color w:val="auto"/>
        </w:rPr>
      </w:pPr>
    </w:p>
    <w:p>
      <w:pPr>
        <w:ind w:firstLine="479"/>
        <w:spacing w:after="0" w:line="270" w:lineRule="auto"/>
        <w:rPr>
          <w:sz w:val="20"/>
          <w:szCs w:val="20"/>
          <w:color w:val="auto"/>
        </w:rPr>
      </w:pPr>
      <w:r>
        <w:rPr>
          <w:rFonts w:ascii="Times New Roman" w:cs="Times New Roman" w:eastAsia="Times New Roman" w:hAnsi="Times New Roman"/>
          <w:sz w:val="17"/>
          <w:szCs w:val="17"/>
          <w:color w:val="auto"/>
        </w:rPr>
        <w:t>Furthermore, we may be unable to transfer Personal Information from Europe and other jurisdictions to the United States or other countries due to data localization requirements or limitations on cross-border transfers of Personal Information. In particular, the EEA and UK have significantly restricted the transfer of Personal Information to countries outside of the EEA. Other jurisdictions may adopt similarly stringent interpretations of their data localization and cross-border data transfer laws. Although the European Commission adopted the EU-US Data Privacy Framework and the United Kingdom adopted the UK Extension to permit transfers from the EEA and United Kingdom to the United States and there are currently various mechanisms that may be used to transfer Personal Information from the EEA and UK to the United States in compliance with law, these mechanisms are subject to ongoing legal challenges.</w:t>
      </w:r>
    </w:p>
    <w:p>
      <w:pPr>
        <w:spacing w:after="0" w:line="63" w:lineRule="exact"/>
        <w:rPr>
          <w:sz w:val="20"/>
          <w:szCs w:val="20"/>
          <w:color w:val="auto"/>
        </w:rPr>
      </w:pPr>
    </w:p>
    <w:p>
      <w:pPr>
        <w:ind w:right="80" w:firstLine="479"/>
        <w:spacing w:after="0" w:line="250" w:lineRule="auto"/>
        <w:rPr>
          <w:sz w:val="20"/>
          <w:szCs w:val="20"/>
          <w:color w:val="auto"/>
        </w:rPr>
      </w:pPr>
      <w:r>
        <w:rPr>
          <w:rFonts w:ascii="Times New Roman" w:cs="Times New Roman" w:eastAsia="Times New Roman" w:hAnsi="Times New Roman"/>
          <w:sz w:val="18"/>
          <w:szCs w:val="18"/>
          <w:color w:val="auto"/>
        </w:rPr>
        <w:t>If there is no lawful manner for us to transfer Personal Information from the EEA, the UK or other jurisdictions to the United States, or if the requirements for a legally-compliant transfer are too onerous, we may face increased exposure to regulatory actions, substantial fines, and injunctions against Processing or transferring Personal Information from Europe or elsewhere. For example, some European regulators have ordered certain companies to suspend or permanently cease transfers of Personal Information out of Europe for allegedly violating the GDPR’s cross-border data transfer limitations. The inability to import Personal Information to the United States could significantly and negatively impact our business operations, including by limiting our ability to collaborate with parties that are subject to European and other data privacy and security laws, limiting our ability to obtain inventory or data from suppliers operating in Europe, or requiring us to increase our Personal Information processing capabilities and infrastructure in Europe and/or elsewhere at significant expense.</w:t>
      </w:r>
    </w:p>
    <w:p>
      <w:pPr>
        <w:spacing w:after="0" w:line="83"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Additionally, our employees and personnel use, and increasingly rely on, generative AI and automated decision-making technologies to perform their work and our business offers services that utilize generative AI, and such usage may be subject to various laws and other obligations, including those related to privacy, and governments have passed and are likely to pass additional laws regulating generative AI. For example, the California Privacy Protection Agency is in the process of promulgating regulatory requirements relating to automated decision-making technologies.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79" w:lineRule="exact"/>
        <w:rPr>
          <w:sz w:val="20"/>
          <w:szCs w:val="20"/>
          <w:color w:val="auto"/>
        </w:rPr>
      </w:pPr>
    </w:p>
    <w:p>
      <w:pPr>
        <w:jc w:val="both"/>
        <w:ind w:right="660" w:firstLine="479"/>
        <w:spacing w:after="0" w:line="256" w:lineRule="auto"/>
        <w:rPr>
          <w:sz w:val="20"/>
          <w:szCs w:val="20"/>
          <w:color w:val="auto"/>
        </w:rPr>
      </w:pPr>
      <w:r>
        <w:rPr>
          <w:rFonts w:ascii="Times New Roman" w:cs="Times New Roman" w:eastAsia="Times New Roman" w:hAnsi="Times New Roman"/>
          <w:sz w:val="18"/>
          <w:szCs w:val="18"/>
          <w:color w:val="auto"/>
        </w:rPr>
        <w:t>Further, privacy advocates and industry groups have proposed, and may propose in the future, industry standards with which we are legally or contractually bound to comply. Moreover, we may make statements about our data Processing practices in light of these standards. For example, best practices and self-regulatory standards, such as those promulgated by the Network Advertising Initiative, the Digital Advertising Alliance, and their international counterparts, apply to many players in the advertising technology ecosystem.</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1" w:name="page52"/>
    <w:bookmarkEnd w:id="51"/>
    <w:p>
      <w:pPr>
        <w:ind w:right="140"/>
        <w:spacing w:after="0" w:line="256" w:lineRule="auto"/>
        <w:rPr>
          <w:sz w:val="20"/>
          <w:szCs w:val="20"/>
          <w:color w:val="auto"/>
        </w:rPr>
      </w:pPr>
      <w:r>
        <w:rPr>
          <w:rFonts w:ascii="Times New Roman" w:cs="Times New Roman" w:eastAsia="Times New Roman" w:hAnsi="Times New Roman"/>
          <w:sz w:val="18"/>
          <w:szCs w:val="18"/>
          <w:color w:val="auto"/>
        </w:rPr>
        <w:t>Some of these self-regulatory bodies can discipline members, which could result in fines, penalties, and/or public censure. Additionally, some of these self-regulatory bodies might refer violations of their requirements to the Federal Trade Commission or other regulatory bodies. See “—</w:t>
      </w:r>
      <w:r>
        <w:rPr>
          <w:rFonts w:ascii="Times New Roman" w:cs="Times New Roman" w:eastAsia="Times New Roman" w:hAnsi="Times New Roman"/>
          <w:sz w:val="18"/>
          <w:szCs w:val="18"/>
          <w:i w:val="1"/>
          <w:iCs w:val="1"/>
          <w:color w:val="auto"/>
        </w:rPr>
        <w:t>Our business or ability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operate our platform could be impacted by changes in technology initiated by technology companies, end users, or government regulation. Such developments, including the restriction of “third-party cookies,” could cause instability in the advertising technology industry</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right="280" w:firstLine="479"/>
        <w:spacing w:after="0" w:line="256" w:lineRule="auto"/>
        <w:rPr>
          <w:sz w:val="20"/>
          <w:szCs w:val="20"/>
          <w:color w:val="auto"/>
        </w:rPr>
      </w:pPr>
      <w:r>
        <w:rPr>
          <w:rFonts w:ascii="Times New Roman" w:cs="Times New Roman" w:eastAsia="Times New Roman" w:hAnsi="Times New Roman"/>
          <w:sz w:val="18"/>
          <w:szCs w:val="18"/>
          <w:color w:val="auto"/>
        </w:rPr>
        <w:t>Similarly, there has been increasing global scrutiny over online political advertising, and online political advertising laws are rapidly evolving. For example, publishers of online content have imposed varying prohibitions and restrictions on the types and breadth of political advertising allowed on their platforms. The lack of uniformity and increasing requirements for transparency and disclosure could adversely impact the demand for political advertising services and increase our operating and compliance costs.</w:t>
      </w:r>
    </w:p>
    <w:p>
      <w:pPr>
        <w:spacing w:after="0" w:line="74" w:lineRule="exact"/>
        <w:rPr>
          <w:sz w:val="20"/>
          <w:szCs w:val="20"/>
          <w:color w:val="auto"/>
        </w:rPr>
      </w:pPr>
    </w:p>
    <w:p>
      <w:pPr>
        <w:ind w:right="40" w:firstLine="479"/>
        <w:spacing w:after="0" w:line="250" w:lineRule="auto"/>
        <w:rPr>
          <w:sz w:val="20"/>
          <w:szCs w:val="20"/>
          <w:color w:val="auto"/>
        </w:rPr>
      </w:pPr>
      <w:r>
        <w:rPr>
          <w:rFonts w:ascii="Times New Roman" w:cs="Times New Roman" w:eastAsia="Times New Roman" w:hAnsi="Times New Roman"/>
          <w:sz w:val="18"/>
          <w:szCs w:val="18"/>
          <w:color w:val="auto"/>
        </w:rPr>
        <w:t>Because the interpretation and application of privacy and data protection laws, regulations, standards and other privacy obligations are uncertain and quickly changing, it is possible that these obligations may be interpreted and applied in manners that are, or are asserted to be, inconsistent with our practices. Preparing for and complying with these obligations requires significant resources. Further, adaptation of the digital advertising marketplace requires increasingly significant collaboration between participants in the market, such as publishers and marketers. Failure of the industry to adapt to changes in data privacy and security obligations and user response to such changes could negatively impact inventory, data, and demand. We cannot control or predict the pace or effectiveness of such adaptation, and we cannot predict the impact such changes may have on our business. In addition, it may be necessary for us to fundamentally change our business activities, information technologies, systems, and practices, and to those of any third parties that Process Personal Information on our behalf.</w:t>
      </w:r>
    </w:p>
    <w:p>
      <w:pPr>
        <w:spacing w:after="0" w:line="83" w:lineRule="exact"/>
        <w:rPr>
          <w:sz w:val="20"/>
          <w:szCs w:val="20"/>
          <w:color w:val="auto"/>
        </w:rPr>
      </w:pPr>
    </w:p>
    <w:p>
      <w:pPr>
        <w:ind w:right="40" w:firstLine="479"/>
        <w:spacing w:after="0" w:line="249" w:lineRule="auto"/>
        <w:rPr>
          <w:sz w:val="20"/>
          <w:szCs w:val="20"/>
          <w:color w:val="auto"/>
        </w:rPr>
      </w:pPr>
      <w:r>
        <w:rPr>
          <w:rFonts w:ascii="Times New Roman" w:cs="Times New Roman" w:eastAsia="Times New Roman" w:hAnsi="Times New Roman"/>
          <w:sz w:val="18"/>
          <w:szCs w:val="18"/>
          <w:color w:val="auto"/>
        </w:rPr>
        <w:t>We may at times fail or be perceived to have failed to comply with all applicable data privacy and security obligations, despite our efforts to comply. Moreover, despite our efforts, our customers,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Any inability, or perceived inability, to address or comply with applicable data privacy or security obligations could result in significant consequences, including, but not limited to, government enforcement actions (e.g., investigations, fines, penalties, audits, inspections, and similar); litigation (including class-related claims) and mass arbitration demands; additional reporting requirements and/or oversight; bans on Processing Personal Information; and orders to destroy or not use Personal Information. Any of these events could have a material adverse effect on our reputation, business, or financial condition, including but not limited to: loss of customers, additional costs and liabilities, damage our reputation, reduction in sales and demand for our platform, and harm our business.</w:t>
      </w:r>
    </w:p>
    <w:p>
      <w:pPr>
        <w:spacing w:after="0" w:line="86" w:lineRule="exact"/>
        <w:rPr>
          <w:sz w:val="20"/>
          <w:szCs w:val="20"/>
          <w:color w:val="auto"/>
        </w:rPr>
      </w:pPr>
    </w:p>
    <w:p>
      <w:pPr>
        <w:ind w:right="480" w:firstLine="479"/>
        <w:spacing w:after="0" w:line="261" w:lineRule="auto"/>
        <w:rPr>
          <w:sz w:val="20"/>
          <w:szCs w:val="20"/>
          <w:color w:val="auto"/>
        </w:rPr>
      </w:pPr>
      <w:r>
        <w:rPr>
          <w:rFonts w:ascii="Times New Roman" w:cs="Times New Roman" w:eastAsia="Times New Roman" w:hAnsi="Times New Roman"/>
          <w:sz w:val="18"/>
          <w:szCs w:val="18"/>
          <w:color w:val="auto"/>
        </w:rPr>
        <w:t>We have in the past been, and may in the future be, subject to enforcement actions, investigations, litigation, or other inquiries regarding our data privacy and security practices. For example, the FTC investigated our wholly owned subsidiary, Myspace LLC, and filed a complaint shortly after we acquired them in late 2011. See “—</w:t>
      </w:r>
      <w:r>
        <w:rPr>
          <w:rFonts w:ascii="Times New Roman" w:cs="Times New Roman" w:eastAsia="Times New Roman" w:hAnsi="Times New Roman"/>
          <w:sz w:val="18"/>
          <w:szCs w:val="18"/>
          <w:i w:val="1"/>
          <w:iCs w:val="1"/>
          <w:color w:val="auto"/>
        </w:rPr>
        <w:t>We face liabilities arising out of our ownership and operation of Myspace.com</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Plaintiffs have also become increasingly more active in bringing privacy-related claims against companies, including class action claims and mass arbitration demands. Some of these claims allow for the recovery of statutory damages on a per violation basis; if viable, these claims carry the potential for monumental statutory damages, depending on the volume of data and the number of violations.</w:t>
      </w:r>
    </w:p>
    <w:p>
      <w:pPr>
        <w:spacing w:after="0" w:line="172"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7"/>
          <w:szCs w:val="17"/>
          <w:b w:val="1"/>
          <w:bCs w:val="1"/>
          <w:i w:val="1"/>
          <w:iCs w:val="1"/>
          <w:color w:val="auto"/>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p>
    <w:p>
      <w:pPr>
        <w:spacing w:after="0" w:line="31" w:lineRule="exact"/>
        <w:rPr>
          <w:sz w:val="20"/>
          <w:szCs w:val="20"/>
          <w:color w:val="auto"/>
        </w:rPr>
      </w:pPr>
    </w:p>
    <w:p>
      <w:pPr>
        <w:ind w:firstLine="479"/>
        <w:spacing w:after="0" w:line="250" w:lineRule="auto"/>
        <w:rPr>
          <w:sz w:val="20"/>
          <w:szCs w:val="20"/>
          <w:color w:val="auto"/>
        </w:rPr>
      </w:pPr>
      <w:r>
        <w:rPr>
          <w:rFonts w:ascii="Times New Roman" w:cs="Times New Roman" w:eastAsia="Times New Roman" w:hAnsi="Times New Roman"/>
          <w:sz w:val="18"/>
          <w:szCs w:val="18"/>
          <w:color w:val="auto"/>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may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or quality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81" w:lineRule="exact"/>
        <w:rPr>
          <w:sz w:val="20"/>
          <w:szCs w:val="20"/>
          <w:color w:val="auto"/>
        </w:rPr>
      </w:pPr>
    </w:p>
    <w:p>
      <w:pPr>
        <w:ind w:right="140" w:firstLine="479"/>
        <w:spacing w:after="0" w:line="256" w:lineRule="auto"/>
        <w:rPr>
          <w:sz w:val="20"/>
          <w:szCs w:val="20"/>
          <w:color w:val="auto"/>
        </w:rPr>
      </w:pPr>
      <w:r>
        <w:rPr>
          <w:rFonts w:ascii="Times New Roman" w:cs="Times New Roman" w:eastAsia="Times New Roman" w:hAnsi="Times New Roman"/>
          <w:sz w:val="18"/>
          <w:szCs w:val="18"/>
          <w:color w:val="auto"/>
        </w:rPr>
        <w:t>For example, in recent years browser providers have enacted and may continue to enact changes restricting the use of third-party cookies in their browsers, which may cause instability in the digital advertising market. Execution and measurement in digital advertising relies to a significant extent on the use of cookies, pixels and other similar technology, including mobile device identifiers that are provided by mobile operating systems for advertising purposes, to collect data about users and devices (collectively referred to</w:t>
      </w:r>
    </w:p>
    <w:p>
      <w:pPr>
        <w:spacing w:after="0" w:line="3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2" w:name="page53"/>
    <w:bookmarkEnd w:id="52"/>
    <w:p>
      <w:pPr>
        <w:spacing w:after="0" w:line="264" w:lineRule="auto"/>
        <w:rPr>
          <w:sz w:val="20"/>
          <w:szCs w:val="20"/>
          <w:color w:val="auto"/>
        </w:rPr>
      </w:pPr>
      <w:r>
        <w:rPr>
          <w:rFonts w:ascii="Times New Roman" w:cs="Times New Roman" w:eastAsia="Times New Roman" w:hAnsi="Times New Roman"/>
          <w:sz w:val="17"/>
          <w:szCs w:val="17"/>
          <w:color w:val="auto"/>
        </w:rPr>
        <w:t>as "cookies"). Although we believe our business is less reliant on cookies than some of our competitors because we do not need cookies for marketers and their advertising agencies to identify consumers with our identity resolution capabilities and identity graph, we do use third-party cookies in connection with obtaining information about consumers, and for delivering digital advertising. Today, Apple's Safari, Mozilla's Firefox and Microsoft's Edge already block third-party cookies by default. Google's web browser, Chrome, offers controls over third-party cookies and, while it no longer plans to deprecate support for third-party cookies and user agent string entirely, Google has committed to enhancing its “Privacy Sandbox” label, which may result in modified targeting and measurement functionality to digital advertising ecosystem participants, and the introduction of new browser-level controls on Chrome, which will allow users to make an informed choice regarding cookies that will apply across their web browsing. We believe that Google’s ongoing development of these technologies, which we expect to be technically complex and designed in a manner that does not favor us or our partners, has created and will likely continue to create industry uncertainty regarding the potential effects on user experience and advertiser targeting and measurement. Although we believe our platform is well-positioned to adapt to such changes, particularly with our HHID and IRIS_ID, the impact of such changes remains uncertain and could be more disruptive than we anticipate, including to the display advertising ecosystem in particular, where such changes could adversely impact our growth in that channel. Google has also introduced ad blocking software in its Chrome web browser that will block certain ads based on quality standards established under a multi-stakeholder coalition. Other browsers have added similar controls. These actions will have significant impacts on the digital advertising and marketing ecosystems in which we operate, which could cause changes in advertising budget allocations and thereby could negatively impact our business. In addition, these browser and platform providers may frequently delay or change their previously announced operations or policies.</w:t>
      </w:r>
    </w:p>
    <w:p>
      <w:pPr>
        <w:spacing w:after="0" w:line="72" w:lineRule="exact"/>
        <w:rPr>
          <w:sz w:val="20"/>
          <w:szCs w:val="20"/>
          <w:color w:val="auto"/>
        </w:rPr>
      </w:pPr>
    </w:p>
    <w:p>
      <w:pPr>
        <w:ind w:right="80" w:firstLine="479"/>
        <w:spacing w:after="0" w:line="252" w:lineRule="auto"/>
        <w:rPr>
          <w:sz w:val="20"/>
          <w:szCs w:val="20"/>
          <w:color w:val="auto"/>
        </w:rPr>
      </w:pPr>
      <w:r>
        <w:rPr>
          <w:rFonts w:ascii="Times New Roman" w:cs="Times New Roman" w:eastAsia="Times New Roman" w:hAnsi="Times New Roman"/>
          <w:sz w:val="18"/>
          <w:szCs w:val="18"/>
          <w:color w:val="auto"/>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For example, Apple introduced an iOS update in April 2021 that requires users to opt-in to tracking of their activity across devices. Privacy aspects of other channels for programmatic advertising, such as CTVs or over-the-top video, are still developing. Technical or policy changes, including regulation or industry self-regulation, could harm our growth in those channels.</w:t>
      </w:r>
    </w:p>
    <w:p>
      <w:pPr>
        <w:spacing w:after="0" w:line="79" w:lineRule="exact"/>
        <w:rPr>
          <w:sz w:val="20"/>
          <w:szCs w:val="20"/>
          <w:color w:val="auto"/>
        </w:rPr>
      </w:pPr>
    </w:p>
    <w:p>
      <w:pPr>
        <w:ind w:right="60" w:firstLine="479"/>
        <w:spacing w:after="0" w:line="270" w:lineRule="auto"/>
        <w:rPr>
          <w:sz w:val="20"/>
          <w:szCs w:val="20"/>
          <w:color w:val="auto"/>
        </w:rPr>
      </w:pPr>
      <w:r>
        <w:rPr>
          <w:rFonts w:ascii="Times New Roman" w:cs="Times New Roman" w:eastAsia="Times New Roman" w:hAnsi="Times New Roman"/>
          <w:sz w:val="17"/>
          <w:szCs w:val="17"/>
          <w:color w:val="auto"/>
        </w:rPr>
        <w:t>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California Privacy Protection Agency, and state Attorneys General, as well as privacy advocates, have raised significant concerns around observed data and targeted advertising. This has led to an array of laws and pending legislation permitting individuals to exercise the ability to opt-out of targeted advertising and the introduction of technologies introduced to address these concerns, and individuals are increasingly aware of these options. For example, several of the State Privacy Laws obligate companies to honor requests to opt out of targeted advertising or sales of personal information transmitted via user-enabled Global Privacy Control.</w:t>
      </w:r>
    </w:p>
    <w:p>
      <w:pPr>
        <w:spacing w:after="0" w:line="63" w:lineRule="exact"/>
        <w:rPr>
          <w:sz w:val="20"/>
          <w:szCs w:val="20"/>
          <w:color w:val="auto"/>
        </w:rPr>
      </w:pPr>
    </w:p>
    <w:p>
      <w:pPr>
        <w:ind w:right="80" w:firstLine="479"/>
        <w:spacing w:after="0" w:line="275" w:lineRule="auto"/>
        <w:rPr>
          <w:sz w:val="20"/>
          <w:szCs w:val="20"/>
          <w:color w:val="auto"/>
        </w:rPr>
      </w:pPr>
      <w:r>
        <w:rPr>
          <w:rFonts w:ascii="Times New Roman" w:cs="Times New Roman" w:eastAsia="Times New Roman" w:hAnsi="Times New Roman"/>
          <w:sz w:val="18"/>
          <w:szCs w:val="18"/>
          <w:color w:val="auto"/>
        </w:rPr>
        <w:t>Limitations on our or our customers’ ability to collect and use data for advertising, whether imposed by established technology companies, legislation, or otherwise, may impact the performance of our platform and our business performance.</w:t>
      </w:r>
    </w:p>
    <w:p>
      <w:pPr>
        <w:spacing w:after="0" w:line="160"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 significant breach of our IT Systems or disclosure of our Confidential Data, or of the security of our or our customers’, suppliers’, or other third parties’ systems upon which we rely could be detrimental to our business, reputation and results of operations.</w:t>
      </w:r>
    </w:p>
    <w:p>
      <w:pPr>
        <w:spacing w:after="0" w:line="53" w:lineRule="exact"/>
        <w:rPr>
          <w:sz w:val="20"/>
          <w:szCs w:val="20"/>
          <w:color w:val="auto"/>
        </w:rPr>
      </w:pPr>
    </w:p>
    <w:p>
      <w:pPr>
        <w:jc w:val="both"/>
        <w:ind w:right="200" w:firstLine="479"/>
        <w:spacing w:after="0" w:line="256"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(collectively, "IT Systems"). We own and manage some of these IT Systems but also rely on third parties for various IT Systems, products and services. In addition, our business requires the processing of proprietary, confidential, and sensitive data, including personal information, intellectual property and trade secrets (collectively, “Confidential Data”).</w:t>
      </w:r>
    </w:p>
    <w:p>
      <w:pPr>
        <w:spacing w:after="0" w:line="74" w:lineRule="exact"/>
        <w:rPr>
          <w:sz w:val="20"/>
          <w:szCs w:val="20"/>
          <w:color w:val="auto"/>
        </w:rPr>
      </w:pPr>
    </w:p>
    <w:p>
      <w:pPr>
        <w:ind w:right="100" w:firstLine="479"/>
        <w:spacing w:after="0" w:line="249" w:lineRule="auto"/>
        <w:rPr>
          <w:sz w:val="20"/>
          <w:szCs w:val="20"/>
          <w:color w:val="auto"/>
        </w:rPr>
      </w:pPr>
      <w:r>
        <w:rPr>
          <w:rFonts w:ascii="Times New Roman" w:cs="Times New Roman" w:eastAsia="Times New Roman" w:hAnsi="Times New Roman"/>
          <w:sz w:val="18"/>
          <w:szCs w:val="18"/>
          <w:color w:val="auto"/>
        </w:rPr>
        <w:t>Like all companies, our IT Systems and Confidential Data are targets for cyber-attacks, malicious internet-based activity, online and offline fraud, and other similar activities by third parties that threaten the confidentiality, integrity, and availability of our IT Systems and Confidential Data. We and the third parties upon which we rely face a variety of evolving threats, which could cause security breaches that lead to operational disruption and/or compromises to our IT Systems and Confidential Data. In recent years, the frequency, severity and sophistication of cyber-attacks and other intentional misconduct has significantly increased, and these threats are becoming increasingly difficult to detect. These threats come from a variety of sources, including traditional computer hackers, nation states, threat actors, and personnel (such as through theft or misuse). We and the third parties upon which we rely are subject to a variety of evolving threats, including but not limited to social-engineering attacks (including through deep fakes, which may be increasingly more difficult to identify as fake given the increased usage of AI, and phishing attacks), malicious code (such as viruses and worms), malware (including as a result of advanced persistent threat intrusions), denial-of-service attacks (such as credential stuffing), personnel misconduct or error, malfeasance by insiders, ransomware attacks, supply-chain attacks, software bugs, server malfunctions, software or hardware failures, loss of data or other IT Systems, adware, telecommunications failures, earthquakes, fires, floods, and other similar threats.</w:t>
      </w:r>
    </w:p>
    <w:p>
      <w:pPr>
        <w:spacing w:after="0" w:line="200" w:lineRule="exact"/>
        <w:rPr>
          <w:sz w:val="20"/>
          <w:szCs w:val="20"/>
          <w:color w:val="auto"/>
        </w:rPr>
      </w:pPr>
    </w:p>
    <w:p>
      <w:pPr>
        <w:spacing w:after="0" w:line="20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3" w:name="page54"/>
    <w:bookmarkEnd w:id="53"/>
    <w:p>
      <w:pPr>
        <w:ind w:right="120" w:firstLine="479"/>
        <w:spacing w:after="0" w:line="256" w:lineRule="auto"/>
        <w:rPr>
          <w:sz w:val="20"/>
          <w:szCs w:val="20"/>
          <w:color w:val="auto"/>
        </w:rPr>
      </w:pPr>
      <w:r>
        <w:rPr>
          <w:rFonts w:ascii="Times New Roman" w:cs="Times New Roman" w:eastAsia="Times New Roman" w:hAnsi="Times New Roman"/>
          <w:sz w:val="18"/>
          <w:szCs w:val="18"/>
          <w:color w:val="auto"/>
        </w:rPr>
        <w:t>Threat actors, nation-states, and nation-state-supported actors now engage, and are expected to continue to engage, in cyber-attacks, including for geopolitical reasons and in connection with military conflicts and operations, as well as for financial gain. During times of war and other major conflicts, we and the third parties upon which we rely may be vulnerable to heightened risk of these attacks, including cyber-attacks that could materially disrupt our systems and operations, supply chain, and ability to conduct our business.</w:t>
      </w:r>
    </w:p>
    <w:p>
      <w:pPr>
        <w:spacing w:after="0" w:line="74" w:lineRule="exact"/>
        <w:rPr>
          <w:sz w:val="20"/>
          <w:szCs w:val="20"/>
          <w:color w:val="auto"/>
        </w:rPr>
      </w:pPr>
    </w:p>
    <w:p>
      <w:pPr>
        <w:ind w:right="340" w:firstLine="479"/>
        <w:spacing w:after="0" w:line="261" w:lineRule="auto"/>
        <w:rPr>
          <w:sz w:val="20"/>
          <w:szCs w:val="20"/>
          <w:color w:val="auto"/>
        </w:rPr>
      </w:pPr>
      <w:r>
        <w:rPr>
          <w:rFonts w:ascii="Times New Roman" w:cs="Times New Roman" w:eastAsia="Times New Roman" w:hAnsi="Times New Roman"/>
          <w:sz w:val="18"/>
          <w:szCs w:val="18"/>
          <w:color w:val="auto"/>
        </w:rPr>
        <w:t>Ransomware attacks are becoming increasingly prevalent and severe and can lead to significant interruptions in our operations, loss of data and income, reputational harm, and diversion of funds. Extortion payments may alleviate some of the negative impact of a ransomware attack, but we may be unwilling or unable to make such payments due to, for example, applicable laws or regulations prohibiting such payments.</w:t>
      </w:r>
    </w:p>
    <w:p>
      <w:pPr>
        <w:spacing w:after="0" w:line="69" w:lineRule="exact"/>
        <w:rPr>
          <w:sz w:val="20"/>
          <w:szCs w:val="20"/>
          <w:color w:val="auto"/>
        </w:rPr>
      </w:pPr>
    </w:p>
    <w:p>
      <w:pPr>
        <w:ind w:firstLine="479"/>
        <w:spacing w:after="0" w:line="250" w:lineRule="auto"/>
        <w:rPr>
          <w:sz w:val="20"/>
          <w:szCs w:val="20"/>
          <w:color w:val="auto"/>
        </w:rPr>
      </w:pPr>
      <w:r>
        <w:rPr>
          <w:rFonts w:ascii="Times New Roman" w:cs="Times New Roman" w:eastAsia="Times New Roman" w:hAnsi="Times New Roman"/>
          <w:sz w:val="18"/>
          <w:szCs w:val="18"/>
          <w:color w:val="auto"/>
        </w:rPr>
        <w:t>Further, we rely upon third-party service providers and technologies to operate critical business systems to process Confidential Data, including, without limitation, third-party providers of cloud-based infrastructure such as Google Cloud Platform and Amazon Web Services, employee email, and other functions. We may share or receive Confidential Data with or from third parties. Our ability to monitor these third parties’ security practices is limited, and these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Similarly, supply-chain attacks have increased in frequency and severity, and third parties and infrastructure in our supply chain or our third-party partners’ supply chains may become compromised or contain exploitable defects or bugs that could result in a breach of or disruption to our IT Systems (including our products/services) or the third-party information technology systems that support us and our services.</w:t>
      </w:r>
    </w:p>
    <w:p>
      <w:pPr>
        <w:spacing w:after="0" w:line="81" w:lineRule="exact"/>
        <w:rPr>
          <w:sz w:val="20"/>
          <w:szCs w:val="20"/>
          <w:color w:val="auto"/>
        </w:rPr>
      </w:pPr>
    </w:p>
    <w:p>
      <w:pPr>
        <w:ind w:right="200" w:firstLine="479"/>
        <w:spacing w:after="0" w:line="256"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4" w:lineRule="exact"/>
        <w:rPr>
          <w:sz w:val="20"/>
          <w:szCs w:val="20"/>
          <w:color w:val="auto"/>
        </w:rPr>
      </w:pPr>
    </w:p>
    <w:p>
      <w:pPr>
        <w:ind w:right="320" w:firstLine="479"/>
        <w:spacing w:after="0" w:line="305" w:lineRule="auto"/>
        <w:rPr>
          <w:sz w:val="20"/>
          <w:szCs w:val="20"/>
          <w:color w:val="auto"/>
        </w:rPr>
      </w:pPr>
      <w:r>
        <w:rPr>
          <w:rFonts w:ascii="Times New Roman" w:cs="Times New Roman" w:eastAsia="Times New Roman" w:hAnsi="Times New Roman"/>
          <w:sz w:val="17"/>
          <w:szCs w:val="17"/>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35" w:lineRule="exact"/>
        <w:rPr>
          <w:sz w:val="20"/>
          <w:szCs w:val="20"/>
          <w:color w:val="auto"/>
        </w:rPr>
      </w:pPr>
    </w:p>
    <w:p>
      <w:pPr>
        <w:ind w:right="360" w:firstLine="479"/>
        <w:spacing w:after="0" w:line="275" w:lineRule="auto"/>
        <w:rPr>
          <w:sz w:val="20"/>
          <w:szCs w:val="20"/>
          <w:color w:val="auto"/>
        </w:rPr>
      </w:pPr>
      <w:r>
        <w:rPr>
          <w:rFonts w:ascii="Times New Roman" w:cs="Times New Roman" w:eastAsia="Times New Roman" w:hAnsi="Times New Roman"/>
          <w:sz w:val="18"/>
          <w:szCs w:val="18"/>
          <w:color w:val="auto"/>
        </w:rPr>
        <w:t>Any of the previously identified or similar threats, whether actual or perceived, could cause a security breach or other interruption, resulting in the unauthorized, unlawful, or accidental acquisition, modification, misuse, destruction, disclosure of, encryption of, or loss of Confidential Data.</w:t>
      </w:r>
    </w:p>
    <w:p>
      <w:pPr>
        <w:spacing w:after="0" w:line="58"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Cyberattacks are expected to accelerate on a global basis in frequency and magnitude as threat actors are becoming increasingly sophisticated in using techniques and tools—including AI—that circumvent security controls, evade detection, and remove forensic evidence. As a result, we may be unable to prevent, detect, investigate, remediate, or recover from future attacks or incidents, or to avoid a material adverse impact to our IT Systems, Confidential Data, or business. There can also be no assurance that our cybersecurity risk management program and processes, including our policies, controls, or procedures, will be fully implemented, complied with or effective in protecting our IT Systems and Confidential Data.</w:t>
      </w:r>
    </w:p>
    <w:p>
      <w:pPr>
        <w:spacing w:after="0" w:line="79" w:lineRule="exact"/>
        <w:rPr>
          <w:sz w:val="20"/>
          <w:szCs w:val="20"/>
          <w:color w:val="auto"/>
        </w:rPr>
      </w:pPr>
    </w:p>
    <w:p>
      <w:pPr>
        <w:ind w:right="20" w:firstLine="479"/>
        <w:spacing w:after="0" w:line="250" w:lineRule="auto"/>
        <w:rPr>
          <w:sz w:val="20"/>
          <w:szCs w:val="20"/>
          <w:color w:val="auto"/>
        </w:rPr>
      </w:pPr>
      <w:r>
        <w:rPr>
          <w:rFonts w:ascii="Times New Roman" w:cs="Times New Roman" w:eastAsia="Times New Roman" w:hAnsi="Times New Roman"/>
          <w:sz w:val="18"/>
          <w:szCs w:val="18"/>
          <w:color w:val="auto"/>
        </w:rPr>
        <w:t>Although we have taken measures to protect our systems from such threats, these measures may not be effective, and we and certain of our third-party providers regularly experience cyberattacks and other incidents, and we expect such incidents to continue in varying degrees. For example, in 2016, we discovered a breach of information from our Myspace databases resulting in the unauthorized access and offer for sale of approximately 360 million Myspace user account email addresses, usernames, and hashed passwords. See “—</w:t>
      </w:r>
      <w:r>
        <w:rPr>
          <w:rFonts w:ascii="Times New Roman" w:cs="Times New Roman" w:eastAsia="Times New Roman" w:hAnsi="Times New Roman"/>
          <w:sz w:val="18"/>
          <w:szCs w:val="18"/>
          <w:i w:val="1"/>
          <w:iCs w:val="1"/>
          <w:color w:val="auto"/>
        </w:rPr>
        <w:t>We face liabilities arising out of our ownership and operation of Myspace.com.</w:t>
      </w:r>
      <w:r>
        <w:rPr>
          <w:rFonts w:ascii="Times New Roman" w:cs="Times New Roman" w:eastAsia="Times New Roman" w:hAnsi="Times New Roman"/>
          <w:sz w:val="18"/>
          <w:szCs w:val="18"/>
          <w:color w:val="auto"/>
        </w:rPr>
        <w:t>”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83" w:lineRule="exact"/>
        <w:rPr>
          <w:sz w:val="20"/>
          <w:szCs w:val="20"/>
          <w:color w:val="auto"/>
        </w:rPr>
      </w:pPr>
    </w:p>
    <w:p>
      <w:pPr>
        <w:ind w:right="20" w:firstLine="479"/>
        <w:spacing w:after="0" w:line="252" w:lineRule="auto"/>
        <w:rPr>
          <w:sz w:val="20"/>
          <w:szCs w:val="20"/>
          <w:color w:val="auto"/>
        </w:rPr>
      </w:pPr>
      <w:r>
        <w:rPr>
          <w:rFonts w:ascii="Times New Roman" w:cs="Times New Roman" w:eastAsia="Times New Roman" w:hAnsi="Times New Roman"/>
          <w:sz w:val="18"/>
          <w:szCs w:val="18"/>
          <w:color w:val="auto"/>
        </w:rPr>
        <w:t>We may incur significant costs in protecting against such cyberattacks and security breaches, and any cyber-related disruption or security breach of our or third parties’ IT Systems or Confidential Data could result in adverse consequences, including but not limited to litigation (such as class actions), indemnity obligations, enforcement actions, investigations, fines, penalties, mitigation and remediation costs, disputes, reputational harm, diversion of management’s attention, operational disruptions, decreased revenue, and reduced demand for our platform. Further, 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79" w:lineRule="exact"/>
        <w:rPr>
          <w:sz w:val="20"/>
          <w:szCs w:val="20"/>
          <w:color w:val="auto"/>
        </w:rPr>
      </w:pPr>
    </w:p>
    <w:p>
      <w:pPr>
        <w:ind w:right="240" w:firstLine="479"/>
        <w:spacing w:after="0" w:line="261" w:lineRule="auto"/>
        <w:rPr>
          <w:sz w:val="20"/>
          <w:szCs w:val="20"/>
          <w:color w:val="auto"/>
        </w:rPr>
      </w:pPr>
      <w:r>
        <w:rPr>
          <w:rFonts w:ascii="Times New Roman" w:cs="Times New Roman" w:eastAsia="Times New Roman" w:hAnsi="Times New Roman"/>
          <w:sz w:val="18"/>
          <w:szCs w:val="18"/>
          <w:color w:val="auto"/>
        </w:rPr>
        <w:t>Moreover, our contracts may not contain limitations of liability, and even where they do, there can be no assurance that limitations of liability in our contracts will be enforceable or are sufficient to protect us from liabilities, damages, or claims related to our data privacy and security obligations. Additionally, our insurance coverage may not be adequate or sufficient to protect us from or</w:t>
      </w:r>
    </w:p>
    <w:p>
      <w:pPr>
        <w:spacing w:after="0" w:line="38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54" w:name="page55"/>
    <w:bookmarkEnd w:id="54"/>
    <w:p>
      <w:pPr>
        <w:spacing w:after="0" w:line="275" w:lineRule="auto"/>
        <w:rPr>
          <w:sz w:val="20"/>
          <w:szCs w:val="20"/>
          <w:color w:val="auto"/>
        </w:rPr>
      </w:pPr>
      <w:r>
        <w:rPr>
          <w:rFonts w:ascii="Times New Roman" w:cs="Times New Roman" w:eastAsia="Times New Roman" w:hAnsi="Times New Roman"/>
          <w:sz w:val="18"/>
          <w:szCs w:val="18"/>
          <w:color w:val="auto"/>
        </w:rPr>
        <w:t>to mitigate liabilities arising out of our privacy and security practices, that such coverage will continue to be available on commercially reasonable terms or at all, or that such coverage will pay future claims.</w:t>
      </w:r>
    </w:p>
    <w:p>
      <w:pPr>
        <w:spacing w:after="0" w:line="58" w:lineRule="exact"/>
        <w:rPr>
          <w:sz w:val="20"/>
          <w:szCs w:val="20"/>
          <w:color w:val="auto"/>
        </w:rPr>
      </w:pPr>
    </w:p>
    <w:p>
      <w:pPr>
        <w:ind w:right="120" w:firstLine="479"/>
        <w:spacing w:after="0" w:line="25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confidential or proprietary information of the Company or our customers could be leaked, disclosed, or revealed as a result of or in connection with our employee’s, personnel’s, or vendor’s use of generative AI technologies.</w:t>
      </w:r>
    </w:p>
    <w:p>
      <w:pPr>
        <w:spacing w:after="0" w:line="74" w:lineRule="exact"/>
        <w:rPr>
          <w:sz w:val="20"/>
          <w:szCs w:val="20"/>
          <w:color w:val="auto"/>
        </w:rPr>
      </w:pPr>
    </w:p>
    <w:p>
      <w:pPr>
        <w:ind w:firstLine="479"/>
        <w:spacing w:after="0" w:line="276" w:lineRule="auto"/>
        <w:rPr>
          <w:sz w:val="20"/>
          <w:szCs w:val="20"/>
          <w:color w:val="auto"/>
        </w:rPr>
      </w:pPr>
      <w:r>
        <w:rPr>
          <w:rFonts w:ascii="Times New Roman" w:cs="Times New Roman" w:eastAsia="Times New Roman" w:hAnsi="Times New Roman"/>
          <w:sz w:val="17"/>
          <w:szCs w:val="17"/>
          <w:color w:val="auto"/>
        </w:rPr>
        <w:t>Further, certain data privacy and security obligations may require us to implement and maintain a certain level of security. For example, the Federal Trade Commission expects a company’s data security measures to be reasonable and appropriate in light of the sensitivity and volume of consumer information it holds, the size and complexity of its business, and the cost of available tools to improve security and reduce vulnerabilities. Failure to maintain this level of security could result in government investigations or enforcement actions, litigation, reputational harm, and other material adverse consequences.</w:t>
      </w:r>
    </w:p>
    <w:p>
      <w:pPr>
        <w:spacing w:after="0" w:line="58"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Finally, as we accept debit and credit cards for payment,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w:t>
      </w:r>
    </w:p>
    <w:p>
      <w:pPr>
        <w:spacing w:after="0" w:line="18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technologies may not result in the benefits we anticipate for our business, and may result in a decline in performance of our products, services and business, as well as our reputation and the reputations of our customers, or cause us to incur liability resulting from the violation of laws or contracts to which we are a party.</w:t>
      </w:r>
    </w:p>
    <w:p>
      <w:pPr>
        <w:spacing w:after="0" w:line="68" w:lineRule="exact"/>
        <w:rPr>
          <w:sz w:val="20"/>
          <w:szCs w:val="20"/>
          <w:color w:val="auto"/>
        </w:rPr>
      </w:pPr>
    </w:p>
    <w:p>
      <w:pPr>
        <w:ind w:right="180" w:firstLine="479"/>
        <w:spacing w:after="0" w:line="270" w:lineRule="auto"/>
        <w:rPr>
          <w:sz w:val="20"/>
          <w:szCs w:val="20"/>
          <w:color w:val="auto"/>
        </w:rPr>
      </w:pPr>
      <w:r>
        <w:rPr>
          <w:rFonts w:ascii="Times New Roman" w:cs="Times New Roman" w:eastAsia="Times New Roman" w:hAnsi="Times New Roman"/>
          <w:sz w:val="17"/>
          <w:szCs w:val="17"/>
          <w:color w:val="auto"/>
        </w:rPr>
        <w:t>We use AI, machine learning, and automated decision-making technologies, including our ViantAI product suite, (collectively, “AI Technologies”) throughout our business, and are making significant investments in this area. For example, our ViantAI suite currently includes AI Planning, which enables media planners to design high-impact campaigns in seconds, and AI Bidding, which optimizes inventory costs by lowering the effective cost per mille ("eCPM") through automated bid adjustments. Looking ahead, our ViantAI product roadmap features AI Measurement and Analysis, providing accessible measurement and insights via a user-friendly chat interface, and AI Decisioning, which empowers an AI agent to dynamically optimize campaigns in real-time by leveraging advanced ad strategies such as channel allocation, publisher selection, dayparting, and audience discovery.</w:t>
      </w:r>
    </w:p>
    <w:p>
      <w:pPr>
        <w:spacing w:after="0" w:line="63" w:lineRule="exact"/>
        <w:rPr>
          <w:sz w:val="20"/>
          <w:szCs w:val="20"/>
          <w:color w:val="auto"/>
        </w:rPr>
      </w:pPr>
    </w:p>
    <w:p>
      <w:pPr>
        <w:ind w:firstLine="479"/>
        <w:spacing w:after="0" w:line="283" w:lineRule="auto"/>
        <w:rPr>
          <w:sz w:val="20"/>
          <w:szCs w:val="20"/>
          <w:color w:val="auto"/>
        </w:rPr>
      </w:pPr>
      <w:r>
        <w:rPr>
          <w:rFonts w:ascii="Times New Roman" w:cs="Times New Roman" w:eastAsia="Times New Roman" w:hAnsi="Times New Roman"/>
          <w:sz w:val="17"/>
          <w:szCs w:val="17"/>
          <w:color w:val="auto"/>
        </w:rPr>
        <w:t>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w:t>
      </w:r>
    </w:p>
    <w:p>
      <w:pPr>
        <w:spacing w:after="0" w:line="53" w:lineRule="exact"/>
        <w:rPr>
          <w:sz w:val="20"/>
          <w:szCs w:val="20"/>
          <w:color w:val="auto"/>
        </w:rPr>
      </w:pPr>
    </w:p>
    <w:p>
      <w:pPr>
        <w:ind w:right="100" w:firstLine="479"/>
        <w:spacing w:after="0" w:line="252" w:lineRule="auto"/>
        <w:rPr>
          <w:sz w:val="20"/>
          <w:szCs w:val="20"/>
          <w:color w:val="auto"/>
        </w:rPr>
      </w:pPr>
      <w:r>
        <w:rPr>
          <w:rFonts w:ascii="Times New Roman" w:cs="Times New Roman" w:eastAsia="Times New Roman" w:hAnsi="Times New Roman"/>
          <w:sz w:val="18"/>
          <w:szCs w:val="18"/>
          <w:color w:val="auto"/>
        </w:rPr>
        <w:t>In particular, if the models underlying our AI Technologies are incorrectly designed or implemented; trained or reliant on incomplete, inadequate, inaccurate, biased or otherwise poor-quality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a party or civil claims.</w:t>
      </w:r>
    </w:p>
    <w:p>
      <w:pPr>
        <w:spacing w:after="0" w:line="79"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8"/>
          <w:szCs w:val="18"/>
          <w:color w:val="auto"/>
        </w:rPr>
        <w:t>With respect to our solutions that incorporate AI Technology, the market for such products and services is rapidly evolving and unproven in many industries, including our own, and important assumptions about the characteristics of targeted markets, pricing, sales cycles, cost, performance, and perceived value associated with our services or products may be inaccurate. We cannot be sure that the market will continue to grow or that it will grow in ways we anticipate. In addition, market acceptance of solutions that incorporate AI Technology is uncertain. Our failure to successfully develop and commercialize solutions involving AI Technologies could depress the market price of our stock and impair our ability to: raise capital; expand our business; provide, improve and diversify our solutions; continue our operations and efficiently manage our operating expenses; and respond effectively to competitive developments.</w:t>
      </w:r>
    </w:p>
    <w:p>
      <w:pPr>
        <w:spacing w:after="0" w:line="80" w:lineRule="exact"/>
        <w:rPr>
          <w:sz w:val="20"/>
          <w:szCs w:val="20"/>
          <w:color w:val="auto"/>
        </w:rPr>
      </w:pPr>
    </w:p>
    <w:p>
      <w:pPr>
        <w:ind w:right="100" w:firstLine="479"/>
        <w:spacing w:after="0" w:line="251" w:lineRule="auto"/>
        <w:rPr>
          <w:sz w:val="20"/>
          <w:szCs w:val="20"/>
          <w:color w:val="auto"/>
        </w:rPr>
      </w:pPr>
      <w:r>
        <w:rPr>
          <w:rFonts w:ascii="Times New Roman" w:cs="Times New Roman" w:eastAsia="Times New Roman" w:hAnsi="Times New Roman"/>
          <w:sz w:val="18"/>
          <w:szCs w:val="18"/>
          <w:color w:val="auto"/>
        </w:rPr>
        <w:t>In addition to our ViantAI product suite, we use AI Technologies licensed from third parties in our solutions and our operations and our ability to continue to use such technologies at the scale we need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 party AI Technologies are used as a hosted service, any disruption, outage, or loss of information through such hosted services could disrupt our operations or solutions, damage</w:t>
      </w:r>
    </w:p>
    <w:p>
      <w:pPr>
        <w:spacing w:after="0" w:line="39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1" w:right="379" w:bottom="1440" w:gutter="0" w:footer="0" w:header="0"/>
        </w:sectPr>
      </w:pPr>
    </w:p>
    <w:bookmarkStart w:id="55" w:name="page56"/>
    <w:bookmarkEnd w:id="55"/>
    <w:p>
      <w:pPr>
        <w:ind w:right="140"/>
        <w:spacing w:after="0" w:line="275" w:lineRule="auto"/>
        <w:rPr>
          <w:sz w:val="20"/>
          <w:szCs w:val="20"/>
          <w:color w:val="auto"/>
        </w:rPr>
      </w:pPr>
      <w:r>
        <w:rPr>
          <w:rFonts w:ascii="Times New Roman" w:cs="Times New Roman" w:eastAsia="Times New Roman" w:hAnsi="Times New Roman"/>
          <w:sz w:val="18"/>
          <w:szCs w:val="18"/>
          <w:color w:val="auto"/>
        </w:rPr>
        <w:t>our reputation, cause a loss of confidence in our solutions, or result in legal claims or proceedings, for which we may be unable to recover damages from the affected provider.</w:t>
      </w:r>
    </w:p>
    <w:p>
      <w:pPr>
        <w:spacing w:after="0" w:line="16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technology without compensating us, thereby eroding our competitive advantages and harming our business.</w:t>
      </w:r>
    </w:p>
    <w:p>
      <w:pPr>
        <w:spacing w:after="0" w:line="53"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7"/>
          <w:szCs w:val="17"/>
          <w:color w:val="auto"/>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 protection can be difficult and expensive, the laws, procedures and restrictions may provide only limited protection, and protection may not be available for some of our technology, in particular technology that uses open-source software.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spacing w:after="0" w:line="67" w:lineRule="exact"/>
        <w:rPr>
          <w:sz w:val="20"/>
          <w:szCs w:val="20"/>
          <w:color w:val="auto"/>
        </w:rPr>
      </w:pPr>
    </w:p>
    <w:p>
      <w:pPr>
        <w:ind w:right="200" w:firstLine="479"/>
        <w:spacing w:after="0" w:line="252" w:lineRule="auto"/>
        <w:rPr>
          <w:sz w:val="20"/>
          <w:szCs w:val="20"/>
          <w:color w:val="auto"/>
        </w:rPr>
      </w:pPr>
      <w:r>
        <w:rPr>
          <w:rFonts w:ascii="Times New Roman" w:cs="Times New Roman" w:eastAsia="Times New Roman" w:hAnsi="Times New Roman"/>
          <w:sz w:val="18"/>
          <w:szCs w:val="18"/>
          <w:color w:val="auto"/>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The scope of patent protection also can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spacing w:after="0" w:line="79"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7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third party claims for alleged infringement of third parties' proprietary rights, which would result in additional expense and potential damages.</w:t>
      </w:r>
    </w:p>
    <w:p>
      <w:pPr>
        <w:spacing w:after="0" w:line="53" w:lineRule="exact"/>
        <w:rPr>
          <w:sz w:val="20"/>
          <w:szCs w:val="20"/>
          <w:color w:val="auto"/>
        </w:rPr>
      </w:pPr>
    </w:p>
    <w:p>
      <w:pPr>
        <w:ind w:firstLine="479"/>
        <w:spacing w:after="0" w:line="248" w:lineRule="auto"/>
        <w:rPr>
          <w:sz w:val="20"/>
          <w:szCs w:val="20"/>
          <w:color w:val="auto"/>
        </w:rPr>
      </w:pPr>
      <w:r>
        <w:rPr>
          <w:rFonts w:ascii="Times New Roman" w:cs="Times New Roman" w:eastAsia="Times New Roman" w:hAnsi="Times New Roman"/>
          <w:sz w:val="18"/>
          <w:szCs w:val="18"/>
          <w:color w:val="auto"/>
        </w:rPr>
        <w:t>There is significant patent and other intellectual property development activity in the digital advertising industry.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we may face a higher risk of being the subject of intellectual property claims. In addition, various "non-practicing entities" that own patents and other intellectual property rights have and may continue to aggressively assert their rights in order to extract value from us. Furthermore, from time to time we may introduce or acquire new products, including in areas where we historically have not competed, which could increase our exposure to patent and other intellectual property claims from competitors and non-practicing entities. The cost of settling or defending against intellectual property claims, whether or not the claims have merit, is significant, regardless of whether we are successful in our defense, and diverts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or other vendors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nature of our business and the content on our platform.</w:t>
      </w:r>
    </w:p>
    <w:p>
      <w:pPr>
        <w:spacing w:after="0" w:line="116"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auto"/>
        </w:rPr>
        <w:t>Advertising often results in litigation relating to copyright or trademark infringement, public performance royalties or other claims based on the nature and content of advertising that is distributed through our platform. Though we contractually require clients to represent to us that they have the rights necessary to serve advertisements through our platform, we do not independently verify whether we are permitted to deliver, or review the content of, such advertisements. If clients do not have the rights necessary to serve</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6" w:name="page57"/>
    <w:bookmarkEnd w:id="56"/>
    <w:p>
      <w:pPr>
        <w:ind w:right="640"/>
        <w:spacing w:after="0" w:line="261" w:lineRule="auto"/>
        <w:rPr>
          <w:sz w:val="20"/>
          <w:szCs w:val="20"/>
          <w:color w:val="auto"/>
        </w:rPr>
      </w:pPr>
      <w:r>
        <w:rPr>
          <w:rFonts w:ascii="Times New Roman" w:cs="Times New Roman" w:eastAsia="Times New Roman" w:hAnsi="Times New Roman"/>
          <w:sz w:val="18"/>
          <w:szCs w:val="18"/>
          <w:color w:val="auto"/>
        </w:rPr>
        <w:t>advertisements through our platform, we may be exposed to potential liability and our reputation may be damaged. While our customers are typically obligated to indemnify us, such indemnification may not fully cover us, or we may not be able to collect. In addition to settlement costs, we may be responsible for our own litigation costs, which can be extensive.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 and Related Tax Matters</w:t>
      </w:r>
    </w:p>
    <w:p>
      <w:pPr>
        <w:spacing w:after="0" w:line="216" w:lineRule="exact"/>
        <w:rPr>
          <w:sz w:val="20"/>
          <w:szCs w:val="20"/>
          <w:color w:val="auto"/>
        </w:rPr>
      </w:pPr>
    </w:p>
    <w:p>
      <w:pPr>
        <w:ind w:right="7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Viant Technology LLC, and accordingly, we depend on distributions from Viant Technology LLC to pay any dividends, if declared, taxes and other expenses, including payments under the Tax Receivable Agreement.</w:t>
      </w:r>
    </w:p>
    <w:p>
      <w:pPr>
        <w:spacing w:after="0" w:line="53"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We are a holding company, and our only business is to act as the managing member of Viant Technology LLC, and our only material assets are Class A units representing approximately 26.0% of the membership interests of Viant Technology LLC as of March 31, 2025. We do not have any independent means of generating revenue or cash flow, and our ability to pay dividends in the future, if any, will depend upon the financial results and cash flows of Viant Technology LLC.</w:t>
      </w:r>
    </w:p>
    <w:p>
      <w:pPr>
        <w:spacing w:after="0" w:line="74" w:lineRule="exact"/>
        <w:rPr>
          <w:sz w:val="20"/>
          <w:szCs w:val="20"/>
          <w:color w:val="auto"/>
        </w:rPr>
      </w:pPr>
    </w:p>
    <w:p>
      <w:pPr>
        <w:ind w:firstLine="479"/>
        <w:spacing w:after="0" w:line="249" w:lineRule="auto"/>
        <w:rPr>
          <w:sz w:val="20"/>
          <w:szCs w:val="20"/>
          <w:color w:val="auto"/>
        </w:rPr>
      </w:pPr>
      <w:r>
        <w:rPr>
          <w:rFonts w:ascii="Times New Roman" w:cs="Times New Roman" w:eastAsia="Times New Roman" w:hAnsi="Times New Roman"/>
          <w:sz w:val="18"/>
          <w:szCs w:val="18"/>
          <w:color w:val="auto"/>
        </w:rPr>
        <w:t>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we are required to pay income taxes on our allocable share of any net taxable income of Viant Technology LLC. We cause Viant Technology LLC to make distributions to each of its members, including us, in an amount intended to enable each member to pay all applicable taxes on taxable income allocable to such member and to allow us to make payments under a tax receivable agreement (the "Tax Receivable Agreement") we entered into on February 9, 2021, in connection with our IPO, with Viant Technology LLC, continuing members of Viant Technology LLC and the representative of such continuing members of Viant Technology LLC (the "TRA Representative"). In addition, Viant Technology LLC reimburses us for corporate and other overhead expenses. If the amount of tax distributions to be made exceeds the amount of funds available for distribution, we shall receive the full amount of our tax distribution before the other members receive any distribution and the balance, if any, of funds available for distribution shall be distributed to the other members pro rata in accordance with their assumed tax liabilities. To the extent that we need additional funds to cover our obligations, and Viant Technology LLC is restricted from making such distributions under applicable laws or regulations, or is otherwise unable to provide such funds, we may have to borrow funds, which could materially and adversely affect our ability to pay dividends and taxes and other expenses, including payments under the Tax Receivable Agreement, and affect our liquidity and financial condition.</w:t>
      </w:r>
    </w:p>
    <w:p>
      <w:pPr>
        <w:spacing w:after="0" w:line="80" w:lineRule="exact"/>
        <w:rPr>
          <w:sz w:val="20"/>
          <w:szCs w:val="20"/>
          <w:color w:val="auto"/>
        </w:rPr>
      </w:pPr>
    </w:p>
    <w:p>
      <w:pPr>
        <w:ind w:right="320" w:firstLine="479"/>
        <w:spacing w:after="0" w:line="261"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Tax Receivable Agreement for any reason, such payments will be deferred and accrue interest until paid; provided, however, that nonpayment for a specified period may constitute a material breach of a material obligation under the Tax Receivable Agreement and, therefore, may accelerate payments due under the Tax Receivable Agreement.</w:t>
      </w:r>
    </w:p>
    <w:p>
      <w:pPr>
        <w:spacing w:after="0" w:line="172"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make cash payments to the continuing members of Viant Technology LLC in respect of certain tax benefits we receive from tax basis step-ups (and certain other tax benefits) attributable to our acquisition of units of Viant Technology LLC, and the amount of those payments may be substantial.</w:t>
      </w:r>
    </w:p>
    <w:p>
      <w:pPr>
        <w:spacing w:after="0" w:line="68" w:lineRule="exact"/>
        <w:rPr>
          <w:sz w:val="20"/>
          <w:szCs w:val="20"/>
          <w:color w:val="auto"/>
        </w:rPr>
      </w:pPr>
    </w:p>
    <w:p>
      <w:pPr>
        <w:ind w:right="40" w:firstLine="479"/>
        <w:spacing w:after="0" w:line="272" w:lineRule="auto"/>
        <w:rPr>
          <w:sz w:val="20"/>
          <w:szCs w:val="20"/>
          <w:color w:val="auto"/>
        </w:rPr>
      </w:pPr>
      <w:r>
        <w:rPr>
          <w:rFonts w:ascii="Times New Roman" w:cs="Times New Roman" w:eastAsia="Times New Roman" w:hAnsi="Times New Roman"/>
          <w:sz w:val="17"/>
          <w:szCs w:val="17"/>
          <w:color w:val="auto"/>
        </w:rPr>
        <w:t>In connection with our IPO, we entered into a Tax Receivable Agreement with Viant Technology LLC, continuing members of Viant Technology LLC (not including us) and the TRA Representative. The Tax Receivable Agreement provides for payment by us to continuing members of Viant Technology LLC</w:t>
      </w:r>
    </w:p>
    <w:p>
      <w:pPr>
        <w:spacing w:after="0" w:line="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(not including us) of 85% of the amount of the net cash tax savings, if any, that we realize (or, under certain circumstances, are deemed to realize) as a result of increases in tax basis (and utilization of certain other tax benefits) resulting from (i) our acquisition of Viant Technology LLC units from pre-IPO members of Viant Technology LLC in connection with the IPO and in future exchanges and (ii) any payments we make under the Tax Receivable Agreement (including tax benefits related to imputed interest). We will retain the benefit of the remaining 15% of these net cash tax savings.</w:t>
      </w:r>
    </w:p>
    <w:p>
      <w:pPr>
        <w:spacing w:after="0" w:line="83" w:lineRule="exact"/>
        <w:rPr>
          <w:sz w:val="20"/>
          <w:szCs w:val="20"/>
          <w:color w:val="auto"/>
        </w:rPr>
      </w:pPr>
    </w:p>
    <w:p>
      <w:pPr>
        <w:ind w:right="20" w:firstLine="479"/>
        <w:spacing w:after="0" w:line="249" w:lineRule="auto"/>
        <w:rPr>
          <w:sz w:val="20"/>
          <w:szCs w:val="20"/>
          <w:color w:val="auto"/>
        </w:rPr>
      </w:pPr>
      <w:r>
        <w:rPr>
          <w:rFonts w:ascii="Times New Roman" w:cs="Times New Roman" w:eastAsia="Times New Roman" w:hAnsi="Times New Roman"/>
          <w:sz w:val="18"/>
          <w:szCs w:val="18"/>
          <w:color w:val="auto"/>
        </w:rPr>
        <w:t>The amount of the cash payments that we may be required to make under the Tax Receivable Agreement could be significant. The term of the Tax Receivable Agreement will continue until all tax benefits that are subject to the Tax Receivable Agreement have been utilized or have expired, unless we exercise our right to terminate the Tax Receivable Agreement (or it is otherwise terminated pursuant to its terms, including due to a change in control or our breach of a material obligation thereunder), in which case, we will be required to make the termination payment specified in the Tax Receivable Agreement. In addition, any payments we make under the Tax Receivable Agreement will be increased by any interest accrued from the due date (without extensions) of the corresponding tax return. Any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 The payments under the Tax Receivable Agreement are also not conditioned upon the continuing members of Viant Technology LLC maintaining a continued ownership interest in Viant Technology LLC.</w:t>
      </w:r>
    </w:p>
    <w:p>
      <w:pPr>
        <w:spacing w:after="0" w:line="200" w:lineRule="exact"/>
        <w:rPr>
          <w:sz w:val="20"/>
          <w:szCs w:val="20"/>
          <w:color w:val="auto"/>
        </w:rPr>
      </w:pPr>
    </w:p>
    <w:p>
      <w:pPr>
        <w:spacing w:after="0" w:line="20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7" w:name="page58"/>
    <w:bookmarkEnd w:id="57"/>
    <w:p>
      <w:pPr>
        <w:ind w:firstLine="479"/>
        <w:spacing w:after="0" w:line="264" w:lineRule="auto"/>
        <w:rPr>
          <w:sz w:val="20"/>
          <w:szCs w:val="20"/>
          <w:color w:val="auto"/>
        </w:rPr>
      </w:pPr>
      <w:r>
        <w:rPr>
          <w:rFonts w:ascii="Times New Roman" w:cs="Times New Roman" w:eastAsia="Times New Roman" w:hAnsi="Times New Roman"/>
          <w:sz w:val="17"/>
          <w:szCs w:val="17"/>
          <w:color w:val="auto"/>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our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we may have made under the Tax Receivable Agreement and the portion of our payments under the Tax Receivable Agreement that constitute imputed interest or give rise to depreciable or amortizable tax basis. The increases in the tax basis of the intangible assets of Viant Technology LLC as a result of the exchanges of Viant Technology LLC units and certain other tax benefits will be subject to the TRA. However, we have concluded that based on the weight of all available evidence these deferred tax assets subject to the TRA are not more likely than not of being realized, and as a result no liability has been recorded related to the remaining tax savings we may realize from utilization of such deferred tax assets. If deferred tax assets subject to the TRA become more likely than not to be realized, we will record such liability. Upon recognition of the TRA, there may be a material negative effect on our financial condition and liquidity if, as described below, the payments under the Tax Receivable Agreement exceed the actual benefits we receive in respect of the tax attributes subject to the Tax Receivable Agreement and/or distributions to us by Viant Technology LLC are not sufficient to permit us to make payments under the Tax Receivable Agreement.</w:t>
      </w:r>
    </w:p>
    <w:p>
      <w:pPr>
        <w:spacing w:after="0" w:line="179"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the amounts that we may be required to pay under the Tax Receivable Agreement may be accelerated and/or significantly exceed the actual tax benefits, if any, that we actually realize.</w:t>
      </w:r>
    </w:p>
    <w:p>
      <w:pPr>
        <w:spacing w:after="0" w:line="53" w:lineRule="exact"/>
        <w:rPr>
          <w:sz w:val="20"/>
          <w:szCs w:val="20"/>
          <w:color w:val="auto"/>
        </w:rPr>
      </w:pPr>
    </w:p>
    <w:p>
      <w:pPr>
        <w:ind w:right="20" w:firstLine="479"/>
        <w:spacing w:after="0" w:line="248" w:lineRule="auto"/>
        <w:rPr>
          <w:sz w:val="20"/>
          <w:szCs w:val="20"/>
          <w:color w:val="auto"/>
        </w:rPr>
      </w:pPr>
      <w:r>
        <w:rPr>
          <w:rFonts w:ascii="Times New Roman" w:cs="Times New Roman" w:eastAsia="Times New Roman" w:hAnsi="Times New Roman"/>
          <w:sz w:val="18"/>
          <w:szCs w:val="18"/>
          <w:color w:val="auto"/>
        </w:rPr>
        <w:t>The Tax Receivable Agreement provides that if (i) we exercise our right to early termination of the Tax Receivable Agreement in whole (that is, with respect to all benefits due to all beneficiaries under the Tax Receivable Agreement) or in part (that is, with respect to some benefits due to all beneficiaries under the Tax Receivable Agreement), (ii) we experience certain changes in control, (iii) the Tax Receivable Agreement is rejected in certain bankruptcy proceedings, (iv) we fail (subject to certain exceptions) to make a payment under the Tax Receivable Agreement within 180 days after the due date or (v) we materially breach our obligations under the Tax Receivable Agreement, we will be obligated to make an early termination payment to holders of rights under the Tax Receivable Agreement equal to the present value of all payments that we would be required to pay under the Tax Receivable Agreement. The amount of such payments will be determined on the basis of certain assumptions in the Tax Receivable Agreement, including (i) the assumption that we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us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us)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us under the Tax Receivable Agreement at a rate equal to the lesser of (a) 6.5% and (b) the Secured Overnight Financing Rate, as reported by the Wall Street Journal plus 400 basis points.</w:t>
      </w:r>
    </w:p>
    <w:p>
      <w:pPr>
        <w:spacing w:after="0" w:line="86"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8"/>
          <w:szCs w:val="18"/>
          <w:color w:val="auto"/>
        </w:rPr>
        <w:t>Moreover, as a result of an elective early termination or other termination of the Tax Receivable Agreement (including due to a change in control or our material breach of its obligations under the Tax Receivable Agreement), we could be required to make payments under the Tax Receivable Agreement that exceed our actual cash savings under the Tax Receivable Agreement. Thus, our obligations under the Tax Receivable Agreement could have a substantial negative effect on our financial condition and liquidity and could have the effect of delaying, deferring or preventing certain mergers, asset sales, or other forms of business combinations or changes of control. We may not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18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members of Viant Technology LLC under the Tax Receivable Agreement in the event that any tax benefits are disallowed.</w:t>
      </w:r>
    </w:p>
    <w:p>
      <w:pPr>
        <w:spacing w:after="0" w:line="53"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will determine and the IRS or another tax authority may challenge all or part of the tax basis increases, as well as other related tax positions we take, and a court could sustain such challenge. If any tax benefits that have given rise to payments under the Tax Receivable Agreement are subsequently disallowed, we would be entitled to reduce future amounts otherwise payable to a holder of rights under the Tax Receivable Agreement to the extent the holder has received excess payments. However, the required final and binding determination</w:t>
      </w:r>
    </w:p>
    <w:p>
      <w:pPr>
        <w:spacing w:after="0" w:line="39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8" w:name="page59"/>
    <w:bookmarkEnd w:id="58"/>
    <w:p>
      <w:pPr>
        <w:ind w:right="120"/>
        <w:spacing w:after="0" w:line="268" w:lineRule="auto"/>
        <w:rPr>
          <w:sz w:val="20"/>
          <w:szCs w:val="20"/>
          <w:color w:val="auto"/>
        </w:rPr>
      </w:pPr>
      <w:r>
        <w:rPr>
          <w:rFonts w:ascii="Times New Roman" w:cs="Times New Roman" w:eastAsia="Times New Roman" w:hAnsi="Times New Roman"/>
          <w:sz w:val="17"/>
          <w:szCs w:val="17"/>
          <w:color w:val="auto"/>
        </w:rPr>
        <w:t>that a holder of rights under the Tax Receivable Agreement has received excess payments may not be made for a number of years following commencement of any challenge, and we will not be permitted to reduce our payments under the Tax Receivable Agreement until there has been a final and binding determination, by which time sufficient subsequent payments under the Tax Receivable Agreement may not be available to offset prior payments for disallowed benefits. We will not be reimbursed for any payments previously made under the Tax Receivable Agreement if the basis increases or other tax attributes described above are successfully challenged by the IRS or another taxing authority. As a result, in certain circumstances, payments could be made under the Tax Receivable Agreement that are significantly in excess of the benefit that we actually realize in respect of the increases in tax basis (and utilization of certain other tax benefits) and we may not be able to recoup those payments, which could adversely affect our financial condition and liquidity.</w:t>
      </w:r>
    </w:p>
    <w:p>
      <w:pPr>
        <w:spacing w:after="0" w:line="17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Viant Technology LLC will be required to make distributions to us and the existing members of Viant Technology LLC, and the distributions that Viant Technology LLC will be required to make may be substantial.</w:t>
      </w:r>
    </w:p>
    <w:p>
      <w:pPr>
        <w:spacing w:after="0" w:line="53" w:lineRule="exact"/>
        <w:rPr>
          <w:sz w:val="20"/>
          <w:szCs w:val="20"/>
          <w:color w:val="auto"/>
        </w:rPr>
      </w:pPr>
    </w:p>
    <w:p>
      <w:pPr>
        <w:ind w:right="40" w:firstLine="479"/>
        <w:spacing w:after="0" w:line="250" w:lineRule="auto"/>
        <w:rPr>
          <w:sz w:val="20"/>
          <w:szCs w:val="20"/>
          <w:color w:val="auto"/>
        </w:rPr>
      </w:pPr>
      <w:r>
        <w:rPr>
          <w:rFonts w:ascii="Times New Roman" w:cs="Times New Roman" w:eastAsia="Times New Roman" w:hAnsi="Times New Roman"/>
          <w:sz w:val="18"/>
          <w:szCs w:val="18"/>
          <w:color w:val="auto"/>
        </w:rPr>
        <w:t>Viant Technology LLC is expected to continue to be treated as a partnership for U.S. federal income tax purposes and, as such, generally is not subject to U.S. federal income tax. Instead, taxable income is allocated to members, including us. Pursuant to the Viant Technology LLC Operating Agreement, Viant Technology LLC makes tax distributions to its members, including us, which generally are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aggregate, likely exceed the aggregate amount of taxes payable by its members with respect to the allocation of Viant Technology LLC income.</w:t>
      </w:r>
    </w:p>
    <w:p>
      <w:pPr>
        <w:spacing w:after="0" w:line="81"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Funds used by Viant Technology LLC to satisfy its tax distribution obligations generally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 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spacing w:after="0" w:line="79" w:lineRule="exact"/>
        <w:rPr>
          <w:sz w:val="20"/>
          <w:szCs w:val="20"/>
          <w:color w:val="auto"/>
        </w:rPr>
      </w:pPr>
    </w:p>
    <w:p>
      <w:pPr>
        <w:ind w:firstLine="479"/>
        <w:spacing w:after="0" w:line="249" w:lineRule="auto"/>
        <w:rPr>
          <w:sz w:val="20"/>
          <w:szCs w:val="20"/>
          <w:color w:val="auto"/>
        </w:rPr>
      </w:pPr>
      <w:r>
        <w:rPr>
          <w:rFonts w:ascii="Times New Roman" w:cs="Times New Roman" w:eastAsia="Times New Roman" w:hAnsi="Times New Roman"/>
          <w:sz w:val="18"/>
          <w:szCs w:val="18"/>
          <w:color w:val="auto"/>
        </w:rPr>
        <w:t>As a result of potential differences in the amount of net taxable income allocable to us and to the existing members of Viant Technology LLC, as well as the use of an assumed tax rate in calculating Viant Technology LLC’s distribution obligations, we may receive distributions of cash significantly in excess of our tax liabilities and obligations to make payments under the Tax Receivable Agreement. We have no obligation to distribute any such excess distributions (or other available cash) to our stockholders. We may choose to manage these excess distributions through a number of different approaches, including, among other uses, the payment of a cash dividend on our Class A common stock, the payment of obligations under the Tax Receivable Agreement, loaning such cash to Viant Technology LLC, the declaration of a stock dividend on our Class A common stock, along with the purchase of a corresponding number of common units in Viant Technology LLC, or the purchase of additional common units in Viant Technology LLC, along with a recapitalization of all of the outstanding common units in Viant Technology LLC. We are not required to make adjustments to the exchange ratio for LLC interests and corresponding shares of Class A common stock as a result of any cash dividend or excess distribution or any retention of cash by us. As a result, the holders of Viant Technology LLC interests (other than us)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 to us.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Viant Technology LLC were to become a publicly traded partnership taxable as a corporation for U.S. federal income tax purposes, we and Viant Technology LLC might be subject to potentially significant tax inefficiencies, and we would not be able to recover payments previously made by it under the Tax Receivable Agreement, even if the corresponding tax benefits were subsequently determined to have been unavailable due to such status.</w:t>
      </w:r>
    </w:p>
    <w:p>
      <w:pPr>
        <w:spacing w:after="0" w:line="50" w:lineRule="exact"/>
        <w:rPr>
          <w:sz w:val="20"/>
          <w:szCs w:val="20"/>
          <w:color w:val="auto"/>
        </w:rPr>
      </w:pPr>
    </w:p>
    <w:p>
      <w:pPr>
        <w:ind w:right="20" w:firstLine="479"/>
        <w:spacing w:after="0" w:line="270" w:lineRule="auto"/>
        <w:rPr>
          <w:sz w:val="20"/>
          <w:szCs w:val="20"/>
          <w:color w:val="auto"/>
        </w:rPr>
      </w:pPr>
      <w:r>
        <w:rPr>
          <w:rFonts w:ascii="Times New Roman" w:cs="Times New Roman" w:eastAsia="Times New Roman" w:hAnsi="Times New Roman"/>
          <w:sz w:val="17"/>
          <w:szCs w:val="17"/>
          <w:color w:val="auto"/>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38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9" w:name="page60"/>
    <w:bookmarkEnd w:id="59"/>
    <w:p>
      <w:pPr>
        <w:ind w:firstLine="479"/>
        <w:spacing w:after="0" w:line="253" w:lineRule="auto"/>
        <w:rPr>
          <w:sz w:val="20"/>
          <w:szCs w:val="20"/>
          <w:color w:val="auto"/>
        </w:rPr>
      </w:pPr>
      <w:r>
        <w:rPr>
          <w:rFonts w:ascii="Times New Roman" w:cs="Times New Roman" w:eastAsia="Times New Roman" w:hAnsi="Times New Roman"/>
          <w:sz w:val="18"/>
          <w:szCs w:val="18"/>
          <w:color w:val="auto"/>
        </w:rPr>
        <w:t>If Viant Technology LLC were to become a publicly traded partnership taxable as a corporation for U.S. federal income tax purposes, significant tax inefficiencies might result for us and Viant Technology LLC, including as a result of our inability to file a consolidated U.S. federal income tax return with Viant Technology LLC. In addition, we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tax liabilities may be greater than anticipated.</w:t>
      </w:r>
    </w:p>
    <w:p>
      <w:pPr>
        <w:spacing w:after="0" w:line="116" w:lineRule="exact"/>
        <w:rPr>
          <w:sz w:val="20"/>
          <w:szCs w:val="20"/>
          <w:color w:val="auto"/>
        </w:rPr>
      </w:pPr>
    </w:p>
    <w:p>
      <w:pPr>
        <w:ind w:right="20" w:firstLine="479"/>
        <w:spacing w:after="0" w:line="249" w:lineRule="auto"/>
        <w:rPr>
          <w:sz w:val="20"/>
          <w:szCs w:val="20"/>
          <w:color w:val="auto"/>
        </w:rPr>
      </w:pPr>
      <w:r>
        <w:rPr>
          <w:rFonts w:ascii="Times New Roman" w:cs="Times New Roman" w:eastAsia="Times New Roman" w:hAnsi="Times New Roman"/>
          <w:sz w:val="18"/>
          <w:szCs w:val="18"/>
          <w:color w:val="auto"/>
        </w:rPr>
        <w:t>Tax laws applicable to our business activities are subject to interpretation. We are subject to audit by the Internal Revenue Service and by taxing authorities in the state and local jurisdictions in which we operate. Our tax obligations are based on how tax authorities in such jurisdictions assess revenue-based taxes such as sales and use taxes. Taxing authorities may and have challenged our tax positions and methodologies including our positions regarding the collection of sales and use taxes and the jurisdictions in which we are subject to taxes, which could expose us to additional taxes and penalties. In addition, our future tax expense could increase as a result of changes in tax laws, regulations or accounting principles, or changes in the interpretation of the same, or as a result of earning income in jurisdictions that have higher tax rates. An increase in our tax expense and/or penalties could have a negative effect on our financial position and results of operations. Moreover, the determination of our provision for income taxes and other tax liabilities requires significant estimates and judgment by management, and the tax treatment of certain transactions is uncertain. Although we believe we make reasonable estimates and judgments, the ultimate outcome of any particular issue may differ from the amounts previously recorded in our financial statements and any such occurrence could materially affect our financial position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1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operating results, which could make our future operating results difficult to predict or cause our operating results to fall below securities analysts’ and investors’ expectations.</w:t>
      </w:r>
    </w:p>
    <w:p>
      <w:pPr>
        <w:spacing w:after="0" w:line="53" w:lineRule="exact"/>
        <w:rPr>
          <w:sz w:val="20"/>
          <w:szCs w:val="20"/>
          <w:color w:val="auto"/>
        </w:rPr>
      </w:pPr>
    </w:p>
    <w:p>
      <w:pPr>
        <w:ind w:firstLine="479"/>
        <w:spacing w:after="0" w:line="248"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we expect our future operating results to fluctuate due to a variety of factors, many of which are beyond our control. In particular, we offer our customers a choice of two different pricing options: a percentage of spend option and a fixed CPM pricing option. We also offer our customers the ability to use our services to aid them in data management, media execution and advanced reporting. Our revenue and contribution ex-TAC vary across these different pricing and service options, and therefore our results may vary based on the mix of pricing and service options chosen by customers in any given period. Contribution ex-TAC is a non-GAAP financial measure. For a detailed discussion of our key operating and financial performance measures and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auto"/>
        </w:rPr>
        <w:t>Management’s Discussion and Analysis of Financial Condition and Results of Operation—Key Operating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Performance Measures—Use of Non-GAAP Financial Measures</w:t>
      </w:r>
      <w:r>
        <w:rPr>
          <w:rFonts w:ascii="Times New Roman" w:cs="Times New Roman" w:eastAsia="Times New Roman" w:hAnsi="Times New Roman"/>
          <w:sz w:val="18"/>
          <w:szCs w:val="18"/>
          <w:color w:val="auto"/>
        </w:rPr>
        <w:t>.” The varying nature of our pricing mix between periods may make it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difficult for us to 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and geopolitical environment continues to evolve as a result of pandemics, bank failures, labor shortages, supply chain disruptions, new or increased tariffs, inflation and monetary supply shifts, high interest rates, tightening of credit markets, political election cycles, changes in laws and interpretations of laws, changes in the volume and relative mix of U.S. government spending, cost-cutting and efficiency initiatives and potential disruptions from international conflicts and acts of terrorism, our historical operating results may not be necessarily indicative of our future operating results. In addition to changes in terms of mix of our different pricing options, factors that may cause our operating results to fluctuate include the following:</w:t>
      </w:r>
    </w:p>
    <w:p>
      <w:pPr>
        <w:spacing w:after="0" w:line="87" w:lineRule="exact"/>
        <w:rPr>
          <w:sz w:val="20"/>
          <w:szCs w:val="20"/>
          <w:color w:val="auto"/>
        </w:rPr>
      </w:pPr>
    </w:p>
    <w:p>
      <w:pPr>
        <w:ind w:left="960" w:hanging="475"/>
        <w:spacing w:after="0"/>
        <w:tabs>
          <w:tab w:leader="none" w:pos="9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demand for our platform, including those related to the seasonal nature of our customers’ spending on digital advertising campaigns;</w:t>
      </w:r>
    </w:p>
    <w:p>
      <w:pPr>
        <w:spacing w:after="0" w:line="123" w:lineRule="exact"/>
        <w:rPr>
          <w:rFonts w:ascii="Times New Roman" w:cs="Times New Roman" w:eastAsia="Times New Roman" w:hAnsi="Times New Roman"/>
          <w:sz w:val="17"/>
          <w:szCs w:val="17"/>
          <w:color w:val="auto"/>
        </w:rPr>
      </w:pPr>
    </w:p>
    <w:p>
      <w:pPr>
        <w:ind w:left="960" w:right="440" w:hanging="475"/>
        <w:spacing w:after="0" w:line="275" w:lineRule="auto"/>
        <w:tabs>
          <w:tab w:leader="none" w:pos="9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the pricing policies of our competitors and the pricing or availability of inventory, data or other third-party services;</w:t>
      </w:r>
    </w:p>
    <w:p>
      <w:pPr>
        <w:spacing w:after="0" w:line="57"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 base and platform offerings;</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advertising agencies and marketers as customers;</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advertising budget allocations, agency affiliations or marketing strategies;</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channel mix (including, for example, changes in demand for CTV);</w:t>
      </w:r>
    </w:p>
    <w:p>
      <w:pPr>
        <w:spacing w:after="0" w:line="200" w:lineRule="exact"/>
        <w:rPr>
          <w:sz w:val="20"/>
          <w:szCs w:val="20"/>
          <w:color w:val="auto"/>
        </w:rPr>
      </w:pPr>
    </w:p>
    <w:p>
      <w:pPr>
        <w:spacing w:after="0" w:line="2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1" w:right="379" w:bottom="1440" w:gutter="0" w:footer="0" w:header="0"/>
        </w:sectPr>
      </w:pPr>
    </w:p>
    <w:bookmarkStart w:id="60" w:name="page61"/>
    <w:bookmarkEnd w:id="60"/>
    <w:p>
      <w:pPr>
        <w:ind w:left="960" w:hanging="475"/>
        <w:spacing w:after="0" w:line="275" w:lineRule="auto"/>
        <w:tabs>
          <w:tab w:leader="none" w:pos="9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uncertainty in the regulatory and business environment for us or customers (for example, when Apple or Google change policies for their browsers and operating systems);</w:t>
      </w:r>
    </w:p>
    <w:p>
      <w:pPr>
        <w:spacing w:after="0" w:line="57" w:lineRule="exact"/>
        <w:rPr>
          <w:rFonts w:ascii="Times New Roman" w:cs="Times New Roman" w:eastAsia="Times New Roman" w:hAnsi="Times New Roman"/>
          <w:sz w:val="18"/>
          <w:szCs w:val="18"/>
          <w:color w:val="auto"/>
        </w:rPr>
      </w:pPr>
    </w:p>
    <w:p>
      <w:pPr>
        <w:ind w:left="960" w:right="120" w:hanging="475"/>
        <w:spacing w:after="0" w:line="253" w:lineRule="auto"/>
        <w:tabs>
          <w:tab w:leader="none" w:pos="9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prospects of marketers or the economy generally (due to pandemics, labor shortages, supply chain disruptions, new or increased tariffs, inflation and monetary supply shifts, high interest rates, tightening of credit markets, political election cycles, changes in laws and interpretations of laws, changes in the volume and relative mix of U.S. government spending, cost-cutting and efficiency initiatives and potential disruptions from international conflicts and acts of terrorism or otherwise), which could alter marketers’ spending priorities, or could increase the time or costs required to complete advertising inventory sales;</w:t>
      </w:r>
    </w:p>
    <w:p>
      <w:pPr>
        <w:spacing w:after="0" w:line="79"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advertising inventory or in the cost of reaching end consumers through digital advertising;</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outages on our platform;</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technologies or offerings by our competitors;</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expenditures as we acquire the hardware, equipment and other assets required to support our business;</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differences between our payments for advertising inventory and our collection of related advertising revenue;</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unpredictability of our sales cycle;</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acquisitions of businesses or technologies, or employee recruiting; and</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shifting views and behaviors of consumers concerning use of data.</w:t>
      </w:r>
    </w:p>
    <w:p>
      <w:pPr>
        <w:spacing w:after="0" w:line="218" w:lineRule="exact"/>
        <w:rPr>
          <w:sz w:val="20"/>
          <w:szCs w:val="20"/>
          <w:color w:val="auto"/>
        </w:rPr>
      </w:pPr>
    </w:p>
    <w:p>
      <w:pPr>
        <w:ind w:right="380" w:firstLine="479"/>
        <w:spacing w:after="0" w:line="275" w:lineRule="auto"/>
        <w:rPr>
          <w:sz w:val="20"/>
          <w:szCs w:val="20"/>
          <w:color w:val="auto"/>
        </w:rPr>
      </w:pPr>
      <w:r>
        <w:rPr>
          <w:rFonts w:ascii="Times New Roman" w:cs="Times New Roman" w:eastAsia="Times New Roman" w:hAnsi="Times New Roman"/>
          <w:sz w:val="18"/>
          <w:szCs w:val="18"/>
          <w:color w:val="auto"/>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secure additional financing on favorable terms, or at all, to meet our future capital needs, which may in turn impair our growth.</w:t>
      </w:r>
    </w:p>
    <w:p>
      <w:pPr>
        <w:spacing w:after="0" w:line="116" w:lineRule="exact"/>
        <w:rPr>
          <w:sz w:val="20"/>
          <w:szCs w:val="20"/>
          <w:color w:val="auto"/>
        </w:rPr>
      </w:pPr>
    </w:p>
    <w:p>
      <w:pPr>
        <w:ind w:firstLine="479"/>
        <w:spacing w:after="0" w:line="250" w:lineRule="auto"/>
        <w:rPr>
          <w:sz w:val="20"/>
          <w:szCs w:val="20"/>
          <w:color w:val="auto"/>
        </w:rPr>
      </w:pPr>
      <w:r>
        <w:rPr>
          <w:rFonts w:ascii="Times New Roman" w:cs="Times New Roman" w:eastAsia="Times New Roman" w:hAnsi="Times New Roman"/>
          <w:sz w:val="18"/>
          <w:szCs w:val="18"/>
          <w:color w:val="auto"/>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spacing w:after="0" w:line="186"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continue to grow our business and increase our offerings, our costs will increase, and we may not be able to generate sufficient revenue to sustain profitability and failure to manage growth effectively could cause our business to suffer.</w:t>
      </w:r>
    </w:p>
    <w:p>
      <w:pPr>
        <w:spacing w:after="0" w:line="53"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We have expended significant resources in the past to grow our business and increase the offerings of our platform. While we have implemented cost reduction initiatives aimed at reducing our operating expenses and sharpening our focus on key growth priorities in light of the current macroeconomic environment, if we continue to grow our business, it could require substantial financial and other resources to, among other things:</w:t>
      </w:r>
    </w:p>
    <w:p>
      <w:pPr>
        <w:spacing w:after="0" w:line="69" w:lineRule="exact"/>
        <w:rPr>
          <w:sz w:val="20"/>
          <w:szCs w:val="20"/>
          <w:color w:val="auto"/>
        </w:rPr>
      </w:pPr>
    </w:p>
    <w:p>
      <w:pPr>
        <w:ind w:left="960" w:right="160" w:hanging="475"/>
        <w:spacing w:after="0" w:line="275" w:lineRule="auto"/>
        <w:tabs>
          <w:tab w:leader="none" w:pos="9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platform, including by investing in our engineering team, creating, acquiring or licensing new products or features, and improving the functionality, availability and security of our platform;</w:t>
      </w:r>
    </w:p>
    <w:p>
      <w:pPr>
        <w:spacing w:after="0" w:line="57"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technology infrastructure, including investing in internal technology development and acquiring outside technologies;</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general and administrative expenses, including legal, accounting and other expenses necessary to support a larger organization;</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sales and marketing expenses, including a significant expansion of our direct sales organization;</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expenses relating to data collection and consumer privacy compliance, including additional infrastructure, automation and personnel; and</w:t>
      </w:r>
    </w:p>
    <w:p>
      <w:pPr>
        <w:spacing w:after="0" w:line="123" w:lineRule="exact"/>
        <w:rPr>
          <w:rFonts w:ascii="Times New Roman" w:cs="Times New Roman" w:eastAsia="Times New Roman" w:hAnsi="Times New Roman"/>
          <w:sz w:val="17"/>
          <w:szCs w:val="17"/>
          <w:color w:val="auto"/>
        </w:rPr>
      </w:pPr>
    </w:p>
    <w:p>
      <w:pPr>
        <w:ind w:left="960" w:hanging="475"/>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strategic acquisitions.</w:t>
      </w:r>
    </w:p>
    <w:p>
      <w:pPr>
        <w:spacing w:after="0" w:line="200" w:lineRule="exact"/>
        <w:rPr>
          <w:sz w:val="20"/>
          <w:szCs w:val="20"/>
          <w:color w:val="auto"/>
        </w:rPr>
      </w:pPr>
    </w:p>
    <w:p>
      <w:pPr>
        <w:spacing w:after="0" w:line="2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61" w:name="page62"/>
    <w:bookmarkEnd w:id="61"/>
    <w:p>
      <w:pPr>
        <w:ind w:right="140" w:firstLine="479"/>
        <w:spacing w:after="0" w:line="275" w:lineRule="auto"/>
        <w:rPr>
          <w:sz w:val="20"/>
          <w:szCs w:val="20"/>
          <w:color w:val="auto"/>
        </w:rPr>
      </w:pPr>
      <w:r>
        <w:rPr>
          <w:rFonts w:ascii="Times New Roman" w:cs="Times New Roman" w:eastAsia="Times New Roman" w:hAnsi="Times New Roman"/>
          <w:sz w:val="18"/>
          <w:szCs w:val="18"/>
          <w:color w:val="auto"/>
        </w:rPr>
        <w:t>Investing in the foregoing, however, may not yield anticipated returns. Consequently, as our costs increase, we may not be able to generate sufficient revenue to achieve or sustain profitability.</w:t>
      </w:r>
    </w:p>
    <w:p>
      <w:pPr>
        <w:spacing w:after="0" w:line="58" w:lineRule="exact"/>
        <w:rPr>
          <w:sz w:val="20"/>
          <w:szCs w:val="20"/>
          <w:color w:val="auto"/>
        </w:rPr>
      </w:pPr>
    </w:p>
    <w:p>
      <w:pPr>
        <w:ind w:right="140" w:firstLine="479"/>
        <w:spacing w:after="0" w:line="252" w:lineRule="auto"/>
        <w:rPr>
          <w:sz w:val="20"/>
          <w:szCs w:val="20"/>
          <w:color w:val="auto"/>
        </w:rPr>
      </w:pPr>
      <w:r>
        <w:rPr>
          <w:rFonts w:ascii="Times New Roman" w:cs="Times New Roman" w:eastAsia="Times New Roman" w:hAnsi="Times New Roman"/>
          <w:sz w:val="18"/>
          <w:szCs w:val="18"/>
          <w:color w:val="auto"/>
        </w:rPr>
        <w:t>Further, to manage our growth effectively, we must continually evaluate and evolve our organization. We must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rapid growth may place a strain on our resources, infrastructure and ability to maintain the quality of our platform. Failure to manage our growth effectively could cause our business to suffer and have an adverse effect on our operating results and financial condition.</w:t>
      </w:r>
    </w:p>
    <w:p>
      <w:pPr>
        <w:spacing w:after="0" w:line="181"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a party to a revolving credit agreement, which contains a number of covenants that may restrict our current and future operations and could adversely affect our ability to execute business needs.</w:t>
      </w:r>
    </w:p>
    <w:p>
      <w:pPr>
        <w:spacing w:after="0" w:line="53"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Our asset-based revolving credit and security agreement (the "Amended Loan Agreement") with PNC Bank contains a number of covenants that limit our ability and our subsidiaries’ ability to, among other things, incur indebtedness, create liens, make investments, merge with or acquire other companies or the assets of other companies, dispose of our assets, prepay other indebtedness and make dividends and other distributions. The terms of our Amended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The Amended Loan Agreement also contains a financial covenant that requires us to maintain a minimum fixed charge coverage ratio of 1.40 to 1 when undrawn availability under the Amended Loan Agreement is less than 25%. We may not be able to generate sufficient cash flow or sales to meet the financial covenant or pay the principal or interest under the Amended Loan Agreement.</w:t>
      </w:r>
    </w:p>
    <w:p>
      <w:pPr>
        <w:spacing w:after="0" w:line="81"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If we are unable to comply with our payment requirements, or obtain a waiver from our lender if needed, our lender may accelerate our obligations under our Amended Loan Agreement and foreclose upon the collateral, or we may be forced to sell assets, restructure our indebtedness or seek additional equity capital, which would dilute our stockholders’ interests. If we fail to comply with our covenants under the Amended Loan Agreement,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fluctuations in advertising activity could have a material impact on our revenue, cash flow and operating results.</w:t>
      </w:r>
    </w:p>
    <w:p>
      <w:pPr>
        <w:spacing w:after="0" w:line="116"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Our revenue, cash flow, operating results and other key operating and performance measures may vary from quarter to quarter due to the seasonal nature of our customers’ spending on advertising campaigns. For example, in prior years, customers tended to devote more of their advertising budgets to the fourth calendar quarter to coincide with consumer holiday spending. Historically, the fourth quarter has reflected our highest level of advertising activity for the year. In contrast, the first quarter of the calendar year has typically been the slowest in terms of advertising spend. Political advertising could also cause our revenue to increase during election cycles and decrease during other periods, making it difficult to predict our revenue, cash flow, and operating results, all of which could fall below our expectations.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may continue to be volatile or may decline regardless of our operating performance.</w:t>
      </w:r>
    </w:p>
    <w:p>
      <w:pPr>
        <w:spacing w:after="0" w:line="116" w:lineRule="exact"/>
        <w:rPr>
          <w:sz w:val="20"/>
          <w:szCs w:val="20"/>
          <w:color w:val="auto"/>
        </w:rPr>
      </w:pPr>
    </w:p>
    <w:p>
      <w:pPr>
        <w:ind w:right="20" w:firstLine="479"/>
        <w:spacing w:after="0" w:line="250" w:lineRule="auto"/>
        <w:rPr>
          <w:sz w:val="20"/>
          <w:szCs w:val="20"/>
          <w:color w:val="auto"/>
        </w:rPr>
      </w:pPr>
      <w:r>
        <w:rPr>
          <w:rFonts w:ascii="Times New Roman" w:cs="Times New Roman" w:eastAsia="Times New Roman" w:hAnsi="Times New Roman"/>
          <w:sz w:val="18"/>
          <w:szCs w:val="18"/>
          <w:color w:val="auto"/>
        </w:rPr>
        <w:t>The market price of equity securities of technology companies, including the price of our own Class A common stock, has historically experienced high levels of volatility. The market price of our Class A common stock could be subject to wide fluctuations in response to the risk factors listed in this section and others beyond our control. Further, stock markets may experience extreme price and volume fluctuations that can affect the market prices of equity securities. These fluctuations can be unrelated or disproportionate to the operating performance of those companies. For instance, if the stock market for technology companies, or the stock market generally, experiences a loss of investor confidence, the trading price of our Class A common stock could decline for reasons unrelated to our business, operating results or financial condition.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w:t>
      </w:r>
    </w:p>
    <w:p>
      <w:pPr>
        <w:spacing w:after="0" w:line="200" w:lineRule="exact"/>
        <w:rPr>
          <w:sz w:val="20"/>
          <w:szCs w:val="20"/>
          <w:color w:val="auto"/>
        </w:rPr>
      </w:pPr>
    </w:p>
    <w:p>
      <w:pPr>
        <w:spacing w:after="0" w:line="20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1" w:right="4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litigation, it could subject us to substantial costs, divert resources and the attention of management from our business, and adversely affect our business.</w:t>
      </w:r>
    </w:p>
    <w:p>
      <w:pPr>
        <w:spacing w:after="0" w:line="214"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blocks of our Class A common stock into the public market, or the perception that such sales might occur, could cause the market price of our Class A common stock to decline.</w:t>
      </w:r>
    </w:p>
    <w:p>
      <w:pPr>
        <w:spacing w:after="0" w:line="53" w:lineRule="exact"/>
        <w:rPr>
          <w:sz w:val="20"/>
          <w:szCs w:val="20"/>
          <w:color w:val="auto"/>
        </w:rPr>
      </w:pPr>
    </w:p>
    <w:p>
      <w:pPr>
        <w:ind w:right="340" w:firstLine="479"/>
        <w:spacing w:after="0" w:line="261" w:lineRule="auto"/>
        <w:rPr>
          <w:sz w:val="20"/>
          <w:szCs w:val="20"/>
          <w:color w:val="auto"/>
        </w:rPr>
      </w:pPr>
      <w:r>
        <w:rPr>
          <w:rFonts w:ascii="Times New Roman" w:cs="Times New Roman" w:eastAsia="Times New Roman" w:hAnsi="Times New Roman"/>
          <w:sz w:val="18"/>
          <w:szCs w:val="18"/>
          <w:color w:val="auto"/>
        </w:rPr>
        <w:t>Sales of substantial blocks of our Class A common stock into the public market, or the perception that such sales might occur as a result of our utilization of our universal shelf registration statement or otherwise, in particular sales by our directors, officers or other affiliates, could cause the market price of our Class A common stock to decline and could impair our ability to raise capital through the sale of additional equity securities.</w:t>
      </w:r>
    </w:p>
    <w:p>
      <w:pPr>
        <w:spacing w:after="0" w:line="172"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listing standards of the Nasdaq Global Select Market (“Nasdaq”) and, as a result, qualify for, and rely on, exemptions from certain corporate governance requirements.</w:t>
      </w:r>
    </w:p>
    <w:p>
      <w:pPr>
        <w:spacing w:after="0" w:line="53" w:lineRule="exact"/>
        <w:rPr>
          <w:sz w:val="20"/>
          <w:szCs w:val="20"/>
          <w:color w:val="auto"/>
        </w:rPr>
      </w:pPr>
    </w:p>
    <w:p>
      <w:pPr>
        <w:ind w:right="40" w:firstLine="479"/>
        <w:spacing w:after="0" w:line="249" w:lineRule="auto"/>
        <w:rPr>
          <w:sz w:val="20"/>
          <w:szCs w:val="20"/>
          <w:color w:val="auto"/>
        </w:rPr>
      </w:pPr>
      <w:r>
        <w:rPr>
          <w:rFonts w:ascii="Times New Roman" w:cs="Times New Roman" w:eastAsia="Times New Roman" w:hAnsi="Times New Roman"/>
          <w:sz w:val="18"/>
          <w:szCs w:val="18"/>
          <w:color w:val="auto"/>
        </w:rPr>
        <w:t>The Vanderhook Parties hold a majority of the voting power of our outstanding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of directors entirely by independent directors and (iii) the compensation committee be composed entirely of independent directors. Currently, our compensation committee does not consist entirely of independent directors and our directors are not nominated or selected entirely by independent directors. In addition, we are relying on a cure period for compliance with the requirement that we have an audit committee comprised of three independent directors. Accordingly, you may not have the same protections afforded to stockholders of companies that are subject to all of the corporate governance requirements of Nasdaq. We also cannot ensure that we will be able to come into compliance with the Nasdaq corporate governance standards on the timeline required.</w:t>
      </w:r>
    </w:p>
    <w:p>
      <w:pPr>
        <w:spacing w:after="0" w:line="189"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our company, which could limit your ability to influence the outcome of key decisions, including a change of control.</w:t>
      </w:r>
    </w:p>
    <w:p>
      <w:pPr>
        <w:spacing w:after="0" w:line="53"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 xml:space="preserve">Through their ownership of common stock, the Vanderhook Parties control approximately 70% of the voting power of our common stock in the election of directors as of </w:t>
      </w:r>
      <w:r>
        <w:rPr>
          <w:rFonts w:ascii="Times New Roman" w:cs="Times New Roman" w:eastAsia="Times New Roman" w:hAnsi="Times New Roman"/>
          <w:sz w:val="18"/>
          <w:szCs w:val="18"/>
          <w:color w:val="231F20"/>
        </w:rPr>
        <w:t>March 31, 2025</w:t>
      </w:r>
      <w:r>
        <w:rPr>
          <w:rFonts w:ascii="Times New Roman" w:cs="Times New Roman" w:eastAsia="Times New Roman" w:hAnsi="Times New Roman"/>
          <w:sz w:val="18"/>
          <w:szCs w:val="18"/>
          <w:color w:val="auto"/>
        </w:rPr>
        <w:t>. This control will limit or preclude your ability to influence corporate matters for the foreseeable future. These stockholders will be able to influence or control matters requiring approval by our stockholders, including the election 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discourage takeover attempts and other corporate governance changes.</w:t>
      </w:r>
    </w:p>
    <w:p>
      <w:pPr>
        <w:spacing w:after="0" w:line="116" w:lineRule="exact"/>
        <w:rPr>
          <w:sz w:val="20"/>
          <w:szCs w:val="20"/>
          <w:color w:val="auto"/>
        </w:rPr>
      </w:pPr>
    </w:p>
    <w:p>
      <w:pPr>
        <w:ind w:right="80" w:firstLine="479"/>
        <w:spacing w:after="0" w:line="283"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spacing w:after="0" w:line="53" w:lineRule="exact"/>
        <w:rPr>
          <w:sz w:val="20"/>
          <w:szCs w:val="20"/>
          <w:color w:val="auto"/>
        </w:rPr>
      </w:pPr>
    </w:p>
    <w:p>
      <w:pPr>
        <w:ind w:left="960" w:right="200" w:hanging="475"/>
        <w:spacing w:after="0" w:line="261" w:lineRule="auto"/>
        <w:tabs>
          <w:tab w:leader="none" w:pos="9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classified into three classes with staggered, three-year terms and that directors may only be removed for cause after the Vanderhook Parties collectively cease to beneficially own a majority of the combined voting power of our Class A and Class B Common Stock (the “Triggering Event”);</w:t>
      </w:r>
    </w:p>
    <w:p>
      <w:pPr>
        <w:spacing w:after="0" w:line="69"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112" w:lineRule="exact"/>
        <w:rPr>
          <w:rFonts w:ascii="Times New Roman" w:cs="Times New Roman" w:eastAsia="Times New Roman" w:hAnsi="Times New Roman"/>
          <w:sz w:val="18"/>
          <w:szCs w:val="18"/>
          <w:color w:val="auto"/>
        </w:rPr>
      </w:pPr>
    </w:p>
    <w:p>
      <w:pPr>
        <w:ind w:left="960" w:right="320" w:hanging="475"/>
        <w:spacing w:after="0" w:line="275" w:lineRule="auto"/>
        <w:tabs>
          <w:tab w:leader="none" w:pos="9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after the Triggering Event, vacancies on our board of directors may be filled only by a majority of directors then in office, even though less than a quorum;</w:t>
      </w:r>
    </w:p>
    <w:p>
      <w:pPr>
        <w:spacing w:after="0" w:line="57"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our certificate of incorporation and bylaws;</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2" w:lineRule="exact"/>
        <w:rPr>
          <w:rFonts w:ascii="Times New Roman" w:cs="Times New Roman" w:eastAsia="Times New Roman" w:hAnsi="Times New Roman"/>
          <w:sz w:val="18"/>
          <w:szCs w:val="18"/>
          <w:color w:val="auto"/>
        </w:rPr>
      </w:pPr>
    </w:p>
    <w:p>
      <w:pPr>
        <w:ind w:left="960" w:right="380" w:hanging="475"/>
        <w:spacing w:after="0" w:line="275" w:lineRule="auto"/>
        <w:tabs>
          <w:tab w:leader="none" w:pos="9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 with the concurrence of a majority of our board of directors;</w:t>
      </w: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63" w:name="page64"/>
    <w:bookmarkEnd w:id="63"/>
    <w:p>
      <w:pPr>
        <w:ind w:left="960" w:right="140" w:hanging="475"/>
        <w:spacing w:after="0" w:line="275" w:lineRule="auto"/>
        <w:tabs>
          <w:tab w:leader="none" w:pos="9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after the Triggering Event, which requires all stockholder actions to be taken at a meeting of our stockholders;</w:t>
      </w:r>
    </w:p>
    <w:p>
      <w:pPr>
        <w:spacing w:after="0" w:line="57"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alter our bylaws without obtaining stockholder approval;</w:t>
      </w:r>
    </w:p>
    <w:p>
      <w:pPr>
        <w:spacing w:after="0" w:line="112" w:lineRule="exact"/>
        <w:rPr>
          <w:rFonts w:ascii="Times New Roman" w:cs="Times New Roman" w:eastAsia="Times New Roman" w:hAnsi="Times New Roman"/>
          <w:sz w:val="18"/>
          <w:szCs w:val="18"/>
          <w:color w:val="auto"/>
        </w:rPr>
      </w:pPr>
    </w:p>
    <w:p>
      <w:pPr>
        <w:ind w:left="960" w:hanging="475"/>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dual class structure of our common stock, as discussed above; and</w:t>
      </w:r>
    </w:p>
    <w:p>
      <w:pPr>
        <w:spacing w:after="0" w:line="112" w:lineRule="exact"/>
        <w:rPr>
          <w:rFonts w:ascii="Times New Roman" w:cs="Times New Roman" w:eastAsia="Times New Roman" w:hAnsi="Times New Roman"/>
          <w:sz w:val="18"/>
          <w:szCs w:val="18"/>
          <w:color w:val="auto"/>
        </w:rPr>
      </w:pPr>
    </w:p>
    <w:p>
      <w:pPr>
        <w:ind w:left="960" w:right="160" w:hanging="475"/>
        <w:spacing w:after="0" w:line="275" w:lineRule="auto"/>
        <w:tabs>
          <w:tab w:leader="none" w:pos="9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58"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spacing w:after="0" w:line="181" w:lineRule="exact"/>
        <w:rPr>
          <w:sz w:val="20"/>
          <w:szCs w:val="20"/>
          <w:color w:val="auto"/>
        </w:rPr>
      </w:pPr>
    </w:p>
    <w:p>
      <w:pPr>
        <w:ind w:right="6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includes an exclusive forum clause, which could limit our stockholders’ ability to obtain a favorable judicial forum for disputes with us.</w:t>
      </w:r>
    </w:p>
    <w:p>
      <w:pPr>
        <w:spacing w:after="0" w:line="53" w:lineRule="exact"/>
        <w:rPr>
          <w:sz w:val="20"/>
          <w:szCs w:val="20"/>
          <w:color w:val="auto"/>
        </w:rPr>
      </w:pPr>
    </w:p>
    <w:p>
      <w:pPr>
        <w:ind w:right="80" w:firstLine="479"/>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spacing w:after="0" w:line="81"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79" w:lineRule="exact"/>
        <w:rPr>
          <w:sz w:val="20"/>
          <w:szCs w:val="20"/>
          <w:color w:val="auto"/>
        </w:rPr>
      </w:pPr>
    </w:p>
    <w:p>
      <w:pPr>
        <w:ind w:right="380" w:firstLine="479"/>
        <w:spacing w:after="0" w:line="275"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w:t>
      </w:r>
    </w:p>
    <w:p>
      <w:pPr>
        <w:spacing w:after="0" w:line="16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Purchases of shares of our Class A common stock or Class B units pursuant to our stock repurchase plan may affect the value of our Class A common stock, and there can be no assurance that our stock repurchase plan will enhance stockholder value.</w:t>
      </w:r>
    </w:p>
    <w:p>
      <w:pPr>
        <w:spacing w:after="0" w:line="53" w:lineRule="exact"/>
        <w:rPr>
          <w:sz w:val="20"/>
          <w:szCs w:val="20"/>
          <w:color w:val="auto"/>
        </w:rPr>
      </w:pPr>
    </w:p>
    <w:p>
      <w:pPr>
        <w:ind w:right="20" w:firstLine="479"/>
        <w:spacing w:after="0" w:line="250" w:lineRule="auto"/>
        <w:rPr>
          <w:sz w:val="20"/>
          <w:szCs w:val="20"/>
          <w:color w:val="auto"/>
        </w:rPr>
      </w:pPr>
      <w:r>
        <w:rPr>
          <w:rFonts w:ascii="Times New Roman" w:cs="Times New Roman" w:eastAsia="Times New Roman" w:hAnsi="Times New Roman"/>
          <w:sz w:val="18"/>
          <w:szCs w:val="18"/>
          <w:color w:val="auto"/>
        </w:rPr>
        <w:t>In April 2024, our board of directors approved a stock repurchase program pursuant to which we are authorized to repurchase up to $50 million of our Class A common stock or Class B units of Viant Technology LLC, including through open market purchases, in privately negotiated transactions, or by other means, including through the use of Rule 10b5-1 trading plans, each in accordance with applicable securities laws and other restrictions. On May 5, 2025, our board of directors authorized an increase to the existing stock repurchase program, approving the repurchase of up to an additional $50.0 million of the Company’s Class A common stock or Class B units of Viant Technology LLC. The timing, amount, and manner of any repurchase will be determined at our discretion, subject to general market conditions, as well as the Company’s management of capital, general business conditions, other investment opportunities, regulatory requirements and other factors. Our repurchases could affect the trading price of our Class A common stock, increase trading price volatility, and reduce our cash reserves, and the program may be suspended or terminated at any time, which may result in a decrease in the trading prices of our Class A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0"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wide range of laws and regulations, many of which are evolving, and failure to comply with such laws and regulations could harm our business, financial condition, and results of operations.</w:t>
      </w:r>
    </w:p>
    <w:p>
      <w:pPr>
        <w:spacing w:after="0" w:line="53"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231F20"/>
        </w:rPr>
        <w:t>Our business is subject to regulation by various federal, state, local and foreign governmental agencies, including agencies responsible for monitoring and enforcing employment and labor laws, consumer protection laws, anti-bribery and anti-corruption laws, import and export controls, federal securities laws, and tax laws and regulations. These laws and regulations govern a wide range of topics, including those related to matters beyond our core products and services. New and changing laws, regulations, executive</w:t>
      </w:r>
    </w:p>
    <w:p>
      <w:pPr>
        <w:sectPr>
          <w:pgSz w:w="11900" w:h="16838" w:orient="portrait"/>
          <w:cols w:equalWidth="0" w:num="1">
            <w:col w:w="11220"/>
          </w:cols>
          <w:pgMar w:left="320" w:top="1211" w:right="359" w:bottom="1440" w:gutter="0" w:footer="0" w:header="0"/>
        </w:sectPr>
      </w:pPr>
    </w:p>
    <w:p>
      <w:pPr>
        <w:spacing w:after="0" w:line="3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type w:val="continuous"/>
        </w:sectPr>
      </w:pPr>
    </w:p>
    <w:bookmarkStart w:id="64" w:name="page65"/>
    <w:bookmarkEnd w:id="64"/>
    <w:p>
      <w:pPr>
        <w:jc w:val="both"/>
        <w:ind w:right="480"/>
        <w:spacing w:after="0" w:line="283" w:lineRule="auto"/>
        <w:rPr>
          <w:sz w:val="20"/>
          <w:szCs w:val="20"/>
          <w:color w:val="auto"/>
        </w:rPr>
      </w:pPr>
      <w:r>
        <w:rPr>
          <w:rFonts w:ascii="Times New Roman" w:cs="Times New Roman" w:eastAsia="Times New Roman" w:hAnsi="Times New Roman"/>
          <w:sz w:val="17"/>
          <w:szCs w:val="17"/>
          <w:color w:val="231F20"/>
        </w:rPr>
        <w:t>orders and enforcement priorities can also create uncertainty about how such laws and regulations will be interpreted and applied. Noncompliance with applicable laws, regulations or requirements could subject us to investigations, enforcement actions, sanctions, fines, damages, penalties, injunctions or termination of contracts. Any such matters could have a material adverse effect on our business, results of operations and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Increasing attention to, and evolving expectations regarding, environmental, social, and governance matters may impact our business and reputation.</w:t>
      </w:r>
    </w:p>
    <w:p>
      <w:pPr>
        <w:spacing w:after="0" w:line="116"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Companies across industries are facing scrutiny from a variety of stakeholders related to their ESG and sustainability practices. Expectations regarding voluntary ESG initiatives and metrics may result in increased costs (including but not limited to increased costs related to compliance, stakeholder engagement, contracting and insurance), changes in demand for certain products, enhanced compliance or disclosure obligations, or other adverse impacts to our business, financial condition, or results of operations.</w:t>
      </w:r>
    </w:p>
    <w:p>
      <w:pPr>
        <w:spacing w:after="0" w:line="74" w:lineRule="exact"/>
        <w:rPr>
          <w:sz w:val="20"/>
          <w:szCs w:val="20"/>
          <w:color w:val="auto"/>
        </w:rPr>
      </w:pPr>
    </w:p>
    <w:p>
      <w:pPr>
        <w:ind w:firstLine="479"/>
        <w:spacing w:after="0" w:line="263" w:lineRule="auto"/>
        <w:rPr>
          <w:sz w:val="20"/>
          <w:szCs w:val="20"/>
          <w:color w:val="auto"/>
        </w:rPr>
      </w:pPr>
      <w:r>
        <w:rPr>
          <w:rFonts w:ascii="Times New Roman" w:cs="Times New Roman" w:eastAsia="Times New Roman" w:hAnsi="Times New Roman"/>
          <w:sz w:val="17"/>
          <w:szCs w:val="17"/>
          <w:color w:val="auto"/>
        </w:rPr>
        <w:t>While we have and continue to engage in voluntary initiatives (which may include voluntary disclosures, certifications, and/or goals, among others) to improve the ESG profile of the Company and/or our products, such initiatives may require considerable investments and may not have the desired effect. For example, our goals, including our annual carbon neutrality efforts, with all of their contingencies, dependencies, calculations, and in certain cases, reliance on third-party verification and/or performance, are complex and ambitious, and we may not achieve them, either according to specific standards or stakeholder expectations or at all. Moreover, actions or statements that we may take based on expectations, assumptions, methodologies, or data that we currently believe to be reasonable may subsequently be determined to be erroneous or be subject to misinterpretation. In addition, ESG initiatives may be particularly prone to errors or misinterpretation, as they often involve substantial discretion given there is no consensus on specific best practices and related standards and methodologies, all of which continue to evolve, and have in the past resulted in the need to correct the environmental attributes we have purchased in order to meet ESG commitments. While these discrepancies have not materially impacted our ESG strategy or financial performance, we cannot guarantee that other ESG-reporting errors will not occur in future or the ultimate impact such errors might have. If we fail to, or are perceived to fail to, comply with or advance certain ESG initiatives (including the timeline and manner in which we complete such initiatives) and/or align with evolving best practices, we may be subject to various adverse impacts, including reputational damage and potential stakeholder engagement and/or litigation, even if such initiatives are currently voluntary. For example, there have been increasingly nuanced allegations of greenwashing against companies making significant ESG claims due to a variety of perceived deficiencies in disclosures, methodology, or performance, including as stakeholder perceptions of sustainability continue to evolve. Additionally, our current programs, reporting frameworks, and principles may not be in compliance with any new environmental and social laws and regulations, or novel interpretations of existing laws and regulations, that may be promulgated in the United States and elsewhere, and the costs of changing any of our current practices to comply with any new legal and regulatory requirements in the United States and elsewhere may be substantial.</w:t>
      </w:r>
    </w:p>
    <w:p>
      <w:pPr>
        <w:spacing w:after="0" w:line="81" w:lineRule="exact"/>
        <w:rPr>
          <w:sz w:val="20"/>
          <w:szCs w:val="20"/>
          <w:color w:val="auto"/>
        </w:rPr>
      </w:pPr>
    </w:p>
    <w:p>
      <w:pPr>
        <w:ind w:right="160" w:firstLine="479"/>
        <w:spacing w:after="0" w:line="253" w:lineRule="auto"/>
        <w:rPr>
          <w:sz w:val="20"/>
          <w:szCs w:val="20"/>
          <w:color w:val="auto"/>
        </w:rPr>
      </w:pPr>
      <w:r>
        <w:rPr>
          <w:rFonts w:ascii="Times New Roman" w:cs="Times New Roman" w:eastAsia="Times New Roman" w:hAnsi="Times New Roman"/>
          <w:sz w:val="18"/>
          <w:szCs w:val="18"/>
          <w:color w:val="auto"/>
        </w:rPr>
        <w:t>We expect there will likely be increasing levels of regulation, disclosure-related and otherwise, with respect to ESG matters. For example, various policymakers (including the SEC and State of California) have adopted, or are considering adopting, rules that would require significantly expanded actions or disclosures on climate or other ESG-related matters from companies. Although several of these rules have been challenged and/or stayed, such rules, if implemented, may require us to incur significant additional costs to comply. Such rules are not uniform, and may not be interpreted or enforced uniformly, which can increase compliance costs or associated risks.</w:t>
      </w:r>
    </w:p>
    <w:p>
      <w:pPr>
        <w:spacing w:after="0" w:line="79" w:lineRule="exact"/>
        <w:rPr>
          <w:sz w:val="20"/>
          <w:szCs w:val="20"/>
          <w:color w:val="auto"/>
        </w:rPr>
      </w:pPr>
    </w:p>
    <w:p>
      <w:pPr>
        <w:ind w:right="20" w:firstLine="479"/>
        <w:spacing w:after="0" w:line="249" w:lineRule="auto"/>
        <w:rPr>
          <w:sz w:val="20"/>
          <w:szCs w:val="20"/>
          <w:color w:val="auto"/>
        </w:rPr>
      </w:pPr>
      <w:r>
        <w:rPr>
          <w:rFonts w:ascii="Times New Roman" w:cs="Times New Roman" w:eastAsia="Times New Roman" w:hAnsi="Times New Roman"/>
          <w:sz w:val="18"/>
          <w:szCs w:val="18"/>
          <w:color w:val="auto"/>
        </w:rPr>
        <w:t>Furthermore, industry and market practices may further develop to become even more robust than what is required under any new laws and regulations and may impose added costs on our business and could require us to make changes to our business or platform. ESG performance is monitored and rated by a variety of organizations, and unfavorable ratings may impact investor sentiment and negatively impact our share price as well as our access to and cost of capital. To the extent ESG matters negatively impact our reputation, it may also impede our ability to compete as effectively to attract and retain employees, customers, or business partners, which may adversely impact our operations. Simultaneously, there are efforts by some stakeholders and policymakers to reduce companies’ efforts on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This and other stakeholder expectations will likely lead to increased costs as well as scrutiny that could heighten all of the risks identified in this risk factor. Additionally, many of our customers, business partners, and suppliers may be subject to similar expectations or risks, which may augment or create additional risks or impacts on us, including in ways that may not be known to us. Any such matters could have a material adverse effect on our business, results of operations and financial condition.</w:t>
      </w:r>
    </w:p>
    <w:p>
      <w:pPr>
        <w:spacing w:after="0" w:line="18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Reduced reporting and disclosure requirements applicable to us as an emerging growth company and a smaller reporting company could make our Class A common stock less attractive to investors.</w:t>
      </w:r>
    </w:p>
    <w:p>
      <w:pPr>
        <w:spacing w:after="0" w:line="53" w:lineRule="exact"/>
        <w:rPr>
          <w:sz w:val="20"/>
          <w:szCs w:val="20"/>
          <w:color w:val="auto"/>
        </w:rPr>
      </w:pPr>
    </w:p>
    <w:p>
      <w:pPr>
        <w:ind w:right="100" w:firstLine="479"/>
        <w:spacing w:after="0" w:line="275" w:lineRule="auto"/>
        <w:rPr>
          <w:sz w:val="20"/>
          <w:szCs w:val="20"/>
          <w:color w:val="auto"/>
        </w:rPr>
      </w:pPr>
      <w:r>
        <w:rPr>
          <w:rFonts w:ascii="Times New Roman" w:cs="Times New Roman" w:eastAsia="Times New Roman" w:hAnsi="Times New Roman"/>
          <w:sz w:val="18"/>
          <w:szCs w:val="18"/>
          <w:color w:val="auto"/>
        </w:rPr>
        <w:t>We are an emerging growth company (an “EGC”) as defined in the Jumpstart Our Business Startups Act of 2012 (the “JOBS Act”) and, for as long as we continue to be an EGC, we may choose to continue to take advantage of exemptions from various</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reporting requirements applicable to other public companies. Consequently, we are not required to have our independent registered public accounting firm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our internal control over financial reporting under Section 404 of the Sarbanes-Oxley Act of 2002 (the "Sarbanes-Oxley Act") and we are subject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 exemptions from the requirements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 a nonbinding advisory vote on executive compensation and stockholder approval of any golden parachute payments not previously approved.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the JOBS Act provides that an EGC can take advantage of an extended transition period for complying with new or revised accounting standards.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elected to take advantage of the extended transition period. As a result, our consolidated financial statements may not be comparable to companies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comply with new or revised accounting pronouncements as of the dates such pronouncements are effective for public companies. We could be an EGC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December 31, 2026. We will cease to be an EGC upon the earliest of: (i) December 31, 2026, (ii) the first fiscal year after our annual gross revenue 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$1.235 billion or more, (iii) the date on which we have, during the previous three-year period, issued more than $1 billion in nonconvertible debt securities 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the date on which we are deemed to be a large accelerated filer under the rules of the SEC.</w:t>
      </w:r>
    </w:p>
    <w:p>
      <w:pPr>
        <w:spacing w:after="0" w:line="93" w:lineRule="exact"/>
        <w:rPr>
          <w:sz w:val="20"/>
          <w:szCs w:val="20"/>
          <w:color w:val="auto"/>
        </w:rPr>
      </w:pPr>
    </w:p>
    <w:p>
      <w:pPr>
        <w:ind w:right="340" w:firstLine="479"/>
        <w:spacing w:after="0" w:line="261" w:lineRule="auto"/>
        <w:rPr>
          <w:sz w:val="20"/>
          <w:szCs w:val="20"/>
          <w:color w:val="auto"/>
        </w:rPr>
      </w:pPr>
      <w:r>
        <w:rPr>
          <w:rFonts w:ascii="Times New Roman" w:cs="Times New Roman" w:eastAsia="Times New Roman" w:hAnsi="Times New Roman"/>
          <w:sz w:val="18"/>
          <w:szCs w:val="18"/>
          <w:color w:val="231F20"/>
        </w:rPr>
        <w:t xml:space="preserve">We are also a "smaller reporting company" as defined in the Exchange Act. We may take advantage of certain of the scaled disclosures available to smaller reporting companies as long as we qualify under this category, even after we are no longer an EGC, </w:t>
      </w:r>
      <w:r>
        <w:rPr>
          <w:rFonts w:ascii="Times New Roman" w:cs="Times New Roman" w:eastAsia="Times New Roman" w:hAnsi="Times New Roman"/>
          <w:sz w:val="18"/>
          <w:szCs w:val="18"/>
          <w:color w:val="000000"/>
        </w:rPr>
        <w:t>including reduced disclosure obligations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regarding executive compensation in our periodic reports and proxy statements.</w:t>
      </w:r>
    </w:p>
    <w:p>
      <w:pPr>
        <w:spacing w:after="0" w:line="69" w:lineRule="exact"/>
        <w:rPr>
          <w:sz w:val="20"/>
          <w:szCs w:val="20"/>
          <w:color w:val="auto"/>
        </w:rPr>
      </w:pPr>
    </w:p>
    <w:p>
      <w:pPr>
        <w:ind w:right="120" w:firstLine="479"/>
        <w:spacing w:after="0" w:line="275" w:lineRule="auto"/>
        <w:rPr>
          <w:sz w:val="20"/>
          <w:szCs w:val="20"/>
          <w:color w:val="auto"/>
        </w:rPr>
      </w:pPr>
      <w:r>
        <w:rPr>
          <w:rFonts w:ascii="Times New Roman" w:cs="Times New Roman" w:eastAsia="Times New Roman" w:hAnsi="Times New Roman"/>
          <w:sz w:val="18"/>
          <w:szCs w:val="18"/>
          <w:color w:val="auto"/>
        </w:rPr>
        <w:t>The reduced reporting and disclosure requirements applicable to us as an emerging growth company and a smaller reporting company could make our Class A common stock less attractive to investors.</w:t>
      </w:r>
    </w:p>
    <w:p>
      <w:pPr>
        <w:spacing w:after="0" w:line="160"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spacing w:after="0" w:line="53"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79" w:lineRule="exact"/>
        <w:rPr>
          <w:sz w:val="20"/>
          <w:szCs w:val="20"/>
          <w:color w:val="auto"/>
        </w:rPr>
      </w:pPr>
    </w:p>
    <w:p>
      <w:pPr>
        <w:ind w:right="120" w:firstLine="479"/>
        <w:spacing w:after="0" w:line="250"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spacing w:after="0" w:line="81"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audit the effectiveness of our internal control over financial reporting until after we are no longer an EGC and do not then qualify as a non-accelerated filer. At such time, our independent registered public accounting firm may issue an opinion on our internal controls over financial reporting that is adverse in the event it is not satisfied with the level at which our internal control over financial reporting is documented, designed or operating.</w:t>
      </w:r>
    </w:p>
    <w:p>
      <w:pPr>
        <w:spacing w:after="0" w:line="74" w:lineRule="exact"/>
        <w:rPr>
          <w:sz w:val="20"/>
          <w:szCs w:val="20"/>
          <w:color w:val="auto"/>
        </w:rPr>
      </w:pPr>
    </w:p>
    <w:p>
      <w:pPr>
        <w:ind w:right="520" w:firstLine="479"/>
        <w:spacing w:after="0" w:line="275"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have a material and adverse effect on our business and operating results and cause a decline in the market price of our Class A common stock.</w:t>
      </w:r>
    </w:p>
    <w:p>
      <w:pPr>
        <w:spacing w:after="0" w:line="160"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inaccurate or unfavorable research reports about our business, our share price and trading volume could decline.</w:t>
      </w:r>
    </w:p>
    <w:p>
      <w:pPr>
        <w:spacing w:after="0" w:line="53" w:lineRule="exact"/>
        <w:rPr>
          <w:sz w:val="20"/>
          <w:szCs w:val="20"/>
          <w:color w:val="auto"/>
        </w:rPr>
      </w:pPr>
    </w:p>
    <w:p>
      <w:pPr>
        <w:ind w:right="120" w:firstLine="479"/>
        <w:spacing w:after="0" w:line="275" w:lineRule="auto"/>
        <w:rPr>
          <w:sz w:val="20"/>
          <w:szCs w:val="20"/>
          <w:color w:val="auto"/>
        </w:rPr>
      </w:pPr>
      <w:r>
        <w:rPr>
          <w:rFonts w:ascii="Times New Roman" w:cs="Times New Roman" w:eastAsia="Times New Roman" w:hAnsi="Times New Roman"/>
          <w:sz w:val="18"/>
          <w:szCs w:val="18"/>
          <w:color w:val="auto"/>
        </w:rPr>
        <w:t>The trading market for our Class A common stock partially depends on the research and reports that securities or industry analysts publish about us or our business. We do not have any control over these analysts.</w:t>
      </w:r>
    </w:p>
    <w:p>
      <w:pPr>
        <w:spacing w:after="0" w:line="58" w:lineRule="exact"/>
        <w:rPr>
          <w:sz w:val="20"/>
          <w:szCs w:val="20"/>
          <w:color w:val="auto"/>
        </w:rPr>
      </w:pPr>
    </w:p>
    <w:p>
      <w:pPr>
        <w:jc w:val="both"/>
        <w:ind w:right="420" w:firstLine="479"/>
        <w:spacing w:after="0" w:line="261" w:lineRule="auto"/>
        <w:rPr>
          <w:sz w:val="20"/>
          <w:szCs w:val="20"/>
          <w:color w:val="auto"/>
        </w:rPr>
      </w:pPr>
      <w:r>
        <w:rPr>
          <w:rFonts w:ascii="Times New Roman" w:cs="Times New Roman" w:eastAsia="Times New Roman" w:hAnsi="Times New Roman"/>
          <w:sz w:val="18"/>
          <w:szCs w:val="18"/>
          <w:color w:val="auto"/>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pacing w:after="0" w:line="38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 by the Issuer and Affiliated Purchasers</w:t>
      </w:r>
    </w:p>
    <w:p>
      <w:pPr>
        <w:spacing w:after="0" w:line="114"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In April 2024, our board of directors approved a stock repurchase program with authorization to purchase up to $50.0 million of our Class A common stock or Class B units of Viant Technology LLC. For additional information related to share repurchases, refer to Note 9—Stockholders' Equity to our unaudited condensed consolidated financial statements included elsewhere in this Quarterly Report.</w:t>
      </w:r>
    </w:p>
    <w:p>
      <w:pPr>
        <w:spacing w:after="0" w:line="69" w:lineRule="exact"/>
        <w:rPr>
          <w:sz w:val="20"/>
          <w:szCs w:val="20"/>
          <w:color w:val="auto"/>
        </w:rPr>
      </w:pPr>
    </w:p>
    <w:p>
      <w:pPr>
        <w:ind w:right="340" w:firstLine="479"/>
        <w:spacing w:after="0" w:line="261" w:lineRule="auto"/>
        <w:rPr>
          <w:sz w:val="20"/>
          <w:szCs w:val="20"/>
          <w:color w:val="auto"/>
        </w:rPr>
      </w:pPr>
      <w:r>
        <w:rPr>
          <w:rFonts w:ascii="Times New Roman" w:cs="Times New Roman" w:eastAsia="Times New Roman" w:hAnsi="Times New Roman"/>
          <w:sz w:val="18"/>
          <w:szCs w:val="18"/>
          <w:color w:val="auto"/>
        </w:rPr>
        <w:t>In addition to shares repurchased under the stock repurchase program, during the first quarter of 2025, we repurchased shares of Class A common stock in connection with the vesting of restricted stock units to provide the holders of such restricted stock units with cash to satisfy the estimated taxes incidental to the vesting of the related awards.</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shares repurchased during the periods presented:</w:t>
      </w:r>
    </w:p>
    <w:p>
      <w:pPr>
        <w:spacing w:after="0" w:line="123"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8"/>
              </w:rPr>
              <w:t>Maximum</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Number (or</w:t>
            </w:r>
          </w:p>
        </w:tc>
        <w:tc>
          <w:tcPr>
            <w:tcW w:w="0" w:type="dxa"/>
            <w:vAlign w:val="bottom"/>
          </w:tcPr>
          <w:p>
            <w:pPr>
              <w:spacing w:after="0"/>
              <w:rPr>
                <w:sz w:val="1"/>
                <w:szCs w:val="1"/>
                <w:color w:val="auto"/>
              </w:rPr>
            </w:pPr>
          </w:p>
        </w:tc>
      </w:tr>
      <w:tr>
        <w:trPr>
          <w:trHeight w:val="178"/>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Approximate</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Number of</w:t>
            </w:r>
          </w:p>
        </w:tc>
        <w:tc>
          <w:tcPr>
            <w:tcW w:w="100" w:type="dxa"/>
            <w:vAlign w:val="bottom"/>
          </w:tcPr>
          <w:p>
            <w:pPr>
              <w:spacing w:after="0"/>
              <w:rPr>
                <w:sz w:val="15"/>
                <w:szCs w:val="15"/>
                <w:color w:val="auto"/>
              </w:rPr>
            </w:pPr>
          </w:p>
        </w:tc>
        <w:tc>
          <w:tcPr>
            <w:tcW w:w="1340" w:type="dxa"/>
            <w:vAlign w:val="bottom"/>
            <w:gridSpan w:val="2"/>
          </w:tcPr>
          <w:p>
            <w:pPr>
              <w:spacing w:after="0" w:line="173" w:lineRule="exact"/>
              <w:rPr>
                <w:sz w:val="20"/>
                <w:szCs w:val="20"/>
                <w:color w:val="auto"/>
              </w:rPr>
            </w:pPr>
            <w:r>
              <w:rPr>
                <w:rFonts w:ascii="Times New Roman" w:cs="Times New Roman" w:eastAsia="Times New Roman" w:hAnsi="Times New Roman"/>
                <w:sz w:val="18"/>
                <w:szCs w:val="18"/>
                <w:color w:val="auto"/>
              </w:rPr>
              <w:t>Dollar Value) of</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spacing w:after="0" w:line="173" w:lineRule="exact"/>
              <w:rPr>
                <w:sz w:val="20"/>
                <w:szCs w:val="20"/>
                <w:color w:val="auto"/>
              </w:rPr>
            </w:pPr>
            <w:r>
              <w:rPr>
                <w:rFonts w:ascii="Times New Roman" w:cs="Times New Roman" w:eastAsia="Times New Roman" w:hAnsi="Times New Roman"/>
                <w:sz w:val="18"/>
                <w:szCs w:val="18"/>
                <w:color w:val="auto"/>
              </w:rPr>
              <w:t>Shares that May</w:t>
            </w: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80" w:type="dxa"/>
            <w:vAlign w:val="bottom"/>
          </w:tcPr>
          <w:p>
            <w:pPr>
              <w:spacing w:after="0"/>
              <w:rPr>
                <w:sz w:val="16"/>
                <w:szCs w:val="16"/>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7"/>
              </w:rPr>
              <w:t>Average Price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Shares Purchased</w:t>
            </w:r>
          </w:p>
        </w:tc>
        <w:tc>
          <w:tcPr>
            <w:tcW w:w="100" w:type="dxa"/>
            <w:vAlign w:val="bottom"/>
          </w:tcPr>
          <w:p>
            <w:pPr>
              <w:spacing w:after="0"/>
              <w:rPr>
                <w:sz w:val="16"/>
                <w:szCs w:val="16"/>
                <w:color w:val="auto"/>
              </w:rPr>
            </w:pPr>
          </w:p>
        </w:tc>
        <w:tc>
          <w:tcPr>
            <w:tcW w:w="134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auto"/>
              </w:rPr>
              <w:t>Yet Be Purchased</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line="173" w:lineRule="exact"/>
              <w:rPr>
                <w:sz w:val="20"/>
                <w:szCs w:val="20"/>
                <w:color w:val="auto"/>
              </w:rPr>
            </w:pPr>
            <w:r>
              <w:rPr>
                <w:rFonts w:ascii="Times New Roman" w:cs="Times New Roman" w:eastAsia="Times New Roman" w:hAnsi="Times New Roman"/>
                <w:sz w:val="18"/>
                <w:szCs w:val="18"/>
                <w:color w:val="auto"/>
                <w:w w:val="99"/>
              </w:rPr>
              <w:t>as Part of Publicly</w:t>
            </w:r>
          </w:p>
        </w:tc>
        <w:tc>
          <w:tcPr>
            <w:tcW w:w="100" w:type="dxa"/>
            <w:vAlign w:val="bottom"/>
          </w:tcPr>
          <w:p>
            <w:pPr>
              <w:spacing w:after="0"/>
              <w:rPr>
                <w:sz w:val="15"/>
                <w:szCs w:val="15"/>
                <w:color w:val="auto"/>
              </w:rPr>
            </w:pPr>
          </w:p>
        </w:tc>
        <w:tc>
          <w:tcPr>
            <w:tcW w:w="1340" w:type="dxa"/>
            <w:vAlign w:val="bottom"/>
            <w:gridSpan w:val="2"/>
          </w:tcPr>
          <w:p>
            <w:pPr>
              <w:spacing w:after="0" w:line="173" w:lineRule="exact"/>
              <w:rPr>
                <w:sz w:val="20"/>
                <w:szCs w:val="20"/>
                <w:color w:val="auto"/>
              </w:rPr>
            </w:pPr>
            <w:r>
              <w:rPr>
                <w:rFonts w:ascii="Times New Roman" w:cs="Times New Roman" w:eastAsia="Times New Roman" w:hAnsi="Times New Roman"/>
                <w:sz w:val="18"/>
                <w:szCs w:val="18"/>
                <w:color w:val="auto"/>
              </w:rPr>
              <w:t>Under the Plans</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Class A Shares</w:t>
            </w:r>
          </w:p>
        </w:tc>
        <w:tc>
          <w:tcPr>
            <w:tcW w:w="134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Class B Units</w:t>
            </w:r>
          </w:p>
        </w:tc>
        <w:tc>
          <w:tcPr>
            <w:tcW w:w="80" w:type="dxa"/>
            <w:vAlign w:val="bottom"/>
          </w:tcPr>
          <w:p>
            <w:pPr>
              <w:spacing w:after="0"/>
              <w:rPr>
                <w:sz w:val="15"/>
                <w:szCs w:val="15"/>
                <w:color w:val="auto"/>
              </w:rPr>
            </w:pPr>
          </w:p>
        </w:tc>
        <w:tc>
          <w:tcPr>
            <w:tcW w:w="144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8"/>
                <w:szCs w:val="18"/>
                <w:color w:val="auto"/>
              </w:rPr>
              <w:t>Paid per Class A</w:t>
            </w:r>
          </w:p>
        </w:tc>
        <w:tc>
          <w:tcPr>
            <w:tcW w:w="144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8"/>
                <w:szCs w:val="18"/>
                <w:color w:val="auto"/>
              </w:rPr>
              <w:t>Paid per Class B</w:t>
            </w:r>
          </w:p>
        </w:tc>
        <w:tc>
          <w:tcPr>
            <w:tcW w:w="1340" w:type="dxa"/>
            <w:vAlign w:val="bottom"/>
          </w:tcPr>
          <w:p>
            <w:pPr>
              <w:spacing w:after="0" w:line="173" w:lineRule="exact"/>
              <w:rPr>
                <w:sz w:val="20"/>
                <w:szCs w:val="20"/>
                <w:color w:val="auto"/>
              </w:rPr>
            </w:pPr>
            <w:r>
              <w:rPr>
                <w:rFonts w:ascii="Times New Roman" w:cs="Times New Roman" w:eastAsia="Times New Roman" w:hAnsi="Times New Roman"/>
                <w:sz w:val="18"/>
                <w:szCs w:val="18"/>
                <w:color w:val="auto"/>
              </w:rPr>
              <w:t>Announced Plans</w:t>
            </w:r>
          </w:p>
        </w:tc>
        <w:tc>
          <w:tcPr>
            <w:tcW w:w="100" w:type="dxa"/>
            <w:vAlign w:val="bottom"/>
          </w:tcPr>
          <w:p>
            <w:pPr>
              <w:spacing w:after="0"/>
              <w:rPr>
                <w:sz w:val="15"/>
                <w:szCs w:val="15"/>
                <w:color w:val="auto"/>
              </w:rPr>
            </w:pPr>
          </w:p>
        </w:tc>
        <w:tc>
          <w:tcPr>
            <w:tcW w:w="1340" w:type="dxa"/>
            <w:vAlign w:val="bottom"/>
            <w:gridSpan w:val="2"/>
          </w:tcPr>
          <w:p>
            <w:pPr>
              <w:spacing w:after="0" w:line="173" w:lineRule="exact"/>
              <w:rPr>
                <w:sz w:val="20"/>
                <w:szCs w:val="20"/>
                <w:color w:val="auto"/>
              </w:rPr>
            </w:pPr>
            <w:r>
              <w:rPr>
                <w:rFonts w:ascii="Times New Roman" w:cs="Times New Roman" w:eastAsia="Times New Roman" w:hAnsi="Times New Roman"/>
                <w:sz w:val="18"/>
                <w:szCs w:val="18"/>
                <w:color w:val="auto"/>
              </w:rPr>
              <w:t>or Programs (in</w:t>
            </w:r>
          </w:p>
        </w:tc>
        <w:tc>
          <w:tcPr>
            <w:tcW w:w="0" w:type="dxa"/>
            <w:vAlign w:val="bottom"/>
          </w:tcPr>
          <w:p>
            <w:pPr>
              <w:spacing w:after="0"/>
              <w:rPr>
                <w:sz w:val="1"/>
                <w:szCs w:val="1"/>
                <w:color w:val="auto"/>
              </w:rPr>
            </w:pPr>
          </w:p>
        </w:tc>
      </w:tr>
      <w:tr>
        <w:trPr>
          <w:trHeight w:val="239"/>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80" w:type="dxa"/>
            <w:vAlign w:val="bottom"/>
          </w:tcPr>
          <w:p>
            <w:pPr>
              <w:spacing w:after="0"/>
              <w:rPr>
                <w:sz w:val="20"/>
                <w:szCs w:val="20"/>
                <w:color w:val="auto"/>
              </w:rPr>
            </w:pPr>
          </w:p>
        </w:tc>
        <w:tc>
          <w:tcPr>
            <w:tcW w:w="720" w:type="dxa"/>
            <w:vAlign w:val="bottom"/>
          </w:tcPr>
          <w:p>
            <w:pPr>
              <w:ind w:left="20"/>
              <w:spacing w:after="0" w:line="240"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or Programs</w:t>
            </w:r>
          </w:p>
        </w:tc>
        <w:tc>
          <w:tcPr>
            <w:tcW w:w="100" w:type="dxa"/>
            <w:vAlign w:val="bottom"/>
          </w:tcPr>
          <w:p>
            <w:pPr>
              <w:spacing w:after="0"/>
              <w:rPr>
                <w:sz w:val="20"/>
                <w:szCs w:val="20"/>
                <w:color w:val="auto"/>
              </w:rPr>
            </w:pPr>
          </w:p>
        </w:tc>
        <w:tc>
          <w:tcPr>
            <w:tcW w:w="1340" w:type="dxa"/>
            <w:vAlign w:val="bottom"/>
            <w:gridSpan w:val="2"/>
          </w:tcPr>
          <w:p>
            <w:pPr>
              <w:spacing w:after="0" w:line="240" w:lineRule="exact"/>
              <w:rPr>
                <w:sz w:val="20"/>
                <w:szCs w:val="20"/>
                <w:color w:val="auto"/>
              </w:rPr>
            </w:pPr>
            <w:r>
              <w:rPr>
                <w:rFonts w:ascii="Times New Roman" w:cs="Times New Roman" w:eastAsia="Times New Roman" w:hAnsi="Times New Roman"/>
                <w:sz w:val="18"/>
                <w:szCs w:val="18"/>
                <w:color w:val="auto"/>
              </w:rPr>
              <w:t>thousands)</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19"/>
        </w:trPr>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1/1/25 to 1/31/25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123,380</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123,380</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25,952</w:t>
            </w:r>
          </w:p>
        </w:tc>
        <w:tc>
          <w:tcPr>
            <w:tcW w:w="0" w:type="dxa"/>
            <w:vAlign w:val="bottom"/>
          </w:tcPr>
          <w:p>
            <w:pPr>
              <w:spacing w:after="0"/>
              <w:rPr>
                <w:sz w:val="1"/>
                <w:szCs w:val="1"/>
                <w:color w:val="auto"/>
              </w:rPr>
            </w:pPr>
          </w:p>
        </w:tc>
      </w:tr>
      <w:tr>
        <w:trPr>
          <w:trHeight w:val="22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2/1/25 to 2/28/25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79,316</w:t>
            </w:r>
          </w:p>
        </w:tc>
        <w:tc>
          <w:tcPr>
            <w:tcW w:w="10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79,316</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24,313</w:t>
            </w:r>
          </w:p>
        </w:tc>
        <w:tc>
          <w:tcPr>
            <w:tcW w:w="0" w:type="dxa"/>
            <w:vAlign w:val="bottom"/>
          </w:tcPr>
          <w:p>
            <w:pPr>
              <w:spacing w:after="0"/>
              <w:rPr>
                <w:sz w:val="1"/>
                <w:szCs w:val="1"/>
                <w:color w:val="auto"/>
              </w:rPr>
            </w:pPr>
          </w:p>
        </w:tc>
      </w:tr>
      <w:tr>
        <w:trPr>
          <w:trHeight w:val="226"/>
        </w:trPr>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3/1/25 to 3/31/25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1,172,026</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987,618</w:t>
            </w: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0" w:type="dxa"/>
            <w:vAlign w:val="bottom"/>
          </w:tcPr>
          <w:p>
            <w:pPr>
              <w:spacing w:after="0"/>
              <w:rPr>
                <w:sz w:val="1"/>
                <w:szCs w:val="1"/>
                <w:color w:val="auto"/>
              </w:rPr>
            </w:pPr>
          </w:p>
        </w:tc>
      </w:tr>
      <w:tr>
        <w:trPr>
          <w:trHeight w:val="225"/>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1,374,722</w:t>
            </w:r>
          </w:p>
        </w:tc>
        <w:tc>
          <w:tcPr>
            <w:tcW w:w="10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1,190,314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80" w:right="280" w:hanging="316"/>
        <w:spacing w:after="0" w:line="275" w:lineRule="auto"/>
        <w:tabs>
          <w:tab w:leader="none" w:pos="127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shares of Class A common stock repurchased under the publicly announced stock repurchase program, average price paid per share includes costs associated with such repurchases.</w:t>
      </w:r>
    </w:p>
    <w:p>
      <w:pPr>
        <w:spacing w:after="0" w:line="57" w:lineRule="exact"/>
        <w:rPr>
          <w:rFonts w:ascii="Times New Roman" w:cs="Times New Roman" w:eastAsia="Times New Roman" w:hAnsi="Times New Roman"/>
          <w:sz w:val="18"/>
          <w:szCs w:val="18"/>
          <w:color w:val="auto"/>
        </w:rPr>
      </w:pPr>
    </w:p>
    <w:p>
      <w:pPr>
        <w:ind w:left="1280" w:right="60" w:hanging="316"/>
        <w:spacing w:after="0" w:line="275" w:lineRule="auto"/>
        <w:tabs>
          <w:tab w:leader="none" w:pos="1274"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May 5, 2025, our board of directors authorized an increase to the existing stock repurchase program, approving the repurchase of up to an additional $50.0 million of the Company’s Class A common stock or Class B units of Viant Technology LLC.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4" w:lineRule="exact"/>
        <w:rPr>
          <w:sz w:val="20"/>
          <w:szCs w:val="20"/>
          <w:color w:val="auto"/>
        </w:rPr>
      </w:pPr>
    </w:p>
    <w:p>
      <w:pPr>
        <w:ind w:left="960" w:hanging="315"/>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8"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8" w:lineRule="exact"/>
        <w:rPr>
          <w:rFonts w:ascii="Times New Roman" w:cs="Times New Roman" w:eastAsia="Times New Roman" w:hAnsi="Times New Roman"/>
          <w:sz w:val="18"/>
          <w:szCs w:val="18"/>
          <w:color w:val="auto"/>
        </w:rPr>
      </w:pPr>
    </w:p>
    <w:p>
      <w:pPr>
        <w:ind w:left="960" w:hanging="315"/>
        <w:spacing w:after="0" w:line="272" w:lineRule="auto"/>
        <w:tabs>
          <w:tab w:leader="none" w:pos="95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March 18, 2025, Capital V LLC, Chris Vanderhook, Chief Operating Officer and Director, and Tim Vanderhook, Chief Executive Officer and Chairman, entered into a Rule 10b5-1 trading arrangement intended to satisfy the affirmative defense conditions of Rule 10b5-1(c) for the sale of up to 900,000 shares of the Company’s Class A common stock (300,000 shares each) through July 23, 2026. During the three months ended </w:t>
      </w:r>
      <w:r>
        <w:rPr>
          <w:rFonts w:ascii="Times New Roman" w:cs="Times New Roman" w:eastAsia="Times New Roman" w:hAnsi="Times New Roman"/>
          <w:sz w:val="17"/>
          <w:szCs w:val="17"/>
          <w:color w:val="231F20"/>
        </w:rPr>
        <w:t>March 31, 2025</w:t>
      </w:r>
      <w:r>
        <w:rPr>
          <w:rFonts w:ascii="Times New Roman" w:cs="Times New Roman" w:eastAsia="Times New Roman" w:hAnsi="Times New Roman"/>
          <w:sz w:val="17"/>
          <w:szCs w:val="17"/>
          <w:color w:val="auto"/>
        </w:rPr>
        <w:t>, no other director or "officer" (as defined in Rule 16a-1(f) of the Exchange Act) of the Company adopted or terminated a "Rule 10b5-1 trading arrangement" or "non-Rule 10b5-1 trading arrangement," as each term is defined in Item 408(a) of Regulation S-K.</w:t>
      </w:r>
    </w:p>
    <w:p>
      <w:pPr>
        <w:spacing w:after="0" w:line="38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316" w:right="4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00"/>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0" w:type="dxa"/>
            <w:vAlign w:val="bottom"/>
            <w:gridSpan w:val="9"/>
          </w:tcPr>
          <w:p>
            <w:pPr>
              <w:ind w:left="38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r>
      <w:tr>
        <w:trPr>
          <w:trHeight w:val="219"/>
        </w:trPr>
        <w:tc>
          <w:tcPr>
            <w:tcW w:w="180" w:type="dxa"/>
            <w:vAlign w:val="bottom"/>
          </w:tcPr>
          <w:p>
            <w:pPr>
              <w:spacing w:after="0"/>
              <w:rPr>
                <w:sz w:val="19"/>
                <w:szCs w:val="19"/>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0" w:type="dxa"/>
            <w:vAlign w:val="bottom"/>
            <w:gridSpan w:val="10"/>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Amended and Restated Certificate of Incorporation of Viant Technology Inc. (incorporated by reference to Exhibit 3.1 to the</w:t>
              </w:r>
            </w:hyperlink>
          </w:p>
        </w:tc>
      </w:tr>
      <w:tr>
        <w:trPr>
          <w:trHeight w:val="153"/>
        </w:trPr>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7"/>
          </w:tcPr>
          <w:p>
            <w:pPr>
              <w:spacing w:after="0" w:line="153"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Company’s Annual Report on Form 10-K (File No. 001-40015) for the year ended December 31, 2020, filed on March 23,</w:t>
              </w:r>
            </w:hyperlink>
          </w:p>
        </w:tc>
        <w:tc>
          <w:tcPr>
            <w:tcW w:w="20" w:type="dxa"/>
            <w:vAlign w:val="bottom"/>
          </w:tcPr>
          <w:p>
            <w:pPr>
              <w:spacing w:after="0"/>
              <w:rPr>
                <w:sz w:val="13"/>
                <w:szCs w:val="13"/>
                <w:color w:val="auto"/>
              </w:rPr>
            </w:pPr>
          </w:p>
        </w:tc>
        <w:tc>
          <w:tcPr>
            <w:tcW w:w="760" w:type="dxa"/>
            <w:vAlign w:val="bottom"/>
            <w:gridSpan w:val="2"/>
          </w:tcPr>
          <w:p>
            <w:pPr>
              <w:spacing w:after="0"/>
              <w:rPr>
                <w:sz w:val="13"/>
                <w:szCs w:val="13"/>
                <w:color w:val="auto"/>
              </w:rPr>
            </w:pPr>
          </w:p>
        </w:tc>
      </w:tr>
      <w:tr>
        <w:trPr>
          <w:trHeight w:val="166"/>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6" w:lineRule="exact"/>
              <w:rPr>
                <w:rFonts w:ascii="Times New Roman" w:cs="Times New Roman" w:eastAsia="Times New Roman" w:hAnsi="Times New Roman"/>
                <w:sz w:val="18"/>
                <w:szCs w:val="18"/>
                <w:color w:val="0000FF"/>
                <w:w w:val="90"/>
              </w:rPr>
            </w:pPr>
            <w:hyperlink r:id="rId89">
              <w:r>
                <w:rPr>
                  <w:rFonts w:ascii="Times New Roman" w:cs="Times New Roman" w:eastAsia="Times New Roman" w:hAnsi="Times New Roman"/>
                  <w:sz w:val="18"/>
                  <w:szCs w:val="18"/>
                  <w:color w:val="0000FF"/>
                  <w:w w:val="90"/>
                </w:rPr>
                <w:t>2021)</w:t>
              </w:r>
            </w:hyperlink>
          </w:p>
        </w:tc>
        <w:tc>
          <w:tcPr>
            <w:tcW w:w="68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59"/>
        </w:trPr>
        <w:tc>
          <w:tcPr>
            <w:tcW w:w="180" w:type="dxa"/>
            <w:vAlign w:val="bottom"/>
          </w:tcPr>
          <w:p>
            <w:pPr>
              <w:spacing w:after="0"/>
              <w:rPr>
                <w:sz w:val="22"/>
                <w:szCs w:val="22"/>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0" w:type="dxa"/>
            <w:vAlign w:val="bottom"/>
            <w:gridSpan w:val="10"/>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Amended and Restated Bylaws of Viant Technology Inc. (incorporated by reference to Exhibit 3.2 to the Company’s Annual</w:t>
              </w:r>
            </w:hyperlink>
          </w:p>
        </w:tc>
      </w:tr>
      <w:tr>
        <w:trPr>
          <w:trHeight w:val="153"/>
        </w:trPr>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tcBorders>
              <w:top w:val="single" w:sz="8" w:color="0000FF"/>
              <w:bottom w:val="single" w:sz="8" w:color="0000FF"/>
            </w:tcBorders>
            <w:gridSpan w:val="5"/>
          </w:tcPr>
          <w:p>
            <w:pPr>
              <w:spacing w:after="0" w:line="153"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Report on Form 10-K (File No. 001-40015) for the year ended December 31, 2020, filed on March 23, 2021)</w:t>
              </w:r>
            </w:hyperlink>
          </w:p>
        </w:tc>
        <w:tc>
          <w:tcPr>
            <w:tcW w:w="1120" w:type="dxa"/>
            <w:vAlign w:val="bottom"/>
            <w:tcBorders>
              <w:top w:val="single" w:sz="8" w:color="0000FF"/>
            </w:tcBorders>
            <w:gridSpan w:val="3"/>
          </w:tcPr>
          <w:p>
            <w:pPr>
              <w:spacing w:after="0"/>
              <w:rPr>
                <w:sz w:val="13"/>
                <w:szCs w:val="13"/>
                <w:color w:val="auto"/>
              </w:rPr>
            </w:pPr>
          </w:p>
        </w:tc>
        <w:tc>
          <w:tcPr>
            <w:tcW w:w="760" w:type="dxa"/>
            <w:vAlign w:val="bottom"/>
            <w:gridSpan w:val="2"/>
          </w:tcPr>
          <w:p>
            <w:pPr>
              <w:spacing w:after="0"/>
              <w:rPr>
                <w:sz w:val="13"/>
                <w:szCs w:val="13"/>
                <w:color w:val="auto"/>
              </w:rPr>
            </w:pPr>
          </w:p>
        </w:tc>
      </w:tr>
      <w:tr>
        <w:trPr>
          <w:trHeight w:val="273"/>
        </w:trPr>
        <w:tc>
          <w:tcPr>
            <w:tcW w:w="180" w:type="dxa"/>
            <w:vAlign w:val="bottom"/>
          </w:tcPr>
          <w:p>
            <w:pPr>
              <w:spacing w:after="0"/>
              <w:rPr>
                <w:sz w:val="23"/>
                <w:szCs w:val="23"/>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r>
      <w:tr>
        <w:trPr>
          <w:trHeight w:val="259"/>
        </w:trPr>
        <w:tc>
          <w:tcPr>
            <w:tcW w:w="180" w:type="dxa"/>
            <w:vAlign w:val="bottom"/>
          </w:tcPr>
          <w:p>
            <w:pPr>
              <w:spacing w:after="0"/>
              <w:rPr>
                <w:sz w:val="22"/>
                <w:szCs w:val="22"/>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3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Section 302 of the Sarbanes-Oxley Act of 2002</w:t>
            </w:r>
          </w:p>
        </w:tc>
        <w:tc>
          <w:tcPr>
            <w:tcW w:w="20" w:type="dxa"/>
            <w:vAlign w:val="bottom"/>
            <w:tcBorders>
              <w:top w:val="single" w:sz="8" w:color="0000FF"/>
            </w:tcBorders>
          </w:tcPr>
          <w:p>
            <w:pPr>
              <w:spacing w:after="0"/>
              <w:rPr>
                <w:sz w:val="22"/>
                <w:szCs w:val="22"/>
                <w:color w:val="auto"/>
              </w:rPr>
            </w:pPr>
          </w:p>
        </w:tc>
        <w:tc>
          <w:tcPr>
            <w:tcW w:w="2280" w:type="dxa"/>
            <w:vAlign w:val="bottom"/>
            <w:gridSpan w:val="6"/>
          </w:tcPr>
          <w:p>
            <w:pPr>
              <w:spacing w:after="0"/>
              <w:rPr>
                <w:sz w:val="22"/>
                <w:szCs w:val="22"/>
                <w:color w:val="auto"/>
              </w:rPr>
            </w:pPr>
          </w:p>
        </w:tc>
      </w:tr>
      <w:tr>
        <w:trPr>
          <w:trHeight w:val="259"/>
        </w:trPr>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2"/>
                <w:szCs w:val="22"/>
                <w:color w:val="auto"/>
              </w:rPr>
            </w:pPr>
          </w:p>
        </w:tc>
        <w:tc>
          <w:tcPr>
            <w:tcW w:w="96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r>
      <w:tr>
        <w:trPr>
          <w:trHeight w:val="259"/>
        </w:trPr>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2"/>
                <w:szCs w:val="22"/>
                <w:color w:val="auto"/>
              </w:rPr>
            </w:pPr>
          </w:p>
        </w:tc>
        <w:tc>
          <w:tcPr>
            <w:tcW w:w="72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Section 906 of the Sarbanes-Oxley Act of 2002</w:t>
            </w:r>
          </w:p>
        </w:tc>
        <w:tc>
          <w:tcPr>
            <w:tcW w:w="40" w:type="dxa"/>
            <w:vAlign w:val="bottom"/>
            <w:tcBorders>
              <w:top w:val="single" w:sz="8" w:color="0000FF"/>
            </w:tcBorders>
            <w:gridSpan w:val="2"/>
          </w:tcPr>
          <w:p>
            <w:pPr>
              <w:spacing w:after="0"/>
              <w:rPr>
                <w:sz w:val="22"/>
                <w:szCs w:val="22"/>
                <w:color w:val="auto"/>
              </w:rPr>
            </w:pPr>
          </w:p>
        </w:tc>
        <w:tc>
          <w:tcPr>
            <w:tcW w:w="2280" w:type="dxa"/>
            <w:vAlign w:val="bottom"/>
            <w:gridSpan w:val="6"/>
          </w:tcPr>
          <w:p>
            <w:pPr>
              <w:spacing w:after="0"/>
              <w:rPr>
                <w:sz w:val="22"/>
                <w:szCs w:val="22"/>
                <w:color w:val="auto"/>
              </w:rPr>
            </w:pPr>
          </w:p>
        </w:tc>
      </w:tr>
      <w:tr>
        <w:trPr>
          <w:trHeight w:val="294"/>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26"/>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9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6"/>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6"/>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6"/>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6"/>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9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2"/>
        </w:trPr>
        <w:tc>
          <w:tcPr>
            <w:tcW w:w="180" w:type="dxa"/>
            <w:vAlign w:val="bottom"/>
          </w:tcPr>
          <w:p>
            <w:pPr>
              <w:spacing w:after="0"/>
              <w:rPr>
                <w:sz w:val="20"/>
                <w:szCs w:val="20"/>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12"/>
        </w:trPr>
        <w:tc>
          <w:tcPr>
            <w:tcW w:w="180" w:type="dxa"/>
            <w:vAlign w:val="bottom"/>
          </w:tcPr>
          <w:p>
            <w:pPr>
              <w:spacing w:after="0"/>
              <w:rPr>
                <w:sz w:val="24"/>
                <w:szCs w:val="24"/>
                <w:color w:val="auto"/>
              </w:rPr>
            </w:pPr>
          </w:p>
        </w:tc>
        <w:tc>
          <w:tcPr>
            <w:tcW w:w="874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______________________</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0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2"/>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60" w:type="dxa"/>
            <w:vAlign w:val="bottom"/>
            <w:gridSpan w:val="14"/>
          </w:tcPr>
          <w:p>
            <w:pPr>
              <w:jc w:val="center"/>
              <w:ind w:right="9460"/>
              <w:spacing w:after="0"/>
              <w:rPr>
                <w:sz w:val="20"/>
                <w:szCs w:val="20"/>
                <w:color w:val="auto"/>
              </w:rPr>
            </w:pPr>
            <w:r>
              <w:rPr>
                <w:rFonts w:ascii="Times New Roman" w:cs="Times New Roman" w:eastAsia="Times New Roman" w:hAnsi="Times New Roman"/>
                <w:sz w:val="18"/>
                <w:szCs w:val="18"/>
                <w:color w:val="auto"/>
                <w:w w:val="97"/>
              </w:rPr>
              <w:t>Furnished herewith.</w:t>
            </w:r>
          </w:p>
        </w:tc>
      </w:tr>
      <w:tr>
        <w:trPr>
          <w:trHeight w:val="638"/>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00" w:type="dxa"/>
            <w:vAlign w:val="bottom"/>
            <w:gridSpan w:val="3"/>
          </w:tcPr>
          <w:p>
            <w:pPr>
              <w:jc w:val="right"/>
              <w:ind w:right="2889"/>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12"/>
        </w:trPr>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16" w:right="339" w:bottom="1440" w:gutter="0" w:footer="0" w:header="0"/>
        </w:sectPr>
      </w:pPr>
    </w:p>
    <w:bookmarkStart w:id="68" w:name="page69"/>
    <w:bookmarkEnd w:id="6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4" w:lineRule="exact"/>
        <w:rPr>
          <w:sz w:val="20"/>
          <w:szCs w:val="20"/>
          <w:color w:val="auto"/>
        </w:rPr>
      </w:pPr>
    </w:p>
    <w:p>
      <w:pPr>
        <w:ind w:firstLine="63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VIANT TECHNOLOGY INC.</w:t>
      </w:r>
    </w:p>
    <w:p>
      <w:pPr>
        <w:spacing w:after="0" w:line="218" w:lineRule="exact"/>
        <w:rPr>
          <w:sz w:val="20"/>
          <w:szCs w:val="20"/>
          <w:color w:val="auto"/>
        </w:rPr>
      </w:pPr>
    </w:p>
    <w:p>
      <w:pPr>
        <w:ind w:left="500"/>
        <w:spacing w:after="0"/>
        <w:tabs>
          <w:tab w:leader="none" w:pos="5420" w:val="left"/>
          <w:tab w:leader="none" w:pos="758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15240</wp:posOffset>
            </wp:positionV>
            <wp:extent cx="31324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10"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Tim Vanderhook</w:t>
      </w:r>
    </w:p>
    <w:p>
      <w:pPr>
        <w:spacing w:after="0" w:line="3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26" w:lineRule="exact"/>
        <w:rPr>
          <w:sz w:val="20"/>
          <w:szCs w:val="20"/>
          <w:color w:val="auto"/>
        </w:rPr>
      </w:pPr>
    </w:p>
    <w:p>
      <w:pPr>
        <w:ind w:left="500"/>
        <w:spacing w:after="0"/>
        <w:tabs>
          <w:tab w:leader="none" w:pos="5420" w:val="left"/>
          <w:tab w:leader="none" w:pos="768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15240</wp:posOffset>
            </wp:positionV>
            <wp:extent cx="31324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1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Larry Madden</w:t>
      </w:r>
    </w:p>
    <w:p>
      <w:pPr>
        <w:spacing w:after="0" w:line="3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33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760"/>
          </w:cols>
          <w:pgMar w:left="320" w:top="1316" w:right="81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Vanderhook, certify that:</w:t>
      </w:r>
    </w:p>
    <w:p>
      <w:pPr>
        <w:spacing w:after="0" w:line="179" w:lineRule="exact"/>
        <w:rPr>
          <w:sz w:val="20"/>
          <w:szCs w:val="20"/>
          <w:color w:val="auto"/>
        </w:rPr>
      </w:pPr>
    </w:p>
    <w:p>
      <w:pPr>
        <w:ind w:left="820" w:hanging="175"/>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Viant Technology Inc.;</w:t>
      </w:r>
    </w:p>
    <w:p>
      <w:pPr>
        <w:spacing w:after="0" w:line="191" w:lineRule="exact"/>
        <w:rPr>
          <w:rFonts w:ascii="Times New Roman" w:cs="Times New Roman" w:eastAsia="Times New Roman" w:hAnsi="Times New Roman"/>
          <w:sz w:val="18"/>
          <w:szCs w:val="18"/>
          <w:color w:val="auto"/>
        </w:rPr>
      </w:pPr>
    </w:p>
    <w:p>
      <w:pPr>
        <w:ind w:right="100" w:firstLine="645"/>
        <w:spacing w:after="0" w:line="305" w:lineRule="auto"/>
        <w:tabs>
          <w:tab w:leader="none" w:pos="8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7"/>
          <w:szCs w:val="17"/>
          <w:color w:val="auto"/>
        </w:rPr>
      </w:pPr>
    </w:p>
    <w:p>
      <w:pPr>
        <w:ind w:right="80" w:firstLine="645"/>
        <w:spacing w:after="0" w:line="275" w:lineRule="auto"/>
        <w:tabs>
          <w:tab w:leader="none" w:pos="8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right="260" w:firstLine="645"/>
        <w:spacing w:after="0" w:line="261" w:lineRule="auto"/>
        <w:tabs>
          <w:tab w:leader="none" w:pos="8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Exchange Act Rules 13a-15(e) and 15d-15(e)) </w:t>
      </w:r>
      <w:r>
        <w:rPr>
          <w:rFonts w:ascii="Times New Roman" w:cs="Times New Roman" w:eastAsia="Times New Roman" w:hAnsi="Times New Roman"/>
          <w:sz w:val="18"/>
          <w:szCs w:val="18"/>
          <w:color w:val="333333"/>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49" w:lineRule="exact"/>
        <w:rPr>
          <w:sz w:val="20"/>
          <w:szCs w:val="20"/>
          <w:color w:val="auto"/>
        </w:rPr>
      </w:pPr>
    </w:p>
    <w:p>
      <w:pPr>
        <w:ind w:right="340" w:firstLine="645"/>
        <w:spacing w:after="0" w:line="261" w:lineRule="auto"/>
        <w:tabs>
          <w:tab w:leader="none" w:pos="87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right="20" w:firstLine="645"/>
        <w:spacing w:after="0" w:line="261" w:lineRule="auto"/>
        <w:tabs>
          <w:tab w:leader="none" w:pos="88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right="840" w:firstLine="645"/>
        <w:spacing w:after="0" w:line="275" w:lineRule="auto"/>
        <w:tabs>
          <w:tab w:leader="none" w:pos="87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8"/>
          <w:szCs w:val="18"/>
          <w:color w:val="auto"/>
        </w:rPr>
      </w:pPr>
    </w:p>
    <w:p>
      <w:pPr>
        <w:ind w:right="140" w:firstLine="645"/>
        <w:spacing w:after="0" w:line="261" w:lineRule="auto"/>
        <w:tabs>
          <w:tab w:leader="none" w:pos="88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sz w:val="20"/>
          <w:szCs w:val="20"/>
          <w:color w:val="auto"/>
        </w:rPr>
      </w:pPr>
    </w:p>
    <w:p>
      <w:pPr>
        <w:ind w:firstLine="645"/>
        <w:spacing w:after="0" w:line="275"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right="260" w:firstLine="645"/>
        <w:spacing w:after="0" w:line="275" w:lineRule="auto"/>
        <w:tabs>
          <w:tab w:leader="none" w:pos="87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8"/>
          <w:szCs w:val="18"/>
          <w:color w:val="auto"/>
        </w:rPr>
      </w:pPr>
    </w:p>
    <w:p>
      <w:pPr>
        <w:ind w:right="200" w:firstLine="645"/>
        <w:spacing w:after="0" w:line="275" w:lineRule="auto"/>
        <w:tabs>
          <w:tab w:leader="none" w:pos="88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629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5629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 Vanderhook</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9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Larry Madden, certify that:</w:t>
      </w:r>
    </w:p>
    <w:p>
      <w:pPr>
        <w:spacing w:after="0" w:line="179" w:lineRule="exact"/>
        <w:rPr>
          <w:sz w:val="20"/>
          <w:szCs w:val="20"/>
          <w:color w:val="auto"/>
        </w:rPr>
      </w:pPr>
    </w:p>
    <w:p>
      <w:pPr>
        <w:ind w:left="820" w:hanging="175"/>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Viant Technology Inc.;</w:t>
      </w:r>
    </w:p>
    <w:p>
      <w:pPr>
        <w:spacing w:after="0" w:line="191" w:lineRule="exact"/>
        <w:rPr>
          <w:rFonts w:ascii="Times New Roman" w:cs="Times New Roman" w:eastAsia="Times New Roman" w:hAnsi="Times New Roman"/>
          <w:sz w:val="18"/>
          <w:szCs w:val="18"/>
          <w:color w:val="auto"/>
        </w:rPr>
      </w:pPr>
    </w:p>
    <w:p>
      <w:pPr>
        <w:ind w:right="100" w:firstLine="645"/>
        <w:spacing w:after="0" w:line="305" w:lineRule="auto"/>
        <w:tabs>
          <w:tab w:leader="none" w:pos="8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7"/>
          <w:szCs w:val="17"/>
          <w:color w:val="auto"/>
        </w:rPr>
      </w:pPr>
    </w:p>
    <w:p>
      <w:pPr>
        <w:ind w:right="80" w:firstLine="645"/>
        <w:spacing w:after="0" w:line="275" w:lineRule="auto"/>
        <w:tabs>
          <w:tab w:leader="none" w:pos="8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right="260" w:firstLine="645"/>
        <w:spacing w:after="0" w:line="261" w:lineRule="auto"/>
        <w:tabs>
          <w:tab w:leader="none" w:pos="8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Exchange Act Rules 13a-15(e) and 15d-15(e)) </w:t>
      </w:r>
      <w:r>
        <w:rPr>
          <w:rFonts w:ascii="Times New Roman" w:cs="Times New Roman" w:eastAsia="Times New Roman" w:hAnsi="Times New Roman"/>
          <w:sz w:val="18"/>
          <w:szCs w:val="18"/>
          <w:color w:val="333333"/>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49" w:lineRule="exact"/>
        <w:rPr>
          <w:sz w:val="20"/>
          <w:szCs w:val="20"/>
          <w:color w:val="auto"/>
        </w:rPr>
      </w:pPr>
    </w:p>
    <w:p>
      <w:pPr>
        <w:ind w:right="340" w:firstLine="645"/>
        <w:spacing w:after="0" w:line="261" w:lineRule="auto"/>
        <w:tabs>
          <w:tab w:leader="none" w:pos="8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right="20" w:firstLine="645"/>
        <w:spacing w:after="0" w:line="261" w:lineRule="auto"/>
        <w:tabs>
          <w:tab w:leader="none" w:pos="8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right="840" w:firstLine="645"/>
        <w:spacing w:after="0" w:line="275" w:lineRule="auto"/>
        <w:tabs>
          <w:tab w:leader="none" w:pos="8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8"/>
          <w:szCs w:val="18"/>
          <w:color w:val="auto"/>
        </w:rPr>
      </w:pPr>
    </w:p>
    <w:p>
      <w:pPr>
        <w:ind w:right="140" w:firstLine="645"/>
        <w:spacing w:after="0" w:line="261" w:lineRule="auto"/>
        <w:tabs>
          <w:tab w:leader="none" w:pos="8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sz w:val="20"/>
          <w:szCs w:val="20"/>
          <w:color w:val="auto"/>
        </w:rPr>
      </w:pPr>
    </w:p>
    <w:p>
      <w:pPr>
        <w:ind w:firstLine="645"/>
        <w:spacing w:after="0" w:line="275"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right="260" w:firstLine="645"/>
        <w:spacing w:after="0" w:line="275" w:lineRule="auto"/>
        <w:tabs>
          <w:tab w:leader="none" w:pos="87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8"/>
          <w:szCs w:val="18"/>
          <w:color w:val="auto"/>
        </w:rPr>
      </w:pPr>
    </w:p>
    <w:p>
      <w:pPr>
        <w:ind w:right="200" w:firstLine="645"/>
        <w:spacing w:after="0" w:line="275" w:lineRule="auto"/>
        <w:tabs>
          <w:tab w:leader="none" w:pos="8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629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5629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Larry Madden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9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Viant Technology Inc. (the “Company”) on Form 10-Q for the quarter ended March 31, 2025, as filed with the Securities and Exchange Commission on the date hereof (the “Report”), I certify, pursuant to 18 U.S.C. § 1350, as adopted pursuant to § 906 of the Sarbanes-Oxley Act of 2002, that:</w:t>
      </w:r>
    </w:p>
    <w:p>
      <w:pPr>
        <w:spacing w:after="0" w:line="136" w:lineRule="exact"/>
        <w:rPr>
          <w:sz w:val="20"/>
          <w:szCs w:val="20"/>
          <w:color w:val="auto"/>
        </w:rPr>
      </w:pPr>
    </w:p>
    <w:p>
      <w:pPr>
        <w:ind w:left="1280" w:hanging="635"/>
        <w:spacing w:after="0"/>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1" w:lineRule="exact"/>
        <w:rPr>
          <w:rFonts w:ascii="Times New Roman" w:cs="Times New Roman" w:eastAsia="Times New Roman" w:hAnsi="Times New Roman"/>
          <w:sz w:val="18"/>
          <w:szCs w:val="18"/>
          <w:color w:val="auto"/>
        </w:rPr>
      </w:pPr>
    </w:p>
    <w:p>
      <w:pPr>
        <w:ind w:left="1280" w:right="440" w:hanging="635"/>
        <w:spacing w:after="0" w:line="275" w:lineRule="auto"/>
        <w:tabs>
          <w:tab w:leader="none" w:pos="127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Tim Vanderhook</w:t>
            </w:r>
          </w:p>
        </w:tc>
      </w:tr>
      <w:tr>
        <w:trPr>
          <w:trHeight w:val="214"/>
        </w:trPr>
        <w:tc>
          <w:tcPr>
            <w:tcW w:w="3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Tim Vanderhook</w:t>
            </w:r>
          </w:p>
        </w:tc>
      </w:tr>
      <w:tr>
        <w:trPr>
          <w:trHeight w:val="226"/>
        </w:trPr>
        <w:tc>
          <w:tcPr>
            <w:tcW w:w="3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 and Chairman</w:t>
            </w:r>
          </w:p>
        </w:tc>
      </w:tr>
      <w:tr>
        <w:trPr>
          <w:trHeight w:val="232"/>
        </w:trPr>
        <w:tc>
          <w:tcPr>
            <w:tcW w:w="3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Executive Officer)</w:t>
            </w:r>
          </w:p>
        </w:tc>
      </w:tr>
    </w:tbl>
    <w:p>
      <w:pPr>
        <w:sectPr>
          <w:pgSz w:w="11900" w:h="16838" w:orient="portrait"/>
          <w:cols w:equalWidth="0" w:num="1">
            <w:col w:w="11240"/>
          </w:cols>
          <w:pgMar w:left="320" w:top="1090"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Viant Technology Inc. (the “Company”) on Form 10-Q for the quarter ended March 31, 2025, as filed with the Securities and Exchange Commission on the date hereof (the “Report”), I certify, pursuant to 18 U.S.C. § 1350, as adopted pursuant to § 906 of the Sarbanes-Oxley Act of 2002, that:</w:t>
      </w:r>
    </w:p>
    <w:p>
      <w:pPr>
        <w:spacing w:after="0" w:line="136" w:lineRule="exact"/>
        <w:rPr>
          <w:sz w:val="20"/>
          <w:szCs w:val="20"/>
          <w:color w:val="auto"/>
        </w:rPr>
      </w:pPr>
    </w:p>
    <w:p>
      <w:pPr>
        <w:ind w:left="1280" w:hanging="635"/>
        <w:spacing w:after="0"/>
        <w:tabs>
          <w:tab w:leader="none" w:pos="1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1" w:lineRule="exact"/>
        <w:rPr>
          <w:rFonts w:ascii="Times New Roman" w:cs="Times New Roman" w:eastAsia="Times New Roman" w:hAnsi="Times New Roman"/>
          <w:sz w:val="18"/>
          <w:szCs w:val="18"/>
          <w:color w:val="auto"/>
        </w:rPr>
      </w:pPr>
    </w:p>
    <w:p>
      <w:pPr>
        <w:ind w:left="1280" w:right="440" w:hanging="635"/>
        <w:spacing w:after="0" w:line="275" w:lineRule="auto"/>
        <w:tabs>
          <w:tab w:leader="none" w:pos="12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Larry Madden</w:t>
            </w:r>
          </w:p>
        </w:tc>
      </w:tr>
      <w:tr>
        <w:trPr>
          <w:trHeight w:val="214"/>
        </w:trPr>
        <w:tc>
          <w:tcPr>
            <w:tcW w:w="3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Larry Madden</w:t>
            </w:r>
          </w:p>
        </w:tc>
      </w:tr>
      <w:tr>
        <w:trPr>
          <w:trHeight w:val="226"/>
        </w:trPr>
        <w:tc>
          <w:tcPr>
            <w:tcW w:w="34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Financial Officer</w:t>
            </w:r>
          </w:p>
        </w:tc>
      </w:tr>
      <w:tr>
        <w:trPr>
          <w:trHeight w:val="232"/>
        </w:trPr>
        <w:tc>
          <w:tcPr>
            <w:tcW w:w="34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0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upperLetter"/>
      <w:start w:val="2"/>
    </w:lvl>
  </w:abstractNum>
  <w:abstractNum w:abstractNumId="7">
    <w:nsid w:val="2CA88611"/>
    <w:multiLevelType w:val="hybridMultilevel"/>
    <w:lvl w:ilvl="0">
      <w:lvlJc w:val="left"/>
      <w:lvlText w:val="%1."/>
      <w:numFmt w:val="decimal"/>
      <w:start w:val="3"/>
    </w:lvl>
  </w:abstractNum>
  <w:abstractNum w:abstractNumId="8">
    <w:nsid w:val="836C40E"/>
    <w:multiLevelType w:val="hybridMultilevel"/>
    <w:lvl w:ilvl="0">
      <w:lvlJc w:val="left"/>
      <w:lvlText w:val="%1."/>
      <w:numFmt w:val="decimal"/>
      <w:start w:val="8"/>
    </w:lvl>
  </w:abstractNum>
  <w:abstractNum w:abstractNumId="9">
    <w:nsid w:val="2901D82"/>
    <w:multiLevelType w:val="hybridMultilevel"/>
    <w:lvl w:ilvl="0">
      <w:lvlJc w:val="left"/>
      <w:lvlText w:val="%1."/>
      <w:numFmt w:val="decimal"/>
      <w:start w:val="9"/>
    </w:lvl>
  </w:abstractNum>
  <w:abstractNum w:abstractNumId="10">
    <w:nsid w:val="3A95F874"/>
    <w:multiLevelType w:val="hybridMultilevel"/>
    <w:lvl w:ilvl="0">
      <w:lvlJc w:val="left"/>
      <w:lvlText w:val="(%1)"/>
      <w:numFmt w:val="lowerRoman"/>
      <w:start w:val="2"/>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0"/>
    </w:lvl>
  </w:abstractNum>
  <w:abstractNum w:abstractNumId="14">
    <w:nsid w:val="737B8DDC"/>
    <w:multiLevelType w:val="hybridMultilevel"/>
    <w:lvl w:ilvl="0">
      <w:lvlJc w:val="left"/>
      <w:lvlText w:val="%1."/>
      <w:numFmt w:val="decimal"/>
      <w:start w:val="12"/>
    </w:lvl>
  </w:abstractNum>
  <w:abstractNum w:abstractNumId="15">
    <w:nsid w:val="6CEAF087"/>
    <w:multiLevelType w:val="hybridMultilevel"/>
    <w:lvl w:ilvl="0">
      <w:lvlJc w:val="left"/>
      <w:lvlText w:val="%1."/>
      <w:numFmt w:val="decimal"/>
      <w:start w:val="13"/>
    </w:lvl>
  </w:abstractNum>
  <w:abstractNum w:abstractNumId="16">
    <w:nsid w:val="22221A70"/>
    <w:multiLevelType w:val="hybridMultilevel"/>
    <w:lvl w:ilvl="0">
      <w:lvlJc w:val="left"/>
      <w:lvlText w:val="%1."/>
      <w:numFmt w:val="decimal"/>
      <w:start w:val="14"/>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4"/>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5"/>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5"/>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89" Type="http://schemas.openxmlformats.org/officeDocument/2006/relationships/hyperlink" Target="https://www.sec.gov/Archives/edgar/data/1828791/000156459021014855/dsp-ex31_279.htm" TargetMode="External"/><Relationship Id="rId90" Type="http://schemas.openxmlformats.org/officeDocument/2006/relationships/hyperlink" Target="https://www.sec.gov/Archives/edgar/data/1828791/000156459021014855/dsp-ex32_2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2025-05-06T15:53:40Z</dcterms:created>
  <dcterms:modified xsi:type="dcterms:W3CDTF">2025-05-06T15:53:40Z</dcterms:modified>
</cp:coreProperties>
</file>