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120" w:after="283"/>
        <w:jc w:val="center"/>
        <w:rPr/>
      </w:pPr>
      <w:r>
        <w:rPr/>
        <w:drawing>
          <wp:inline distT="0" distB="0" distL="0" distR="0">
            <wp:extent cx="3028950"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28950" cy="561975"/>
                    </a:xfrm>
                    <a:prstGeom prst="rect">
                      <a:avLst/>
                    </a:prstGeom>
                  </pic:spPr>
                </pic:pic>
              </a:graphicData>
            </a:graphic>
          </wp:inline>
        </w:drawing>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w:t>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FISCAL YEAR 2024 ANNUAL FINANCIAL REPORT</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 xml:space="preserve">UNITED STATES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SECURITIES AND EXCHANGE COMMISSION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lineRule="auto" w:line="288" w:before="60" w:after="283"/>
        <w:jc w:val="center"/>
        <w:rPr>
          <w:rFonts w:ascii="Times New Roman;sans-serif" w:hAnsi="Times New Roman;sans-serif"/>
          <w:b/>
          <w:color w:val="000000"/>
          <w:sz w:val="28"/>
        </w:rPr>
      </w:pPr>
      <w:r>
        <w:rPr>
          <w:rFonts w:ascii="Times New Roman;sans-serif" w:hAnsi="Times New Roman;sans-serif"/>
          <w:b/>
          <w:color w:val="000000"/>
          <w:sz w:val="28"/>
        </w:rPr>
        <w:t>FORM 10-K</w:t>
      </w:r>
    </w:p>
    <w:tbl>
      <w:tblPr>
        <w:tblW w:w="9972" w:type="dxa"/>
        <w:jc w:val="center"/>
        <w:tblInd w:w="0" w:type="dxa"/>
        <w:tblLayout w:type="fixed"/>
        <w:tblCellMar>
          <w:top w:w="28" w:type="dxa"/>
          <w:left w:w="28" w:type="dxa"/>
          <w:bottom w:w="28" w:type="dxa"/>
          <w:right w:w="28" w:type="dxa"/>
        </w:tblCellMar>
      </w:tblPr>
      <w:tblGrid>
        <w:gridCol w:w="124"/>
        <w:gridCol w:w="109"/>
        <w:gridCol w:w="109"/>
        <w:gridCol w:w="2821"/>
        <w:gridCol w:w="2821"/>
        <w:gridCol w:w="3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ANNUAL REPORT PURSUANT TO SECTION 13 OR 15(d) OF THE SECURITIES EXCHANGE ACT OF 1934 </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TRANSITION REPORT PURSUANT TO SECTION 13 OR 15(d) OF THE SECURITIES EXCHANGE ACT OF 1934 </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from__________to__________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001-40015</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w:t>
      </w:r>
    </w:p>
    <w:p>
      <w:pPr>
        <w:pStyle w:val="TextBody"/>
        <w:bidi w:val="0"/>
        <w:spacing w:before="120" w:after="283"/>
        <w:jc w:val="center"/>
        <w:rPr/>
      </w:pPr>
      <w:r>
        <w:rPr/>
        <w:drawing>
          <wp:inline distT="0" distB="0" distL="0" distR="0">
            <wp:extent cx="2257425"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57425" cy="428625"/>
                    </a:xfrm>
                    <a:prstGeom prst="rect">
                      <a:avLst/>
                    </a:prstGeom>
                  </pic:spPr>
                </pic:pic>
              </a:graphicData>
            </a:graphic>
          </wp:inline>
        </w:drawing>
      </w:r>
    </w:p>
    <w:p>
      <w:pPr>
        <w:pStyle w:val="TextBody"/>
        <w:bidi w:val="0"/>
        <w:spacing w:lineRule="auto" w:line="288" w:before="120" w:after="283"/>
        <w:jc w:val="center"/>
        <w:rPr/>
      </w:pPr>
      <w:r>
        <w:rPr>
          <w:rFonts w:ascii="Times New Roman;sans-serif" w:hAnsi="Times New Roman;sans-serif"/>
          <w:b/>
          <w:color w:val="000000"/>
          <w:sz w:val="24"/>
          <w:shd w:fill="FFFFFF" w:val="clear"/>
        </w:rPr>
        <w:t>Viant Technology Inc.</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_____________________________________________________________________________</w:t>
      </w:r>
    </w:p>
    <w:tbl>
      <w:tblPr>
        <w:tblW w:w="7064" w:type="dxa"/>
        <w:jc w:val="center"/>
        <w:tblInd w:w="0" w:type="dxa"/>
        <w:tblLayout w:type="fixed"/>
        <w:tblCellMar>
          <w:top w:w="28" w:type="dxa"/>
          <w:left w:w="28" w:type="dxa"/>
          <w:bottom w:w="28" w:type="dxa"/>
          <w:right w:w="28" w:type="dxa"/>
        </w:tblCellMar>
      </w:tblPr>
      <w:tblGrid>
        <w:gridCol w:w="933"/>
        <w:gridCol w:w="819"/>
        <w:gridCol w:w="828"/>
        <w:gridCol w:w="944"/>
        <w:gridCol w:w="944"/>
        <w:gridCol w:w="947"/>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85-3447553</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2722 Michelson Drive, Suite 100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Irvine, CA, 92612</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and zip code)</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(949) 861-8888</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(Registrant’s telephone number, including area code) </w:t>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1489"/>
        <w:gridCol w:w="1303"/>
        <w:gridCol w:w="1318"/>
        <w:gridCol w:w="109"/>
        <w:gridCol w:w="109"/>
        <w:gridCol w:w="109"/>
        <w:gridCol w:w="557"/>
        <w:gridCol w:w="557"/>
        <w:gridCol w:w="559"/>
        <w:gridCol w:w="109"/>
        <w:gridCol w:w="109"/>
        <w:gridCol w:w="109"/>
        <w:gridCol w:w="1100"/>
        <w:gridCol w:w="1100"/>
        <w:gridCol w:w="1568"/>
      </w:tblGrid>
      <w:tr>
        <w:trPr/>
        <w:tc>
          <w:tcPr>
            <w:tcW w:w="148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12(g) of the Act: None </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6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56"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8"/>
        </w:rPr>
        <w:t>o</w:t>
      </w:r>
    </w:p>
    <w:p>
      <w:pPr>
        <w:pStyle w:val="TextBody"/>
        <w:bidi w:val="0"/>
        <w:spacing w:lineRule="auto" w:line="288" w:before="60" w:after="283"/>
        <w:ind w:left="0" w:right="0" w:firstLine="720"/>
        <w:jc w:val="left"/>
        <w:rPr/>
      </w:pPr>
      <w:r>
        <w:rPr>
          <w:rFonts w:ascii="Times New Roman;sans-serif" w:hAnsi="Times New Roman;sans-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o</w:t>
      </w:r>
      <w:r>
        <w:rPr>
          <w:color w:val="000000"/>
        </w:rPr>
        <w:t xml:space="preserve"> </w:t>
      </w:r>
      <w:r>
        <w:rPr>
          <w:rFonts w:ascii="Times New Roman;sans-serif" w:hAnsi="Times New Roman;sans-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6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The aggregate market value of the voting and non-voting common equity held by non-affiliates of the registrant, based on the closing price of the registrant's Class A common stock on the Nasdaq Global Select Market on June 30, 2024, the last business day of the registrant’s most recently completed second fiscal quarter, was approximately $155.5 million.</w:t>
      </w:r>
    </w:p>
    <w:p>
      <w:pPr>
        <w:pStyle w:val="TextBody"/>
        <w:bidi w:val="0"/>
        <w:spacing w:lineRule="auto" w:line="288" w:before="60" w:after="283"/>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 of February 28, 2025, there were 16,353,549 shares and 46,720,212 shares of the registrant’s Class A and Class B common stock, respectively, each $0.001 par value per share, outstanding. </w:t>
      </w:r>
    </w:p>
    <w:p>
      <w:pPr>
        <w:pStyle w:val="TextBody"/>
        <w:bidi w:val="0"/>
        <w:spacing w:lineRule="auto" w:line="288" w:before="12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DOCUMENTS INCORPORATED BY REFERENCE</w:t>
      </w:r>
    </w:p>
    <w:p>
      <w:pPr>
        <w:pStyle w:val="TextBody"/>
        <w:bidi w:val="0"/>
        <w:spacing w:lineRule="auto" w:line="288" w:before="0" w:after="0"/>
        <w:ind w:left="0" w:right="0" w:firstLine="720"/>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for its 2025 Annual Meeting of Stockholders, which the registrant intends to file pursuant to Regulation 14A with the Securities and Exchange Commission no later than 120 days after the registrant’s fiscal year ended December 31, 2024, are incorporated by reference into Part III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3"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VIANT TECHNOLOGY INC.</w:t>
      </w:r>
    </w:p>
    <w:p>
      <w:pPr>
        <w:pStyle w:val="TextBody"/>
        <w:bidi w:val="0"/>
        <w:spacing w:lineRule="auto" w:line="288" w:before="24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88"/>
        <w:gridCol w:w="253"/>
        <w:gridCol w:w="254"/>
        <w:gridCol w:w="2944"/>
        <w:gridCol w:w="2944"/>
        <w:gridCol w:w="2949"/>
        <w:gridCol w:w="167"/>
        <w:gridCol w:w="167"/>
        <w:gridCol w:w="239"/>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0">
              <w:r>
                <w:rPr>
                  <w:rStyle w:val="InternetLink"/>
                  <w:rFonts w:ascii="Times New Roman;sans-serif" w:hAnsi="Times New Roman;sans-serif"/>
                  <w:b w:val="false"/>
                  <w:color w:val="0000FF"/>
                  <w:sz w:val="20"/>
                  <w:u w:val="single"/>
                </w:rPr>
                <w:t>SPECIAL NOTE REGARDING FORWARD-LOOKING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3">
              <w:r>
                <w:rPr>
                  <w:rStyle w:val="InternetLink"/>
                  <w:rFonts w:ascii="Times New Roman;sans-serif" w:hAnsi="Times New Roman;sans-serif"/>
                  <w:b w:val="false"/>
                  <w:color w:val="0000FF"/>
                  <w:sz w:val="20"/>
                  <w:u w:val="single"/>
                </w:rPr>
                <w:t>RISK FACTOR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3">
              <w:r>
                <w:rPr>
                  <w:rStyle w:val="InternetLink"/>
                  <w:rFonts w:ascii="Times New Roman;sans-serif" w:hAnsi="Times New Roman;sans-serif"/>
                  <w:b w:val="false"/>
                  <w:strike w:val="false"/>
                  <w:dstrike w:val="false"/>
                  <w:color w:val="000000"/>
                  <w:sz w:val="20"/>
                  <w:u w:val="none"/>
                  <w:effect w:val="none"/>
                </w:rPr>
                <w:t>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1cf36166504df9900859e32c21e8d3_16">
              <w:r>
                <w:rPr>
                  <w:rStyle w:val="InternetLink"/>
                  <w:rFonts w:ascii="Times New Roman;sans-serif" w:hAnsi="Times New Roman;sans-serif"/>
                  <w:b/>
                  <w:color w:val="0000FF"/>
                  <w:sz w:val="20"/>
                  <w:u w:val="single"/>
                </w:rPr>
                <w:t>PART 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9">
              <w:r>
                <w:rPr>
                  <w:rStyle w:val="InternetLink"/>
                  <w:rFonts w:ascii="Times New Roman;sans-serif" w:hAnsi="Times New Roman;sans-serif"/>
                  <w:b w:val="false"/>
                  <w:strike w:val="false"/>
                  <w:dstrike w:val="false"/>
                  <w:color w:val="000000"/>
                  <w:sz w:val="20"/>
                  <w:u w:val="none"/>
                  <w:effect w:val="none"/>
                </w:rPr>
                <w:t>Item 1.</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9">
              <w:r>
                <w:rPr>
                  <w:rStyle w:val="InternetLink"/>
                  <w:rFonts w:ascii="Times New Roman;sans-serif" w:hAnsi="Times New Roman;sans-serif"/>
                  <w:b w:val="false"/>
                  <w:color w:val="0000FF"/>
                  <w:sz w:val="20"/>
                  <w:u w:val="single"/>
                </w:rPr>
                <w:t>Business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9">
              <w:r>
                <w:rPr>
                  <w:rStyle w:val="InternetLink"/>
                  <w:rFonts w:ascii="Times New Roman;sans-serif" w:hAnsi="Times New Roman;sans-serif"/>
                  <w:b w:val="false"/>
                  <w:strike w:val="false"/>
                  <w:dstrike w:val="false"/>
                  <w:color w:val="000000"/>
                  <w:sz w:val="20"/>
                  <w:u w:val="none"/>
                  <w:effect w:val="none"/>
                </w:rPr>
                <w:t>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22">
              <w:r>
                <w:rPr>
                  <w:rStyle w:val="InternetLink"/>
                  <w:rFonts w:ascii="Times New Roman;sans-serif" w:hAnsi="Times New Roman;sans-serif"/>
                  <w:b w:val="false"/>
                  <w:strike w:val="false"/>
                  <w:dstrike w:val="false"/>
                  <w:color w:val="000000"/>
                  <w:sz w:val="20"/>
                  <w:u w:val="none"/>
                  <w:effect w:val="none"/>
                </w:rPr>
                <w:t>Item 1A.</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22">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22">
              <w:r>
                <w:rPr>
                  <w:rStyle w:val="InternetLink"/>
                  <w:rFonts w:ascii="Times New Roman;sans-serif" w:hAnsi="Times New Roman;sans-serif"/>
                  <w:b w:val="false"/>
                  <w:strike w:val="false"/>
                  <w:dstrike w:val="false"/>
                  <w:color w:val="000000"/>
                  <w:sz w:val="20"/>
                  <w:u w:val="none"/>
                  <w:effect w:val="none"/>
                </w:rPr>
                <w:t>16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25">
              <w:r>
                <w:rPr>
                  <w:rStyle w:val="InternetLink"/>
                  <w:rFonts w:ascii="Times New Roman;sans-serif" w:hAnsi="Times New Roman;sans-serif"/>
                  <w:b w:val="false"/>
                  <w:strike w:val="false"/>
                  <w:dstrike w:val="false"/>
                  <w:color w:val="000000"/>
                  <w:sz w:val="20"/>
                  <w:u w:val="none"/>
                  <w:effect w:val="none"/>
                </w:rPr>
                <w:t>Item 1B.</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25">
              <w:r>
                <w:rPr>
                  <w:rStyle w:val="InternetLink"/>
                  <w:rFonts w:ascii="Times New Roman;sans-serif" w:hAnsi="Times New Roman;sans-serif"/>
                  <w:b w:val="false"/>
                  <w:color w:val="0000FF"/>
                  <w:sz w:val="20"/>
                  <w:u w:val="single"/>
                </w:rPr>
                <w:t>Unresolved Staff Comments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25">
              <w:r>
                <w:rPr>
                  <w:rStyle w:val="InternetLink"/>
                  <w:rFonts w:ascii="Times New Roman;sans-serif" w:hAnsi="Times New Roman;sans-serif"/>
                  <w:b w:val="false"/>
                  <w:strike w:val="false"/>
                  <w:dstrike w:val="false"/>
                  <w:color w:val="000000"/>
                  <w:sz w:val="20"/>
                  <w:u w:val="none"/>
                  <w:effect w:val="none"/>
                </w:rPr>
                <w:t>42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28">
              <w:r>
                <w:rPr>
                  <w:rStyle w:val="InternetLink"/>
                  <w:rFonts w:ascii="Times New Roman;sans-serif" w:hAnsi="Times New Roman;sans-serif"/>
                  <w:b w:val="false"/>
                  <w:strike w:val="false"/>
                  <w:dstrike w:val="false"/>
                  <w:color w:val="000000"/>
                  <w:sz w:val="20"/>
                  <w:u w:val="none"/>
                  <w:effect w:val="none"/>
                </w:rPr>
                <w:t>Item 1C.</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28">
              <w:r>
                <w:rPr>
                  <w:rStyle w:val="InternetLink"/>
                  <w:rFonts w:ascii="Times New Roman;sans-serif" w:hAnsi="Times New Roman;sans-serif"/>
                  <w:b w:val="false"/>
                  <w:color w:val="0000FF"/>
                  <w:sz w:val="20"/>
                  <w:u w:val="single"/>
                </w:rPr>
                <w:t>Cybersecurity</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25">
              <w:r>
                <w:rPr>
                  <w:rStyle w:val="InternetLink"/>
                  <w:rFonts w:ascii="Times New Roman;sans-serif" w:hAnsi="Times New Roman;sans-serif"/>
                  <w:b w:val="false"/>
                  <w:strike w:val="false"/>
                  <w:dstrike w:val="false"/>
                  <w:color w:val="000000"/>
                  <w:sz w:val="20"/>
                  <w:u w:val="none"/>
                  <w:effect w:val="none"/>
                </w:rPr>
                <w:t>42</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31">
              <w:r>
                <w:rPr>
                  <w:rStyle w:val="InternetLink"/>
                  <w:rFonts w:ascii="Times New Roman;sans-serif" w:hAnsi="Times New Roman;sans-serif"/>
                  <w:b w:val="false"/>
                  <w:strike w:val="false"/>
                  <w:dstrike w:val="false"/>
                  <w:color w:val="000000"/>
                  <w:sz w:val="20"/>
                  <w:u w:val="none"/>
                  <w:effect w:val="none"/>
                </w:rPr>
                <w:t>Item 2.</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31">
              <w:r>
                <w:rPr>
                  <w:rStyle w:val="InternetLink"/>
                  <w:rFonts w:ascii="Times New Roman;sans-serif" w:hAnsi="Times New Roman;sans-serif"/>
                  <w:b w:val="false"/>
                  <w:color w:val="0000FF"/>
                  <w:sz w:val="20"/>
                  <w:u w:val="single"/>
                </w:rPr>
                <w:t>Properties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31">
              <w:r>
                <w:rPr>
                  <w:rStyle w:val="InternetLink"/>
                  <w:rFonts w:ascii="Times New Roman;sans-serif" w:hAnsi="Times New Roman;sans-serif"/>
                  <w:b w:val="false"/>
                  <w:strike w:val="false"/>
                  <w:dstrike w:val="false"/>
                  <w:color w:val="000000"/>
                  <w:sz w:val="20"/>
                  <w:u w:val="none"/>
                  <w:effect w:val="none"/>
                </w:rPr>
                <w:t>43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34">
              <w:r>
                <w:rPr>
                  <w:rStyle w:val="InternetLink"/>
                  <w:rFonts w:ascii="Times New Roman;sans-serif" w:hAnsi="Times New Roman;sans-serif"/>
                  <w:b w:val="false"/>
                  <w:strike w:val="false"/>
                  <w:dstrike w:val="false"/>
                  <w:color w:val="000000"/>
                  <w:sz w:val="20"/>
                  <w:u w:val="none"/>
                  <w:effect w:val="none"/>
                </w:rPr>
                <w:t>Item 3.</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34">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34">
              <w:r>
                <w:rPr>
                  <w:rStyle w:val="InternetLink"/>
                  <w:rFonts w:ascii="Times New Roman;sans-serif" w:hAnsi="Times New Roman;sans-serif"/>
                  <w:b w:val="false"/>
                  <w:strike w:val="false"/>
                  <w:dstrike w:val="false"/>
                  <w:color w:val="000000"/>
                  <w:sz w:val="20"/>
                  <w:u w:val="none"/>
                  <w:effect w:val="none"/>
                </w:rPr>
                <w:t>43</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37">
              <w:r>
                <w:rPr>
                  <w:rStyle w:val="InternetLink"/>
                  <w:rFonts w:ascii="Times New Roman;sans-serif" w:hAnsi="Times New Roman;sans-serif"/>
                  <w:b w:val="false"/>
                  <w:strike w:val="false"/>
                  <w:dstrike w:val="false"/>
                  <w:color w:val="000000"/>
                  <w:sz w:val="20"/>
                  <w:u w:val="none"/>
                  <w:effect w:val="none"/>
                </w:rPr>
                <w:t>Item 4.</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37">
              <w:r>
                <w:rPr>
                  <w:rStyle w:val="InternetLink"/>
                  <w:rFonts w:ascii="Times New Roman;sans-serif" w:hAnsi="Times New Roman;sans-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37">
              <w:r>
                <w:rPr>
                  <w:rStyle w:val="InternetLink"/>
                  <w:rFonts w:ascii="Times New Roman;sans-serif" w:hAnsi="Times New Roman;sans-serif"/>
                  <w:b w:val="false"/>
                  <w:strike w:val="false"/>
                  <w:dstrike w:val="false"/>
                  <w:color w:val="000000"/>
                  <w:sz w:val="20"/>
                  <w:u w:val="none"/>
                  <w:effect w:val="none"/>
                </w:rPr>
                <w:t>43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1cf36166504df9900859e32c21e8d3_43">
              <w:r>
                <w:rPr>
                  <w:rStyle w:val="InternetLink"/>
                  <w:rFonts w:ascii="Times New Roman;sans-serif" w:hAnsi="Times New Roman;sans-serif"/>
                  <w:b/>
                  <w:color w:val="0000FF"/>
                  <w:sz w:val="20"/>
                  <w:u w:val="single"/>
                </w:rPr>
                <w:t>PART II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46">
              <w:r>
                <w:rPr>
                  <w:rStyle w:val="InternetLink"/>
                  <w:rFonts w:ascii="Times New Roman;sans-serif" w:hAnsi="Times New Roman;sans-serif"/>
                  <w:b w:val="false"/>
                  <w:strike w:val="false"/>
                  <w:dstrike w:val="false"/>
                  <w:color w:val="000000"/>
                  <w:sz w:val="20"/>
                  <w:u w:val="none"/>
                  <w:effect w:val="none"/>
                </w:rPr>
                <w:t>Item 5.</w:t>
              </w:r>
            </w:hyperlink>
          </w:p>
        </w:tc>
        <w:tc>
          <w:tcPr>
            <w:tcW w:w="88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31cf36166504df9900859e32c21e8d3_46">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46">
              <w:r>
                <w:rPr>
                  <w:rStyle w:val="InternetLink"/>
                  <w:rFonts w:ascii="Times New Roman;sans-serif" w:hAnsi="Times New Roman;sans-serif"/>
                  <w:b w:val="false"/>
                  <w:strike w:val="false"/>
                  <w:dstrike w:val="false"/>
                  <w:color w:val="000000"/>
                  <w:sz w:val="20"/>
                  <w:u w:val="none"/>
                  <w:effect w:val="none"/>
                </w:rPr>
                <w:t>44</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49">
              <w:r>
                <w:rPr>
                  <w:rStyle w:val="InternetLink"/>
                  <w:rFonts w:ascii="Times New Roman;sans-serif" w:hAnsi="Times New Roman;sans-serif"/>
                  <w:b w:val="false"/>
                  <w:strike w:val="false"/>
                  <w:dstrike w:val="false"/>
                  <w:color w:val="000000"/>
                  <w:sz w:val="20"/>
                  <w:u w:val="none"/>
                  <w:effect w:val="none"/>
                </w:rPr>
                <w:t>Item 6.</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49">
              <w:r>
                <w:rPr>
                  <w:rStyle w:val="InternetLink"/>
                  <w:rFonts w:ascii="Times New Roman;sans-serif" w:hAnsi="Times New Roman;sans-serif"/>
                  <w:b w:val="false"/>
                  <w:color w:val="0000FF"/>
                  <w:sz w:val="20"/>
                  <w:u w:val="single"/>
                </w:rPr>
                <w:t>Reserved.</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49">
              <w:r>
                <w:rPr>
                  <w:rStyle w:val="InternetLink"/>
                  <w:rFonts w:ascii="Times New Roman;sans-serif" w:hAnsi="Times New Roman;sans-serif"/>
                  <w:b w:val="false"/>
                  <w:strike w:val="false"/>
                  <w:dstrike w:val="false"/>
                  <w:color w:val="000000"/>
                  <w:sz w:val="20"/>
                  <w:u w:val="none"/>
                  <w:effect w:val="none"/>
                </w:rPr>
                <w:t>45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52">
              <w:r>
                <w:rPr>
                  <w:rStyle w:val="InternetLink"/>
                  <w:rFonts w:ascii="Times New Roman;sans-serif" w:hAnsi="Times New Roman;sans-serif"/>
                  <w:b w:val="false"/>
                  <w:strike w:val="false"/>
                  <w:dstrike w:val="false"/>
                  <w:color w:val="000000"/>
                  <w:sz w:val="20"/>
                  <w:u w:val="none"/>
                  <w:effect w:val="none"/>
                </w:rPr>
                <w:t>Item 7.</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5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52">
              <w:r>
                <w:rPr>
                  <w:rStyle w:val="InternetLink"/>
                  <w:rFonts w:ascii="Times New Roman;sans-serif" w:hAnsi="Times New Roman;sans-serif"/>
                  <w:b w:val="false"/>
                  <w:strike w:val="false"/>
                  <w:dstrike w:val="false"/>
                  <w:color w:val="000000"/>
                  <w:sz w:val="20"/>
                  <w:u w:val="none"/>
                  <w:effect w:val="none"/>
                </w:rPr>
                <w:t>46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91">
              <w:r>
                <w:rPr>
                  <w:rStyle w:val="InternetLink"/>
                  <w:rFonts w:ascii="Times New Roman;sans-serif" w:hAnsi="Times New Roman;sans-serif"/>
                  <w:b w:val="false"/>
                  <w:strike w:val="false"/>
                  <w:dstrike w:val="false"/>
                  <w:color w:val="000000"/>
                  <w:sz w:val="20"/>
                  <w:u w:val="none"/>
                  <w:effect w:val="none"/>
                </w:rPr>
                <w:t>Item 7A.</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91">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91">
              <w:r>
                <w:rPr>
                  <w:rStyle w:val="InternetLink"/>
                  <w:rFonts w:ascii="Times New Roman;sans-serif" w:hAnsi="Times New Roman;sans-serif"/>
                  <w:b w:val="false"/>
                  <w:strike w:val="false"/>
                  <w:dstrike w:val="false"/>
                  <w:color w:val="000000"/>
                  <w:sz w:val="20"/>
                  <w:u w:val="none"/>
                  <w:effect w:val="none"/>
                </w:rPr>
                <w:t>77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94">
              <w:r>
                <w:rPr>
                  <w:rStyle w:val="InternetLink"/>
                  <w:rFonts w:ascii="Times New Roman;sans-serif" w:hAnsi="Times New Roman;sans-serif"/>
                  <w:b w:val="false"/>
                  <w:strike w:val="false"/>
                  <w:dstrike w:val="false"/>
                  <w:color w:val="000000"/>
                  <w:sz w:val="20"/>
                  <w:u w:val="none"/>
                  <w:effect w:val="none"/>
                </w:rPr>
                <w:t>Item 8.</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94">
              <w:r>
                <w:rPr>
                  <w:rStyle w:val="InternetLink"/>
                  <w:rFonts w:ascii="Times New Roman;sans-serif" w:hAnsi="Times New Roman;sans-serif"/>
                  <w:b w:val="false"/>
                  <w:color w:val="0000FF"/>
                  <w:sz w:val="20"/>
                  <w:u w:val="single"/>
                </w:rPr>
                <w:t>Financial Statements and Supplementary Data</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94">
              <w:r>
                <w:rPr>
                  <w:rStyle w:val="InternetLink"/>
                  <w:rFonts w:ascii="Times New Roman;sans-serif" w:hAnsi="Times New Roman;sans-serif"/>
                  <w:b w:val="false"/>
                  <w:strike w:val="false"/>
                  <w:dstrike w:val="false"/>
                  <w:color w:val="000000"/>
                  <w:sz w:val="20"/>
                  <w:u w:val="none"/>
                  <w:effect w:val="none"/>
                </w:rPr>
                <w:t>78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60">
              <w:r>
                <w:rPr>
                  <w:rStyle w:val="InternetLink"/>
                  <w:rFonts w:ascii="Times New Roman;sans-serif" w:hAnsi="Times New Roman;sans-serif"/>
                  <w:b w:val="false"/>
                  <w:strike w:val="false"/>
                  <w:dstrike w:val="false"/>
                  <w:color w:val="000000"/>
                  <w:sz w:val="20"/>
                  <w:u w:val="none"/>
                  <w:effect w:val="none"/>
                </w:rPr>
                <w:t>Item 9.</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60">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60">
              <w:r>
                <w:rPr>
                  <w:rStyle w:val="InternetLink"/>
                  <w:rFonts w:ascii="Times New Roman;sans-serif" w:hAnsi="Times New Roman;sans-serif"/>
                  <w:b w:val="false"/>
                  <w:strike w:val="false"/>
                  <w:dstrike w:val="false"/>
                  <w:color w:val="000000"/>
                  <w:sz w:val="20"/>
                  <w:u w:val="none"/>
                  <w:effect w:val="none"/>
                </w:rPr>
                <w:t>105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63">
              <w:r>
                <w:rPr>
                  <w:rStyle w:val="InternetLink"/>
                  <w:rFonts w:ascii="Times New Roman;sans-serif" w:hAnsi="Times New Roman;sans-serif"/>
                  <w:b w:val="false"/>
                  <w:strike w:val="false"/>
                  <w:dstrike w:val="false"/>
                  <w:color w:val="000000"/>
                  <w:sz w:val="20"/>
                  <w:u w:val="none"/>
                  <w:effect w:val="none"/>
                </w:rPr>
                <w:t>Item 9A.</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63">
              <w:r>
                <w:rPr>
                  <w:rStyle w:val="InternetLink"/>
                  <w:rFonts w:ascii="Times New Roman;sans-serif" w:hAnsi="Times New Roman;sans-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63">
              <w:r>
                <w:rPr>
                  <w:rStyle w:val="InternetLink"/>
                  <w:rFonts w:ascii="Times New Roman;sans-serif" w:hAnsi="Times New Roman;sans-serif"/>
                  <w:b w:val="false"/>
                  <w:strike w:val="false"/>
                  <w:dstrike w:val="false"/>
                  <w:color w:val="000000"/>
                  <w:sz w:val="20"/>
                  <w:u w:val="none"/>
                  <w:effect w:val="none"/>
                </w:rPr>
                <w:t>105</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66">
              <w:r>
                <w:rPr>
                  <w:rStyle w:val="InternetLink"/>
                  <w:rFonts w:ascii="Times New Roman;sans-serif" w:hAnsi="Times New Roman;sans-serif"/>
                  <w:b w:val="false"/>
                  <w:strike w:val="false"/>
                  <w:dstrike w:val="false"/>
                  <w:color w:val="000000"/>
                  <w:sz w:val="20"/>
                  <w:u w:val="none"/>
                  <w:effect w:val="none"/>
                </w:rPr>
                <w:t>Item 9B.</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66">
              <w:r>
                <w:rPr>
                  <w:rStyle w:val="InternetLink"/>
                  <w:rFonts w:ascii="Times New Roman;sans-serif" w:hAnsi="Times New Roman;sans-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66">
              <w:r>
                <w:rPr>
                  <w:rStyle w:val="InternetLink"/>
                  <w:rFonts w:ascii="Times New Roman;sans-serif" w:hAnsi="Times New Roman;sans-serif"/>
                  <w:b w:val="false"/>
                  <w:strike w:val="false"/>
                  <w:dstrike w:val="false"/>
                  <w:color w:val="000000"/>
                  <w:sz w:val="20"/>
                  <w:u w:val="none"/>
                  <w:effect w:val="none"/>
                </w:rPr>
                <w:t>106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69">
              <w:r>
                <w:rPr>
                  <w:rStyle w:val="InternetLink"/>
                  <w:rFonts w:ascii="Times New Roman;sans-serif" w:hAnsi="Times New Roman;sans-serif"/>
                  <w:b w:val="false"/>
                  <w:strike w:val="false"/>
                  <w:dstrike w:val="false"/>
                  <w:color w:val="000000"/>
                  <w:sz w:val="20"/>
                  <w:u w:val="none"/>
                  <w:effect w:val="none"/>
                </w:rPr>
                <w:t>Item 9C.</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69">
              <w:r>
                <w:rPr>
                  <w:rStyle w:val="InternetLink"/>
                  <w:rFonts w:ascii="Times New Roman;sans-serif" w:hAnsi="Times New Roman;sans-serif"/>
                  <w:b w:val="false"/>
                  <w:color w:val="0000FF"/>
                  <w:sz w:val="20"/>
                  <w:u w:val="single"/>
                </w:rPr>
                <w:t>Disclosure Regarding Foreign Jurisdictions that Prevent Inspections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69">
              <w:r>
                <w:rPr>
                  <w:rStyle w:val="InternetLink"/>
                  <w:rFonts w:ascii="Times New Roman;sans-serif" w:hAnsi="Times New Roman;sans-serif"/>
                  <w:b w:val="false"/>
                  <w:strike w:val="false"/>
                  <w:dstrike w:val="false"/>
                  <w:color w:val="000000"/>
                  <w:sz w:val="20"/>
                  <w:u w:val="none"/>
                  <w:effect w:val="none"/>
                </w:rPr>
                <w:t>106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1cf36166504df9900859e32c21e8d3_172">
              <w:r>
                <w:rPr>
                  <w:rStyle w:val="InternetLink"/>
                  <w:rFonts w:ascii="Times New Roman;sans-serif" w:hAnsi="Times New Roman;sans-serif"/>
                  <w:b/>
                  <w:color w:val="0000FF"/>
                  <w:sz w:val="20"/>
                  <w:u w:val="single"/>
                </w:rPr>
                <w:t>PART III</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75">
              <w:r>
                <w:rPr>
                  <w:rStyle w:val="InternetLink"/>
                  <w:rFonts w:ascii="Times New Roman;sans-serif" w:hAnsi="Times New Roman;sans-serif"/>
                  <w:b w:val="false"/>
                  <w:strike w:val="false"/>
                  <w:dstrike w:val="false"/>
                  <w:color w:val="000000"/>
                  <w:sz w:val="20"/>
                  <w:u w:val="none"/>
                  <w:effect w:val="none"/>
                </w:rPr>
                <w:t>Item 10.</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75">
              <w:r>
                <w:rPr>
                  <w:rStyle w:val="InternetLink"/>
                  <w:rFonts w:ascii="Times New Roman;sans-serif" w:hAnsi="Times New Roman;sans-serif"/>
                  <w:b w:val="false"/>
                  <w:color w:val="0000FF"/>
                  <w:sz w:val="20"/>
                  <w:u w:val="single"/>
                </w:rPr>
                <w:t>Directors, Executive Officers and Corporate Governance</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75">
              <w:r>
                <w:rPr>
                  <w:rStyle w:val="InternetLink"/>
                  <w:rFonts w:ascii="Times New Roman;sans-serif" w:hAnsi="Times New Roman;sans-serif"/>
                  <w:b w:val="false"/>
                  <w:strike w:val="false"/>
                  <w:dstrike w:val="false"/>
                  <w:color w:val="000000"/>
                  <w:sz w:val="20"/>
                  <w:u w:val="none"/>
                  <w:effect w:val="none"/>
                </w:rPr>
                <w:t>107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78">
              <w:r>
                <w:rPr>
                  <w:rStyle w:val="InternetLink"/>
                  <w:rFonts w:ascii="Times New Roman;sans-serif" w:hAnsi="Times New Roman;sans-serif"/>
                  <w:b w:val="false"/>
                  <w:strike w:val="false"/>
                  <w:dstrike w:val="false"/>
                  <w:color w:val="000000"/>
                  <w:sz w:val="20"/>
                  <w:u w:val="none"/>
                  <w:effect w:val="none"/>
                </w:rPr>
                <w:t>Item 11.</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78">
              <w:r>
                <w:rPr>
                  <w:rStyle w:val="InternetLink"/>
                  <w:rFonts w:ascii="Times New Roman;sans-serif" w:hAnsi="Times New Roman;sans-serif"/>
                  <w:b w:val="false"/>
                  <w:color w:val="0000FF"/>
                  <w:sz w:val="20"/>
                  <w:u w:val="single"/>
                </w:rPr>
                <w:t>Executive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78">
              <w:r>
                <w:rPr>
                  <w:rStyle w:val="InternetLink"/>
                  <w:rFonts w:ascii="Times New Roman;sans-serif" w:hAnsi="Times New Roman;sans-serif"/>
                  <w:b w:val="false"/>
                  <w:strike w:val="false"/>
                  <w:dstrike w:val="false"/>
                  <w:color w:val="000000"/>
                  <w:sz w:val="20"/>
                  <w:u w:val="none"/>
                  <w:effect w:val="none"/>
                </w:rPr>
                <w:t>107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81">
              <w:r>
                <w:rPr>
                  <w:rStyle w:val="InternetLink"/>
                  <w:rFonts w:ascii="Times New Roman;sans-serif" w:hAnsi="Times New Roman;sans-serif"/>
                  <w:b w:val="false"/>
                  <w:strike w:val="false"/>
                  <w:dstrike w:val="false"/>
                  <w:color w:val="000000"/>
                  <w:sz w:val="20"/>
                  <w:u w:val="none"/>
                  <w:effect w:val="none"/>
                </w:rPr>
                <w:t>Item 12.</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81">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81">
              <w:r>
                <w:rPr>
                  <w:rStyle w:val="InternetLink"/>
                  <w:rFonts w:ascii="Times New Roman;sans-serif" w:hAnsi="Times New Roman;sans-serif"/>
                  <w:b w:val="false"/>
                  <w:strike w:val="false"/>
                  <w:dstrike w:val="false"/>
                  <w:color w:val="000000"/>
                  <w:sz w:val="20"/>
                  <w:u w:val="none"/>
                  <w:effect w:val="none"/>
                </w:rPr>
                <w:t>107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84">
              <w:r>
                <w:rPr>
                  <w:rStyle w:val="InternetLink"/>
                  <w:rFonts w:ascii="Times New Roman;sans-serif" w:hAnsi="Times New Roman;sans-serif"/>
                  <w:b w:val="false"/>
                  <w:strike w:val="false"/>
                  <w:dstrike w:val="false"/>
                  <w:color w:val="000000"/>
                  <w:sz w:val="20"/>
                  <w:u w:val="none"/>
                  <w:effect w:val="none"/>
                </w:rPr>
                <w:t>Item 13.</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84">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84">
              <w:r>
                <w:rPr>
                  <w:rStyle w:val="InternetLink"/>
                  <w:rFonts w:ascii="Times New Roman;sans-serif" w:hAnsi="Times New Roman;sans-serif"/>
                  <w:b w:val="false"/>
                  <w:strike w:val="false"/>
                  <w:dstrike w:val="false"/>
                  <w:color w:val="000000"/>
                  <w:sz w:val="20"/>
                  <w:u w:val="none"/>
                  <w:effect w:val="none"/>
                </w:rPr>
                <w:t>107</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87">
              <w:r>
                <w:rPr>
                  <w:rStyle w:val="InternetLink"/>
                  <w:rFonts w:ascii="Times New Roman;sans-serif" w:hAnsi="Times New Roman;sans-serif"/>
                  <w:b w:val="false"/>
                  <w:strike w:val="false"/>
                  <w:dstrike w:val="false"/>
                  <w:color w:val="000000"/>
                  <w:sz w:val="20"/>
                  <w:u w:val="none"/>
                  <w:effect w:val="none"/>
                </w:rPr>
                <w:t>Item 14.</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87">
              <w:r>
                <w:rPr>
                  <w:rStyle w:val="InternetLink"/>
                  <w:rFonts w:ascii="Times New Roman;sans-serif" w:hAnsi="Times New Roman;sans-serif"/>
                  <w:b w:val="false"/>
                  <w:color w:val="0000FF"/>
                  <w:sz w:val="20"/>
                  <w:u w:val="single"/>
                </w:rPr>
                <w:t>Principal Accountant Fees and Services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87">
              <w:r>
                <w:rPr>
                  <w:rStyle w:val="InternetLink"/>
                  <w:rFonts w:ascii="Times New Roman;sans-serif" w:hAnsi="Times New Roman;sans-serif"/>
                  <w:b w:val="false"/>
                  <w:strike w:val="false"/>
                  <w:dstrike w:val="false"/>
                  <w:color w:val="000000"/>
                  <w:sz w:val="20"/>
                  <w:u w:val="none"/>
                  <w:effect w:val="none"/>
                </w:rPr>
                <w:t>107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b31cf36166504df9900859e32c21e8d3_190">
              <w:r>
                <w:rPr>
                  <w:rStyle w:val="InternetLink"/>
                  <w:rFonts w:ascii="Times New Roman;sans-serif" w:hAnsi="Times New Roman;sans-serif"/>
                  <w:b/>
                  <w:color w:val="0000FF"/>
                  <w:sz w:val="20"/>
                  <w:u w:val="single"/>
                </w:rPr>
                <w:t>PART IV</w:t>
              </w:r>
            </w:hyperlink>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93">
              <w:r>
                <w:rPr>
                  <w:rStyle w:val="InternetLink"/>
                  <w:rFonts w:ascii="Times New Roman;sans-serif" w:hAnsi="Times New Roman;sans-serif"/>
                  <w:b w:val="false"/>
                  <w:strike w:val="false"/>
                  <w:dstrike w:val="false"/>
                  <w:color w:val="000000"/>
                  <w:sz w:val="20"/>
                  <w:u w:val="none"/>
                  <w:effect w:val="none"/>
                </w:rPr>
                <w:t>Item 15.</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93">
              <w:r>
                <w:rPr>
                  <w:rStyle w:val="InternetLink"/>
                  <w:rFonts w:ascii="Times New Roman;sans-serif" w:hAnsi="Times New Roman;sans-serif"/>
                  <w:b w:val="false"/>
                  <w:color w:val="0000FF"/>
                  <w:sz w:val="20"/>
                  <w:u w:val="single"/>
                </w:rPr>
                <w:t>Exhibits and Financial Statement Schedules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93">
              <w:r>
                <w:rPr>
                  <w:rStyle w:val="InternetLink"/>
                  <w:rFonts w:ascii="Times New Roman;sans-serif" w:hAnsi="Times New Roman;sans-serif"/>
                  <w:b w:val="false"/>
                  <w:strike w:val="false"/>
                  <w:dstrike w:val="false"/>
                  <w:color w:val="000000"/>
                  <w:sz w:val="20"/>
                  <w:u w:val="none"/>
                  <w:effect w:val="none"/>
                </w:rPr>
                <w:t>108</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96">
              <w:r>
                <w:rPr>
                  <w:rStyle w:val="InternetLink"/>
                  <w:rFonts w:ascii="Times New Roman;sans-serif" w:hAnsi="Times New Roman;sans-serif"/>
                  <w:b w:val="false"/>
                  <w:strike w:val="false"/>
                  <w:dstrike w:val="false"/>
                  <w:color w:val="000000"/>
                  <w:sz w:val="20"/>
                  <w:u w:val="none"/>
                  <w:effect w:val="none"/>
                </w:rPr>
                <w:t>Item 16.</w:t>
              </w:r>
            </w:hyperlink>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96">
              <w:r>
                <w:rPr>
                  <w:rStyle w:val="InternetLink"/>
                  <w:rFonts w:ascii="Times New Roman;sans-serif" w:hAnsi="Times New Roman;sans-serif"/>
                  <w:b w:val="false"/>
                  <w:color w:val="0000FF"/>
                  <w:sz w:val="20"/>
                  <w:u w:val="single"/>
                </w:rPr>
                <w:t>Form 10-K Summary</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96">
              <w:r>
                <w:rPr>
                  <w:rStyle w:val="InternetLink"/>
                  <w:rFonts w:ascii="Times New Roman;sans-serif" w:hAnsi="Times New Roman;sans-serif"/>
                  <w:b w:val="false"/>
                  <w:strike w:val="false"/>
                  <w:dstrike w:val="false"/>
                  <w:color w:val="000000"/>
                  <w:sz w:val="20"/>
                  <w:u w:val="none"/>
                  <w:effect w:val="none"/>
                </w:rPr>
                <w:t>110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31cf36166504df9900859e32c21e8d3_199">
              <w:r>
                <w:rPr>
                  <w:rStyle w:val="InternetLink"/>
                  <w:rFonts w:ascii="Times New Roman;sans-serif" w:hAnsi="Times New Roman;sans-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31cf36166504df9900859e32c21e8d3_199">
              <w:r>
                <w:rPr>
                  <w:rStyle w:val="InternetLink"/>
                  <w:rFonts w:ascii="Times New Roman;sans-serif" w:hAnsi="Times New Roman;sans-serif"/>
                  <w:b w:val="false"/>
                  <w:strike w:val="false"/>
                  <w:dstrike w:val="false"/>
                  <w:color w:val="000000"/>
                  <w:sz w:val="20"/>
                  <w:u w:val="none"/>
                  <w:effect w:val="none"/>
                </w:rPr>
                <w:t>111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This Annual Report on Form 10-K (“Annual Report”) contains forward-looking statements within the meaning of Section 27A of the Securities Act of 1933, as amended (the “Securities Act”), and Section 21E of the Securities Exchange Act of 1934, as amended (the “Exchange Act”)</w:t>
      </w:r>
      <w:r>
        <w:rPr>
          <w:rFonts w:ascii="Times New Roman;sans-serif" w:hAnsi="Times New Roman;sans-serif"/>
          <w:b w:val="false"/>
          <w:color w:val="000000"/>
          <w:sz w:val="20"/>
          <w:shd w:fill="FFFFFF" w:val="clear"/>
        </w:rPr>
        <w:t>, which statements involve substantial risks and uncertainties</w:t>
      </w:r>
      <w:r>
        <w:rPr>
          <w:rFonts w:ascii="Times New Roman;sans-serif" w:hAnsi="Times New Roman;sans-serif"/>
          <w:b w:val="false"/>
          <w:color w:val="000000"/>
          <w:sz w:val="20"/>
        </w:rPr>
        <w:t>.</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In some cases, you can identify forward-looking statements by words such as “may,” “will,” “should,” “could,” “intend,” “consider,” “expect,” “plan,” “anticipate,” “believe,” “estimate,” “predict” or “continue” or the negative or plural of these words or other similar terms or expressions</w:t>
      </w:r>
      <w:r>
        <w:rPr>
          <w:rFonts w:ascii="Times New Roman;sans-serif" w:hAnsi="Times New Roman;sans-serif"/>
          <w:b w:val="false"/>
          <w:color w:val="231F20"/>
          <w:sz w:val="20"/>
        </w:rPr>
        <w:t xml:space="preserve">. All statements other than statements of historical fact are forward-looking statements, which speak only as of the date they are made and are not guarantees of future performance. </w:t>
      </w:r>
      <w:r>
        <w:rPr>
          <w:rFonts w:ascii="Times New Roman;sans-serif" w:hAnsi="Times New Roman;sans-serif"/>
          <w:b w:val="false"/>
          <w:color w:val="000000"/>
          <w:sz w:val="20"/>
        </w:rPr>
        <w:t>Forward-looking statements contained in this Annual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product strategy, including our use of artificial intelligence; our efforts to enhance the security and privacy of our platform; our plans regarding our enterprise risk management program and our cybersecurity risk management program; the impact of information and data privacy trends and regulations on our business and competitors; the potential impacts of macroeconomic and geopolitical events on our business and the business of our customers, suppliers and channel partners, and the economy; our ability to attract new customers and retain existing customers; our ability to successfully expand into our existing markets and into new markets; our ability to effectively manage our growth and future expenses; our environmental and sustainability initiatives, including our plans to purchase environmental attributes to offset our 2024 emissions; and the impact of recent accounting pronouncements on our consolidated financial statements.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forward-looking statements contained in this Annual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in this Annual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t>
      </w:r>
      <w:r>
        <w:rPr>
          <w:rFonts w:ascii="Times New Roman;sans-serif" w:hAnsi="Times New Roman;sans-serif"/>
          <w:b w:val="false"/>
          <w:color w:val="000000"/>
          <w:sz w:val="20"/>
          <w:shd w:fill="FFFFFF" w:val="clear"/>
        </w:rPr>
        <w:t xml:space="preserve">We may not actually achieve the plans, intentions, or expectations disclosed in our forward-looking statements, and </w:t>
      </w:r>
      <w:r>
        <w:rPr>
          <w:rFonts w:ascii="Times New Roman;sans-serif" w:hAnsi="Times New Roman;sans-serif"/>
          <w:b w:val="false"/>
          <w:color w:val="000000"/>
          <w:sz w:val="20"/>
        </w:rPr>
        <w:t>we caution that you should not place undue reliance on any of our forward-looking statements. Any forward-looking statement made by us in this Annual Report speaks only as of the date on which we make it. We undertake no obligation to publicly update any forward-looking statement, whether as a result of new information, future developments or otherwise, except as may be required by applicable securities laws. You should read this Annual Report, and the documents that we reference in this Annual Report and have filed with the Securities and Exchange Commission (“SEC”), with the understanding that our actual future results, performance, and events and circumstances may be materially different from what we expect.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use the "Investor Relations" section of our website, our LinkedIn account, the LinkedIn account of our Chief Executive Officer, Tim Vanderhook, the LinkedIn account of our Chief Operating Officer, Chris Vanderhook, our X (formerly known as Twitter) account (@viant_tech), and Chris Vanderhook's X account (@cvanderhook)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and X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certain information we may disclose (either here or in other locations, such as our website) is informed by the expectations of various stakeholders and/or third-party frameworks and, as such, may not necessarily be material for purposes of our filings under U.S. federal securities laws, even if we use “material” or similar language in discussing such matters. Particularly in the ESG context, for example, there are various approaches to materiality that differ from, and in many cases are more expansive than, the definition under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Our business is subject to numerous risks and uncertainties, including those described in the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of this Annual Report. You should carefully consider these risks and uncertainties when investing in our Class A common stock. Some of the principal risks and uncertainties include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success and revenue growth are dependent on enhancing and improving our platform and effectively educating and training our customers on how to make full use of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may not realize the expected benefits of an industry shift away from cookie-based consumer tracking;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we fail to innovate and make the right investment decisions in our offerings and platform, we may not attract and retain customers, and our revenue and results of operations may decline;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market for programmatic advertising is evolving. If this market develops slower or differently than we expect, our business, operating results and financial condition would be adversely affected;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macroeconomic conditions and geopolitical events, such as inflation, high interest rates, and other adverse market events, have had, and could in the future have, an adverse impact on our business, operating results and financial condition;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our access to advertising inventory is diminished or fails to grow, our revenue could decline, and our growth could be impeded;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If our access to data related to our HHID (as defined herein) is diminished, the effectiveness of our platform would be decreased, which could harm our operating results and financial condition;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We are subject to stringent and changing obligations related to data privacy, artificial intelligence,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increases to the cost of data, reductions in the availability of data, reductions to our ability to utilize or disclose data, adverse effects on the demand for our products and services, or other adverse business consequences;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significant breach of or other security incident involving our IT Systems or Confidential Data (each as defined in this Item 1A), or of the security of our or our customers’, suppliers’, or other third parties’ systems or data upon which we rely could be detrimental to our business, reputation and results of operations;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use of artificial intelligence technologies may not result in the benefits we anticipate for our business, and may result in a decline in the performance of our products, services and business, as well as our reputation and the reputations of our customers, or cause us to incur liability resulting from the violation of laws or contracts to which we are a party;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proprietary rights may be difficult to enforce, which could enable others to copy or use aspects of our technology without compensating us, thereby eroding our competitive advantages and harming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market price of our Class A common stock has been and may continue to be volatile or may decline regardless of our operating performance;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operations are subject to a series of risks associated with climate change and environmental, social and governance matters;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a “controlled company” within the meaning of the listing standards of the Nasdaq Global Select Market and, as a result, qualify for, and rely on, exemptions from certain corporate governance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Business.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DSP is used by marketers and their advertising agencies to centralize the planning, buying and measurement of their digital advertising across most channels. Through our omnichannel platform, a marketer can easily buy ads on connected TV ("CTV"), streaming audio, digital out-of-home, mobile and desktop.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proprietary Household ID ("HHID")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return-on-advertising spend (“ROAS”) across channels.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Marketers use our platform to deliver advertising campaigns to their desired target audience across channels and formats. Through platform integrations, we offer our customers access to omnichannel advertising inventory, which refers to media available across devices, channels and formats. Our platform supports a full range of transaction types including real-time bidding, private marketplace and programmatic guaranteed, allowing customers to easily source and integrate ad inventory directly from publishers and private marketplaces.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enable deep data access through our data integrations to authenticate user identities across a range of devices. Our HHID enables us to be the nexus point with more than 70 data partners, providing customers with deep access to data across market verticals such as automotive, entertainment, professional services, retail, consumer packaged goods, travel and tourism, and healthcare. Our HHID solution empowers marketers to reach people across their devices, whether individuals are at home or away from home, without the use of cookies. Leveraging patented technology, our HHID technology cuts through more than 1.5 billion IP addresses and other identifiers and translates them into 115 million households. Our identity graph links these households to an estimated 1 billion connected devices.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are advertising buyers including large advertising holding companies, independent advertising agencies, mid-market advertising service organizations as well as marketers that rely on our self-service platform for their programmatic ad buying needs. We are a trusted partner to our customers as exemplified by our customer satisfaction rating of 95% in 2024 based on Viant’s Annual Customer Satisfaction Survey. 99% of respondents described their overall experience with Viant as positive, demonstrating trust and satisfaction. This is an increase from 97% in 2023. Many of our customers use us as their primary DSP.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Using our identity resolution capabilities led by our patented HHID and identity graph, marketers and their advertising agencies can identify targeted consumers using real-world identifiers rather than relying primarily on cookies to track users. We believe the industry is shifting to replace cookies in delivering personalized advertising, particularly for identification. Our HHID allows marketers to deliver personalized advertising while being able to accurately link ad impressions across multiple devices and to customer sales and measure the impact of their ad spend. In addition, our HHID can offer greater transparency to consumers with respect to who is collecting their data and what it is being used for and can offer more robust choices to delete or stop use of their data for personalized advertising. Many of our competitors rely on cookies for the targeting and measurement of digital advertising but this technology has not been effective at accurately measuring the real impact of a marketer’s ad spend on their business results. Apple’s web browser, Safari, does not allow third-party cookies and has added controls that algorithmically block or limit some cookies. Other browsers have added similar controls. Google has also introduced ad blocking software in its Chrome web browser that is expected to block certain ads based on quality standards established under a multi-stakeholder coalition. Moreover, certain data privacy laws, including in California, Colorado, and numerous other states that have adopted or are considering adopting data privacy laws, require websites and apps to enable consumers to request the deletion of or opt-out of the transfer of their personal information used for certain advertising, which could further undermine cookie-based tracking and targeted marketing. This market change has created an increase in demand from marketers actively looking for platforms like ours that offer an alternative to cookie-based tracking, which we believe is strengthening our strategic position.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Programmatic advertising has proven its value to marketers and an increasing number of organizations are devoting more of their digital ad spend to it. The digital ecosystem continues to evolve and with it, programmatic advertising, creating new opportunities and needs for marketers and their agencies. The U.S. programmatic advertising market is expected to grow from $136.1 billion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to $202.1 billion in 2026, a 14% compound annual growth rate (“CAGR”), according to eMarketer, a market research company that provides insights and trends related to digital marketing, media and commerce. We focus on ad buyers and believe that our solutions will accelerate the shift of advertising budgets to programmatic advertising. Additionally, as marketers desire more control over programmatic advertising and move some functions of programmatic ad buying in-house, our push to further simplify and automate our platform by leveraging machine learning and artificial intelligence ("AI") is designed to address these needs and expand our market opportunity.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revenue was $289.2 million, $222.9 million and $197.2 million for the fiscal years ended December 31, 2024, 2023 and 2022 ("fiscal 2024", "fiscal 2023", and "fiscal 2022"), respectively, representing an increase of 29.7% from fiscal 2023 to fiscal 2024 and an increase of 13.1% from fiscal 2022 to fiscal 2023. We recorded net income (losses) of $12.5 million, $(9.9) million and $(48.1) million, and adjusted EBITDA of $44.4 million, $29.1 million, and $(6.1) million for the years ended December 31, 2024, 2023 and 2022, respectively.</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Adjusted EBITDA is a financial measure not presented in accordance with generally accepted accounting principles in the United States of America (“GAAP”). For a definition of adjusted EBITDA, an explanation of our management’s use of this measure and a reconciliation of adjusted EBITDA to our net income or net loss, see </w:t>
      </w:r>
      <w:r>
        <w:rPr>
          <w:color w:val="000000"/>
        </w:rPr>
        <w:t>“</w:t>
      </w:r>
      <w:r>
        <w:rPr>
          <w:rFonts w:ascii="Times New Roman;sans-serif" w:hAnsi="Times New Roman;sans-serif"/>
          <w:b w:val="false"/>
          <w:i/>
          <w:color w:val="000000"/>
          <w:sz w:val="20"/>
        </w:rPr>
        <w:t>Management’s Discussion and Analysis of Financial Condition and Results of Operations—Key Operating and Financial Performance Measures—Use of Non-GAAP Financial Measures.”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Industry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key industry trends shaping the advertising market include:</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Advertising dollars shifting toward programmatic advertising: </w:t>
      </w:r>
      <w:r>
        <w:rPr>
          <w:rFonts w:ascii="Times New Roman;sans-serif" w:hAnsi="Times New Roman;sans-serif"/>
          <w:b w:val="false"/>
          <w:color w:val="000000"/>
          <w:sz w:val="20"/>
        </w:rPr>
        <w:t>We believe the advertising industry is still in the early stages of a shift toward programmatic advertising. The ability to transact through real-time-bidding platforms has evolved beyond banner advertising to be used across a wide range of advertising channels and formats, including CTV, streaming audio, digital out-of-home, mobile, and desktop. U.S. programmatic advertising is experiencing a rapid increase in adoption and, according to eMarketer, is expected to grow at a 14% CAGR from 2023 to 2026, reaching $181.0 billion in 2025 and $202.1 billion by 2026. U.S. programmatic advertising is forecasted to represent 44% of total U.S. media spend by 2026, increasing from 38% in 2023. The TV industry is undergoing significant disruptions as internet-enabled CTV has become a preferred vehicle for streaming video content. CTV ad spending is expected to reach $33.4 billion in 2025, with 98% of those dollars going to video ads. CTV ad spending is expected to continue double-digit annual growth rates and surpass traditional TV ad spending in 2028 and reach $46.9 billion. The amount of CTV users in the U.S. is forecasted to increase from approximately 230 million, or 68% of the U.S. population, in 2023 to approximately 246 million, or 71% of the U.S. population, in 2027, according to eMarketer. CTV also provides a number of benefits to advertisers, including more accurate control of scale, addressability and measurement. Marketers are increasingly investing in CTV as more inventory becomes available. According to eMarketer, 88% of CTV ad spend was transacted programmatically in 2024. The share of programmatic advertising is expected to increase to 93% in 2026.</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Strong marketer demand for ROAS measurement across all channels: </w:t>
      </w:r>
      <w:r>
        <w:rPr>
          <w:rFonts w:ascii="Times New Roman;sans-serif" w:hAnsi="Times New Roman;sans-serif"/>
          <w:b w:val="false"/>
          <w:color w:val="000000"/>
          <w:sz w:val="20"/>
        </w:rPr>
        <w:t>Marketers are looking for a centralized view of their customers, while connecting online and offline purchases to accurately measure ROAS. ROAS is a critical metric for marketing campaigns. Insights from ROAS across all campaigns inform marketers about the value of their investment across all media spend in near real-time. Hence, marketers seek tools to track their ROAS across all channels. We believe customers using our platform and HHID are able to get a more accurate measurement of ROAS as compared to cookie-based platforms, especially in naturally cookieless environments such as CTV.</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Demand for scaled people-based platforms: </w:t>
      </w:r>
      <w:r>
        <w:rPr>
          <w:rFonts w:ascii="Times New Roman;sans-serif" w:hAnsi="Times New Roman;sans-serif"/>
          <w:b w:val="false"/>
          <w:color w:val="000000"/>
          <w:sz w:val="20"/>
        </w:rPr>
        <w:t>Advertising has become more data driven and marketers need to be able to target audiences at the individual and household level while respecting consumer privacy. Internet advertisers in the past have capitalized on anonymous data from cookies to gain insights into users and ad performance. However, increased privacy concerns and changing requirements of browser providers including Google (Chrome) and Apple (Safari) are causing marketers to reduce their reliance on vendors and platforms that primarily utilize cookies for device identification. In today’s connected world, marketers need to be able to identify their customers and connect with them across most channels, devices and formats. This, we believe, will drive an industry shift away from cookie-based DSPs to scaled people-based DSPs.</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Brands directly selecting advertising platform solutions: </w:t>
      </w:r>
      <w:r>
        <w:rPr>
          <w:rFonts w:ascii="Times New Roman;sans-serif" w:hAnsi="Times New Roman;sans-serif"/>
          <w:b w:val="false"/>
          <w:color w:val="000000"/>
          <w:sz w:val="20"/>
        </w:rPr>
        <w:t>Marketers are increasingly becoming directly involved in the selection of their advertising platform solutions as they seek to reduce costs, better leverage their customer data and gain more control over their advertising and data. The automation of ad-buying technology has enabled fast, accurate and cost-effective decision-making, resulting in ad buying becoming a skillset that an increasing number of chief marketing officers want to fully own.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Market Opportunity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over the long term, our total addressable market is the total global advertising market, which eMarketer has forecasted to grow from $1.0 trillion in 2025 to $1.2 trillion in 2028, an 8% CAGR. Currently, our focus is primarily on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which eMarketer has forecasted to grow from $403 billion in 2025 to $471 billion in 2027 in the United States, an 8% CAGR, primarily including the following segments: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CTV: </w:t>
      </w:r>
      <w:r>
        <w:rPr>
          <w:rFonts w:ascii="Times New Roman;sans-serif" w:hAnsi="Times New Roman;sans-serif"/>
          <w:b w:val="false"/>
          <w:color w:val="000000"/>
          <w:sz w:val="20"/>
        </w:rPr>
        <w:t>U.S. CTV advertising is forecasted to be a $33 billion market in 2025 and forecasted to grow to $42 billion in 2027, a 12% CAGR. CTV includes over-the-top (“OTT”) content delivered through a connected device over the internet.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Desktop and Mobile: </w:t>
      </w:r>
      <w:r>
        <w:rPr>
          <w:rFonts w:ascii="Times New Roman;sans-serif" w:hAnsi="Times New Roman;sans-serif"/>
          <w:b w:val="false"/>
          <w:color w:val="000000"/>
          <w:sz w:val="20"/>
        </w:rPr>
        <w:t>U.S. desktop and mobile advertising are forecasted to grow from a $307 billion market in 2025 to a $371 billion market in 2027, a 10% CAGR.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Streaming Audio: </w:t>
      </w:r>
      <w:r>
        <w:rPr>
          <w:rFonts w:ascii="Times New Roman;sans-serif" w:hAnsi="Times New Roman;sans-serif"/>
          <w:b w:val="false"/>
          <w:color w:val="000000"/>
          <w:sz w:val="20"/>
        </w:rPr>
        <w:t>U.S. digital audio advertising is forecasted to be a $7.5 billion market in 2025 and forecasted to grow to an $8.4 billion market in 2027, a 5% CAGR.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Digital Billboards: </w:t>
      </w:r>
      <w:r>
        <w:rPr>
          <w:rFonts w:ascii="Times New Roman;sans-serif" w:hAnsi="Times New Roman;sans-serif"/>
          <w:b w:val="false"/>
          <w:color w:val="000000"/>
          <w:sz w:val="20"/>
        </w:rPr>
        <w:t>U.S. billboard advertising is forecasted to be a $3.5 billion market in 2025 and forecasted to grow to a $4.2 billion market in 2027, a 9% CAGR.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forecasts for each segment above include both programmatic and non-programmatic digital advertising. In recent years, programmatic advertising has represented an increasing portion of total U.S. media spend. eMarketer estimates that the U.S. programmatic advertising market, as represented by the segments above, will grow from $136 billion in 2023 to $202 billion in 2026, a 14% CAGR.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Solutions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make it easy to buy an ad across a wide range of advertising channels and formats, and help brands measure the impact of their ad spend by providing electronic buying and measurement of all advertising. Our platform enables marketers and their advertising agencies to plan, buy and measure campaigns across channels. Integrated with our HHID, we provide our customers with a full suite of forecasting, reporting and automation to make informed decisions around their advertising investments. With the launch of our artificial intelligence product suite, ViantAI, we are building the future of fully autonomous advertising solutions, empowering advertisers to achieve their boldest goals. We provide exceptional customer service to ensure our customers have the level of support required for their unique business needs. Viant is driven to be a leader in innovation, automation, transparency, customer focus and responsible media.</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ViantAI</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Our artificial intelligence product suite that launched in 2024, which we believe will be the foundational component of our long-term vision for autonomous advertising to create the most efficient and cost-effective experience for our customers. We expect that ViantAI will handle every stage of programmatic advertising, from building campaigns to optimizing execution, allowing advertisers and their agencies to rely on ViantAI to manage their campaigns while they focus on broader strategic goals.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ViantAI suite currently includes AI Planning, which enables media planners to design high-impact campaigns in seconds, and AI Bidding, which optimizes inventory costs by lowering the effective cost per mille ("eCPM") through automated bid adjustments. Looking ahead, our ViantAI product roadmap features AI Measurement and Analysis, providing accessible measurement and insights via a user-friendly chat interface, and AI Decisioning, which empowers an AI agent to dynamically optimize campaigns in real-time by leveraging advanced ad strategies such as channel allocation, publisher selection, dayparting, and audience discovery. </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Holistic, Omnichannel DSP: </w:t>
      </w:r>
      <w:r>
        <w:rPr>
          <w:rFonts w:ascii="Times New Roman;sans-serif" w:hAnsi="Times New Roman;sans-serif"/>
          <w:b w:val="false"/>
          <w:color w:val="000000"/>
          <w:sz w:val="20"/>
        </w:rPr>
        <w:t>Marketers and their agencies can use our integrated platform to efficiently manage omnichannel campaigns and access metrics from each channel to inform decisions in other channels. Our integrations enable the purchase of advertising media across CTV, streaming audio, digital out-of-home, mobile and desktop. Our technology leverages AI and machine learning to identify the best supply partners, formats and impressions based on our customers’ goals.</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Household ID™:</w:t>
      </w:r>
      <w:r>
        <w:rPr>
          <w:color w:val="000000"/>
        </w:rPr>
        <w:t xml:space="preserve"> </w:t>
      </w:r>
      <w:r>
        <w:rPr>
          <w:rFonts w:ascii="Times New Roman;sans-serif" w:hAnsi="Times New Roman;sans-serif"/>
          <w:b w:val="false"/>
          <w:color w:val="000000"/>
          <w:sz w:val="20"/>
        </w:rPr>
        <w:t>Our proprietary innovation that combines digital and personal identifiers into a normalized household profile that provides known customer data insights and optimized bid decisions for target audiences, accurate reach and frequency management across omnichannel supply including cookieless channels like CTV, Safari and mobile app and holistic measurement of conversions across all devices and context. Whether online or in-store, we can attribute conversions to media investments. The HHID not only captures the ad exposure as the impression is delivered but can also connect that ad exposure to an outcome which significantly differentiates our DSP technology.</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IRIS_ID</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A content identifier that allows supply partners to securely share their video-level data to power planning, targeting, and measurement solutions in ad supported streaming media. The IRIS_ID serves as the signal for data solutions to access and supply partners’ content and analyze each video frame by frame to create standardized contextual and brand suitability segments.</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Viant Data Platform:</w:t>
      </w:r>
      <w:r>
        <w:rPr>
          <w:color w:val="000000"/>
        </w:rPr>
        <w:t xml:space="preserve"> </w:t>
      </w:r>
      <w:r>
        <w:rPr>
          <w:rFonts w:ascii="Times New Roman;sans-serif" w:hAnsi="Times New Roman;sans-serif"/>
          <w:b w:val="false"/>
          <w:color w:val="000000"/>
          <w:sz w:val="20"/>
        </w:rPr>
        <w:t xml:space="preserve">We provide the Viant Data Platform that is directly integrated into our centralized DSP and offers marketers control over their own data with actionable insights into their marketing initiatives within a single platform. The Viant Data Platform offers the ability to integrate first-party data with data from top third-party data providers in order to obtain key insights, reporting and attribution opportunities. </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Direct Access:</w:t>
      </w:r>
      <w:r>
        <w:rPr>
          <w:color w:val="000000"/>
        </w:rPr>
        <w:t xml:space="preserve"> </w:t>
      </w:r>
      <w:r>
        <w:rPr>
          <w:rFonts w:ascii="Times New Roman;sans-serif" w:hAnsi="Times New Roman;sans-serif"/>
          <w:b w:val="false"/>
          <w:color w:val="000000"/>
          <w:sz w:val="20"/>
        </w:rPr>
        <w:t xml:space="preserve">Our supply path optimization program that launched in 2023 creates a more cost efficient, direct path to premium inventory through partnerships with leading CTV publishers and the removal of resellers from the digital supply chain.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bringing buyers and sellers closer through direct inventory and first-party data integration, this program lowers media cost for the advertiser and increases revenue for the publisher. We believe this program has had a significant impact on how we continue to outpace the high-growth CTV market.</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 xml:space="preserve">Advanced Reporting and Measurement: </w:t>
      </w:r>
      <w:r>
        <w:rPr>
          <w:rFonts w:ascii="Times New Roman;sans-serif" w:hAnsi="Times New Roman;sans-serif"/>
          <w:b w:val="false"/>
          <w:color w:val="000000"/>
          <w:sz w:val="20"/>
        </w:rPr>
        <w:t>We invest heavily in our measurement capabilities, as we believe advertising should be driving a positive return. Our self-service campaign analysis and data intelligence tool empowers customers with differentiated insights, including conversion lift, multi-touch attribution, foot-traffic data reports, digital-out-of-home lift, sales reporting and ROAS analytics. Leveraging our HHID and machine learning algorithms, our platform provides marketers real-time actionable insights throughout an advertising campaign. Our built-in automation enables marketers to optimize digital campaigns designed to achieve their key performance indicator (“KPI”) goals.</w:t>
      </w:r>
    </w:p>
    <w:p>
      <w:pPr>
        <w:pStyle w:val="TextBody"/>
        <w:bidi w:val="0"/>
        <w:spacing w:lineRule="auto" w:line="288" w:before="120" w:after="283"/>
        <w:ind w:left="0" w:right="0" w:firstLine="540"/>
        <w:jc w:val="left"/>
        <w:rPr/>
      </w:pPr>
      <w:r>
        <w:rPr>
          <w:rFonts w:ascii="Times New Roman;sans-serif" w:hAnsi="Times New Roman;sans-serif"/>
          <w:b/>
          <w:i/>
          <w:color w:val="000000"/>
          <w:sz w:val="20"/>
        </w:rPr>
        <w:t>Flexible Customer Engagement Models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Our DSP and related services are available through several levels of best-in-class customer service, from a self-service interface, which offers customers transparency and control over their advertising campaigns and underlying data infrastructure, to a fully managed end-to-end solution, which offers an experienced support team to assist with audience creation and management, campaign execution and advanced reporting.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Strengths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following attributes and capabilities provide us with long-term competitive advantages: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Scalable Self-Service Platform: </w:t>
      </w:r>
      <w:r>
        <w:rPr>
          <w:rFonts w:ascii="Times New Roman;sans-serif" w:hAnsi="Times New Roman;sans-serif"/>
          <w:b w:val="false"/>
          <w:color w:val="000000"/>
          <w:sz w:val="20"/>
        </w:rPr>
        <w:t>We offer a self-service platform that enables customers to operate their ad campaigns without extensive involvement of our staff. This dynamic allows us to add new customers and allows customers to scale their spend on our platform in a manner that grows our revenue faster than the growth of our personnel costs.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Machine Learning and AI Capabilities: </w:t>
      </w:r>
      <w:r>
        <w:rPr>
          <w:rFonts w:ascii="Times New Roman;sans-serif" w:hAnsi="Times New Roman;sans-serif"/>
          <w:b w:val="false"/>
          <w:color w:val="000000"/>
          <w:sz w:val="20"/>
        </w:rPr>
        <w:t>We enable the use of machine learning, workflow automation, automated reporting and other functionalities that allow our customers to update and make thousands of changes automatically to help achieve their desired business outcomes. With the continued development of our end-to-end ViantAI platform, we will have AI-powered tools that drive better efficiency across the four key areas of programmatic ad buying: planning, bidding, measurement and decisioning. In addition to the speed and ease of use, ViantAI brings an additional level of sophistication to the campaign planning process. Leveraging years of data from thousands of campaigns executed through our platform, ViantAI is faster, smarter and more precise in its planning capabilities compared to traditional planning technology tools.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Centralized Platform: </w:t>
      </w:r>
      <w:r>
        <w:rPr>
          <w:rFonts w:ascii="Times New Roman;sans-serif" w:hAnsi="Times New Roman;sans-serif"/>
          <w:b w:val="false"/>
          <w:color w:val="000000"/>
          <w:sz w:val="20"/>
        </w:rPr>
        <w:t xml:space="preserve">We believe our DSP and related services enable our customers to plan, buy and measure advertising across more channels than our competitors and to centralize the purchase of each type of programmatic media on a single platform.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Proprietary Technology: </w:t>
      </w:r>
      <w:r>
        <w:rPr>
          <w:rFonts w:ascii="Times New Roman;sans-serif" w:hAnsi="Times New Roman;sans-serif"/>
          <w:b w:val="false"/>
          <w:color w:val="000000"/>
          <w:sz w:val="20"/>
        </w:rPr>
        <w:t>We leverage a robust suite of proprietary tools and products to enable our customers to utilize our platform and services. We are constantly iterating and developing new tools and products while utilizing our patented technologies and processes. As of December 31, 2024, we held 57 issued patents and 21 additional pending patent applications, which cover many of our proprietary products. As new offerings are developed, we continue to file and obtain patents on the most valuable and innovative products developed at our Company.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Demand Side Only:</w:t>
      </w:r>
      <w:r>
        <w:rPr>
          <w:color w:val="000000"/>
        </w:rPr>
        <w:t xml:space="preserve"> </w:t>
      </w:r>
      <w:r>
        <w:rPr>
          <w:rFonts w:ascii="Times New Roman;sans-serif" w:hAnsi="Times New Roman;sans-serif"/>
          <w:b w:val="false"/>
          <w:color w:val="000000"/>
          <w:sz w:val="20"/>
        </w:rPr>
        <w:t>As we are a demand side only platform, we are not conflicted with getting the best pricing for marketers and their agencies. That results in reduced inventory costs via lower eCPMs.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Onboarding: </w:t>
      </w:r>
      <w:r>
        <w:rPr>
          <w:rFonts w:ascii="Times New Roman;sans-serif" w:hAnsi="Times New Roman;sans-serif"/>
          <w:b w:val="false"/>
          <w:color w:val="000000"/>
          <w:sz w:val="20"/>
        </w:rPr>
        <w:t>We enable marketers to safely and securely onboard their first-party data to gain a view into their customers’ top attributes, create targeting segments and easily activate and measure these customer segments through our Viant Data Platform. Our simple interface allows marketers to upload audience data with ease and create a unique segment or build lookalike audiences without the need for a separate data management platform. Our data integrations provide marketers with high match rates, which offers scalable and meaningful audience insights for segmentation, targeting and measuring key outcomes both online and offline.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IRIS_ID: </w:t>
      </w:r>
      <w:r>
        <w:rPr>
          <w:rFonts w:ascii="Times New Roman;sans-serif" w:hAnsi="Times New Roman;sans-serif"/>
          <w:b w:val="false"/>
          <w:color w:val="000000"/>
          <w:sz w:val="20"/>
        </w:rPr>
        <w:t>The IRIS_ID is an anonymous universal identifier that allows advertisers to go beyond targeting at the CTV app level, enabling precise targeting down to the individual video file where their ads will run. The IRIS_ID also contains powerful data driven insights, including contextual segments, emotional sentiment analysis and brand suitability data which provides advertisers with a richer understanding of the videos accompanying their ads, empowering safer, smarter and more impactful CTV ad campaigns.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Advanced Reporting and Measurement: </w:t>
      </w:r>
      <w:r>
        <w:rPr>
          <w:rFonts w:ascii="Times New Roman;sans-serif" w:hAnsi="Times New Roman;sans-serif"/>
          <w:b w:val="false"/>
          <w:color w:val="000000"/>
          <w:sz w:val="20"/>
        </w:rPr>
        <w:t>We invest heavily in our measurement capabilities, as we believe this will increase our customers’ usage of our DSP and related services. Our platform measures ROAS across all channels and empowers our customers with real-time insights, including foot-traffic reports and multi-touch attribution analytics. Our advanced reporting functionality uses our aforementioned identity graph to provide marketers with a holistic view of measurement across all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Differentiated Identity-Based Capabilities: </w:t>
      </w:r>
      <w:r>
        <w:rPr>
          <w:rFonts w:ascii="Times New Roman;sans-serif" w:hAnsi="Times New Roman;sans-serif"/>
          <w:b w:val="false"/>
          <w:color w:val="000000"/>
          <w:sz w:val="20"/>
        </w:rPr>
        <w:t xml:space="preserve">Our platform leverages our HHID to integrate with over 70 data partners. We believe this allows for a much more effective and privacy-friendly approach to advertising than using cookies for identification.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Experienced Management Team: </w:t>
      </w:r>
      <w:r>
        <w:rPr>
          <w:rFonts w:ascii="Times New Roman;sans-serif" w:hAnsi="Times New Roman;sans-serif"/>
          <w:b w:val="false"/>
          <w:color w:val="000000"/>
          <w:sz w:val="20"/>
        </w:rPr>
        <w:t>Our management team has deep and extensive experience in the advertising technology sector, which we believe provides us with a competitive advantage. The experience of our management team has allowed us to continue to be innovative in developing solutions for our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Business Model: </w:t>
      </w:r>
      <w:r>
        <w:rPr>
          <w:rFonts w:ascii="Times New Roman;sans-serif" w:hAnsi="Times New Roman;sans-serif"/>
          <w:b w:val="false"/>
          <w:color w:val="000000"/>
          <w:sz w:val="20"/>
        </w:rPr>
        <w:t>Because we have a self-service platform, as we add new customers and as customers increase the use of our platform, we are able to demonstrate strong operating leverage.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Growth Strategy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advertising market is in the early stages of a shift toward programmatic advertising as well as in an ongoing shift from linear TV spend to CTV spend. We intend to capitalize on this opportunity by pursuing the following strategies: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Invest in and continue to build a platform utilizing artificial intelligence and machine learning</w:t>
      </w:r>
      <w:r>
        <w:rPr>
          <w:rFonts w:ascii="Times New Roman;sans-serif" w:hAnsi="Times New Roman;sans-serif"/>
          <w:b w:val="false"/>
          <w:color w:val="000000"/>
          <w:sz w:val="20"/>
        </w:rPr>
        <w:t>: We are committed to leveraging AI to streamline advertising operations and enhance data-driven decision-making for our clients. With continued investment in our ViantAI suite of products to support additional features and functions, we believe we will attract new customers and encourage our existing customers to increase usage of our platform. We believe many advertisers are in the early stages of moving a greater percentage of their advertising budgets to programmatic channels. By providing and continuing to develop automated solutions for the planning, buying and measuring of their media spend across channels, we believe we are well positioned to capture the increase in programmatic budgets from new and existing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Continue to invest in our customers’ success: </w:t>
      </w:r>
      <w:r>
        <w:rPr>
          <w:rFonts w:ascii="Times New Roman;sans-serif" w:hAnsi="Times New Roman;sans-serif"/>
          <w:b w:val="false"/>
          <w:color w:val="000000"/>
          <w:sz w:val="20"/>
        </w:rPr>
        <w:t>Our platform provides extensive functionality designed to provide our customers with a high level of control and enable them to run efficient ad campaigns. We continue to enhance new customer onboarding and support while investing in training and education for customers to maximize their success with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Continue to strengthen our omnichannel partnerships: </w:t>
      </w:r>
      <w:r>
        <w:rPr>
          <w:rFonts w:ascii="Times New Roman;sans-serif" w:hAnsi="Times New Roman;sans-serif"/>
          <w:b w:val="false"/>
          <w:color w:val="000000"/>
          <w:sz w:val="20"/>
        </w:rPr>
        <w:t>We believe we have one of, if not the largest breadth of advertising inventory across channels in our industry landscape. We will continue to invest in the integration of new supply partners across all channels, further broadening and deepening our supply of advertising inventory.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Expand our sales and marketing investments: </w:t>
      </w:r>
      <w:r>
        <w:rPr>
          <w:rFonts w:ascii="Times New Roman;sans-serif" w:hAnsi="Times New Roman;sans-serif"/>
          <w:b w:val="false"/>
          <w:color w:val="000000"/>
          <w:sz w:val="20"/>
        </w:rPr>
        <w:t>We intend to continue to expand sales and marketing efforts to increase awareness and consideration of our platform and promote the advantages of our HHID framework as cookie-based options continue to decline.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 xml:space="preserve">Invest in growth through acquisitions: </w:t>
      </w:r>
      <w:r>
        <w:rPr>
          <w:rFonts w:ascii="Times New Roman;sans-serif" w:hAnsi="Times New Roman;sans-serif"/>
          <w:b w:val="false"/>
          <w:color w:val="000000"/>
          <w:sz w:val="20"/>
        </w:rPr>
        <w:t>We intend to invest in acquisitions that will allow us to offer new products and capitalize on our large and growing market opportunity. To the extent we find attractive acquisition candidates and business opportunities in the future, we may continue to acquire complementary businesses, products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Platform</w:t>
      </w:r>
    </w:p>
    <w:p>
      <w:pPr>
        <w:pStyle w:val="TextBody"/>
        <w:bidi w:val="0"/>
        <w:spacing w:before="240" w:after="283"/>
        <w:jc w:val="center"/>
        <w:rPr/>
      </w:pPr>
      <w:r>
        <w:rPr/>
        <w:drawing>
          <wp:inline distT="0" distB="0" distL="0" distR="0">
            <wp:extent cx="6858000" cy="282892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6858000" cy="2828925"/>
                    </a:xfrm>
                    <a:prstGeom prst="rect">
                      <a:avLst/>
                    </a:prstGeom>
                  </pic:spPr>
                </pic:pic>
              </a:graphicData>
            </a:graphic>
          </wp:inline>
        </w:drawing>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Viant's DSP enables a marketer or their agency to programmatically buy a streaming ad on CTVs, an ad in a digital billboard on the side of the highway, an ad in a mobile application, an ad during a podcast or other streaming audio, or a dynamically personalized ad on any website, all within a single user interface. As illustrated by the graphic above, we believe that our platform sits at the center of the digital advertising ecosystem.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components of our platform include: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Interoperable DSP. </w:t>
      </w:r>
      <w:r>
        <w:rPr>
          <w:rFonts w:ascii="Times New Roman;sans-serif" w:hAnsi="Times New Roman;sans-serif"/>
          <w:b w:val="false"/>
          <w:color w:val="000000"/>
          <w:sz w:val="20"/>
        </w:rPr>
        <w:t>Our holistic, omnichannel DSP enables brands and agencies to seamlessly target and measure key audiences across leading supply from premium publishers within CTV, streaming audio, digital out-of-home, mobile, desktop and more without having to constantly switch between platforms.</w:t>
      </w:r>
      <w:r>
        <w:rPr>
          <w:color w:val="000000"/>
        </w:rPr>
        <w:t xml:space="preserv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Comprehensive Forecasting. </w:t>
      </w:r>
      <w:r>
        <w:rPr>
          <w:rFonts w:ascii="Times New Roman;sans-serif" w:hAnsi="Times New Roman;sans-serif"/>
          <w:b w:val="false"/>
          <w:color w:val="000000"/>
          <w:sz w:val="20"/>
        </w:rPr>
        <w:t>Our platform allows customers to plan future marketing campaigns based on desired targeting tactics by utilizing historical bid request data and machine learning to project performance onto available inventory. Customers can easily apply multiple data segmentation filters and see what ad inventory is available and at what price.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Ease of Use. </w:t>
      </w:r>
      <w:r>
        <w:rPr>
          <w:rFonts w:ascii="Times New Roman;sans-serif" w:hAnsi="Times New Roman;sans-serif"/>
          <w:b w:val="false"/>
          <w:color w:val="000000"/>
          <w:sz w:val="20"/>
        </w:rPr>
        <w:t>Our intuitive user interface enables marketers to seamlessly move from forecasting to launching live advertising campaigns. This reduces the time from planning a campaign to execution, helping marketers to fluidly execute deterministic cross-channel campaigns using a variety of quality data and supply partners to reach their target audience.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Campaign Decisioning. </w:t>
      </w:r>
      <w:r>
        <w:rPr>
          <w:rFonts w:ascii="Times New Roman;sans-serif" w:hAnsi="Times New Roman;sans-serif"/>
          <w:b w:val="false"/>
          <w:color w:val="000000"/>
          <w:sz w:val="20"/>
        </w:rPr>
        <w:t>We offer the ability to continuously measure and optimize campaigns by leveraging powerful KPIs directly within platform reports. Marketers have the ability to optimize campaigns in-flight, even if they have already started. This granular decision-making ability provides customers more accurate and real-time understanding of the performance of their live campaigns.</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 xml:space="preserve">Household ID: </w:t>
      </w:r>
      <w:r>
        <w:rPr>
          <w:rFonts w:ascii="Times New Roman;sans-serif" w:hAnsi="Times New Roman;sans-serif"/>
          <w:b w:val="false"/>
          <w:color w:val="000000"/>
          <w:sz w:val="20"/>
        </w:rPr>
        <w:t>Our DSP has exclusive access to the HHID, making it a DSP that already operates in cookieless environments including CTV and mobile applications. The HHID powers data, channel and publisher interoperability providing simple and effective advertising</w:t>
      </w:r>
      <w:r>
        <w:rPr>
          <w:rFonts w:ascii="Times New Roman;sans-serif" w:hAnsi="Times New Roman;sans-serif"/>
          <w:b/>
          <w:i/>
          <w:color w:val="000000"/>
          <w:sz w:val="20"/>
        </w:rPr>
        <w:t xml:space="preserve">. </w:t>
      </w:r>
      <w:r>
        <w:rPr>
          <w:rFonts w:ascii="Times New Roman;sans-serif" w:hAnsi="Times New Roman;sans-serif"/>
          <w:b w:val="false"/>
          <w:color w:val="000000"/>
          <w:sz w:val="20"/>
        </w:rPr>
        <w:t>Marketers can easily sync customer data, build custom audiences, extend target audiences and understand audience insights seamlessly within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Cookieless Solution. </w:t>
      </w:r>
      <w:r>
        <w:rPr>
          <w:rFonts w:ascii="Times New Roman;sans-serif" w:hAnsi="Times New Roman;sans-serif"/>
          <w:b w:val="false"/>
          <w:color w:val="000000"/>
          <w:sz w:val="20"/>
        </w:rPr>
        <w:t xml:space="preserve">The HHID provides marketers the scalability, addressability, and measurability for success today. This patented technology unlocks many benefits such as: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built-in cross-device conversion tracking, allowing marketers to target all eligible devices in a household to drive conversions;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universal frequency management at scale, eliminating the need to control frequency in silos based on channel and/or device limitations;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tracking uniformity and identity persistence across all browsers and tracking environments with otherwise fragmented identifiers.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Onboarding. </w:t>
      </w:r>
      <w:r>
        <w:rPr>
          <w:rFonts w:ascii="Times New Roman;sans-serif" w:hAnsi="Times New Roman;sans-serif"/>
          <w:b w:val="false"/>
          <w:color w:val="000000"/>
          <w:sz w:val="20"/>
        </w:rPr>
        <w:t>Through our simple interface, marketers can upload and leverage their first-party data using the HHID. This enables marketers to onboard their first-party data and instantly gain a view into their customers’ top attributes, create targeting segments and easily activate and measure these customer segments across cookieless environments.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Lookalike Modeling. </w:t>
      </w:r>
      <w:r>
        <w:rPr>
          <w:rFonts w:ascii="Times New Roman;sans-serif" w:hAnsi="Times New Roman;sans-serif"/>
          <w:b w:val="false"/>
          <w:color w:val="000000"/>
          <w:sz w:val="20"/>
        </w:rPr>
        <w:t>We help expand the reach of an existing audience segment or prospect list for new customers for extended scale of critical audiences.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Household ID Targeting and Data Integrations. </w:t>
      </w:r>
      <w:r>
        <w:rPr>
          <w:rFonts w:ascii="Times New Roman;sans-serif" w:hAnsi="Times New Roman;sans-serif"/>
          <w:b w:val="false"/>
          <w:color w:val="000000"/>
          <w:sz w:val="20"/>
        </w:rPr>
        <w:t>Viant’s HHID allows brands to connect with real households and individuals with accurate reach and frequency. Our integrations with more than 70 data providers allow for extensive audience data mapping, giving users the ability to target consumers based on purchase behaviors, location, TV viewership insights and much more. Superior integrations with TV viewership data providers present users with one of the most established, scaled and accurate CTV footprints in the market.</w:t>
      </w:r>
    </w:p>
    <w:p>
      <w:pPr>
        <w:pStyle w:val="TextBody"/>
        <w:bidi w:val="0"/>
        <w:spacing w:lineRule="auto" w:line="288" w:before="240" w:after="283"/>
        <w:ind w:left="0" w:right="0" w:firstLine="540"/>
        <w:jc w:val="left"/>
        <w:rPr/>
      </w:pPr>
      <w:r>
        <w:rPr>
          <w:rFonts w:ascii="Times New Roman;sans-serif" w:hAnsi="Times New Roman;sans-serif"/>
          <w:b/>
          <w:i/>
          <w:color w:val="000000"/>
          <w:sz w:val="20"/>
        </w:rPr>
        <w:t>Advanced Reporting:</w:t>
      </w:r>
      <w:r>
        <w:rPr>
          <w:color w:val="000000"/>
        </w:rPr>
        <w:t xml:space="preserve"> </w:t>
      </w:r>
      <w:r>
        <w:rPr>
          <w:rFonts w:ascii="Times New Roman;sans-serif" w:hAnsi="Times New Roman;sans-serif"/>
          <w:b w:val="false"/>
          <w:color w:val="000000"/>
          <w:sz w:val="20"/>
        </w:rPr>
        <w:t>We close the loop on digital and traditional media by linking advertising spend to online and offline sales.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Reach and Frequency. </w:t>
      </w:r>
      <w:r>
        <w:rPr>
          <w:rFonts w:ascii="Times New Roman;sans-serif" w:hAnsi="Times New Roman;sans-serif"/>
          <w:b w:val="false"/>
          <w:color w:val="000000"/>
          <w:sz w:val="20"/>
        </w:rPr>
        <w:t>Our platform accurately measures how many households and unique users an advertising campaign reached and the frequency of exposures.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Cross-Channel Reporting. </w:t>
      </w:r>
      <w:r>
        <w:rPr>
          <w:rFonts w:ascii="Times New Roman;sans-serif" w:hAnsi="Times New Roman;sans-serif"/>
          <w:b w:val="false"/>
          <w:color w:val="000000"/>
          <w:sz w:val="20"/>
        </w:rPr>
        <w:t xml:space="preserve">Our cross-channel reporting capabilities equip customers to analyze cross-device and cross-channel campaign impact on sales and other KPIs.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Multi-Touch Attribution</w:t>
      </w:r>
      <w:r>
        <w:rPr>
          <w:rFonts w:ascii="Times New Roman;sans-serif" w:hAnsi="Times New Roman;sans-serif"/>
          <w:b w:val="false"/>
          <w:color w:val="000000"/>
          <w:sz w:val="20"/>
        </w:rPr>
        <w:t>. Our multi-touch attribution provides customers the ability to receive insights into where target audiences are interacting with brands, the impact of touchpoints across channels and devices and the order of steps along the conversion journey. The resulting holistic view of ad performance enables customers to close the loop on measurement and better link ad spend to sales.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Conversion Lift.</w:t>
      </w:r>
      <w:r>
        <w:rPr>
          <w:color w:val="000000"/>
        </w:rPr>
        <w:t xml:space="preserve"> </w:t>
      </w:r>
      <w:r>
        <w:rPr>
          <w:rFonts w:ascii="Times New Roman;sans-serif" w:hAnsi="Times New Roman;sans-serif"/>
          <w:b w:val="false"/>
          <w:color w:val="000000"/>
          <w:sz w:val="20"/>
        </w:rPr>
        <w:t>Our conversion lift reporting helps advertisers understand the impact of media in driving conversions. Ghost bids are a control group made up of consumers who were within the campaign targeting criteria and active on the programmatic network, on whom a bid request was placed to show them the campaign ad, but the bid was lost. Those impressions are then passively tracked and included in the control group. By leveraging ghost bids to create a control group, customers can see how much impact their media has in driving incremental conversions and use these insights to refine their optimization strategy for better results and investment impact.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Foot Traffic Attribution. </w:t>
      </w:r>
      <w:r>
        <w:rPr>
          <w:rFonts w:ascii="Times New Roman;sans-serif" w:hAnsi="Times New Roman;sans-serif"/>
          <w:b w:val="false"/>
          <w:color w:val="000000"/>
          <w:sz w:val="20"/>
        </w:rPr>
        <w:t>Our foot traffic data reporting capabilities allow customers to analyze the impact of their ad campaigns on driving visits to a physical location.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i/>
          <w:color w:val="000000"/>
          <w:sz w:val="20"/>
        </w:rPr>
        <w:t xml:space="preserve">Digital Billboard Reporting. </w:t>
      </w:r>
      <w:r>
        <w:rPr>
          <w:rFonts w:ascii="Times New Roman;sans-serif" w:hAnsi="Times New Roman;sans-serif"/>
          <w:b w:val="false"/>
          <w:color w:val="000000"/>
          <w:sz w:val="20"/>
        </w:rPr>
        <w:t>Our digital billboard reporting provides a holistic view of ad spend, giving customers real-time insights into their digital billboard ad performance and helping customers optimize budgets by allocating ad spend on effective digital billboards and venue types.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is built with ad buyers in mind and offers many in-depth features that give buyers the highest levels of control, which helps ensure they are running the most efficient campaigns possible. This includes: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Machine Learning and ViantAI Algorithms:</w:t>
      </w:r>
      <w:r>
        <w:rPr>
          <w:color w:val="000000"/>
        </w:rPr>
        <w:t xml:space="preserve"> </w:t>
      </w:r>
      <w:r>
        <w:rPr>
          <w:rFonts w:ascii="Times New Roman;sans-serif" w:hAnsi="Times New Roman;sans-serif"/>
          <w:b w:val="false"/>
          <w:color w:val="000000"/>
          <w:sz w:val="20"/>
        </w:rPr>
        <w:t>Our built-in advanced machine learning technology and ViantAI solutions analyze millions of impressions and data points every second. Our algorithms find optimal bid prices for maximizing performance and scale across all major KPIs, allowing our customers to strengthen their campaign efforts and build confidence in programmatic campaign performance. Our ViantAI suite currently includes AI Planning, which enables media planners to design high-impact campaigns in seconds, and AI Bidding, which optimizes inventory costs by lowering the effective cost per mille ("eCPM") through automated bid adjustments. Looking ahead, our ViantAI product roadmap features AI Measurement and Analysis, providing accessible measurement and insights via a user-friendly chat interface, and AI Decisioning, which empowers an AI agent to dynamically optimize campaigns in real-time by leveraging advanced ad strategies such as channel allocation, publisher selection, dayparting, and audience discovery.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Bulk Functionality</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Our platform is built to ease the lives of programmatic traders. With our DSP, traders can mass edit ad orders and campaigns, instead of making individual changes, saving significant time. For example, if a trader wants to change the bid price for all 1,000 of their ad orders, they could simply download, complete and upload a form, rather than wasting time by editing each ad order one by one.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i/>
          <w:color w:val="000000"/>
          <w:sz w:val="20"/>
        </w:rPr>
        <w:t>Application Integration Interfaces (“API”) Capabilities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Our DSP provides ease of integration using APIs and tools. The API capabilities provide bilateral data syndication into or out of the platform for trafficking and reporting in formats easily accepted by business intelligence teams for programmatic traders. With these, traders can maintain customer identities with a fully integrated platform that links devices and offline activities to real people and seamlessly execute and measure campaigns.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Technology and Development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Rapid and continuing innovation is a core driver of our business success and our corporate culture. Our product and engineering teams are responsible for the design, development and testing of our platform. We are committed to continuous innovation and rapid introduction of new technologies, features and functionality that bring value to our customers. We expect technology and development expense and capitalized software development costs to increase as we continue to invest in the development of our platform to support additional features and functions, such as enhancements to ViantAI and automation features and user interface, and to increase the number of advertising and data inventory integrations in various channels.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technical infrastructure for our platform is currently managed through third-party web hosting providers. We generally enter into two- to three-year agreements with our web hosting providers.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consist of purchasers of programmatic advertising inventory, including large advertising holding companies, independent advertising agencies, mid-market advertising service organizations as well as marketers relying on our self-service platform for their programmatic ad buying needs.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Many of the advertising agencies that we work with are owned by holding companies, where decision-making is generally highly decentralized such that purchasing decisions are made, and relationships with advertisers are located, at the agency, local branch or division level. We contract with our customers either through service agreements or insertion orders. Our agreements do not contain any material commitments on behalf of customers to use our platform to purchase ad inventory or use other features. Our agreements with customers generally do not have a specified term and are generally terminable at any time by either party upon specified notice periods, typically ranging from 30 to 90 days. In addition, campaigns can typically be reduced or terminated at any time. Insertion orders are generally limited in scope and can be reduced or canceled by a buyer without penalty. See “</w:t>
      </w:r>
      <w:r>
        <w:rPr>
          <w:rFonts w:ascii="Times New Roman;sans-serif" w:hAnsi="Times New Roman;sans-serif"/>
          <w:b w:val="false"/>
          <w:i/>
          <w:color w:val="000000"/>
          <w:sz w:val="20"/>
        </w:rPr>
        <w:t>Risk Factors—Risks Related to Our Business and Operations—We receive a significant amount of revenue from a select number of advertising agency holding companies, which own various advertising agencies, and the loss of advertising agencies as customers could harm our business, operating results and financial condition</w:t>
      </w:r>
      <w:r>
        <w:rPr>
          <w:color w:val="000000"/>
        </w:rPr>
        <w:t xml:space="preserve">” </w:t>
      </w:r>
      <w:r>
        <w:rPr>
          <w:rFonts w:ascii="Times New Roman;sans-serif" w:hAnsi="Times New Roman;sans-serif"/>
          <w:b w:val="false"/>
          <w:color w:val="000000"/>
          <w:sz w:val="20"/>
        </w:rPr>
        <w:t>for additional discussion of our customer relationships with advertising agencies.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Advertising and Data Supply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obtain digital advertising inventory primarily through our integrations with supply side platforms and directly with publishers. We believe that our integrations across numerous channels give us one of the most robust omnichannel integrations of any single platform. These suppliers provide us with access to a breadth of programmatic advertising inventory across CTV, streaming audio, digital out-of-home, mobile and desktop.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enable deep data access through our integrations with over 70 leading data companies, giving our customers access to data across key industry verticals, including retail, consumer packaged goods, travel and healthcare. Customers can onboard their own first-party data onto our platform, without the need for a separate data management platform.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platform through a direct sales team focused on business development across all markets, including sales to new customers and revenue growth within existing customers. We have an experienced sales team focused on selling access to our platform in our target markets and industry verticals, as well as building and nurturing relationships with global brands and agencies. We use a consultative sales approach focused on educating existing and potential customers on our platform capabilities, and training clients to use our platform. We offer a formal certification program, Programmatic University and Viant DSP Certification, which covers programmatic industry trends, technology capabilities and time-saving workflows and have an online knowledge base with robust documentation. We provide dedicated customer support and work with customers as they set up and optimize their campaigns, assist with delivery against KPIs and goals, and provide post-campaign support and recommendations.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tailor our contracts and terms to the needs of our customers, including by offering our two different pricing options: a percentage of spend option and a fixed cost per mille (“CPM”) option. Customers can use our platform on a self-service basis or can enlist our services to execute their campaigns.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marketing efforts are focused on increasing awareness and consideration for our brands, executing thought-leadership initiatives, participating in industry events, creating comprehensive sales support materials and generating new customer leads. We seek to accomplish these objectives by presenting at industry conferences, hosting customer conferences, publishing white papers and research, conducting public relations activities and advertising campaigns, and maintaining an active social media presence.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Privacy and Data Protection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may collect, receive, compile, use, store, process, share, dispose of, disclose, retain, transfer, and destroy (“Process” or “Processing”) personal information or personal data ("Personal Information"), as those and similar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terms are defined under various applicable laws. Accordingly, we are subject to numerous and global data privacy and security obligations, including laws, regulations, guidance, and industry standards related to data privacy and security. Such obligations may include, without limitation, those to avoid deceptive or unfair acts under Section 5 of the Federal Trade Commission Act, the Children’s Online Privacy Protection Act of 1998, and a host of consumer privacy laws and regulations enacted at the state level. These state privacy laws include, for example, the California Consumer Privacy Act (“CCPA”) and similar laws in Colorado, Connecticut, Oregon, Texas, and Virginia, as well as laws enacted by various states (e.g., California, Oregon, Texas) that specifically govern companies that operate as “data brokers,” (collectively, “State Privacy Laws”). State legislatures have actively focused on related privacy issues, with various states enacting laws specific to as consumer health data (such as Washington's My Health My Data Act ("MHMD")) and laws focused on teen safety and privacy online, such as the Texas Securing Children Online Through Parental Empowerment Act. Additionally, the European Union’s General Data Protection Regulation 2016/679 (“EU GDPR”) and the UK counterpart regulation (“UK GDPR”) (collectively the “GDPR”) impose strict requirements applicable to certain Processing of European Personal Information, respectively, in the European Economic Area (“EEA”) and the United Kingdom (“UK”). Authorities at many levels across jurisdictions continue to introduce new privacy legislation and rules, and we expect this will continue.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State Privacy Laws are examples of the increasingly stringent and evolving regulatory frameworks related to Personal Information Processing that continue to increase our compliance obligations and exposure for any noncompliance. The State Privacy Laws generally require each covered business to provide specific disclosures related to its Processing of Personal Information and to honor requests from individuals, including to opt out of certain advertising uses and related disclosures of their Personal Information, as well as requests to access, delete, and correct certain information and add extra protections for certain Personal Information deemed “sensitive” under such laws. Plaintiffs’ attorneys also continue to explore creative theories to allege privacy violations under recent and longstanding laws that can be costly to defend. A failure to comply with applicable privacy laws may lead to the defense of costly regulatory investigations and enforcement actions.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Risk Factors—Risks Related to Data Privacy and Artificial Intelligence"</w:t>
      </w:r>
      <w:r>
        <w:rPr>
          <w:color w:val="000000"/>
        </w:rPr>
        <w:t xml:space="preserve"> </w:t>
      </w:r>
      <w:r>
        <w:rPr>
          <w:rFonts w:ascii="Times New Roman;sans-serif" w:hAnsi="Times New Roman;sans-serif"/>
          <w:b w:val="false"/>
          <w:color w:val="000000"/>
          <w:sz w:val="20"/>
        </w:rPr>
        <w:t>for additional information about the laws, obligations and limitation to which we are subject and about the risks to our business associated with such laws, obligations and limitations.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highly competitive and fragmented. We compete with large, privately-held companies, such as Yahoo DSP, with public companies exclusively serving our industry, such as The Trade Desk, and with divisions of large, well-established public companies such as Google and Amazon. The competitive landscape in recent years has been affected by consolidation and limited investment in new startups in our industry and there are few scaled competitors with self-service capabilities. Our long history and time in the market with customers has given us significant advantages in terms of platform development and expertise, as well as a long development lead ahead of new entrants. We believe that we compete primarily based on the performance of campaigns running on our platform, the capabilities of our platform, our identity resolution capabilities, our omnichannel capabilities and our advance reporting capabilities. We believe that we are differentiated from our competitors in the following areas: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are an independent technology company focused on serving advertising agencies and marketers on the buy-side of our industry;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platform is self-service and easy to use;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enable the use of machine learning, workflow automation, automated reporting and other functionalities that allow our customers to update and make thousands of changes automatically to help achieve their desired business outcomes;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offer our DSP in an integrated manner with our HHID, so customers do not need to use separate providers for onboarding client information and ad and data purchasing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platform provides comprehensive access to a wide range of inventory types across a broad range of channels;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platform provides comprehensive access to a wide range of data partners across a broad range of industry verticals and channels to enable precise audience targeting and measurement;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identity resolution capabilities help marketers plan, buy and measure their campaigns more effectively;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provide extensive customer service and satisfaction;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 provide flexible pricing options to support our customers' needs.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Human Capital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founder-led business and believe our employees and culture are key to our success. Our business and our culture are anchored on creating a “Founder Mode” culture with an underlying focus on our core value of "Figure It Out". We believe we attract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talented employees to our company and sophisticated customers to our platform in large part because of our vision and unwavering commitment to using cutting-edge technologies to create products that help advance the advertising industry.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approximately 376 employees in 10 offices across North America. Our team draws from a broad spectrum of backgrounds and experiences across technology and advertising industries.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Workplace Practices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fostering a culture of inclusion where all employees feel valued and included. We believe our greatest asset is the people who work for us and our goal is to create a culture where we value, respect, and provide opportunities for all employees. We conduct an annual survey to give employees the opportunity to provide feedback on our management team and culture. This survey helps drive new programs that continue the development of our inclusive culture. Our leaders review the survey feedback and work with their teams to initiate new initiatives based on the results. However, we are also committed to achieving these ends through legally compliant methods, and inclusion efforts are part of the Company's legal compliance considerations. It is our policy, in keeping with the law, to not make employment decisions, including decisions regarding hiring, promotion and compensation, on the basis of any legally protected characteristic, including race or gender.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developing an inclusive environment through recruiting, development programs, community involvement and fostering conversations about differences.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Talent Development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though we have been around for over 20 years, our culture still reflects an entrepreneurial spirit. We empower employees to develop their skills and abilities by following our core values and acting on great ideas regardless of their role or function. We encourage employees at all levels to be creative and come up with ideas that can help the business grow. We work to provide an environment where talented individuals and teams can take control of their career growth. We provide a wide range of learning and development opportunities in both individual and group settings.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compensation and benefits programs to help meet the needs of our employees and reward their efforts and contributions. We use internal and external resources to help develop plans that are fair and reward our employees’ commitment and performance with the goal of attracting and retaining high performing individuals.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salaries, we provide competitive compensation programs that are in line with our peers and industry. These programs may include bonuses, equity awards, 401(k) plan, healthcare and insurance benefits, flexible spending accounts, paid time off, family leave and employee assistance programs among many others.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Climate Change and Sustainability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launched initiatives that aim to drive sustainability and reduce both our and our partners' environmental impact. In 2023, we announced a commitment to be carbon neutral with respect to known and measurable emissions by the end of 2023. We achieved this goal for 2023 through strategic collaborations with cloud providers to source renewable energy for powering Viant's platform where feasible, as well as through purchasing carbon offsets and renewable energy credits ("RECs"). We are continuing to finalize our emissions metrics for 2024 and expect to purchase sufficient environmental attributes to address our 2024 emissions, as calculated, once finalized.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recognize that sustainability initiatives are important to our partners’ spend decisions. To support our partners in reducing their GHG emissions and meeting their goals of carbon neutrality, we offer a customer carbon reduction program called Adtricity. Adtricity aims to deliver RECs to our customers based on their media spend with us. We have also joined Ad Net Zero and the IAB Tech Lab - Sustainability Working Group to drive cross-industry action around sustainability initiatives in the advertising industry.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protection of our technology and intellectual property is an important component of our success. We rely on intellectual property laws, including trade secret, copyright, patent and trademark laws in the United States and abroad, and use contracts, confidentiality procedures, non-disclosure agreements, employee disclosure and invention assignment agreements and other contractual rights to protect our intellectual property.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we held 57 issued patents, 21 pending patent applications and 300 issued trademarks. Our issued patents are scheduled to expire between 2025 and 2041. We continually review our development efforts to assess the existence and patentability of new intellectual property. In addition to the intellectual property relating to the operation of Viant, our DSP,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HHID, we own intellectual property related to our owned site, Myspace.com. Of our issued patents, 29 relate to our platform and our HHID, 15 relate to Myspace.com, and 13 are related to IRIS.TV.</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were founded in 1999 by Tim, Chris and Russ Vanderhook who continue to lead our company today. We have been at the forefront of digital advertising technology since our inception and have demonstrated our ability to grow, thrive, and innovate as competitors have come and gone. In 2011, we acquired the social network website Myspace.com. In 2011, Tim and Chris Vanderhook started Xumo, a CTV streaming service, which was acquired by Comcast Corp. in 2020. In 2015, we completed our first people-based integration. We remained independent until 2016, when Time Inc. acquired a 60% interest in our company through our subsidiary, Viant Technology Holding Inc. (the “Former Holdco”). That interest was later acquired by Meredith Corporation when it acquired Time Inc. in 2018. In 2017, we purchased Adelphic, a DSP. Since the Adelphic acquisition, we have materially transformed from a full-service provider of digital advertising solutions into a leading DSP that enables marketers and their advertising agencies to centralize the planning, buying and measurement of their media investments using a people-based framework. We have grown from a business operating from a home office to a company with approximately 376 employees in 10 offices throughout the United States at the end of 2024. In 2019, we entered into an agreement that resulted in the retirement of the Former Holdco’s interest in our company and Tim Vanderhook, Chris Vanderhook and Capital V LLC (formerly Four Brothers 2 LLC) (the “Vanderhook Parties”) acquired that 60% interest in our company (the “2019 Former Holdco transaction”), allowing it to once again become an independent company. Viant Technology Inc. was incorporated in Delaware on October 9, 2020. In connection with the consummation of our initial public offering (the “IPO”), we became the sole managing member of Viant Technology LLC. We completed the IPO of our Class A common stock on February 12, 2021. Our principal executive offices are located at 2722 Michelson Drive, Suite 100, Irvine, CA 92612 and our telephone number is (949) 861-8888. Our website address is www.viantinc.com. Our design logo, “Viant,” and our other registered and common law tradenames, trademarks and service marks are the property of Viant Technology LLC.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SEC maintains a website at www.sec.gov that contains reports, information statements and other information regarding issuers that file electronically with the SEC. Our Annual Report can be downloaded from the SEC’s website. We will file with or furnish to the SEC periodic reports and other information. We furnish or make available to our stockholders annual reports containing our audited consolidated financial statements prepared in accordance with GAAP. We also furnish or make available to our stockholders quarterly reports containing our unaudited interim financial information, for the first three fiscal quarters of each fiscal year. We make our periodic reports and other information filed with or furnished to the SEC pursuant to Section 13(a) or 15(d) of the Exchange Act, available, free of charge, through our website, www.viantinc.com, as soon as reasonably practicable after those reports and other information are electronically filed with or furnished to the SEC. Information contained on our website or linked therein or otherwise connected thereto does not constitute part of nor is it incorporated by reference into this Annual Report.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Emerging Growth Company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companies that are not an EGC. We will cease to be an EGC upon the earliest of: (i)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 Refer to Note 2—Basis of Presentation and Summary of Significant Accounting Policies to our consolidated financial statements included elsewhere in this Annual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Investing in our Class A common stock involves a high degree of risk. You should carefully consider the following risks and uncertainties described below, together with all other information contained in this Annual Report, including our consolidated financial statements and the related notes included elsewhere in this Annual Report, and in our other public filings with the SEC.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w:t>
      </w:r>
      <w:r>
        <w:rPr>
          <w:color w:val="000000"/>
        </w:rPr>
        <w:t xml:space="preserve"> </w:t>
      </w:r>
      <w:r>
        <w:rPr>
          <w:rFonts w:ascii="Times New Roman;sans-serif" w:hAnsi="Times New Roman;sans-serif"/>
          <w:b w:val="false"/>
          <w:i/>
          <w:color w:val="000000"/>
          <w:sz w:val="20"/>
        </w:rPr>
        <w:t>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success and revenue growth are dependent on enhancing and improving our platform and effectively educating and training our customers on how to make full use of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or AI capabilities, we may not be successful at educating and training customers, particularly our newer customers, on how to use our platform,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realize the expected benefits of an industry shift away from cookie-based consumer tracking.</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or to the degree that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innovate and make the right investment decisions in our offerings and platform, we may not attract and retain customers, and our revenue and results of operations may decline.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 results would suffer. In addition, such new products, services or enhancements may create new, or exacerbate existing, technological, security, legal and other challenges, could cause unintended consequences, and may not perform as intended. If new or existing competitors replicate our offerings or have more attractive offerings, we may lose customers or customers may decrease their use of our platform. New customer demands, superior competitive offerings or new industry standards could require us to make unanticipated and costly 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for programmatic advertising is evolving. If this market develops slower or differently than we expect, our business, operating results and financial condition would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particular, the market for programmatic advertising across most advertising channels, including CTV, streaming audio, digital out-of-home, mobile and desktop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CTV offering may not continue. Furthermore, if our channel mix changes due to a shift in customer demand, such as customers shifting their usage more quickly or more extensively than expected to channels in which we have relatively less functionality, features or inventory, then demand for our platform could decrease, and our business, financial condition and results of operations could be adversely affected. In addition, our revenue may not necessarily grow at the same rate as spend on our platform. As the market for programmatic buying for advertising matures, growth in spend may outpace growth in our revenue due to a number of factors, including pricing competition, volume discounts and shifts in media, client and channel mix, and the composition of offerings provided to our clients. A significant change in revenue as a percentage of spend could reflect an adverse change in our business and growth prospects. In addition, any such fluctuations, even if they reflect our strategic decisions, could cause our performance to fall below the expectations of securities analysts and investors, and adversely affect the price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Often, we enter into separate contracts and billing relationships with the individual agencies and account for them as separate customers. However, some holding companies for these agencies may choose to exert control over the individual agencies in the future. A holding company may be acquired by, or consolidate with, another holding company that does not utilize our platform, or may otherwise reduce overall spend on our platform as a result of an acquisition or consolidation. If so, any consolidation of, or loss of relationships with such holding companies and, consequently, of their agencies, local branches or divisions, as customers could significantly harm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or an advertising agency otherwise chooses not to do business with us, we risk losing business from the marketers represented by that agency.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We are primarily focused on the U.S. market, while competing DSPs may be focused on international markets. Advertising agencies who seek both domestic and international services, or otherwise limit the number or types of DSPs used, may choose to consolidate with competing DSPs. If a significant number of marketers and their agencies begin to utilize competing platforms for the administration of their advertising campaigns,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effects of macroeconomic conditions and geopolitical events, such as inflation, high interest rates and other adverse market events have had, and could in the future have, an adverse impact on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and operations have been and could in the future be adversely affected by macroeconomic conditions and geopolitical events, such as bank failures, high interest rates, inflationary pressures, labor shortages, shortages of goods and services, supply chain constraints, pandemics, political election cycles, changes in laws and interpretations of laws, and potential disruptions from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disruptions, tariffs, tightening of credit markets, political election cycles, changes in laws and interpretations of laws, changes in the volume and relative mix of U.S. government spending, cost-cutting and efficiency initiatives, and potential disruptions from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 </w:t>
      </w:r>
    </w:p>
    <w:p>
      <w:pPr>
        <w:pStyle w:val="TextBody"/>
        <w:bidi w:val="0"/>
        <w:spacing w:lineRule="auto" w:line="288" w:before="240" w:after="283"/>
        <w:jc w:val="left"/>
        <w:rPr/>
      </w:pPr>
      <w:r>
        <w:rPr>
          <w:rFonts w:ascii="Times New Roman;sans-serif" w:hAnsi="Times New Roman;sans-serif"/>
          <w:b/>
          <w:i/>
          <w:color w:val="000000"/>
          <w:sz w:val="20"/>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w:t>
      </w:r>
      <w:r>
        <w:rPr>
          <w:color w:val="000000"/>
        </w:rPr>
        <w:t xml:space="preserve"> </w:t>
      </w:r>
      <w:r>
        <w:rPr>
          <w:rFonts w:ascii="Times New Roman;sans-serif" w:hAnsi="Times New Roman;sans-serif"/>
          <w:b/>
          <w:i/>
          <w:color w:val="000000"/>
          <w:sz w:val="20"/>
        </w:rPr>
        <w:t>or maintain our current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payment-related risks and if our customers do not pay or dispute their invoices, our business, operating results and financial condition may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Due to this potential imbalance in our collections and payments, we may rely on our credit facility to partially or completely fund our working capital requirements or other needs. As we continue to grow, our business may not generate sufficient cash flow from operations and future borrowings may not be available to us under the credit facility in an amount sufficient to fund our working capital requirements or other needs. If our cash flows and credit facility borrowings are insufficient to fund our working capital requirements or other needs,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access to advertising inventory is diminished or fails to grow, our revenue could decline, and our growth could be impeded.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 DSP. Furthermore, the inventory that we access through real-time advertising exchanges may be of low quality or misrepresented to us, despite attempts by us and our suppliers to prevent fraud and conduct quality assurance checks.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depends on consistently adding valued inventory in a cost-effective manner. If we are unable to maintain a consistent supply of inventory for any reason, customer retention, loyalty and operating results and financial condition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our access to data related to our Household ID is diminished, the effectiveness of our platform would be decreased, which could harm our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Much of the data that we use is obtained through integrations with third parties. We are dependent upon our ability to obtain necessary data licenses on commercially reasonable terms. We could suffer material adverse consequences if we were unable to obtain data through our integrations with third parties, including inventory and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Legislators, regulators, and other authorities have focused heavily on third-party data suppliers and the advertising industry in recent years, and we expect this to continue. State Privacy Laws and other U.S. and foreign laws governing Personal Information and privacy pose additional and material compliance risks to such suppliers and companies operating in the advertising industry. In addition, state lawmakers continue to update or enact new laws governing activities of data brokers. For example, in California, lawmakers have introduced requirements to honor requests submitted through a universal deletion mechanism that the state would develop and materially increase penalties for non-compliance. We and our suppliers may face compliance risks under these laws and limitations on our ability to use certain data, including data provided by our third-party suppliers, which could impact our business and diminish our revenue.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in October 2021, Google introduced similar changes that provided users with the ability to opt-out of tracking across devices using the Android operating system. Individuals may increasingly resist or turn off the collection, use, and sharing of Personal Information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Information.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color w:val="000000"/>
        </w:rPr>
        <w:t>—</w:t>
      </w:r>
      <w:r>
        <w:rPr>
          <w:rFonts w:ascii="Times New Roman;sans-serif" w:hAnsi="Times New Roman;sans-serif"/>
          <w:b w:val="false"/>
          <w:i/>
          <w:color w:val="000000"/>
          <w:sz w:val="20"/>
        </w:rPr>
        <w:t>Risks Related to Data Privacy and Artificial Intelligence</w:t>
      </w:r>
      <w:r>
        <w:rPr>
          <w:color w:val="000000"/>
        </w:rPr>
        <w:t xml:space="preserve">” </w:t>
      </w:r>
      <w:r>
        <w:rPr>
          <w:rFonts w:ascii="Times New Roman;sans-serif" w:hAnsi="Times New Roman;sans-serif"/>
          <w:b w:val="false"/>
          <w:color w:val="000000"/>
          <w:sz w:val="20"/>
        </w:rPr>
        <w:t>for additional discussion of the laws and regulations governing the collection of data to which we are or may become subject and about the risks to our business associated with such laws and regulations.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were to lose access to significant amounts of the data that enables our Household ID ("HHID") framework,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do not effectively grow and train our sales and support teams, we may be unable to add new customers or increase usage of our platform by our existing customers and our business will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are unable to maintain it, whether as a result of corporate growth or reduction in force, our business, operating results and financial condition could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approximately 376 employees as of December 31, 2024. We believe our corporate culture has been critical to our success and we have invested substantial time and resources in building our team within our company culture. However, it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allow our customers and suppliers to utilize application programming interfaces ("APIs") with our platform, which could result in outages or security breaches and negatively impact our business, operating results and financial condition.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color w:val="000000"/>
        </w:rPr>
        <w:t>—</w:t>
      </w:r>
      <w:r>
        <w:rPr>
          <w:rFonts w:ascii="Times New Roman;sans-serif" w:hAnsi="Times New Roman;sans-serif"/>
          <w:b w:val="false"/>
          <w:i/>
          <w:color w:val="000000"/>
          <w:sz w:val="20"/>
        </w:rPr>
        <w:t>A significant breach of our IT Systems or disclosure of our Confidential Data, or of the security of our or our customers’, suppliers’, or other third parties’ systems upon which we rely could be detrimental to our business, reputation and results of operations</w:t>
      </w:r>
      <w:r>
        <w:rPr>
          <w:color w:val="000000"/>
        </w:rPr>
        <w:t>”</w:t>
      </w:r>
      <w:r>
        <w:rPr>
          <w:rFonts w:ascii="Times New Roman;sans-serif" w:hAnsi="Times New Roman;sans-serif"/>
          <w:b w:val="false"/>
          <w:color w:val="000000"/>
          <w:sz w:val="20"/>
        </w:rPr>
        <w:t>). 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Operational and performance issues with our platform, whether actual or perceived, including a failure to respond to technological changes or to upgrade our technology systems, may adversely affect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Our platform is complex and multifaceted, and operational and performance issues can arise both from the platform itself or from outside factors, such as cyberattacks or other third-party attacks (for more information on risks related to cyber incidents, see “</w:t>
      </w:r>
      <w:r>
        <w:rPr>
          <w:color w:val="000000"/>
        </w:rPr>
        <w:t>—</w:t>
      </w:r>
      <w:r>
        <w:rPr>
          <w:rFonts w:ascii="Times New Roman;sans-serif" w:hAnsi="Times New Roman;sans-serif"/>
          <w:b w:val="false"/>
          <w:i/>
          <w:color w:val="000000"/>
          <w:sz w:val="20"/>
        </w:rPr>
        <w:t>A significant breach of our IT Systems or disclosure of our Confidential Data, or of the security of our or our customers’, suppliers’, or other third parties’ systems upon which we rely could be detrimental to our business, reputation and results of operations</w:t>
      </w:r>
      <w:r>
        <w:rPr>
          <w:color w:val="000000"/>
        </w:rPr>
        <w:t>”</w:t>
      </w:r>
      <w:r>
        <w:rPr>
          <w:rFonts w:ascii="Times New Roman;sans-serif" w:hAnsi="Times New Roman;sans-serif"/>
          <w:b w:val="false"/>
          <w:color w:val="000000"/>
          <w:sz w:val="20"/>
        </w:rPr>
        <w:t>). Errors, failures, vulnerabilities or bugs have been found in the past and may be found in 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can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Operational and performance issues with our platform have resulted and may in the future result in unexpected costs, such as negative publicity, damage to our brand and reputation, loss of or delay in market acceptance of our platform, increased costs or loss of revenue, the obligation to issue credits, loss of the ability to access our platform, loss of competitive position or claims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dependent on the continued availability of third-party hosting and transmission services. Operational issues with, or changes to the costs of, our third-party data center providers could harm our business, reputation or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damage to, or failure of, the systems of our third-party providers could result in interruptions to our platform. Despite precautions taken by third-party data center hosting facilities, the occurrence of spikes in usage volume, a natural disaster, such as earthquakes, wildfires, extreme temperatures, drought, flooding, storms, an act of terrorism, vandalism or sabotage, a decision to close a facility without adequate notice, or other unanticipated problems at a facility could result in lengthy interruptions in the availability of our platform. Climate change or other environmental or social pressures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the non-proprietary technology, software, products and services that we use are unavailable, have future terms we cannot agree to, or do not perform as we expect, our business, operating results and financial condition could be harmed.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various third-party open-source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failure to meet content and inventory standards and provide services that our customers and inventory suppliers trust, could harm our brand and reputation and negatively impact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clients violate our ad policies or other contract terms, which could harm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potential liability and harm to our business based on the human factor of inputting information into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acquisitions, strategic investments or alliances could disrupt our business and harm our business, operating results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regulatory hurdles;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of anticipated benefits to materialize;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diversion of management time and focus from operating our business to addressing acquisition integration challenges;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retention of employees from the acquired company;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cultural challenges associated with integrating employees from the acquired company into our organization;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integration of the acquired company’s accounting, management information, human resources and other administrative and information technology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integration of the acquired company's products and technology;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need to implement or improve controls, procedures and policies at a business that prior to the acquisition may have lacked effective controls, procedures and policies;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coordination of product development and sales and marketing functions;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liability for activities of the acquired company before the acquisition, including known and unknown liabilities;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litigation or other claims in connection with the acquired company, including claims from terminated employees, former stockholders or other third parties;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negative reception to an acquisition by clients, suppliers, vendors, or investors.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appropriately mitigate these risks or other issues related to such strategic investments and acquisitions could result in reducing or completely eliminating any anticipated benefits of transactions, and harm our business generally. Future acquisitions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also result in dilutive issuances of our equity securities, the incurrence of debt, contingent liabilities, amortization or the impairment of goodwill, any of which could harm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on the continuing efforts of our key employees, including Tim Vanderhook and Chris Vanderhook, and our ability to attract, hire, retain and motivate highly skilled employees in the future.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liabilities arising out of our ownership and operation of Myspace.com.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in which we participate is intensely competitive, and we may not be able to compete successfully with our current or future competitors.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derive a significant portion of our revenue from advertising in the CTV, mobile, and desktop channels, which are rapidly evolving, highly competitive, complex and fragmented. We face significant competition in these markets which we expect will intensify in the future. We face significant competition in these channels and others, such as streaming audio and digital billboards, which we expect will intensify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Data Privacy and Artificial Intelligence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and changing obligations related to data privacy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 the cost of data, reduce the availability of data, reduce our ability to utilize or disclose data, adverse effects on the demand for our products and services, or other adverse business consequences.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collect, receive, store, use, transmit, disclose, or otherwise process (collectively, "Process") Personal Information and other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federal, state, and local governments, and foreign governments have adopted or proposed numerous laws relating to the Processing of Personal Information relating to individuals and households, including contact information and pseudonymous data, many with a particular focus on marketing and advertising uses of such Personal Information. The legal landscape for data privacy issues worldwide is complex, continually evolving and often conflicting, and is likely to remain uncertain for the foreseeable future. Because many of these laws are new, established interpretations and best practices are still emerging. As a result, regulators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allege that our practices do not comply with such laws or regulations, despite our ongoing efforts to comply. Any failure or perceived failure to comply with applicable laws or regulations regarding privacy, data protection and cybersecurity could adversely affect our business, brand or reputation and may result in claims, actions, investigations or proceedings against us by regulators or individuals and require us to change our practices, all of which may result in significant costs.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an ever-increasing number of laws and regulations apply to the Processing of Personal Information. In recent years, the U.S. federal and state legislatures, along with regulatory authorities at the state and federal level, have increased their focus on the collection and use of Personal Information, including relating to “interest-based,” “cross-context behavioral,” or “targeted” advertising. For example, the FTC has been very active in bringing enforcement actions against companies that handle personal data it views as sensitive for advertising purposes, including location data brokers and companies that process health-related data. These enforcement announcements signal increased ongoing regulatory scrutiny of advertising practices that involve “sensitive” categories of personal data such as health data and precise location information. The FTC could expand this focus by acting on new authority to enforce a federal law focused on disclosures of certain information it classifies as sensitive by companies operating as data brokers to certain restricted countries or entities under the control of such countries.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State legislatures have also continued their focus in this area. For example, the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State Privacy Laws also require or will require companies to respond to user-enabled global privacy controls, such as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Personal Information. These laws are generally enforced by each state’s attorney general with potentially steep penalties for violations.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Lawmakers and regulators are also focused on data Processing by companies that do not have direct relationships with the consumers whose Personal Information they process. Several states, including California and Texas, have enacted or updated laws restricting the activities of data brokers, and state attorneys general are keen to enforce these laws, such as by checking companies’ data broker registration status. In late 2023, California passed the Delete Act, dramatically increasing obligations and potential penalties relative to the state’s preexisting data broker statute. Beyond additional transparency requirements, beginning in August 2026, companies registered as data brokers in California must honor universal deletion requests consumers make of all data brokers via a deletion mechanism the state will create. Beginning in 2028, data brokers must undergo audits verifying their compliance with the Delete Act. The California Privacy Protection Agency recently released new regulations regarding the Delete Act’s data broker registration requirements including to revise the definition of “data broker.” These obligations may reduce the data available to Viant, require us to develop complex and expensive compliance tools and procedures, and may result in reductions in revenue.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Lawmakers, regulators, and advocates also continue to focus on activities involving the use of certain types of Personal Information perceived as especially sensitive, such as children’s data, health data, and location data, which will impact the advertising industry. For example, the FTC actively enforces the Children's Online Privacy Protection Act of 1998 ("COPPA") and recently updated and expanded certain parts of the law, such as by requiring separate consent to disclose children’s personal information to third parties. Additionally, several State Privacy Laws have increased the age at which a consumer can be shown targeted ads (without opt-in consent) from 13 to 16 or 18 years of age, and other state laws may ban targeted advertising to minors outright.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Related to consumer health information, MHMD introduced a host of new requirements covering a very broadly defined notion of consumer health data, including obligations on disclosures of such data that will impact the advertising industry. MHMD is subject to a private right of action, and plaintiffs’ attorneys could explore claims testing the bounds of the law’s text. Other states (e.g., Nevada) have enacted a similar law (though without a private right of action), and we expect more states will follow.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federal wiretap and similar laws, such as the Federal Wiretap Act and Video Privacy Protection Act, and similar U.S. state laws, such as California’s Invasion of Privacy Act, to certain advertising and online tracking practices. Such laws include private causes of action, and could be costly to settle or litigate, regardless of the merit of the claim, and may result in significant monetary liability. In order to comply with the varying state data breach reporting laws, we must maintain adequate security measures, which require significant investments in resources and ongoing attention.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certain laws, regulations, and industry standards may apply to our or our suppliers’ or customers’ data privacy and security practices. The GDPR imposes strict requirements applicable to certain Processing of European Personal Information, respectively, in the EEA and the UK. The applicability analysis under the GDPR is complex, but if we were deemed to operate our business in a manner subject to GDPR, the GDPR provides for significant penalties for noncompliance of up to the greater of €20 million under the EU GDPR / 17.5 million pounds sterling under the UK GDPR, or, in each case, 4% of an enterprise’s global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Member States may assess other penalties for noncompliance on companies subject to GDPR.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have to change our business practices to comply with such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be unable to transfer Personal Information from Europe and other jurisdictions to the United States or other countries due to data localization requirements or limitations on cross-border transfers of Personal Information. In particular, the EEA and UK have significantly restricted the transfer of Personal Information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Information from the EEA and UK to the United States in compliance with law, these mechanisms are subject to ongoing legal challenges.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there is no lawful manner for us to transfer Personal Information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Information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employees and personnel use, and increasingly rely on, generative AI and automated decision-making technologies to perform their work and our business offers services that utilize generative AI, and such usage may be subject to various laws and other obligations, including those related to privacy, and governments have passed and are likely to pass additional laws regulating generative AI. For example, the California Privacy Protection Agency is in the process of promulgating regulatory requirements relating to automated decision-making technologies.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("NAI"), the Digital Advertising Alliance ("DAA"), and their international counterparts, apply to many players in the advertising technology ecosystem. 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Times New Roman;sans-serif" w:hAnsi="Times New Roman;sans-serif"/>
          <w:b w:val="false"/>
          <w:i/>
          <w:color w:val="000000"/>
          <w:sz w:val="20"/>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r>
        <w:rPr>
          <w:rFonts w:ascii="Times New Roman;sans-serif" w:hAnsi="Times New Roman;sans-serif"/>
          <w:b w:val="false"/>
          <w:color w:val="000000"/>
          <w:sz w:val="20"/>
        </w:rPr>
        <w: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fundamentally change our business activities, information technologies, systems, and practices, and to those of any third parties that Process Personal Information on our behalf.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Any of these events could have a material adverse effect on our reputation, business, or financial condition, including but not limited to: loss of customers, additional costs and liabilities, damage our reputation, reduction in sales and demand for our platform, and harm our business.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sans-serif" w:hAnsi="Times New Roman;sans-serif"/>
          <w:b w:val="false"/>
          <w:i/>
          <w:color w:val="000000"/>
          <w:sz w:val="20"/>
        </w:rPr>
        <w:t>We face liabilities arising out of our ownership and operation of Myspace.com</w:t>
      </w:r>
      <w:r>
        <w:rPr>
          <w:rFonts w:ascii="Times New Roman;sans-serif" w:hAnsi="Times New Roman;sans-serif"/>
          <w:b w:val="false"/>
          <w:color w:val="000000"/>
          <w:sz w:val="20"/>
        </w:rPr>
        <w: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Plaintiffs have also become increasingly more active in bringing privacy-related claims against companies, including class action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 as "cookies"). Although our business is less reliant on cookies than some of our competitors because we do not need cookies for marketers and their advertising agencies to identify consumers with our identity resolution capabilities and identity graph, we do use third-party cookies in connection with obtaining information about consumers, and for delivering digital advertising. Today, Apple's Safari, Mozilla's Firefox and Microsoft's Edge already block third-party cookies by default. Google's web browser, Chrome, offers controls over third-party cookies and, while it no longer plans to deprecate support for third-party cookies and user agent string entirely,</w:t>
      </w:r>
      <w:r>
        <w:rPr>
          <w:color w:val="000000"/>
        </w:rPr>
        <w:t xml:space="preserve"> </w:t>
      </w:r>
      <w:r>
        <w:rPr>
          <w:rFonts w:ascii="Times New Roman;sans-serif" w:hAnsi="Times New Roman;sans-serif"/>
          <w:b w:val="false"/>
          <w:color w:val="000000"/>
          <w:sz w:val="20"/>
        </w:rPr>
        <w:t xml:space="preserve">Google has committed to enhancing its </w:t>
      </w:r>
      <w:r>
        <w:rPr>
          <w:color w:val="000000"/>
          <w:shd w:fill="FFFFFF" w:val="clear"/>
        </w:rPr>
        <w:t>“</w:t>
      </w:r>
      <w:r>
        <w:rPr>
          <w:rFonts w:ascii="Times New Roman;sans-serif" w:hAnsi="Times New Roman;sans-serif"/>
          <w:b w:val="false"/>
          <w:color w:val="000000"/>
          <w:sz w:val="20"/>
          <w:shd w:fill="FFFFFF" w:val="clear"/>
        </w:rPr>
        <w:t xml:space="preserve">Privacy Sandbox” label, which may result in modified targeting and measurement functionality to digital advertising ecosystem participants, and the introduction of new browser-level controls on Chrome, which will allow users to make an informed choice regarding cookies that will apply across their web browsing. We believe that Google’s ongoing development of these technologies, which we expect to be technically complex and designed in a manner that does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HHID,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could negatively impact our business. In addition, these browser and platform providers may frequently delay or change their previously announced operations or policies.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For example, Apple introduced an iOS update in April 2021 that requires users to opt-in to tracking of their activity across devices, and Google has announced that it will eventually deprecate its Android advertising identifier entirely. Privacy aspects of other channels for programmatic advertising, such as CTVs or over-the-top video, are still developing. Technical or policy changes, including regulation or industry self-regulation, could harm our growth in those channels.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California Privacy Protection Agency, and privacy advocates have raised significant concerns around observed data, leading to an array of ‘do-not-track’ and similar opt-out efforts, suggestions and technologies introduced to address these concerns, and individuals are increasingly aware of these options. </w:t>
      </w:r>
      <w:r>
        <w:rPr>
          <w:rFonts w:ascii="Times New Roman;sans-serif" w:hAnsi="Times New Roman;sans-serif"/>
          <w:b w:val="false"/>
          <w:color w:val="000000"/>
          <w:sz w:val="20"/>
        </w:rPr>
        <w:t>For example, several of the State Privacy Laws obligate companies to honor requests to opt out of targeted advertising or sales of personal information transmitted via user-enabled Global Privacy Control.</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Limitations on our or our customers’ ability to collect and use data for advertising, whether imposed by established technology companies, legislation, or otherwise, may impact the performance of our platform and our business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rely upon third-party service providers and technologies to operate critical business systems to process Confidential Data, including, without limitation, third-party providers of cloud-based infrastructure such as Google Cloud Platform and Amazon Web Services, employee email, and other functions. We may share or receive Confidential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Data, or business. There can also be no assurance that our cybersecurity risk management program and processes, including our policies, controls, or procedures, will be fully implemented, complied with or effective in protecting our IT Systems and Confidential Data.</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sans-serif" w:hAnsi="Times New Roman;sans-serif"/>
          <w:b w:val="false"/>
          <w:i/>
          <w:color w:val="000000"/>
          <w:sz w:val="20"/>
        </w:rPr>
        <w:t>We face liabilities arising out of our ownership and operation of Myspace.com.</w:t>
      </w:r>
      <w:r>
        <w:rPr>
          <w:color w:val="000000"/>
        </w:rPr>
        <w:t xml:space="preserve">” </w:t>
      </w:r>
      <w:r>
        <w:rPr>
          <w:rFonts w:ascii="Times New Roman;sans-serif" w:hAnsi="Times New Roman;sans-serif"/>
          <w:b w:val="false"/>
          <w:color w:val="000000"/>
          <w:sz w:val="20"/>
        </w:rPr>
        <w:t>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or proprietary information of the Company or our customers could be leaked, disclosed, or revealed as a result of or in connection with our employee’s, personnel’s, or vendor’s use of generative AI technologies.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providers are unable to comply with the security standards established by banks and the payment card industry, we may be subject to fines, restrictions and expulsion from card acceptance programs, which could materially and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use of artificial intelligence technologies may not result in the benefits we anticipate for our business, and may result in a decline in performance of our products, services and business, as well as our reputation and the reputations of our customers, or cause us to incur liability resulting from the violation of laws or contracts to which we are a party.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AI, machine learning, and automated decision-making technologies, including our ViantAI product suite, (collectively, “AI Technologies”) throughout our business, and are making significant investments in this area. For example, our ViantAI suite currently includes AI Planning, which enables media planners to design high-impact campaigns in seconds, and AI Bidding, which optimizes inventory costs by lowering the effective cost per mille ("eCPM") through automated bid adjustments. Looking ahead, our ViantAI product roadmap features AI Measurement and Analysis, providing accessible measurement and insights via a user-friendly chat interface, and AI Decisioning, which empowers an AI agent to dynamically optimize campaigns in real-time by leveraging advanced ad strategies such as channel allocation, publisher selection, dayparting, and audience discovery.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if the models underlying our AI Technologies are incorrectly designed or implemented; trained or reliant on incomplete, inadequate, inaccurate, biased or otherwise poor-quality data, or on data to which we do not have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or material performance issues, the performance of our products, services and business, as well as our reputation and the reputations of our customers, could suffer or we could incur liability resulting from the violation of laws or contracts to which we are a party or civil claims.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With respect to our solutions that incorporate AI Technology, the market for such products and services is rapidly evolving and unproven in many industries, including our own,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of solutions that incorporate AI Technology is uncertain. Our failure to successfully develop and commercialize solutions involving AI Technologies could depress the market price of our stock and impair our ability to: raise capital; expand our business; provide, improve and diversify our solutions; continue our operations and efficiently manage our operating expenses; and respond effectively to competitive developments.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ViantAI product suite, we use AI Technologies licensed from third parties in our solutions and our operations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proprietary rights may be difficult to enforce, which could enable others to copy or use aspects of our technology without compensating us, thereby eroding our competitive advantages and harming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the laws, procedures and restrictions may provide only limited protection, and protection may not be available for some of our technology, in particular technology that uses open-source software.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issues generally restrict the use of our confidential information solely in connection with our services. However, the theft or misuse of our proprietary information could occur by employees or contractors who have access to our technology.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subject to third party claims for alleged infringement of third parties' proprietary rights, which would result in additional expense and potential damages.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have and may continue to aggressively assert their rights in order to extract value from us. Furthermore, from time to time we may introduce or acquire new products, including in areas where we historically have not competed, which could increase our exposure to patent and other intellectual property claims from competitors and non-practicing entities. The cost of settling or defending against intellectual property claims, whether or not the claims have merit, is significant, regardless of whether we are successful in our defense, and diverts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or 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face potential liability and harm to our business based on the nature of our business and the content on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clients do not have the rights necessary to serve advertisements through our platform,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Capital Structure and Related Tax Matters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principal asset is our interest in Viant Technology LLC, and accordingly, we depend on distributions from Viant Technology LLC to pay any dividends, if declared, taxes and other expenses, including payments under the Tax Receivable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and our only business is to act as the managing member of Viant Technology LLC, and our only material assets are Class A units representing approximately 25.9% of the membership interests of Viant Technology LLC as of December 31, 2024. We do not have any independent means of generating revenue or cash flow, and our ability to pay dividends in the future, if any, will depend upon the financial results and cash flows of Viant Technology LLC.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of Viant Technology LLC.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 adversely affect our ability to pay dividends and taxes and other expenses, including payments under the Tax Receivable Agreement, and affect our liquidity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 (not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 payments under the Tax Receivable Agreement are also not conditioned upon the continuing members of Viant Technology LLC maintaining a continued ownership interest in Viant Technology LLC.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However, we have concluded that based on the weight of all available evidence these deferred tax assets subject to the TRA are not more likely than not of being realized, and as a result no liability has been recorded related to the remaining tax savings we may realize from utilization of such deferred tax assets. If deferred tax assets subject to the TRA become more likely than not to be realized, we will record such liability.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 certain circumstances, the amounts that we may be required to pay under the Tax Receivable Agreement may be accelerated and/or significantly exceed the actual tax benefits, if any, that we actually realize.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 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will not be reimbursed for any payments made to the continuing members of Viant Technology LLC under the Tax Receivable Agreement in the event that any tax benefits are disallowed.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we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 certain circumstances, Viant Technology LLC will be required to make distributions to us and the existing members of Viant Technology LLC, and the distributions that Viant Technology LLC will be required to make may be substantial.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interests and corresponding shares of Class A common stock as a result of any cash dividend or excess distribution or any retention of cash by us. As a result, the holders of Viant Technology LLC interests (other than us)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Viant Technology LLC were to become a publicly traded partnership taxable as a corporation for U.S. federal income tax purposes, significant tax inefficiencies might result for us and Viant Technology LLC, including as a result of our inability to file a 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tax liabilities may be greater than anticipated.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laws applicable to our business activities are subject to interpretation. We are subject to audit by the Internal Revenue Service and by taxing authorities in the state and local jurisdictions in which we operate. Our tax obligations are based on how tax authorities in such jurisdictions assess revenue-based taxes such as sales and use taxes. Taxing authorities may and have challenged our tax positions and methodologies including our positions regarding the collection of sales and use taxes and the jurisdictions in which we are subject to taxes, which could expose us to additional taxes and penalties. In addition, our future tax expense could increase as a result of changes in tax laws, regulations or accounting principles, or changes in the interpretation of the same, or as a result of earning income in jurisdictions that have higher tax rates. An increase in our tax expense and/or penalties could have a negative effect on our financial position and results of operations. Moreover, the determination of our provision for income taxes and other tax liabilities requires significant estimates and judgment by management, and the tax treatment of certain transactions is uncertain. Although we believe we make reasonable estimates and judgments, the ultimate outcome of any particular issue may differ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the amounts previously recorded in our financial statements and any such occurrence could materially affect our financial position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Requirements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experience fluctuations in our operating results, which could make our future operating results difficult to predict or cause our operating results to fall below securities analysts’ and investors’ expectations.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sans-serif" w:hAnsi="Times New Roman;sans-serif"/>
          <w:b w:val="false"/>
          <w:i/>
          <w:color w:val="000000"/>
          <w:sz w:val="20"/>
        </w:rPr>
        <w:t>Management’s Discussion and Analysis of Financial Condition and Results of Operation—Key Operating and Financial Performance Measures—Use of Non-GAAP Financial Measures</w:t>
      </w:r>
      <w:r>
        <w:rPr>
          <w:rFonts w:ascii="Times New Roman;sans-serif" w:hAnsi="Times New Roman;sans-serif"/>
          <w:b w:val="false"/>
          <w:color w:val="000000"/>
          <w:sz w:val="20"/>
        </w:rPr>
        <w:t>.” The varying nature of our pricing mix between periods may 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supply chain disruptions, tariffs, inflation and monetary supply shifts, high interest rates, tightening of credit markets, political election cycles, changes in laws and interpretations of laws, changes in the volume and relative mix of U.S. government spending, cost-cutting and efficiency initiatives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demand for our platform, including those related to the seasonal nature of our customers’ spending on digital advertising campaigns;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pricing policies, the pricing policies of our competitors and the pricing or availability of inventory, data or other third-party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customer base and platform offerings;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addition or loss of advertising agencies and marketers as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advertising budget allocations, agency affiliations or marketing strategies;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to our channel mix (including, for example, changes in demand for CTV);</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and uncertainty in the regulatory and business environment for us or customers (for example, when Apple or Google change policies for their browsers and operating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economic prospects of marketers or the economy generally (due to pandemics, labor shortages, supply chain disruptions, tariffs, inflation and monetary supply shifts, high interest rates, tightening of credit markets, political election cycles, changes in laws and interpretations of laws, changes in the volume and relative mix of U.S. government spending, cost-cutting and efficiency initiatives and potential disruptions from international conflicts and acts of terrorism or otherwise), which could alter marketers’ spending priorities, or could increase the time or costs required to complete advertising inventory sales;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availability of advertising inventory or in the cost of reaching end consumers through digital advertising;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disruptions or outages on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introduction of new technologies or offerings by our competitors;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our capital expenditures as we acquire the hardware, equipment and other assets required to support our business;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timing differences between our payments for advertising inventory and our collection of related advertising revenue;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length and unpredictability of our sales cycle;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costs related to acquisitions of businesses or technologies, or employee recruiting;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shifting views and behaviors of consumers concerning use of data.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not be able to secure additional financing on favorable terms, or at all, to meet our future capital needs, which may in turn impair our growth.</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continue to grow our business and increase our offerings, our costs will increase, and we may not be able to generate sufficient revenue to sustain profitability and failure to manage growth effectively could cause our business to suffer.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develop our platform, including by investing in our engineering team, creating, acquiring or licensing new products or features, and improving the functionality, availability and security of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improve our technology infrastructure, including investing in internal technology development and acquiring outside technologies;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cover general and administrative expenses, including legal, accounting and other expenses necessary to support a larger organization;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cover sales and marketing expenses, including a significant expansion of our direct sales organization;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cover expenses relating to data collection and consumer privacy compliance, including additional infrastructure, automation and personnel;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explore strategic acquisitions.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the foregoing, however, may not yield anticipated returns. Consequently, as our costs increase, we may not be able to generate sufficient revenue to achieve or sustain profitability.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 party to a revolving credit agreement, which contains a number of covenants that may restrict our current and future operations and could adversely affect our ability to execute business needs.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asset-based revolving credit and security agreement (the "Amended Loan Agreement") with PNC Bank contains a number of covenants that limit our ability and our subsidiaries’ ability to, among other things, incur indebtedness, create liens, make investments, merge with or acquire other companies or the assets of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undrawn availability under the Amended Loan Agreement is less than 25%. We may not be able to generate sufficient cash flow or sales to meet the financial covenant or pay the principal or interest under the Amended Loan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comply with our payment requirements, or obtain a waiver from our lender if needed,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Seasonal fluctuations in advertising activity could have a material impact on our revenue, cash flow and operating results.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market price of our Class A common stock has been and may continue to be volatile or may decline regardless of our operating performance.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The market price of equity securities of technology companies, including the price of our own Class A common stock, has historically experienced high levels of volatility. </w:t>
      </w:r>
      <w:r>
        <w:rPr>
          <w:rFonts w:ascii="Times New Roman;sans-serif" w:hAnsi="Times New Roman;sans-serif"/>
          <w:b w:val="false"/>
          <w:color w:val="000000"/>
          <w:sz w:val="20"/>
          <w:shd w:fill="FFFFFF" w:val="clear"/>
        </w:rPr>
        <w:t xml:space="preserve">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w:t>
      </w:r>
      <w:r>
        <w:rPr>
          <w:rFonts w:ascii="Times New Roman;sans-serif" w:hAnsi="Times New Roman;sans-serif"/>
          <w:b w:val="false"/>
          <w:color w:val="000000"/>
          <w:sz w:val="20"/>
        </w:rPr>
        <w:t>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Sales of substantial blocks of our Class A common stock into the public market, or the perception that such sales might occur, could cause the market price of our Class A common stock to decline.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Sales of substantial blocks of our Class A common stock into the public market, or the perception that such sales might occur as a result of our utilization of our universal shelf registration statement or otherwise, in particular sales by our directors, officers or other affiliates, could cause the market price of our Class A common stock to decline and </w:t>
      </w:r>
      <w:r>
        <w:rPr>
          <w:rFonts w:ascii="Times New Roman;sans-serif" w:hAnsi="Times New Roman;sans-serif"/>
          <w:b w:val="false"/>
          <w:color w:val="000000"/>
          <w:sz w:val="20"/>
          <w:shd w:fill="FFFFFF" w:val="clear"/>
        </w:rPr>
        <w:t>could impair our ability to raise capital through the sale of additional equity securities.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a “controlled company” within the meaning of the listing standards of the Nasdaq Global Select Market (“Nasdaq”) and, as a result, qualify for, and rely on, exemptions from certain corporate governance requirements.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In addition, we are relying on a cure period for compliance with the requirement that we have an audit committee comprised of three independent directors. Accordingly, you may not have the same protections afforded to stockholders of companies that are subject to all of the corporate governance requirements of Nasdaq. We also cannot ensure that we will be able to come into compliance with the Nasdaq corporate governance standards on the timeline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Insiders have substantial control over our company, which could limit your ability to influence the outcome of key decisions, including a change of control.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Through their ownership of common stock, the Vanderhook Parties control approximately 70% of the voting power of our common stock in the election of directors as of December 31, 2024.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charter documents and Delaware law could discourage takeover attempts and other corporate governance changes.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permit the board of directors to establish the number of directors and fill any vacancies and newly created directorships;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provide that, after the Triggering Event, vacancies on our board of directors may be filled only by a majority of directors then in office, even though less than a quorum;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prohibit cumulative voting in the election of directors;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require super-majority voting to amend our certificate of incorporation and bylaws;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specify that special meetings of our stockholders can be called only by our board of directors, the chairman of our board of directors, or our chief executive officer with the concurrence of a majority of our board of directors;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prohibit stockholder action by written consent after the Triggering Event, which requires all stockholder actions to be taken at a meeting of our stockholders;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permit our board of directors to alter our bylaws without obtaining stockholder approval;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reflect the dual class structure of our common stock, as discussed above;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includes an exclusive forum clause, which could limit our stockholders’ ability to obtain a favorable judicial forum for disputes with 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duty or liability created by the Securities Act or the rules and regulations thereunder. This forum selection provision will not apply to claims brought to enforce a duty or liability created by the Exchange Act.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Purchases of shares of our Class A common stock or Class B units pursuant to our stock repurchase plan may affect the value of our Class A common stock, and there can be no assurance that our stock repurchase plan will enhance stockholder value.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2024, our board of directors approved a stock repurchase program pursuant to which we are authorized to repurchase up to $50 million of our Class A common stock or Class B units of Viant Technology LLC, including through open market purchases, in privately negotiated transactions, or by other means, including through the use of Rule 10b5-1 trading plans, each in accordance with applicable securities laws and other restrictions. The timing, amount, and manner of any repurchase will be determined at our discretion, subject to general market conditions, as well as the Company’s management of capital, general business conditions, other investment opportunities, regulatory requirements and other factors. Our repurchases could affect the trading price of our Class A common stock, increase trading price volatility, and reduce our cash reserves, and the program may be suspended or terminated at any time, which may result in a decrease in the trading prices of our Class A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a wide range of laws and regulations, many of which are evolving, and failure to comply with such laws and regulations could harm our business, financial condition, and results of operations.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New and changing laws, regulations, executive orders and enforcement priorities can also create uncertainty about how such laws and regulations will be interpreted and applied. Noncompliance with applicable laws, regulations or requirements could subject us to investigations, enforcement actions, sanctions, fines, damages, penalties, injunctions or termination of contracts. Any such matters could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Increasing attention to, and evolving expectations regarding, environmental, social, and governance (“ESG”) matters may impact our business and reputation.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Companies across industries are facing scrutiny from a variety of stakeholders related to their ESG and sustainability practices. Expectations regarding voluntary ESG initiatives and metrics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and continue to engage in voluntary initiatives (which may include voluntary disclosures, certifications, and/or goals, among others) to improve the ESG profile of the Company and/or our products, such initiatives may require considerable investments and may not have the desired effect. For example, our goals, including our annual carbon neutrality efforts, with all of their contingencies, dependencies, calculations, and in certain cases, reliance on third-party verification and/or performance, are complex and ambitious, and we may not achieve them, either according to specific standards or stakeholder expectations or at all. Moreover, actions or statements that we may take based on expectations, assumptions, methodologies, or data that we currently believe to be reasonable may subsequently be determined to be erroneous or be subject to misinterpretation. In addition, ESG initiatives may be particularly prone to errors or misinterpretation, as they often involve substantial discretion given there is no consensus on specific best practices and related standards and methodologies, all of which continue to evolve, and have in the past resulted in the need to correct the environmental attributes we have purchased in order to meet ESG commitments. While these discrepancies have not materially impacted our ESG strategy or financial performance, we cannot guarantee that other ESG-reporting errors will not occur in future or the ultimate impact such errors might have. If we fail to, or are perceived to fail to, comply with or advance certain ESG initiatives (including the timeline and manner in which we complete such initiatives) and/or align with evolving best practices, we may be subject to various adverse impacts, including reputational damage and potential stakeholder engagement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and/or litigation, even if such initiatives are currently voluntary. For example, there have been increasingly nuanced allegations of greenwashing against companies making significant ESG claims due to a variety of perceived deficiencies in disclosures, methodology, or performance, including as stakeholder perceptions of sustainability continue to evolve. Additionally, our current programs, reporting frameworks, and principles may not be in compliance with any new environmental and social laws and regulations, or novel interpretations of existing laws and regulations, that may be promulgated in the United States and elsewhere, and the costs of changing any of our current practices to comply with any new legal and regulatory requirements in the United States and elsewhere may be substantial.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there will likely be increasing levels of regulation, disclosure-related and otherwise, with respect to ESG matters. For example, various policymakers (including the SEC and State of California) have adopted, or are considering adopting, rules that would require significantly expanded actions or disclosures on climate or other ESG-related matters from companies. Although several of these rules have been challenged and/or stayed, such rules, if implemented, may require us to incur significant additional costs to comply. Such rules are not uniform, and may not be interpreted or enforced uniformly, which can increase compliance costs or associated risks.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industry and market practices may further develop to become even more robust than what is required under any new laws and regulations and may impose added costs on our business and could require us to make changes to our business or platform. ESG performance is monitored and rated by a variety of organizations, and unfavorable ratings may impact investor sentiment and negatively impact our share price as well as our access to and cost of capital. To the extent ESG matters negatively impact our reputation, it may also impede our ability to compete as effectively to attract and retain employees, customers, or business partners, which may adversely impact our operations. Simultaneously, there are efforts by some stakeholders and policymakers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Any such matters could have a material adverse effect on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Reduced reporting and disclosure requirements applicable to us as an emerging growth company and a smaller reporting company could make our Class A common stock less attractive to investors.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until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 </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We are also a "smaller reporting company" as defined in the Exchange Act. We may take advantage of certain of the scaled disclosures available to smaller reporting companies as long as we qualify under this category, even after we are no longer an EGC, </w:t>
      </w:r>
      <w:r>
        <w:rPr>
          <w:rFonts w:ascii="Times New Roman;sans-serif" w:hAnsi="Times New Roman;sans-serif"/>
          <w:b w:val="false"/>
          <w:color w:val="000000"/>
          <w:sz w:val="20"/>
        </w:rPr>
        <w:t>including reduced disclosure obligations regarding executive compensation in our periodic reports and proxy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reduced reporting and disclosure requirements applicable to us as an emerging growth company and a smaller reporting company could make our Class A common stock less attractive to investors.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 over financial reporting. We have expended, and anticipate that we will continue to expend, significant resources in order to maintain and improve the effectiveness of our disclosure controls and procedures and internal control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independent registered public accounting firm is not required to audit the effectiveness of our internal control over financial reporting until after we are no longer an EGC and do not then qualify as a non-accelerated filer.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maintain effective disclosure controls and internal control over financial reporting could have a material and adverse effect on our business and operating results and cause a decline in the market price of our Class A common stock.</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reports about our business or publish inaccurate or unfavorable research reports about our business, our share price and trading volume could decline.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partially depends on the research and reports that securities or industry analysts publish about us or our business. We do not have any control over these analysts.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1B. Unresolved Staff Comments.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1C. Cybersecurity.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Risk Management and Strategy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design and assess our program based on the CIS Critical Security Controls Version 8 ("CIS"). This does not imply that we meet any particular technical standards, specifications, or requirements, only that we use CIS as a guide to help us identify, assess, and manage cybersecurity risks relevant to our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has its own governance channel and processes for monitoring and reporting risks. The current enterprise risk management framework is tailored to address risks around governance, process, technology, financial reporting, and fraud which could impact our financial statements. An enterprise effort to expand and integrate risks across all channels is underway.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cybersecurity risk management program includes the following: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risk assessments designed to help identify material cybersecurity risks to our critical systems, information, products, services, and our broader enterprise IT environment;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use of external service providers, where appropriate, to assess, test or otherwise assist with aspects of our security controls;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cybersecurity awareness training of our employees, incident response personnel, and senior management;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cybersecurity incident response plan that includes procedures for responding to cybersecurity incidents;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third-party risk management process for significant service providers, suppliers, and vendors.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Cybersecurity Governance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(the "Board") considers cybersecurity risk as part of its risk oversight function. While delegated to the Audit Committee, the Board directly oversees management’s implementation of our cybersecurity risk management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Board receives regular reports from management on our cybersecurity risks. In addition, management updates the Board, as necessary, regarding any material cybersecurity incidents, as well as any incidents with lesser impact potential. Board members receive presentations on cybersecurity topics from our Chief Information Officer ("CIO").</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team, including our CIO, is responsible for assessing and managing our material risks from cybersecurity threats. Our CIO has primary responsibility for our overall cybersecurity risk management program and supervises both our internal cybersecurity personnel and our retained external cybersecurity consultants. Our CIO's experience includes over twenty (20) years of design, implementation and management of cyber-security programs at various levels and organizations.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headquarters are located in Irvine, California, where we occupy facilities totaling approximately 56,000 square feet under a lease. We currently lease 10 other office spaces across the United States, and we do not own any real property. We believe that our current facilities are adequate to meet our current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Information About Our Directors &amp; Executive Officers.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information with respect to the Board and executive officers is presented as of March 3, 2025:</w:t>
      </w:r>
    </w:p>
    <w:p>
      <w:pPr>
        <w:pStyle w:val="TextBody"/>
        <w:bidi w:val="0"/>
        <w:spacing w:before="120" w:after="283"/>
        <w:ind w:left="0" w:right="0" w:firstLine="54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8"/>
        <w:gridCol w:w="422"/>
        <w:gridCol w:w="109"/>
        <w:gridCol w:w="109"/>
        <w:gridCol w:w="109"/>
        <w:gridCol w:w="145"/>
        <w:gridCol w:w="145"/>
        <w:gridCol w:w="146"/>
        <w:gridCol w:w="109"/>
        <w:gridCol w:w="109"/>
        <w:gridCol w:w="109"/>
        <w:gridCol w:w="649"/>
        <w:gridCol w:w="649"/>
        <w:gridCol w:w="651"/>
        <w:gridCol w:w="109"/>
        <w:gridCol w:w="109"/>
        <w:gridCol w:w="109"/>
        <w:gridCol w:w="1617"/>
        <w:gridCol w:w="1617"/>
        <w:gridCol w:w="2289"/>
      </w:tblGrid>
      <w:tr>
        <w:trPr/>
        <w:tc>
          <w:tcPr>
            <w:tcW w:w="47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Position at Viant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Principal Employment</w:t>
            </w:r>
          </w:p>
        </w:tc>
      </w:tr>
      <w:tr>
        <w:trPr/>
        <w:tc>
          <w:tcPr>
            <w:tcW w:w="1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Tim Vanderhook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Same</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 Vanderhook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Same</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Larry Madden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Same</w:t>
            </w:r>
          </w:p>
        </w:tc>
      </w:tr>
      <w:tr>
        <w:trPr/>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Max Valdes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Financial Officer and Executive Vice President of First American Financial Corporation (NYSE: FAF), a financial services company.</w:t>
            </w:r>
          </w:p>
        </w:tc>
      </w:tr>
      <w:tr>
        <w:trPr/>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Vivian Yang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Former Chief Legal Officer of The Trade Desk, Inc. (Nasdaq: TTD), a provider of a global technology platform for buyers of advertising.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been listed on Nasdaq under the symbol “DSP” since February 10, 2021. There is no market for our Class B common stock. Each share of Class B common stock has no economic rights but entitles its holders to one vote on all matters to be voted on by our stockholders generally.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As of February 28, 2025, there was one holder of record of our Class A common stock and four holders of record of our Class B common stock. </w:t>
      </w:r>
      <w:r>
        <w:rPr>
          <w:rFonts w:ascii="Times New Roman;sans-serif" w:hAnsi="Times New Roman;sans-serif"/>
          <w:b w:val="false"/>
          <w:color w:val="000000"/>
          <w:sz w:val="20"/>
          <w:shd w:fill="FFFFFF" w:val="clear"/>
        </w:rPr>
        <w:t>Because many of our shares of Class A common stock are held by brokers and other institutions on behalf of stockholders, we are unable to estimate the total number of stockholders represented by these record holders.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capital stock and have no present intention to pay cash dividends on our capital stock. Any determination to pay dividends to holders of our capital stock will be at the discretion of our board of directors and will depend upon many factors, including our financial condition, results of operations, projections, liquidity, earnings, legal requirements, restrictions in our existing and any future debt, including pursuant to the Amended Loan Agreement with PNC Bank, and other factors that our board of directors deems relevant.</w:t>
      </w:r>
    </w:p>
    <w:p>
      <w:pPr>
        <w:pStyle w:val="TextBody"/>
        <w:bidi w:val="0"/>
        <w:spacing w:lineRule="auto" w:line="288" w:before="24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Purchases of Equity Securities by the Issuer and Affiliated Purchasers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In April 2024, our board of directors approved a stock repurchase program with authorization to purchase up to $50.0 million of our Class A common stock or Class B units of Viant Technology LLC. </w:t>
      </w:r>
      <w:r>
        <w:rPr>
          <w:rFonts w:ascii="Times New Roman;sans-serif" w:hAnsi="Times New Roman;sans-serif"/>
          <w:b w:val="false"/>
          <w:color w:val="000000"/>
          <w:sz w:val="20"/>
        </w:rPr>
        <w:t>For additional information related to share repurchases, refer to Note 9—Stockholders' Equity to our consolidated financial statements included elsewhere in this Annual Report.</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In addition to shares repurchased under the stock repurchase program, during the year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we repurchased shares of Class A common stock in connection with the vesting of restricted stock units to provide the holders of such restricted units with cash to satisfy the estimated taxes incidental to the vesting of the related awards.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shares repurchased during the periods presented:</w:t>
      </w:r>
    </w:p>
    <w:tbl>
      <w:tblPr>
        <w:tblW w:w="10205" w:type="dxa"/>
        <w:jc w:val="left"/>
        <w:tblInd w:w="0" w:type="dxa"/>
        <w:tblLayout w:type="fixed"/>
        <w:tblCellMar>
          <w:top w:w="28" w:type="dxa"/>
          <w:left w:w="28" w:type="dxa"/>
          <w:bottom w:w="28" w:type="dxa"/>
          <w:right w:w="28" w:type="dxa"/>
        </w:tblCellMar>
      </w:tblPr>
      <w:tblGrid>
        <w:gridCol w:w="256"/>
        <w:gridCol w:w="224"/>
        <w:gridCol w:w="226"/>
        <w:gridCol w:w="109"/>
        <w:gridCol w:w="109"/>
        <w:gridCol w:w="109"/>
        <w:gridCol w:w="552"/>
        <w:gridCol w:w="357"/>
        <w:gridCol w:w="358"/>
        <w:gridCol w:w="109"/>
        <w:gridCol w:w="109"/>
        <w:gridCol w:w="109"/>
        <w:gridCol w:w="356"/>
        <w:gridCol w:w="356"/>
        <w:gridCol w:w="357"/>
        <w:gridCol w:w="109"/>
        <w:gridCol w:w="109"/>
        <w:gridCol w:w="109"/>
        <w:gridCol w:w="239"/>
        <w:gridCol w:w="699"/>
        <w:gridCol w:w="123"/>
        <w:gridCol w:w="109"/>
        <w:gridCol w:w="109"/>
        <w:gridCol w:w="109"/>
        <w:gridCol w:w="261"/>
        <w:gridCol w:w="504"/>
        <w:gridCol w:w="137"/>
        <w:gridCol w:w="109"/>
        <w:gridCol w:w="109"/>
        <w:gridCol w:w="109"/>
        <w:gridCol w:w="575"/>
        <w:gridCol w:w="456"/>
        <w:gridCol w:w="457"/>
        <w:gridCol w:w="109"/>
        <w:gridCol w:w="109"/>
        <w:gridCol w:w="109"/>
        <w:gridCol w:w="337"/>
        <w:gridCol w:w="1155"/>
        <w:gridCol w:w="258"/>
      </w:tblGrid>
      <w:tr>
        <w:trPr/>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Class A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Class B 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Price Paid per Class A Share</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Paid per Class B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Number (or Approximate Dollar Value) of Shares that May Yet Be Purchased Under the Plans or Programs (in thousands)</w:t>
            </w:r>
          </w:p>
        </w:tc>
      </w:tr>
      <w:tr>
        <w:trPr/>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10/1/24 to 10/31/24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195,831 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195,831 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11/1/24 to 11/30/24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55,505 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55,505 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12/1/24 to 12/31/24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395,331 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378,059 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646,667 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629,395 </w:t>
            </w:r>
          </w:p>
        </w:tc>
        <w:tc>
          <w:tcPr>
            <w:tcW w:w="4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(1)For shares of Class A common stock repurchased under the publicly announced stock repurchase program, average price paid per share includes costs associated with such repurchases.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The following Management’s Discussion and Analysis of Financial Condition and Results of Operations of Viant Technology Inc. and its subsidiaries (“Viant,” “we,” “us,” “our” or the “Company”) should be read in conjunction with, and is qualified in its entirety by reference to, our consolidated financial statements and the related notes included within this Annual Report on Form 10-K ("Annual Report").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 </w:t>
      </w:r>
      <w:r>
        <w:rPr>
          <w:color w:val="000000"/>
        </w:rPr>
        <w:t>“</w:t>
      </w:r>
      <w:r>
        <w:rPr>
          <w:rFonts w:ascii="Times New Roman;sans-serif" w:hAnsi="Times New Roman;sans-serif"/>
          <w:b w:val="false"/>
          <w:color w:val="000000"/>
          <w:sz w:val="20"/>
        </w:rPr>
        <w:t>Special Note Regarding</w:t>
      </w:r>
      <w:r>
        <w:rPr>
          <w:color w:val="000000"/>
        </w:rPr>
        <w:t xml:space="preserve"> </w:t>
      </w:r>
      <w:r>
        <w:rPr>
          <w:rFonts w:ascii="Times New Roman;sans-serif" w:hAnsi="Times New Roman;sans-serif"/>
          <w:b w:val="false"/>
          <w:color w:val="000000"/>
          <w:sz w:val="20"/>
        </w:rPr>
        <w:t>Forward-Looking Statements</w:t>
      </w:r>
      <w:r>
        <w:rPr>
          <w:color w:val="000000"/>
        </w:rPr>
        <w:t xml:space="preserve">” </w:t>
      </w:r>
      <w:r>
        <w:rPr>
          <w:rFonts w:ascii="Times New Roman;sans-serif" w:hAnsi="Times New Roman;sans-serif"/>
          <w:b w:val="false"/>
          <w:i/>
          <w:color w:val="000000"/>
          <w:sz w:val="20"/>
        </w:rPr>
        <w:t>and “</w:t>
      </w:r>
      <w:r>
        <w:rPr>
          <w:rFonts w:ascii="Times New Roman;sans-serif" w:hAnsi="Times New Roman;sans-serif"/>
          <w:b w:val="false"/>
          <w:color w:val="000000"/>
          <w:sz w:val="20"/>
        </w:rPr>
        <w:t>Risk Factors</w:t>
      </w:r>
      <w:r>
        <w:rPr>
          <w:color w:val="000000"/>
        </w:rPr>
        <w:t xml:space="preserve">” </w:t>
      </w:r>
      <w:r>
        <w:rPr>
          <w:rFonts w:ascii="Times New Roman;sans-serif" w:hAnsi="Times New Roman;sans-serif"/>
          <w:b w:val="false"/>
          <w:i/>
          <w:color w:val="000000"/>
          <w:sz w:val="20"/>
        </w:rPr>
        <w:t>and discussed elsewhere in this Annual Report. Additionally, our historical results are not necessarily indicative of the results that may be expected for any period in the future.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shd w:fill="FFFFFF" w:val="clear"/>
        </w:rPr>
        <w:t xml:space="preserve">The following discusses our financial condition and results of operations for our fiscal year ended December 31, 2024 compared to our fiscal year ended December 31, 2023 as well as </w:t>
      </w:r>
      <w:r>
        <w:rPr>
          <w:rFonts w:ascii="Times New Roman;sans-serif" w:hAnsi="Times New Roman;sans-serif"/>
          <w:b w:val="false"/>
          <w:i/>
          <w:color w:val="000000"/>
          <w:sz w:val="20"/>
        </w:rPr>
        <w:t xml:space="preserve">discussions of our financial condition and results of operations for our fiscal year ended </w:t>
      </w:r>
      <w:r>
        <w:rPr>
          <w:rFonts w:ascii="Times New Roman;sans-serif" w:hAnsi="Times New Roman;sans-serif"/>
          <w:b w:val="false"/>
          <w:i/>
          <w:color w:val="000000"/>
          <w:sz w:val="20"/>
          <w:shd w:fill="FFFFFF" w:val="clear"/>
        </w:rPr>
        <w:t>December 31, 2023</w:t>
      </w:r>
      <w:r>
        <w:rPr>
          <w:color w:val="000000"/>
        </w:rPr>
        <w:t xml:space="preserve"> </w:t>
      </w:r>
      <w:r>
        <w:rPr>
          <w:rFonts w:ascii="Times New Roman;sans-serif" w:hAnsi="Times New Roman;sans-serif"/>
          <w:b w:val="false"/>
          <w:i/>
          <w:color w:val="000000"/>
          <w:sz w:val="20"/>
        </w:rPr>
        <w:t>compared to our fiscal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DSP is used by marketers and their advertising agencies to centralize the planning, buying and measurement of their digital advertising across most channels. Through our omni-channel platform, a marketer can easily buy ads on connected TV ("CTV"), streaming audio, digital out-of-home, mobile and desktop.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Household ID ("HHID")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("ROAS") across channels, a feature we believe helps us grow our customer base as more customers recognize its benefits.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generate revenue by charging </w:t>
      </w:r>
      <w:r>
        <w:rPr>
          <w:rFonts w:ascii="Times New Roman;sans-serif" w:hAnsi="Times New Roman;sans-serif"/>
          <w:b w:val="false"/>
          <w:color w:val="000000"/>
          <w:sz w:val="20"/>
          <w:shd w:fill="FFFFFF" w:val="clear"/>
        </w:rPr>
        <w:t xml:space="preserve">platform fees and service fees pursuant to agreements that enable a wide variety of marketers and their agencies to select the mix of pricing and service options that suits their unique business and </w:t>
      </w:r>
      <w:r>
        <w:rPr>
          <w:rFonts w:ascii="Times New Roman;sans-serif" w:hAnsi="Times New Roman;sans-serif"/>
          <w:b w:val="false"/>
          <w:color w:val="000000"/>
          <w:sz w:val="20"/>
        </w:rPr>
        <w:t>advertising budget</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sans-serif" w:hAnsi="Times New Roman;sans-serif"/>
          <w:b w:val="false"/>
          <w:color w:val="000000"/>
          <w:sz w:val="20"/>
          <w:shd w:fill="FFFFFF" w:val="clear"/>
        </w:rPr>
        <w:t>percentage of spend. Customers who prefer to use our fixed CPM pricing option enter into insertion order (“IO”) arrangements with us,</w:t>
      </w:r>
      <w:r>
        <w:rPr>
          <w:color w:val="000000"/>
        </w:rPr>
        <w:t xml:space="preserve"> </w:t>
      </w:r>
      <w:r>
        <w:rPr>
          <w:rFonts w:ascii="Times New Roman;sans-serif" w:hAnsi="Times New Roman;sans-serif"/>
          <w:b w:val="false"/>
          <w:color w:val="000000"/>
          <w:sz w:val="20"/>
        </w:rPr>
        <w:t xml:space="preserve">and we generate revenue by charging these customers a platform fee at a price for every 1,000 impressions an ad 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 consisting of (1) a fee that represents a percentage of spend; (2) a flat monthly fee; or (3) a fixed CPM.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offering a mix of pricing and service options provides greater flexibility and access to our platform for marketers and their advertising agencies seeking to plan, buy and measure programmatic campaigns.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results for the fiscal years ended December 31, 2024 and 2023, respectively,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Revenue of $289.2 million and $222.9 million, representing an increase of 29.7%;</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Gross profit of $132.1 million and $102.5 million, representing an increase of 28.9%;</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Contribution ex-TAC</w:t>
      </w:r>
      <w:r>
        <w:rPr>
          <w:rFonts w:ascii="Times New Roman;sans-serif" w:hAnsi="Times New Roman;sans-serif"/>
          <w:b w:val="false"/>
          <w:color w:val="231F20"/>
          <w:sz w:val="13"/>
        </w:rPr>
        <w:t xml:space="preserve">(1) </w:t>
      </w:r>
      <w:r>
        <w:rPr>
          <w:rFonts w:ascii="Times New Roman;sans-serif" w:hAnsi="Times New Roman;sans-serif"/>
          <w:b w:val="false"/>
          <w:color w:val="000000"/>
          <w:sz w:val="20"/>
        </w:rPr>
        <w:t>of $177.4 million and $143.4 million, representing an increase of 23.7%;</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Net income (loss) of $12.5 million and $(9.9) million, representing an improvement of 225.2%;</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Non-GAAP net income</w:t>
      </w:r>
      <w:r>
        <w:rPr>
          <w:rFonts w:ascii="Times New Roman;sans-serif" w:hAnsi="Times New Roman;sans-serif"/>
          <w:b w:val="false"/>
          <w:color w:val="231F20"/>
          <w:sz w:val="13"/>
        </w:rPr>
        <w:t>(1)</w:t>
      </w:r>
      <w:r>
        <w:rPr>
          <w:color w:val="000000"/>
        </w:rPr>
        <w:t xml:space="preserve"> </w:t>
      </w:r>
      <w:r>
        <w:rPr>
          <w:rFonts w:ascii="Times New Roman;sans-serif" w:hAnsi="Times New Roman;sans-serif"/>
          <w:b w:val="false"/>
          <w:color w:val="000000"/>
          <w:sz w:val="20"/>
        </w:rPr>
        <w:t>of $34.7 million and $21.7 million, representing an increase of 59.4%;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Adjusted EBITDA</w:t>
      </w:r>
      <w:r>
        <w:rPr>
          <w:rFonts w:ascii="Times New Roman;sans-serif" w:hAnsi="Times New Roman;sans-serif"/>
          <w:b w:val="false"/>
          <w:color w:val="231F20"/>
          <w:sz w:val="13"/>
        </w:rPr>
        <w:t>(1)</w:t>
      </w:r>
      <w:r>
        <w:rPr>
          <w:color w:val="000000"/>
        </w:rPr>
        <w:t xml:space="preserve"> </w:t>
      </w:r>
      <w:r>
        <w:rPr>
          <w:rFonts w:ascii="Times New Roman;sans-serif" w:hAnsi="Times New Roman;sans-serif"/>
          <w:b w:val="false"/>
          <w:color w:val="000000"/>
          <w:sz w:val="20"/>
        </w:rPr>
        <w:t>of $44.4 million and $29.1 million, representing an increase of 52.7%.</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(1)Contribution ex-TAC, non-GAAP net income and adjusted EBITDA are non-GAAP financial measures. For a detailed discussion of our key operating and financial performance measures and a reconciliation of contribution ex-TAC,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80" w:after="283"/>
        <w:jc w:val="left"/>
        <w:rPr/>
      </w:pPr>
      <w:r>
        <w:rPr>
          <w:rFonts w:ascii="Times New Roman;sans-serif" w:hAnsi="Times New Roman;sans-serif"/>
          <w:b w:val="false"/>
          <w:color w:val="000000"/>
          <w:sz w:val="20"/>
        </w:rPr>
        <w:t>GAAP net income and adjusted EBITDA to the most directly comparable financial measures calculated in accordance with generally accepted accounting principles in the United States of America ("GAAP"), see “</w:t>
      </w:r>
      <w:r>
        <w:rPr>
          <w:color w:val="000000"/>
        </w:rPr>
        <w:t>—</w:t>
      </w:r>
      <w:r>
        <w:rPr>
          <w:rFonts w:ascii="Times New Roman;sans-serif" w:hAnsi="Times New Roman;sans-serif"/>
          <w:b w:val="false"/>
          <w:i/>
          <w:color w:val="000000"/>
          <w:sz w:val="20"/>
        </w:rPr>
        <w:t>Key Operating and Financial Performance Measures—Use of Non-GAAP Financial Measures.</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Attract, Retain and Grow our Customer Base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growth depends on our ability to enhance and improve our offerings and platform to increase our customers' usage of our platform and add new customers. We believe many advertisers are in the early stages of moving a greater percentage of their advertising budgets to programmatic channels. By providing solutions for the planning, buying and measuring of their media spend across most channels, we believe we are well positioned to capture more of 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We expect ViantAI to accelerate market share gains and expand our total addressable market. Further, we intend to continue to grow our sales and marketing efforts to increase awareness of our DSP and highlight the advantages of our HHID and strategic partner data as a superior option to cookie-based targeting.</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that we charge customers. For the year ended December 31, 2024 compared to the year ended December 31, 2023, our revenue grew 29.7%. We believe growing customer adoption of our newer products and platform features continued to drive incremental revenue, gross profit and contribution ex-TAC during the year. For a detailed discussion of our key operating measures, see “</w:t>
      </w:r>
      <w:r>
        <w:rPr>
          <w:color w:val="000000"/>
        </w:rPr>
        <w:t>—</w:t>
      </w:r>
      <w:r>
        <w:rPr>
          <w:rFonts w:ascii="Times New Roman;sans-serif" w:hAnsi="Times New Roman;sans-serif"/>
          <w:b w:val="false"/>
          <w:i/>
          <w:color w:val="000000"/>
          <w:sz w:val="20"/>
        </w:rPr>
        <w:t>Key Operating and Financial Performance Measures—Use of Non-GAAP Financial Measures.</w:t>
      </w:r>
      <w:r>
        <w:rPr>
          <w:color w:val="00000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Investment in Growth</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advertising market is in the early stages of a shift toward programmatic advertising. We plan to invest for long-term growth. We anticipate that our operating expenses will continue to increase over the long-term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Impact of Macroeconomic and Geopolitical Conditions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Macroeconomic conditions and geopolitical events, such as pandemics, inflation, high interest rates, tariffs, tightening of credit markets, recession risks, labor shortages, supply chain disruptions, political election cycles, changes in laws and interpretations of laws, changes in the volume and relative mix of U.S. government spending, cost-cutting and efficiency initiatives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clients,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we initiated a cost reduction plan aimed at reducing our operating expenses and sharpening our focus on key growth priorities in light of macroeconomic conditions. This included a reduction of our employee headcount by approximately 13% resulting in restructuring charges of $1.4 million for the year ended December 31, 2022, consisting primarily of cash severance payments, employee benefits and related costs.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Growth of the Digital Advertising Market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and related revenue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one primary business activity and operate in a single operating and reportable segment.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by providing marketers and their advertising agencies with the ability to plan, buy and measure their digital advertising campaigns using our DSP. We charge platform fees and service fees pursuant to agreements with our customers that enable them to select their preferred mix of pricing and service options.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generate platform fees pursuant to MSAs, which allow customers to use our platform on a self-service basis in connection with our percentage of spend pricing option, and IOs, where we charge customers a platform fee at a price for every 1,000 impressions an ad receives in connection with the fixed CPM pricing option. We also generate </w:t>
      </w:r>
      <w:r>
        <w:rPr>
          <w:rFonts w:ascii="Times New Roman;sans-serif" w:hAnsi="Times New Roman;sans-serif"/>
          <w:b w:val="false"/>
          <w:color w:val="231F20"/>
          <w:sz w:val="20"/>
        </w:rPr>
        <w:t>service</w:t>
      </w:r>
      <w:r>
        <w:rPr>
          <w:color w:val="000000"/>
        </w:rPr>
        <w:t xml:space="preserve"> </w:t>
      </w:r>
      <w:r>
        <w:rPr>
          <w:rFonts w:ascii="Times New Roman;sans-serif" w:hAnsi="Times New Roman;sans-serif"/>
          <w:b w:val="false"/>
          <w:color w:val="000000"/>
          <w:sz w:val="20"/>
        </w:rPr>
        <w:t xml:space="preserve">fees pursuant to MSAs and IOs for </w:t>
      </w:r>
      <w:r>
        <w:rPr>
          <w:rFonts w:ascii="Times New Roman;sans-serif" w:hAnsi="Times New Roman;sans-serif"/>
          <w:b w:val="false"/>
          <w:color w:val="231F20"/>
          <w:sz w:val="20"/>
        </w:rPr>
        <w:t>data management, media execution and advanced reporting</w:t>
      </w:r>
      <w:r>
        <w:rPr>
          <w:color w:val="000000"/>
        </w:rPr>
        <w:t xml:space="preserve"> </w:t>
      </w:r>
      <w:r>
        <w:rPr>
          <w:rFonts w:ascii="Times New Roman;sans-serif" w:hAnsi="Times New Roman;sans-serif"/>
          <w:b w:val="false"/>
          <w:color w:val="000000"/>
          <w:sz w:val="20"/>
        </w:rPr>
        <w:t>service options that are available to customers under our percentage of spend and fixed CPM pricing options.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recognize revenue when we transfer control of promised services directly to our customers in an amount that reflects the consideration to which we expect to be entitled in exchange for those services. For the percentage of spend pricing option, we recognize platform fees as revenue at the point in time when a purchase by the customer occurs through our platform. Revenue is generally reported net of amounts incurred and payable to suppliers for the cost of advertising media, third-party data and other add-on features (collectively, “traffic acquisition costs” or “TAC”) since we arrange for the transfer of TAC from the supplier to the customer through the use of our platform and do not control such features prior to transfer to the customer. </w:t>
      </w:r>
      <w:r>
        <w:rPr>
          <w:rFonts w:ascii="Times New Roman;sans-serif" w:hAnsi="Times New Roman;sans-serif"/>
          <w:b w:val="false"/>
          <w:color w:val="000000"/>
          <w:sz w:val="20"/>
          <w:shd w:fill="FFFFFF" w:val="clear"/>
        </w:rPr>
        <w:t>In certain percentage of spend arrangements, revenue is reported on a gross basis because we control the advertising inventory before it is transferred to our customers.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fixed CPM pricing option, we recognize platform fees as revenue at the point in time when the advertising impressions are delivered to the customer. This revenue is reported gross of any amounts incurred and payable to suppliers for TAC, since we control such features prior to transfer to the customer.</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See “</w:t>
      </w:r>
      <w:r>
        <w:rPr>
          <w:rFonts w:ascii="Times New Roman;sans-serif" w:hAnsi="Times New Roman;sans-serif"/>
          <w:b w:val="false"/>
          <w:i/>
          <w:color w:val="000000"/>
          <w:sz w:val="20"/>
        </w:rPr>
        <w:t>Critical Accounting Policies and Estimates—Revenue Recognition</w:t>
      </w:r>
      <w:r>
        <w:rPr>
          <w:color w:val="000000"/>
        </w:rPr>
        <w:t xml:space="preserve">” </w:t>
      </w:r>
      <w:r>
        <w:rPr>
          <w:rFonts w:ascii="Times New Roman;sans-serif" w:hAnsi="Times New Roman;sans-serif"/>
          <w:b w:val="false"/>
          <w:color w:val="000000"/>
          <w:sz w:val="20"/>
        </w:rPr>
        <w:t>for a description of our revenue recognition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operating expenses into the following four categories. Each expense category includes overhead such as rent and occupancy charges, which is allocated based on headcount. </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Platform Operations</w:t>
      </w:r>
      <w:r>
        <w:rPr>
          <w:rFonts w:ascii="Times New Roman;sans-serif" w:hAnsi="Times New Roman;sans-serif"/>
          <w:b w:val="false"/>
          <w:color w:val="000000"/>
          <w:sz w:val="20"/>
        </w:rPr>
        <w:t>. Platform operations expense represents our cost of revenues, which consists of TAC, hosting costs, personnel costs, depreciation of capitalized software development costs related to our platform, customer support costs and allocated overhead. TAC recorded in platform operations consist of amounts incurred and payable to suppliers for costs associated with our fixed CPM pricing option and certain arrangements related to our percentage of spend pricing option. Personnel costs within platform operations include salaries, bonuses, stock-based compensation and employee benefit costs primarily attributable to personnel who directly support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TAC, many of the costs included in platform operations expense do not increase or decrease proportionately with increases or decreases in our revenue. We expect platform operations expenses to increase in future periods, primarily as a result of depreciation of capitalized software development costs, hosting costs and personnel costs as we continue to invest in the development of our platform to add new features and functions, increase the number of advertising media and data suppliers, ramp up the volume of advertising spend on our platform resulting in increased volumes of transactions, and hire additional personnel to support our customers.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xml:space="preserve">. Sales and marketing expense consists primarily of personnel costs, including salaries, bonuses, stock-based compensation, employee benefit costs and commissions for our sales personnel. Sales and marketing expense also includes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market development programs, advertising, promotional and other marketing activities and allocated overhead. Commissions are expensed as incurred.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sales and marketing organization focuses on marketing our platform to increase its adoption by existing and new customers. As a result, we expect sales and marketing expenses to increase in future periods as we increase our sales and marketing team and our focus on market development programs. Sales and marketing expense as a percentage of revenue may fluctuate from period to period based on revenue levels and the timing of our investments in our sales and marketing functions as these investments may vary in scope and scale over time.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Technology and Development</w:t>
      </w:r>
      <w:r>
        <w:rPr>
          <w:rFonts w:ascii="Times New Roman;sans-serif" w:hAnsi="Times New Roman;sans-serif"/>
          <w:b w:val="false"/>
          <w:color w:val="000000"/>
          <w:sz w:val="20"/>
        </w:rPr>
        <w:t>. Technology and development expense consists primarily of personnel costs, including salaries, bonuses, stock-based compensation and employee benefit costs associated with the ongoing development and maintenance of our platform and allocated overhead. Technology and development costs are expensed as incurred, except to the extent that such costs are associated with software development that qualifies for capitalization, which are then recorded as capitalized software included in "Property, equipment, and software, net", on the consolidated balance sheets. We record depreciation for capitalized software development costs not related to our platform within technology and development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continued investment in our platform is critical to attaining our strategic objectives and long-term growth. We therefore expect technology and development expense to increase as we continue to invest in the development of our platform to support and maintain additional features and functions, increase the number of advertising media and data suppliers, and ramp up the volume of advertising spend on our platform.</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General and administrative expense consists primarily of personnel costs, including salaries, bonuses, stock-based compensation and employee benefit costs associated with our executive, accounting, finance, legal, human resources and other administrative personnel. Additionally, this includes accounting, legal and other professional services fees, business insurance expense, bad debt expense and allocated overhead.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Total Other Expense (Income), Net</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Interest expense (income), net</w:t>
      </w:r>
      <w:r>
        <w:rPr>
          <w:rFonts w:ascii="Times New Roman;sans-serif" w:hAnsi="Times New Roman;sans-serif"/>
          <w:b w:val="false"/>
          <w:color w:val="000000"/>
          <w:sz w:val="20"/>
        </w:rPr>
        <w:t>. Interest expense (income), net primarily consists of interest income on our cash and cash equivalents and interest expense on our long-term debt and revolving credit facility under the Amended Loan Agreement (as defined below) with PNC Bank.</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Other expense, net</w:t>
      </w:r>
      <w:r>
        <w:rPr>
          <w:rFonts w:ascii="Times New Roman;sans-serif" w:hAnsi="Times New Roman;sans-serif"/>
          <w:b w:val="false"/>
          <w:color w:val="000000"/>
          <w:sz w:val="20"/>
        </w:rPr>
        <w:t xml:space="preserve">. Other expense, net primarily consists of miscellaneous expenses not attributable to operations and foreign currency exchange gains and losses.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consolidated results of operations, our consolidated results of operations as a percentage of revenue, and the impact of stock-based compensation, depreciation and amortization on each operating expense line item for the fiscal years ended December 31, 2024 and 2023:</w:t>
      </w:r>
    </w:p>
    <w:tbl>
      <w:tblPr>
        <w:tblW w:w="7854" w:type="dxa"/>
        <w:jc w:val="center"/>
        <w:tblInd w:w="0" w:type="dxa"/>
        <w:tblLayout w:type="fixed"/>
        <w:tblCellMar>
          <w:top w:w="28" w:type="dxa"/>
          <w:left w:w="28" w:type="dxa"/>
          <w:bottom w:w="28" w:type="dxa"/>
          <w:right w:w="28" w:type="dxa"/>
        </w:tblCellMar>
      </w:tblPr>
      <w:tblGrid>
        <w:gridCol w:w="1880"/>
        <w:gridCol w:w="1653"/>
        <w:gridCol w:w="1657"/>
        <w:gridCol w:w="211"/>
        <w:gridCol w:w="826"/>
        <w:gridCol w:w="109"/>
        <w:gridCol w:w="109"/>
        <w:gridCol w:w="109"/>
        <w:gridCol w:w="109"/>
        <w:gridCol w:w="211"/>
        <w:gridCol w:w="826"/>
        <w:gridCol w:w="154"/>
      </w:tblGrid>
      <w:tr>
        <w:trPr/>
        <w:tc>
          <w:tcPr>
            <w:tcW w:w="188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15" w:type="dxa"/>
        <w:jc w:val="center"/>
        <w:tblInd w:w="0" w:type="dxa"/>
        <w:tblLayout w:type="fixed"/>
        <w:tblCellMar>
          <w:top w:w="28" w:type="dxa"/>
          <w:left w:w="28" w:type="dxa"/>
          <w:bottom w:w="28" w:type="dxa"/>
          <w:right w:w="28" w:type="dxa"/>
        </w:tblCellMar>
      </w:tblPr>
      <w:tblGrid>
        <w:gridCol w:w="1880"/>
        <w:gridCol w:w="1653"/>
        <w:gridCol w:w="1657"/>
        <w:gridCol w:w="266"/>
        <w:gridCol w:w="200"/>
        <w:gridCol w:w="472"/>
        <w:gridCol w:w="190"/>
        <w:gridCol w:w="190"/>
        <w:gridCol w:w="190"/>
        <w:gridCol w:w="266"/>
        <w:gridCol w:w="200"/>
        <w:gridCol w:w="551"/>
      </w:tblGrid>
      <w:tr>
        <w:trPr/>
        <w:tc>
          <w:tcPr>
            <w:tcW w:w="1880"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of revenue*)</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w:t>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20"/>
        <w:jc w:val="left"/>
        <w:rPr/>
      </w:pPr>
      <w:r>
        <w:rPr/>
      </w:r>
    </w:p>
    <w:p>
      <w:pPr>
        <w:pStyle w:val="TextBody"/>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*Percentages may not sum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(1)Stock-based compensation, depreciation and amortization included in operating expenses are as follows:</w:t>
      </w:r>
    </w:p>
    <w:tbl>
      <w:tblPr>
        <w:tblW w:w="5199" w:type="dxa"/>
        <w:jc w:val="center"/>
        <w:tblInd w:w="0" w:type="dxa"/>
        <w:tblLayout w:type="fixed"/>
        <w:tblCellMar>
          <w:top w:w="28" w:type="dxa"/>
          <w:left w:w="28" w:type="dxa"/>
          <w:bottom w:w="28" w:type="dxa"/>
          <w:right w:w="28" w:type="dxa"/>
        </w:tblCellMar>
      </w:tblPr>
      <w:tblGrid>
        <w:gridCol w:w="996"/>
        <w:gridCol w:w="873"/>
        <w:gridCol w:w="876"/>
        <w:gridCol w:w="211"/>
        <w:gridCol w:w="721"/>
        <w:gridCol w:w="109"/>
        <w:gridCol w:w="109"/>
        <w:gridCol w:w="109"/>
        <w:gridCol w:w="109"/>
        <w:gridCol w:w="211"/>
        <w:gridCol w:w="721"/>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19" w:type="dxa"/>
        <w:jc w:val="center"/>
        <w:tblInd w:w="0" w:type="dxa"/>
        <w:tblLayout w:type="fixed"/>
        <w:tblCellMar>
          <w:top w:w="28" w:type="dxa"/>
          <w:left w:w="28" w:type="dxa"/>
          <w:bottom w:w="28" w:type="dxa"/>
          <w:right w:w="28" w:type="dxa"/>
        </w:tblCellMar>
      </w:tblPr>
      <w:tblGrid>
        <w:gridCol w:w="927"/>
        <w:gridCol w:w="816"/>
        <w:gridCol w:w="822"/>
        <w:gridCol w:w="211"/>
        <w:gridCol w:w="721"/>
        <w:gridCol w:w="109"/>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16" w:type="dxa"/>
        <w:jc w:val="center"/>
        <w:tblInd w:w="0" w:type="dxa"/>
        <w:tblLayout w:type="fixed"/>
        <w:tblCellMar>
          <w:top w:w="28" w:type="dxa"/>
          <w:left w:w="28" w:type="dxa"/>
          <w:bottom w:w="28" w:type="dxa"/>
          <w:right w:w="28" w:type="dxa"/>
        </w:tblCellMar>
      </w:tblPr>
      <w:tblGrid>
        <w:gridCol w:w="928"/>
        <w:gridCol w:w="816"/>
        <w:gridCol w:w="820"/>
        <w:gridCol w:w="255"/>
        <w:gridCol w:w="564"/>
        <w:gridCol w:w="132"/>
        <w:gridCol w:w="132"/>
        <w:gridCol w:w="132"/>
        <w:gridCol w:w="132"/>
        <w:gridCol w:w="255"/>
        <w:gridCol w:w="564"/>
        <w:gridCol w:w="186"/>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the Fiscal Years Ended December 31, 2024, 2023 and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9632" w:type="dxa"/>
        <w:jc w:val="center"/>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271"/>
        <w:gridCol w:w="109"/>
        <w:gridCol w:w="109"/>
        <w:gridCol w:w="109"/>
        <w:gridCol w:w="211"/>
        <w:gridCol w:w="721"/>
        <w:gridCol w:w="109"/>
        <w:gridCol w:w="109"/>
        <w:gridCol w:w="109"/>
        <w:gridCol w:w="109"/>
        <w:gridCol w:w="180"/>
        <w:gridCol w:w="181"/>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$66.3 million, or 30%, during the year ended December 31, 2024 compared to the year ended December 31, 2023. The increase was primarily due to a 62% increase in revenue from marketers in the public services, consumer goods, travel, healthcare and automotive industry verticals and a net 12% increase in all other industry verticals.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increased by $25.8 million, or 13%, during the year ended December 31, 2023 compared to the year ended December 31, 2022. The increase was primarily due to a 57% increase in revenue from marketers in the retail and public services industry verticals and a net 4% decrease in all other industry verticals.</w:t>
      </w:r>
    </w:p>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Platform Operations</w:t>
      </w:r>
    </w:p>
    <w:tbl>
      <w:tblPr>
        <w:tblW w:w="10208" w:type="dxa"/>
        <w:jc w:val="center"/>
        <w:tblInd w:w="0" w:type="dxa"/>
        <w:tblLayout w:type="fixed"/>
        <w:tblCellMar>
          <w:top w:w="28" w:type="dxa"/>
          <w:left w:w="28" w:type="dxa"/>
          <w:bottom w:w="28" w:type="dxa"/>
          <w:right w:w="28" w:type="dxa"/>
        </w:tblCellMar>
      </w:tblPr>
      <w:tblGrid>
        <w:gridCol w:w="375"/>
        <w:gridCol w:w="330"/>
        <w:gridCol w:w="33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180"/>
        <w:gridCol w:w="181"/>
        <w:gridCol w:w="271"/>
        <w:gridCol w:w="109"/>
        <w:gridCol w:w="109"/>
        <w:gridCol w:w="109"/>
        <w:gridCol w:w="211"/>
        <w:gridCol w:w="616"/>
        <w:gridCol w:w="109"/>
        <w:gridCol w:w="109"/>
        <w:gridCol w:w="109"/>
        <w:gridCol w:w="109"/>
        <w:gridCol w:w="180"/>
        <w:gridCol w:w="181"/>
        <w:gridCol w:w="316"/>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Traffic acquisition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Platform operations expense increased by $36.7 million, or 30%, during the year ended December 31, 2024 compared to the year ended December 31, 2023. This increase </w:t>
      </w:r>
      <w:r>
        <w:rPr>
          <w:rFonts w:ascii="Times New Roman;sans-serif" w:hAnsi="Times New Roman;sans-serif"/>
          <w:b w:val="false"/>
          <w:color w:val="231F20"/>
          <w:sz w:val="20"/>
        </w:rPr>
        <w:t xml:space="preserve">was primarily due to a </w:t>
      </w:r>
      <w:r>
        <w:rPr>
          <w:rFonts w:ascii="Times New Roman;sans-serif" w:hAnsi="Times New Roman;sans-serif"/>
          <w:b w:val="false"/>
          <w:color w:val="000000"/>
          <w:sz w:val="20"/>
        </w:rPr>
        <w:t>$32.3</w:t>
      </w:r>
      <w:r>
        <w:rPr>
          <w:color w:val="231F20"/>
        </w:rPr>
        <w:t xml:space="preserve"> </w:t>
      </w:r>
      <w:r>
        <w:rPr>
          <w:rFonts w:ascii="Times New Roman;sans-serif" w:hAnsi="Times New Roman;sans-serif"/>
          <w:b w:val="false"/>
          <w:color w:val="231F20"/>
          <w:sz w:val="20"/>
        </w:rPr>
        <w:t xml:space="preserve">million increase in TAC, </w:t>
      </w:r>
      <w:r>
        <w:rPr>
          <w:rFonts w:ascii="Times New Roman;sans-serif" w:hAnsi="Times New Roman;sans-serif"/>
          <w:b w:val="false"/>
          <w:color w:val="000000"/>
          <w:sz w:val="20"/>
        </w:rPr>
        <w:t>a variable function of revenue related to our fixed CPM pricing option and certain arrangements related to our percentage of spend pricing option. The increase was also due to higher other platform operations expense which was driven by a $2.8 million increase in cloud and data center services in support of our DSP, a $1.7 million increase in depreciation driven by our continued investment in developed technology, a $1.3 million increase in platform costs related to non-operational media purchases and a $0.8 million increase in personnel costs, partially offset by a $2.0 million decrease in stock-based compensation and a $0.2 million decrease in facilities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 expense increased by $3.8 million, or 3%, during the year ended December 31, 2023 compared to the year ended December 31, 2022. This increase was driven by a $7.1 million increase in TAC, a variable function of revenue related to our fixed CPM pricing option and certain arrangements related to our percentage of spend pricing option. The increase was partially offset by a decrease in other platform operations expense due to a $2.0 million decrease in personnel costs, a $1.1 million decrease in third-party costs in support of our DSP, a $0.7 million decrease in cloud costs due to recognized cloud infrastructure efficiencies, a $0.7 million decrease in stock-based compensation and a $0.3 million decrease related to disposals in the prior period, partially offset by a $1.6 million increase in depreciation and amortization, net, related to our continued investment in developed technology.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10205" w:type="dxa"/>
        <w:jc w:val="center"/>
        <w:tblInd w:w="0" w:type="dxa"/>
        <w:tblLayout w:type="fixed"/>
        <w:tblCellMar>
          <w:top w:w="28" w:type="dxa"/>
          <w:left w:w="28" w:type="dxa"/>
          <w:bottom w:w="28" w:type="dxa"/>
          <w:right w:w="28" w:type="dxa"/>
        </w:tblCellMar>
      </w:tblPr>
      <w:tblGrid>
        <w:gridCol w:w="519"/>
        <w:gridCol w:w="425"/>
        <w:gridCol w:w="428"/>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28"/>
        <w:gridCol w:w="128"/>
        <w:gridCol w:w="271"/>
        <w:gridCol w:w="109"/>
        <w:gridCol w:w="109"/>
        <w:gridCol w:w="109"/>
        <w:gridCol w:w="211"/>
        <w:gridCol w:w="760"/>
        <w:gridCol w:w="109"/>
        <w:gridCol w:w="109"/>
        <w:gridCol w:w="109"/>
        <w:gridCol w:w="109"/>
        <w:gridCol w:w="200"/>
        <w:gridCol w:w="200"/>
        <w:gridCol w:w="319"/>
      </w:tblGrid>
      <w:tr>
        <w:trPr/>
        <w:tc>
          <w:tcPr>
            <w:tcW w:w="5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r>
      <w:tr>
        <w:trPr/>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Sales and marketing expense increased by $3.1 million, or 6%, during the year ended December 31, 2024 compared to the year ended December 31, 2023. This increase </w:t>
      </w:r>
      <w:r>
        <w:rPr>
          <w:rFonts w:ascii="Times New Roman;sans-serif" w:hAnsi="Times New Roman;sans-serif"/>
          <w:b w:val="false"/>
          <w:color w:val="231F20"/>
          <w:sz w:val="20"/>
        </w:rPr>
        <w:t>was primarily due to a $5.3 million increase in personnel costs, a $2.8 million increase in advertising expense and a $0.6 million increase in travel and entertainment expense, partially offset by a $5.4 million decrease in stock-based compensation and a $0.2 million decrease in facilities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decreased by $13.3 million, or 21%, during the year ended December 31, 2023 compared to the year ended December 31, 2022. This decrease was due to an $8.8 million decrease in personnel costs and a $5.9 million decrease in advertising expense, partially offset by a $0.7 million increase in stock-based compensation and a $0.6 million increase in travel and entertainment expense.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Technology and Development</w:t>
      </w:r>
    </w:p>
    <w:tbl>
      <w:tblPr>
        <w:tblW w:w="10205" w:type="dxa"/>
        <w:jc w:val="center"/>
        <w:tblInd w:w="0" w:type="dxa"/>
        <w:tblLayout w:type="fixed"/>
        <w:tblCellMar>
          <w:top w:w="28" w:type="dxa"/>
          <w:left w:w="28" w:type="dxa"/>
          <w:bottom w:w="28" w:type="dxa"/>
          <w:right w:w="28" w:type="dxa"/>
        </w:tblCellMar>
      </w:tblPr>
      <w:tblGrid>
        <w:gridCol w:w="544"/>
        <w:gridCol w:w="477"/>
        <w:gridCol w:w="47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644"/>
        <w:gridCol w:w="109"/>
        <w:gridCol w:w="109"/>
        <w:gridCol w:w="109"/>
        <w:gridCol w:w="109"/>
        <w:gridCol w:w="141"/>
        <w:gridCol w:w="142"/>
        <w:gridCol w:w="271"/>
        <w:gridCol w:w="109"/>
        <w:gridCol w:w="109"/>
        <w:gridCol w:w="109"/>
        <w:gridCol w:w="211"/>
        <w:gridCol w:w="616"/>
        <w:gridCol w:w="109"/>
        <w:gridCol w:w="109"/>
        <w:gridCol w:w="109"/>
        <w:gridCol w:w="109"/>
        <w:gridCol w:w="180"/>
        <w:gridCol w:w="181"/>
        <w:gridCol w:w="319"/>
      </w:tblGrid>
      <w:tr>
        <w:trPr/>
        <w:tc>
          <w:tcPr>
            <w:tcW w:w="54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and development expense decreased by $1.0 million, or 4%, during the year ended December 31, 2024 compared to the year ended December 31, 2023. This decrease was primarily due to a $3.0 million decrease in stock-based compensation and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$0.2 million decrease in facilities expense, partially offset by a $1.3 million increase in personnel costs, a $0.4 million increase in technology costs in support of our DSP, a $0.3 million increase in professional services and a $0.2 million increase in depreciation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 increased by $3.5 million, or 16%, during the year ended December 31, 2023 compared to the year ended December 31, 2022. This increase was due to a $2.8 million increase in personnel costs, a $0.5 million increase in facilities expense and a $0.4 million increase in stock-based compensation, partially offset by a $0.2 million decrease in cloud costs due to recognized cloud infrastructure efficiencies.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10205" w:type="dxa"/>
        <w:jc w:val="center"/>
        <w:tblInd w:w="0" w:type="dxa"/>
        <w:tblLayout w:type="fixed"/>
        <w:tblCellMar>
          <w:top w:w="28" w:type="dxa"/>
          <w:left w:w="28" w:type="dxa"/>
          <w:bottom w:w="28" w:type="dxa"/>
          <w:right w:w="28" w:type="dxa"/>
        </w:tblCellMar>
      </w:tblPr>
      <w:tblGrid>
        <w:gridCol w:w="619"/>
        <w:gridCol w:w="543"/>
        <w:gridCol w:w="545"/>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211"/>
        <w:gridCol w:w="466"/>
        <w:gridCol w:w="109"/>
        <w:gridCol w:w="109"/>
        <w:gridCol w:w="109"/>
        <w:gridCol w:w="109"/>
        <w:gridCol w:w="128"/>
        <w:gridCol w:w="128"/>
        <w:gridCol w:w="317"/>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000000"/>
          <w:sz w:val="20"/>
        </w:rPr>
        <w:t>General and administrative expense increased by $5.8 million, or 13%, during the year ended December 31, 2024 compared to the year ended December 31, 2023. This increase was primarily due to a $3.1 million increase in accounting, legal, and consulting expenses associated with general corporate and compliance matters, a $</w:t>
      </w:r>
      <w:r>
        <w:rPr>
          <w:rFonts w:ascii="Times New Roman;sans-serif" w:hAnsi="Times New Roman;sans-serif"/>
          <w:b w:val="false"/>
          <w:color w:val="231F20"/>
          <w:sz w:val="20"/>
        </w:rPr>
        <w:t>2.0</w:t>
      </w:r>
      <w:r>
        <w:rPr>
          <w:color w:val="000000"/>
        </w:rPr>
        <w:t xml:space="preserve"> </w:t>
      </w:r>
      <w:r>
        <w:rPr>
          <w:rFonts w:ascii="Times New Roman;sans-serif" w:hAnsi="Times New Roman;sans-serif"/>
          <w:b w:val="false"/>
          <w:color w:val="000000"/>
          <w:sz w:val="20"/>
        </w:rPr>
        <w:t>million increase in personnel costs, a $</w:t>
      </w:r>
      <w:r>
        <w:rPr>
          <w:rFonts w:ascii="Times New Roman;sans-serif" w:hAnsi="Times New Roman;sans-serif"/>
          <w:b w:val="false"/>
          <w:color w:val="231F20"/>
          <w:sz w:val="20"/>
        </w:rPr>
        <w:t>1.3</w:t>
      </w:r>
      <w:r>
        <w:rPr>
          <w:color w:val="000000"/>
        </w:rPr>
        <w:t xml:space="preserve"> </w:t>
      </w:r>
      <w:r>
        <w:rPr>
          <w:rFonts w:ascii="Times New Roman;sans-serif" w:hAnsi="Times New Roman;sans-serif"/>
          <w:b w:val="false"/>
          <w:color w:val="000000"/>
          <w:sz w:val="20"/>
        </w:rPr>
        <w:t>million increase in bad debt expense, a $</w:t>
      </w:r>
      <w:r>
        <w:rPr>
          <w:rFonts w:ascii="Times New Roman;sans-serif" w:hAnsi="Times New Roman;sans-serif"/>
          <w:b w:val="false"/>
          <w:color w:val="231F20"/>
          <w:sz w:val="20"/>
        </w:rPr>
        <w:t>0.9</w:t>
      </w:r>
      <w:r>
        <w:rPr>
          <w:color w:val="000000"/>
        </w:rPr>
        <w:t xml:space="preserve"> </w:t>
      </w:r>
      <w:r>
        <w:rPr>
          <w:rFonts w:ascii="Times New Roman;sans-serif" w:hAnsi="Times New Roman;sans-serif"/>
          <w:b w:val="false"/>
          <w:color w:val="000000"/>
          <w:sz w:val="20"/>
        </w:rPr>
        <w:t>million increase in travel and entertainment expense, a $0.2 million increase in charitable contributions expense and a $0.2 million increase in facilities expense, partially offset by a $0.9 million decrease in business insurance, licenses and taxes expense, a $</w:t>
      </w:r>
      <w:r>
        <w:rPr>
          <w:rFonts w:ascii="Times New Roman;sans-serif" w:hAnsi="Times New Roman;sans-serif"/>
          <w:b w:val="false"/>
          <w:color w:val="231F20"/>
          <w:sz w:val="20"/>
        </w:rPr>
        <w:t>0.6</w:t>
      </w:r>
      <w:r>
        <w:rPr>
          <w:color w:val="000000"/>
        </w:rPr>
        <w:t xml:space="preserve"> </w:t>
      </w:r>
      <w:r>
        <w:rPr>
          <w:rFonts w:ascii="Times New Roman;sans-serif" w:hAnsi="Times New Roman;sans-serif"/>
          <w:b w:val="false"/>
          <w:color w:val="000000"/>
          <w:sz w:val="20"/>
        </w:rPr>
        <w:t>million decrease in stock-based compensation and a $</w:t>
      </w:r>
      <w:r>
        <w:rPr>
          <w:rFonts w:ascii="Times New Roman;sans-serif" w:hAnsi="Times New Roman;sans-serif"/>
          <w:b w:val="false"/>
          <w:color w:val="231F20"/>
          <w:sz w:val="20"/>
        </w:rPr>
        <w:t>0.4</w:t>
      </w:r>
      <w:r>
        <w:rPr>
          <w:color w:val="000000"/>
        </w:rPr>
        <w:t xml:space="preserve"> </w:t>
      </w:r>
      <w:r>
        <w:rPr>
          <w:rFonts w:ascii="Times New Roman;sans-serif" w:hAnsi="Times New Roman;sans-serif"/>
          <w:b w:val="false"/>
          <w:color w:val="000000"/>
          <w:sz w:val="20"/>
        </w:rPr>
        <w:t>million decrease in recruiting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increased by $0.9 million, or 2%, during the year ended December 31, 2023 compared to the year ended December 31, 2022. This increase was due to a $2.9 million increase in stock-based compensation and a $1.7 million increase in personnel costs, partially offset by a $1.9 million decrease in business insurance and tax, accounting, legal, and consulting expenses associated with general corporate and compliance matters, a $1.2 million decrease in bad debt reserves and a $0.7 million decrease in recruiting services.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Other Expense (Income), Net</w:t>
      </w:r>
    </w:p>
    <w:tbl>
      <w:tblPr>
        <w:tblW w:w="10205" w:type="dxa"/>
        <w:jc w:val="center"/>
        <w:tblInd w:w="0" w:type="dxa"/>
        <w:tblLayout w:type="fixed"/>
        <w:tblCellMar>
          <w:top w:w="28" w:type="dxa"/>
          <w:left w:w="28" w:type="dxa"/>
          <w:bottom w:w="28" w:type="dxa"/>
          <w:right w:w="28" w:type="dxa"/>
        </w:tblCellMar>
      </w:tblPr>
      <w:tblGrid>
        <w:gridCol w:w="687"/>
        <w:gridCol w:w="517"/>
        <w:gridCol w:w="519"/>
        <w:gridCol w:w="211"/>
        <w:gridCol w:w="654"/>
        <w:gridCol w:w="271"/>
        <w:gridCol w:w="109"/>
        <w:gridCol w:w="109"/>
        <w:gridCol w:w="109"/>
        <w:gridCol w:w="211"/>
        <w:gridCol w:w="654"/>
        <w:gridCol w:w="271"/>
        <w:gridCol w:w="109"/>
        <w:gridCol w:w="109"/>
        <w:gridCol w:w="109"/>
        <w:gridCol w:w="211"/>
        <w:gridCol w:w="654"/>
        <w:gridCol w:w="271"/>
        <w:gridCol w:w="109"/>
        <w:gridCol w:w="109"/>
        <w:gridCol w:w="109"/>
        <w:gridCol w:w="211"/>
        <w:gridCol w:w="504"/>
        <w:gridCol w:w="109"/>
        <w:gridCol w:w="109"/>
        <w:gridCol w:w="109"/>
        <w:gridCol w:w="109"/>
        <w:gridCol w:w="128"/>
        <w:gridCol w:w="128"/>
        <w:gridCol w:w="271"/>
        <w:gridCol w:w="109"/>
        <w:gridCol w:w="109"/>
        <w:gridCol w:w="109"/>
        <w:gridCol w:w="211"/>
        <w:gridCol w:w="654"/>
        <w:gridCol w:w="109"/>
        <w:gridCol w:w="109"/>
        <w:gridCol w:w="109"/>
        <w:gridCol w:w="109"/>
        <w:gridCol w:w="233"/>
        <w:gridCol w:w="233"/>
        <w:gridCol w:w="321"/>
      </w:tblGrid>
      <w:tr>
        <w:trPr/>
        <w:tc>
          <w:tcPr>
            <w:tcW w:w="6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 increased by $0.7 million, or 8%, during the year ended December 31, 2024 compared to the year ended December 31, 2023. This increase was primarily attributable to higher interest income on cash and cash equivalents driven by higher cash balances.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 increased by $7.3 million, or 626%, during the year ended December 31, 2023 compared to the year ended December 31, 2022. This increase was primarily attributable to higher interest income on cash and cash equivalents driven by higher interest rates and lower interest expense as a result of paying off the full outstanding balance under our Amended Loan Agreement with PNC Bank.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2024, 2023 and 2022, interest expense incurred was $0.4 million, $0.4 million and $0.5 million, respectively. Interest costs capitalized during the years ended December 31, 2024, 2023 and 2022 were de minimis.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(Benefit From) Income Taxes</w:t>
      </w:r>
    </w:p>
    <w:tbl>
      <w:tblPr>
        <w:tblW w:w="10205" w:type="dxa"/>
        <w:jc w:val="center"/>
        <w:tblInd w:w="0" w:type="dxa"/>
        <w:tblLayout w:type="fixed"/>
        <w:tblCellMar>
          <w:top w:w="28" w:type="dxa"/>
          <w:left w:w="28" w:type="dxa"/>
          <w:bottom w:w="28" w:type="dxa"/>
          <w:right w:w="28" w:type="dxa"/>
        </w:tblCellMar>
      </w:tblPr>
      <w:tblGrid>
        <w:gridCol w:w="976"/>
        <w:gridCol w:w="829"/>
        <w:gridCol w:w="832"/>
        <w:gridCol w:w="211"/>
        <w:gridCol w:w="466"/>
        <w:gridCol w:w="271"/>
        <w:gridCol w:w="109"/>
        <w:gridCol w:w="109"/>
        <w:gridCol w:w="109"/>
        <w:gridCol w:w="211"/>
        <w:gridCol w:w="466"/>
        <w:gridCol w:w="271"/>
        <w:gridCol w:w="109"/>
        <w:gridCol w:w="109"/>
        <w:gridCol w:w="109"/>
        <w:gridCol w:w="211"/>
        <w:gridCol w:w="406"/>
        <w:gridCol w:w="271"/>
        <w:gridCol w:w="109"/>
        <w:gridCol w:w="109"/>
        <w:gridCol w:w="109"/>
        <w:gridCol w:w="211"/>
        <w:gridCol w:w="361"/>
        <w:gridCol w:w="109"/>
        <w:gridCol w:w="109"/>
        <w:gridCol w:w="109"/>
        <w:gridCol w:w="109"/>
        <w:gridCol w:w="180"/>
        <w:gridCol w:w="181"/>
        <w:gridCol w:w="271"/>
        <w:gridCol w:w="109"/>
        <w:gridCol w:w="109"/>
        <w:gridCol w:w="109"/>
        <w:gridCol w:w="211"/>
        <w:gridCol w:w="466"/>
        <w:gridCol w:w="109"/>
        <w:gridCol w:w="109"/>
        <w:gridCol w:w="109"/>
        <w:gridCol w:w="109"/>
        <w:gridCol w:w="203"/>
        <w:gridCol w:w="203"/>
        <w:gridCol w:w="317"/>
      </w:tblGrid>
      <w:tr>
        <w:trPr/>
        <w:tc>
          <w:tcPr>
            <w:tcW w:w="97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vs 2023</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vs 2022</w:t>
              <w:br/>
              <w:t>Change</w:t>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The U.S. federal statutory tax rate was 21% for the years ended </w:t>
      </w:r>
      <w:r>
        <w:rPr>
          <w:rFonts w:ascii="Times New Roman;sans-serif" w:hAnsi="Times New Roman;sans-serif"/>
          <w:b w:val="false"/>
          <w:color w:val="000000"/>
          <w:sz w:val="20"/>
        </w:rPr>
        <w:t>December 31, 2024</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2023</w:t>
      </w:r>
      <w:r>
        <w:rPr>
          <w:rFonts w:ascii="Times New Roman;sans-serif" w:hAnsi="Times New Roman;sans-serif"/>
          <w:b w:val="false"/>
          <w:color w:val="231F20"/>
          <w:sz w:val="20"/>
        </w:rPr>
        <w:t xml:space="preserve">. The provision for income taxes increased by </w:t>
      </w:r>
      <w:r>
        <w:rPr>
          <w:rFonts w:ascii="Times New Roman;sans-serif" w:hAnsi="Times New Roman;sans-serif"/>
          <w:b w:val="false"/>
          <w:color w:val="000000"/>
          <w:sz w:val="20"/>
        </w:rPr>
        <w:t>$0.1 million, or 65%, during the year ended</w:t>
      </w:r>
      <w:r>
        <w:rPr>
          <w:color w:val="231F20"/>
        </w:rPr>
        <w:t xml:space="preserve"> </w:t>
      </w:r>
      <w:r>
        <w:rPr>
          <w:rFonts w:ascii="Times New Roman;sans-serif" w:hAnsi="Times New Roman;sans-serif"/>
          <w:b w:val="false"/>
          <w:color w:val="000000"/>
          <w:sz w:val="20"/>
        </w:rPr>
        <w:t>December 31, 2024</w:t>
      </w:r>
      <w:r>
        <w:rPr>
          <w:color w:val="231F20"/>
        </w:rPr>
        <w:t xml:space="preserve"> </w:t>
      </w:r>
      <w:r>
        <w:rPr>
          <w:rFonts w:ascii="Times New Roman;sans-serif" w:hAnsi="Times New Roman;sans-serif"/>
          <w:b w:val="false"/>
          <w:color w:val="231F20"/>
          <w:sz w:val="20"/>
        </w:rPr>
        <w:t xml:space="preserve">compared to the year ended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This increase was primarily due to state tax liabilities attributable to Viant Technology LLC.</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The U.S. federal statutory tax rate was 21% for the years ended </w:t>
      </w:r>
      <w:r>
        <w:rPr>
          <w:rFonts w:ascii="Times New Roman;sans-serif" w:hAnsi="Times New Roman;sans-serif"/>
          <w:b w:val="false"/>
          <w:color w:val="000000"/>
          <w:sz w:val="20"/>
        </w:rPr>
        <w:t>December 31, 2023</w:t>
      </w:r>
      <w:r>
        <w:rPr>
          <w:color w:val="231F20"/>
        </w:rPr>
        <w:t xml:space="preserve">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2022</w:t>
      </w:r>
      <w:r>
        <w:rPr>
          <w:rFonts w:ascii="Times New Roman;sans-serif" w:hAnsi="Times New Roman;sans-serif"/>
          <w:b w:val="false"/>
          <w:color w:val="231F20"/>
          <w:sz w:val="20"/>
        </w:rPr>
        <w:t xml:space="preserve">. The provision for income taxes increased by </w:t>
      </w:r>
      <w:r>
        <w:rPr>
          <w:rFonts w:ascii="Times New Roman;sans-serif" w:hAnsi="Times New Roman;sans-serif"/>
          <w:b w:val="false"/>
          <w:color w:val="000000"/>
          <w:sz w:val="20"/>
        </w:rPr>
        <w:t>$0.2</w:t>
      </w:r>
      <w:r>
        <w:rPr>
          <w:color w:val="231F20"/>
        </w:rPr>
        <w:t xml:space="preserve"> </w:t>
      </w:r>
      <w:r>
        <w:rPr>
          <w:rFonts w:ascii="Times New Roman;sans-serif" w:hAnsi="Times New Roman;sans-serif"/>
          <w:b w:val="false"/>
          <w:color w:val="231F20"/>
          <w:sz w:val="20"/>
        </w:rPr>
        <w:t xml:space="preserve">million during the year ended </w:t>
      </w:r>
      <w:r>
        <w:rPr>
          <w:rFonts w:ascii="Times New Roman;sans-serif" w:hAnsi="Times New Roman;sans-serif"/>
          <w:b w:val="false"/>
          <w:color w:val="000000"/>
          <w:sz w:val="20"/>
        </w:rPr>
        <w:t xml:space="preserve">December 31, 2023 compared to the year ended December 31, 2022. </w:t>
      </w:r>
      <w:r>
        <w:rPr>
          <w:rFonts w:ascii="Times New Roman;sans-serif" w:hAnsi="Times New Roman;sans-serif"/>
          <w:b w:val="false"/>
          <w:color w:val="231F20"/>
          <w:sz w:val="20"/>
        </w:rPr>
        <w:t>This increase was attributable to federal and state taxes resulting from Viant Technology Inc.'s pro-rata share of taxable income from Viant Technology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Results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unaudited quarterly condensed consolidated statements of operations data for each quarter of our fiscal years ended December 31, 2024 and 2023. The information for each of these quarters has been prepared on a basis consistent with our consolidated financial statements and, in our opinion, includes all adjustments, consisting only of normal recurring adjustments necessary for the fair presentation of the financial information contained in those statements. The following unaudited quarterly condensed consolidated financial data should be read in conjunction with our annual audited consolidated financial statements and the related notes included elsewhere in this Annual Report. These quarterly results are not necessarily indicative of our operating results for a full year or any future period.</w:t>
      </w:r>
    </w:p>
    <w:p>
      <w:pPr>
        <w:pStyle w:val="TextBody"/>
        <w:bidi w:val="0"/>
        <w:spacing w:before="0" w:after="0"/>
        <w:jc w:val="left"/>
        <w:rPr/>
      </w:pPr>
      <w:r>
        <w:rPr/>
      </w:r>
    </w:p>
    <w:tbl>
      <w:tblPr>
        <w:tblW w:w="11425" w:type="dxa"/>
        <w:jc w:val="center"/>
        <w:tblInd w:w="0" w:type="dxa"/>
        <w:tblLayout w:type="fixed"/>
        <w:tblCellMar>
          <w:top w:w="28" w:type="dxa"/>
          <w:left w:w="28" w:type="dxa"/>
          <w:bottom w:w="28" w:type="dxa"/>
          <w:right w:w="28" w:type="dxa"/>
        </w:tblCellMar>
      </w:tblPr>
      <w:tblGrid>
        <w:gridCol w:w="628"/>
        <w:gridCol w:w="262"/>
        <w:gridCol w:w="26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Operating expenses</w:t>
            </w:r>
            <w:r>
              <w:rPr>
                <w:rFonts w:ascii="Times New Roman;sans-serif" w:hAnsi="Times New Roman;sans-serif"/>
                <w:b w:val="false"/>
                <w:color w:val="000000"/>
                <w:sz w:val="12"/>
              </w:rPr>
              <w:t>(1)</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Viant Technology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Earnings (loss) per share of Class A common stock—basic</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Earnings (loss) per share of Class A common stock—diluted</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(0.06)</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tbl>
      <w:tblPr>
        <w:tblW w:w="10343" w:type="dxa"/>
        <w:jc w:val="left"/>
        <w:tblInd w:w="0" w:type="dxa"/>
        <w:tblLayout w:type="fixed"/>
        <w:tblCellMar>
          <w:top w:w="28" w:type="dxa"/>
          <w:left w:w="28" w:type="dxa"/>
          <w:bottom w:w="28" w:type="dxa"/>
          <w:right w:w="28" w:type="dxa"/>
        </w:tblCellMar>
      </w:tblPr>
      <w:tblGrid>
        <w:gridCol w:w="628"/>
        <w:gridCol w:w="262"/>
        <w:gridCol w:w="266"/>
        <w:gridCol w:w="109"/>
        <w:gridCol w:w="109"/>
        <w:gridCol w:w="109"/>
        <w:gridCol w:w="221"/>
        <w:gridCol w:w="200"/>
        <w:gridCol w:w="471"/>
        <w:gridCol w:w="109"/>
        <w:gridCol w:w="109"/>
        <w:gridCol w:w="109"/>
        <w:gridCol w:w="214"/>
        <w:gridCol w:w="214"/>
        <w:gridCol w:w="503"/>
        <w:gridCol w:w="109"/>
        <w:gridCol w:w="109"/>
        <w:gridCol w:w="109"/>
        <w:gridCol w:w="210"/>
        <w:gridCol w:w="211"/>
        <w:gridCol w:w="261"/>
        <w:gridCol w:w="109"/>
        <w:gridCol w:w="109"/>
        <w:gridCol w:w="109"/>
        <w:gridCol w:w="213"/>
        <w:gridCol w:w="208"/>
        <w:gridCol w:w="334"/>
        <w:gridCol w:w="109"/>
        <w:gridCol w:w="109"/>
        <w:gridCol w:w="109"/>
        <w:gridCol w:w="221"/>
        <w:gridCol w:w="200"/>
        <w:gridCol w:w="471"/>
        <w:gridCol w:w="109"/>
        <w:gridCol w:w="109"/>
        <w:gridCol w:w="109"/>
        <w:gridCol w:w="214"/>
        <w:gridCol w:w="214"/>
        <w:gridCol w:w="503"/>
        <w:gridCol w:w="109"/>
        <w:gridCol w:w="109"/>
        <w:gridCol w:w="109"/>
        <w:gridCol w:w="210"/>
        <w:gridCol w:w="211"/>
        <w:gridCol w:w="261"/>
        <w:gridCol w:w="109"/>
        <w:gridCol w:w="109"/>
        <w:gridCol w:w="109"/>
        <w:gridCol w:w="210"/>
        <w:gridCol w:w="211"/>
        <w:gridCol w:w="385"/>
      </w:tblGrid>
      <w:tr>
        <w:trPr/>
        <w:tc>
          <w:tcPr>
            <w:tcW w:w="62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(percentage of revenue*)</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Operating expenses</w:t>
            </w:r>
            <w:r>
              <w:rPr>
                <w:rFonts w:ascii="Times New Roman;sans-serif" w:hAnsi="Times New Roman;sans-serif"/>
                <w:b w:val="false"/>
                <w:color w:val="000000"/>
                <w:sz w:val="12"/>
              </w:rPr>
              <w:t>(1)</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Viant Technology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*Percentages may not sum due to rounding</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(1)Depreciation, amortization, and stock-based compensation included in operating expenses for each quarter of our fiscal years ended December 31, 2024 and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tbl>
      <w:tblPr>
        <w:tblW w:w="10895" w:type="dxa"/>
        <w:jc w:val="left"/>
        <w:tblInd w:w="0" w:type="dxa"/>
        <w:tblLayout w:type="fixed"/>
        <w:tblCellMar>
          <w:top w:w="28" w:type="dxa"/>
          <w:left w:w="28" w:type="dxa"/>
          <w:bottom w:w="28" w:type="dxa"/>
          <w:right w:w="28" w:type="dxa"/>
        </w:tblCellMar>
      </w:tblPr>
      <w:tblGrid>
        <w:gridCol w:w="487"/>
        <w:gridCol w:w="349"/>
        <w:gridCol w:w="350"/>
        <w:gridCol w:w="109"/>
        <w:gridCol w:w="109"/>
        <w:gridCol w:w="109"/>
        <w:gridCol w:w="198"/>
        <w:gridCol w:w="562"/>
        <w:gridCol w:w="111"/>
        <w:gridCol w:w="109"/>
        <w:gridCol w:w="109"/>
        <w:gridCol w:w="109"/>
        <w:gridCol w:w="211"/>
        <w:gridCol w:w="601"/>
        <w:gridCol w:w="119"/>
        <w:gridCol w:w="109"/>
        <w:gridCol w:w="109"/>
        <w:gridCol w:w="109"/>
        <w:gridCol w:w="196"/>
        <w:gridCol w:w="556"/>
        <w:gridCol w:w="109"/>
        <w:gridCol w:w="109"/>
        <w:gridCol w:w="109"/>
        <w:gridCol w:w="109"/>
        <w:gridCol w:w="196"/>
        <w:gridCol w:w="556"/>
        <w:gridCol w:w="109"/>
        <w:gridCol w:w="109"/>
        <w:gridCol w:w="109"/>
        <w:gridCol w:w="109"/>
        <w:gridCol w:w="198"/>
        <w:gridCol w:w="562"/>
        <w:gridCol w:w="111"/>
        <w:gridCol w:w="109"/>
        <w:gridCol w:w="109"/>
        <w:gridCol w:w="109"/>
        <w:gridCol w:w="211"/>
        <w:gridCol w:w="601"/>
        <w:gridCol w:w="119"/>
        <w:gridCol w:w="109"/>
        <w:gridCol w:w="109"/>
        <w:gridCol w:w="109"/>
        <w:gridCol w:w="196"/>
        <w:gridCol w:w="556"/>
        <w:gridCol w:w="109"/>
        <w:gridCol w:w="109"/>
        <w:gridCol w:w="109"/>
        <w:gridCol w:w="109"/>
        <w:gridCol w:w="196"/>
        <w:gridCol w:w="556"/>
        <w:gridCol w:w="154"/>
      </w:tblGrid>
      <w:tr>
        <w:trPr/>
        <w:tc>
          <w:tcPr>
            <w:tcW w:w="48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See Note 4, Note 6 and Note 9 to our consolidated financial statements included elsewhere in this Annual Report for more information regarding depreciation, amortization and stock-based compensation expense, respectively.</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(2)See Note 2 to our consolidated financial statements included elsewhere in this Annual Report for a description of the earnings (loss) per share—basic and diluted computations.</w:t>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Quarterly Non-GAAP Financial Measures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monitor certain non-GAAP financial measures such as contribution ex-TAC, non-GAAP operating expenses, adjusted EBITDA, adjusted EBITDA as a percentage of contribution ex-TAC, and non-GAAP net income when evaluating our quarterly results of operations to help us evaluate growth trends, establish budgets, measure the effectiveness of our sales and marketing efforts and assess our operational efficiencies. Reconciliations of these non-GAAP financial measures for each quarter of our fiscal years ended December 31, 2024 and 2023 to the most directly comparable financial measures calculated and presented in accordance with GAAP are provided in the financial tables presented below. For a description of management’s use of each non-GAAP financial measure contained in this Annual Report, see </w:t>
      </w:r>
      <w:r>
        <w:rPr>
          <w:color w:val="000000"/>
        </w:rPr>
        <w:t>“—</w:t>
      </w:r>
      <w:r>
        <w:rPr>
          <w:rFonts w:ascii="Times New Roman;sans-serif" w:hAnsi="Times New Roman;sans-serif"/>
          <w:b w:val="false"/>
          <w:i/>
          <w:color w:val="000000"/>
          <w:sz w:val="20"/>
        </w:rPr>
        <w:t>Key Operating and Financial Performance Measures—Use of Non-GAAP Financial Measures.”</w:t>
      </w:r>
    </w:p>
    <w:p>
      <w:pPr>
        <w:pStyle w:val="TextBody"/>
        <w:bidi w:val="0"/>
        <w:spacing w:before="0" w:after="0"/>
        <w:jc w:val="left"/>
        <w:rPr/>
      </w:pPr>
      <w:r>
        <w:rPr/>
      </w:r>
    </w:p>
    <w:tbl>
      <w:tblPr>
        <w:tblW w:w="12541" w:type="dxa"/>
        <w:jc w:val="center"/>
        <w:tblInd w:w="0" w:type="dxa"/>
        <w:tblLayout w:type="fixed"/>
        <w:tblCellMar>
          <w:top w:w="28" w:type="dxa"/>
          <w:left w:w="28" w:type="dxa"/>
          <w:bottom w:w="28" w:type="dxa"/>
          <w:right w:w="28" w:type="dxa"/>
        </w:tblCellMar>
      </w:tblPr>
      <w:tblGrid>
        <w:gridCol w:w="397"/>
        <w:gridCol w:w="349"/>
        <w:gridCol w:w="350"/>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301"/>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and Financial Performance Measures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ex-TAC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26,872 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as a percentage of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as a percentage of contribution ex-TAC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Contribution ex-TAC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gross profit and reconciliation of gross profit to contribution ex-TAC for the periods presented:</w:t>
      </w:r>
    </w:p>
    <w:p>
      <w:pPr>
        <w:pStyle w:val="TextBody"/>
        <w:bidi w:val="0"/>
        <w:spacing w:before="0" w:after="0"/>
        <w:jc w:val="left"/>
        <w:rPr/>
      </w:pPr>
      <w:r>
        <w:rPr/>
      </w:r>
    </w:p>
    <w:tbl>
      <w:tblPr>
        <w:tblW w:w="11290" w:type="dxa"/>
        <w:jc w:val="center"/>
        <w:tblInd w:w="0" w:type="dxa"/>
        <w:tblLayout w:type="fixed"/>
        <w:tblCellMar>
          <w:top w:w="28" w:type="dxa"/>
          <w:left w:w="28" w:type="dxa"/>
          <w:bottom w:w="28" w:type="dxa"/>
          <w:right w:w="28" w:type="dxa"/>
        </w:tblCellMar>
      </w:tblPr>
      <w:tblGrid>
        <w:gridCol w:w="474"/>
        <w:gridCol w:w="272"/>
        <w:gridCol w:w="275"/>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47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Other 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ex-TAC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total operating expenses to non-GAAP operating expenses for the periods presented:</w:t>
      </w:r>
    </w:p>
    <w:p>
      <w:pPr>
        <w:pStyle w:val="TextBody"/>
        <w:bidi w:val="0"/>
        <w:spacing w:before="0" w:after="0"/>
        <w:ind w:left="0" w:right="0" w:firstLine="540"/>
        <w:jc w:val="left"/>
        <w:rPr/>
      </w:pPr>
      <w:r>
        <w:rPr/>
      </w:r>
    </w:p>
    <w:tbl>
      <w:tblPr>
        <w:tblW w:w="11545" w:type="dxa"/>
        <w:jc w:val="center"/>
        <w:tblInd w:w="0" w:type="dxa"/>
        <w:tblLayout w:type="fixed"/>
        <w:tblCellMar>
          <w:top w:w="28" w:type="dxa"/>
          <w:left w:w="28" w:type="dxa"/>
          <w:bottom w:w="28" w:type="dxa"/>
          <w:right w:w="28" w:type="dxa"/>
        </w:tblCellMar>
      </w:tblPr>
      <w:tblGrid>
        <w:gridCol w:w="749"/>
        <w:gridCol w:w="263"/>
        <w:gridCol w:w="264"/>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Platform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Traffic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Restructuring and 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expense</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Non-operational media purchases</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years ended December 31, 2024 and 2023.</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(2)Transaction expense consists of costs incurred related to our recent acquisition, as well as contemplated or completed securities offerings for the year ended December 31, 2024.</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(3)Non-operational media purchases reflects costs incurred for one-time and non-operating supplier purchases that are not billable to the customer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to adjusted EBITDA for the periods presented:</w:t>
      </w:r>
    </w:p>
    <w:p>
      <w:pPr>
        <w:pStyle w:val="TextBody"/>
        <w:bidi w:val="0"/>
        <w:spacing w:before="0" w:after="0"/>
        <w:jc w:val="left"/>
        <w:rPr/>
      </w:pPr>
      <w:r>
        <w:rPr/>
      </w:r>
    </w:p>
    <w:tbl>
      <w:tblPr>
        <w:tblW w:w="11210" w:type="dxa"/>
        <w:jc w:val="center"/>
        <w:tblInd w:w="0" w:type="dxa"/>
        <w:tblLayout w:type="fixed"/>
        <w:tblCellMar>
          <w:top w:w="28" w:type="dxa"/>
          <w:left w:w="28" w:type="dxa"/>
          <w:bottom w:w="28" w:type="dxa"/>
          <w:right w:w="28" w:type="dxa"/>
        </w:tblCellMar>
      </w:tblPr>
      <w:tblGrid>
        <w:gridCol w:w="873"/>
        <w:gridCol w:w="201"/>
        <w:gridCol w:w="20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71"/>
        <w:gridCol w:w="109"/>
        <w:gridCol w:w="109"/>
        <w:gridCol w:w="109"/>
        <w:gridCol w:w="109"/>
        <w:gridCol w:w="196"/>
        <w:gridCol w:w="646"/>
        <w:gridCol w:w="109"/>
        <w:gridCol w:w="109"/>
        <w:gridCol w:w="109"/>
        <w:gridCol w:w="109"/>
        <w:gridCol w:w="211"/>
        <w:gridCol w:w="601"/>
        <w:gridCol w:w="119"/>
        <w:gridCol w:w="109"/>
        <w:gridCol w:w="109"/>
        <w:gridCol w:w="109"/>
        <w:gridCol w:w="196"/>
        <w:gridCol w:w="571"/>
        <w:gridCol w:w="109"/>
        <w:gridCol w:w="109"/>
        <w:gridCol w:w="109"/>
        <w:gridCol w:w="109"/>
        <w:gridCol w:w="196"/>
        <w:gridCol w:w="571"/>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back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Restructuring and 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expense</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Non-operational media purchases</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years ended December 31, 2024 and 2023.</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(2)Transaction expense consists of costs incurred related to our recent acquisition, as well as contemplated or completed securities offerings for the year ended December 31, 2024.</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(3)Non-operational media purchases reflects costs incurred for one-time and non-operating supplier purchases that are not billable to the customer for the year ended December 31, 2024.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as a percentage of contribution ex-TAC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net income (loss) as a percentage of gross profit and the calculation of adjusted EBITDA as a percentage of contribution ex-TAC for the periods presented:</w:t>
      </w:r>
    </w:p>
    <w:p>
      <w:pPr>
        <w:pStyle w:val="TextBody"/>
        <w:bidi w:val="0"/>
        <w:spacing w:before="0" w:after="0"/>
        <w:jc w:val="left"/>
        <w:rPr/>
      </w:pPr>
      <w:r>
        <w:rPr/>
      </w:r>
    </w:p>
    <w:tbl>
      <w:tblPr>
        <w:tblW w:w="12466" w:type="dxa"/>
        <w:jc w:val="center"/>
        <w:tblInd w:w="0" w:type="dxa"/>
        <w:tblLayout w:type="fixed"/>
        <w:tblCellMar>
          <w:top w:w="28" w:type="dxa"/>
          <w:left w:w="28" w:type="dxa"/>
          <w:bottom w:w="28" w:type="dxa"/>
          <w:right w:w="28" w:type="dxa"/>
        </w:tblCellMar>
      </w:tblPr>
      <w:tblGrid>
        <w:gridCol w:w="649"/>
        <w:gridCol w:w="194"/>
        <w:gridCol w:w="178"/>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301"/>
      </w:tblGrid>
      <w:tr>
        <w:trPr/>
        <w:tc>
          <w:tcPr>
            <w:tcW w:w="6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8"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28,620 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as a percentage of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Contribution ex-TAC</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as a percentage of contribution ex-TAC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20"/>
        </w:rPr>
        <w:t xml:space="preserve">(1)For a reconciliation of contribution ex-TAC to the most directly comparable financial measure calculated in accordance with GAAP, see </w:t>
      </w:r>
      <w:r>
        <w:rPr>
          <w:color w:val="000000"/>
        </w:rPr>
        <w:t>“—</w:t>
      </w:r>
      <w:r>
        <w:rPr>
          <w:rFonts w:ascii="Times New Roman;sans-serif" w:hAnsi="Times New Roman;sans-serif"/>
          <w:b w:val="false"/>
          <w:i/>
          <w:color w:val="000000"/>
          <w:sz w:val="20"/>
        </w:rPr>
        <w:t>Contribution ex-TAC."</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 xml:space="preserve">(2)For a reconciliation of adjusted EBITDA to the most directly comparable financial measure calculated in accordance with GAAP, see </w:t>
      </w:r>
      <w:r>
        <w:rPr>
          <w:color w:val="000000"/>
        </w:rPr>
        <w:t>“—</w:t>
      </w:r>
      <w:r>
        <w:rPr>
          <w:rFonts w:ascii="Times New Roman;sans-serif" w:hAnsi="Times New Roman;sans-serif"/>
          <w:b w:val="false"/>
          <w:i/>
          <w:color w:val="000000"/>
          <w:sz w:val="20"/>
        </w:rPr>
        <w:t>Adjusted EBITDA."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income (loss)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to non-GAAP net income (loss) for the periods presented:</w:t>
      </w:r>
    </w:p>
    <w:p>
      <w:pPr>
        <w:pStyle w:val="TextBody"/>
        <w:bidi w:val="0"/>
        <w:spacing w:before="120" w:after="283"/>
        <w:ind w:left="0" w:right="0" w:firstLine="540"/>
        <w:jc w:val="left"/>
        <w:rPr/>
      </w:pPr>
      <w:r>
        <w:rPr/>
      </w:r>
    </w:p>
    <w:tbl>
      <w:tblPr>
        <w:tblW w:w="11210" w:type="dxa"/>
        <w:jc w:val="center"/>
        <w:tblInd w:w="0" w:type="dxa"/>
        <w:tblLayout w:type="fixed"/>
        <w:tblCellMar>
          <w:top w:w="28" w:type="dxa"/>
          <w:left w:w="28" w:type="dxa"/>
          <w:bottom w:w="28" w:type="dxa"/>
          <w:right w:w="28" w:type="dxa"/>
        </w:tblCellMar>
      </w:tblPr>
      <w:tblGrid>
        <w:gridCol w:w="678"/>
        <w:gridCol w:w="396"/>
        <w:gridCol w:w="202"/>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71"/>
        <w:gridCol w:w="109"/>
        <w:gridCol w:w="109"/>
        <w:gridCol w:w="109"/>
        <w:gridCol w:w="109"/>
        <w:gridCol w:w="196"/>
        <w:gridCol w:w="646"/>
        <w:gridCol w:w="109"/>
        <w:gridCol w:w="109"/>
        <w:gridCol w:w="109"/>
        <w:gridCol w:w="109"/>
        <w:gridCol w:w="211"/>
        <w:gridCol w:w="601"/>
        <w:gridCol w:w="119"/>
        <w:gridCol w:w="109"/>
        <w:gridCol w:w="109"/>
        <w:gridCol w:w="109"/>
        <w:gridCol w:w="196"/>
        <w:gridCol w:w="571"/>
        <w:gridCol w:w="109"/>
        <w:gridCol w:w="109"/>
        <w:gridCol w:w="109"/>
        <w:gridCol w:w="109"/>
        <w:gridCol w:w="196"/>
        <w:gridCol w:w="57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December 31,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September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June 30, </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w:t>
              <w:br/>
              <w:t>2023</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back (less):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Restructuring and other</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Transaction expense</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Non-operational media purchases</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18"/>
              </w:rPr>
              <w:t>Income tax benefit (expense) related to Viant Technology Inc.'s share of income (loss) after adjustments</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years ended December 31, 2024 and 2023.</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(2)Transaction expense consists of costs incurred related to our recent acquisition, as well as contemplated or completed securities offerings for the year ended December 31, 2024.</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(3)Non-operational media purchases reflects costs incurred for one-time and non-operating supplier purchases that are not billable to the customer for the year ended December 31, 2024.</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shd w:fill="FFFFFF" w:val="clear"/>
        </w:rPr>
        <w:t>The estimated income tax effect of our share of income (loss) after non-GAAP reconciling items is calculated using quarterly assumed blended tax rates, which represent our expected corporate tax rates, excluding discrete and non-recurring tax items</w:t>
      </w:r>
      <w:r>
        <w:rPr>
          <w:rFonts w:ascii="Times New Roman;sans-serif" w:hAnsi="Times New Roman;sans-serif"/>
          <w:b w:val="false"/>
          <w:color w:val="231F2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Key Operating and Financial Performance Measures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Non-GAAP Financial Measures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monitor certain non-GAAP financial measures to help us evaluate growth trends, establish budgets, measure the effectiveness of our sales and marketing efforts and assess our operational efficiencies. We believe these measures enhance an understanding of our overall performance and investors’ ability to review our business from the same perspective as management and facilitate comparisons of this period’s results with prior periods on a consistent basis by excluding items that management does not believe are indicative of our ongoing operating performance. These non-GAAP financial measures include 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tbl>
      <w:tblPr>
        <w:tblW w:w="10205" w:type="dxa"/>
        <w:jc w:val="center"/>
        <w:tblInd w:w="0" w:type="dxa"/>
        <w:tblLayout w:type="fixed"/>
        <w:tblCellMar>
          <w:top w:w="28" w:type="dxa"/>
          <w:left w:w="28" w:type="dxa"/>
          <w:bottom w:w="28" w:type="dxa"/>
          <w:right w:w="28" w:type="dxa"/>
        </w:tblCellMar>
      </w:tblPr>
      <w:tblGrid>
        <w:gridCol w:w="1098"/>
        <w:gridCol w:w="965"/>
        <w:gridCol w:w="967"/>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53"/>
        <w:gridCol w:w="232"/>
        <w:gridCol w:w="461"/>
        <w:gridCol w:w="109"/>
        <w:gridCol w:w="109"/>
        <w:gridCol w:w="109"/>
        <w:gridCol w:w="240"/>
        <w:gridCol w:w="232"/>
        <w:gridCol w:w="525"/>
      </w:tblGrid>
      <w:tr>
        <w:trPr/>
        <w:tc>
          <w:tcPr>
            <w:tcW w:w="109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 v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 v 2022</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and Financial Performance Measures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as a percentage of 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as a percentage of contribution ex-TAC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(loss) per share—basic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(loss) per share—diluted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hanging="641"/>
        <w:jc w:val="left"/>
        <w:rPr>
          <w:rFonts w:ascii="Times New Roman;sans-serif" w:hAnsi="Times New Roman;sans-serif"/>
          <w:b w:val="false"/>
          <w:i/>
          <w:color w:val="000000"/>
          <w:sz w:val="20"/>
        </w:rPr>
      </w:pPr>
      <w:r>
        <w:rPr>
          <w:rFonts w:ascii="Times New Roman;sans-serif" w:hAnsi="Times New Roman;sans-serif"/>
          <w:b w:val="false"/>
          <w:i/>
          <w:color w:val="000000"/>
          <w:sz w:val="20"/>
        </w:rPr>
        <w:t>Contribution ex-TAC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The following table presents the calculation of gross profit and reconciliation of gross profit to contribution ex-TAC</w:t>
      </w:r>
      <w:r>
        <w:rPr>
          <w:color w:val="000000"/>
        </w:rPr>
        <w:t xml:space="preserve"> </w:t>
      </w:r>
      <w:r>
        <w:rPr>
          <w:rFonts w:ascii="Times New Roman;sans-serif" w:hAnsi="Times New Roman;sans-serif"/>
          <w:b w:val="false"/>
          <w:color w:val="000000"/>
          <w:sz w:val="20"/>
        </w:rPr>
        <w:t>for the periods presented:</w:t>
      </w:r>
    </w:p>
    <w:tbl>
      <w:tblPr>
        <w:tblW w:w="6791" w:type="dxa"/>
        <w:jc w:val="center"/>
        <w:tblInd w:w="0" w:type="dxa"/>
        <w:tblLayout w:type="fixed"/>
        <w:tblCellMar>
          <w:top w:w="28" w:type="dxa"/>
          <w:left w:w="28" w:type="dxa"/>
          <w:bottom w:w="28" w:type="dxa"/>
          <w:right w:w="28" w:type="dxa"/>
        </w:tblCellMar>
      </w:tblPr>
      <w:tblGrid>
        <w:gridCol w:w="957"/>
        <w:gridCol w:w="846"/>
        <w:gridCol w:w="851"/>
        <w:gridCol w:w="211"/>
        <w:gridCol w:w="826"/>
        <w:gridCol w:w="109"/>
        <w:gridCol w:w="109"/>
        <w:gridCol w:w="109"/>
        <w:gridCol w:w="109"/>
        <w:gridCol w:w="211"/>
        <w:gridCol w:w="826"/>
        <w:gridCol w:w="109"/>
        <w:gridCol w:w="109"/>
        <w:gridCol w:w="109"/>
        <w:gridCol w:w="109"/>
        <w:gridCol w:w="211"/>
        <w:gridCol w:w="82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Other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ex-TAC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and other charges, transaction expense and non-operational media purchases. Non-GAAP operating expenses is a key 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total operating expenses to non-GAAP operating expenses for the periods presented:</w:t>
      </w:r>
    </w:p>
    <w:tbl>
      <w:tblPr>
        <w:tblW w:w="7137" w:type="dxa"/>
        <w:jc w:val="center"/>
        <w:tblInd w:w="0" w:type="dxa"/>
        <w:tblLayout w:type="fixed"/>
        <w:tblCellMar>
          <w:top w:w="28" w:type="dxa"/>
          <w:left w:w="28" w:type="dxa"/>
          <w:bottom w:w="28" w:type="dxa"/>
          <w:right w:w="28" w:type="dxa"/>
        </w:tblCellMar>
      </w:tblPr>
      <w:tblGrid>
        <w:gridCol w:w="1087"/>
        <w:gridCol w:w="954"/>
        <w:gridCol w:w="959"/>
        <w:gridCol w:w="211"/>
        <w:gridCol w:w="826"/>
        <w:gridCol w:w="109"/>
        <w:gridCol w:w="109"/>
        <w:gridCol w:w="109"/>
        <w:gridCol w:w="109"/>
        <w:gridCol w:w="211"/>
        <w:gridCol w:w="826"/>
        <w:gridCol w:w="109"/>
        <w:gridCol w:w="109"/>
        <w:gridCol w:w="109"/>
        <w:gridCol w:w="109"/>
        <w:gridCol w:w="211"/>
        <w:gridCol w:w="82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Traffic acquisition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and 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Transaction expense</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Non-operational media purchases</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years ended December 31, 2024 and 2023, and severance and other charges related to a reduction in force for the year ended December 31, 2022.</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(2)Transaction expense consists of costs incurred related to our recent acquisition, as well as contemplated or completed securities offerings for the year ended December 31, 2024.</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(3)Non-operational media purchases reflects costs incurred for one-time and non-operating supplier purchases that are not billable to the customer for the year ended December 31, 2024.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 and adjusted EBITDA as a percentage of contribution ex-TAC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and other charges, transaction expense and non-operational media purchases. Net income (loss) is the most comparable GAAP financial measure. Adjusted EBITDA as a percentage of contribution ex-TAC is a non-GAAP financial measure we calculate by dividing adjusted EBITDA by contribution ex-TAC for the period or periods presented. Net income (loss) as a percentage of gross profit is the most comparable GAAP financial measure.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adjusted EBITDA does not reflect changes in, or cash requirements for, our working capital needs or the potentially dilutive impact of stock-based compensation.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these and other potential limitations, you should consider our non-GAAP financial measures only as supplemental to other GAAP-based financial performance measures, including revenue, net income (loss) and cash flows.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to adjusted EBITDA for the periods presented:</w:t>
      </w:r>
    </w:p>
    <w:tbl>
      <w:tblPr>
        <w:tblW w:w="6897" w:type="dxa"/>
        <w:jc w:val="center"/>
        <w:tblInd w:w="0" w:type="dxa"/>
        <w:tblLayout w:type="fixed"/>
        <w:tblCellMar>
          <w:top w:w="28" w:type="dxa"/>
          <w:left w:w="28" w:type="dxa"/>
          <w:bottom w:w="28" w:type="dxa"/>
          <w:right w:w="28" w:type="dxa"/>
        </w:tblCellMar>
      </w:tblPr>
      <w:tblGrid>
        <w:gridCol w:w="1087"/>
        <w:gridCol w:w="952"/>
        <w:gridCol w:w="961"/>
        <w:gridCol w:w="211"/>
        <w:gridCol w:w="721"/>
        <w:gridCol w:w="109"/>
        <w:gridCol w:w="109"/>
        <w:gridCol w:w="109"/>
        <w:gridCol w:w="109"/>
        <w:gridCol w:w="211"/>
        <w:gridCol w:w="721"/>
        <w:gridCol w:w="109"/>
        <w:gridCol w:w="109"/>
        <w:gridCol w:w="109"/>
        <w:gridCol w:w="109"/>
        <w:gridCol w:w="211"/>
        <w:gridCol w:w="79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back (less):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Restructuring and other</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Transaction expense</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Non-operational media purchases</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years ended December 31, 2024 and 2023, and severance and other charges related to a reduction in force for the year ended December 31, 2022.</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(2)Transaction expense consists of costs incurred related to our recent acquisition, as well as contemplated or completed securities offerings for the year ended December 31, 2024.</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(3)Non-operational media purchases reflects costs incurred for one-time and non-operating supplier purchases that are not billable to the customer for the year ended December 31, 2024.</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net income (loss) as a percentage of gross profit and the calculation of adjusted EBITDA as a percentage of contribution ex-TAC for the periods presented:</w:t>
      </w:r>
    </w:p>
    <w:tbl>
      <w:tblPr>
        <w:tblW w:w="9468" w:type="dxa"/>
        <w:jc w:val="center"/>
        <w:tblInd w:w="0" w:type="dxa"/>
        <w:tblLayout w:type="fixed"/>
        <w:tblCellMar>
          <w:top w:w="28" w:type="dxa"/>
          <w:left w:w="28" w:type="dxa"/>
          <w:bottom w:w="28" w:type="dxa"/>
          <w:right w:w="28" w:type="dxa"/>
        </w:tblCellMar>
      </w:tblPr>
      <w:tblGrid>
        <w:gridCol w:w="1759"/>
        <w:gridCol w:w="1533"/>
        <w:gridCol w:w="1553"/>
        <w:gridCol w:w="211"/>
        <w:gridCol w:w="826"/>
        <w:gridCol w:w="271"/>
        <w:gridCol w:w="109"/>
        <w:gridCol w:w="109"/>
        <w:gridCol w:w="109"/>
        <w:gridCol w:w="211"/>
        <w:gridCol w:w="826"/>
        <w:gridCol w:w="271"/>
        <w:gridCol w:w="109"/>
        <w:gridCol w:w="109"/>
        <w:gridCol w:w="109"/>
        <w:gridCol w:w="211"/>
        <w:gridCol w:w="826"/>
        <w:gridCol w:w="316"/>
      </w:tblGrid>
      <w:tr>
        <w:trPr/>
        <w:tc>
          <w:tcPr>
            <w:tcW w:w="175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as a percentage of 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Contribution ex-TAC</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as a percentage of contribution ex-TAC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231F20"/>
          <w:sz w:val="20"/>
        </w:rPr>
        <w:t>For a reconciliation of contribution ex-TAC to the most directly comparable financial measure calculated in accordance with GAAP, see “</w:t>
      </w:r>
      <w:r>
        <w:rPr>
          <w:color w:val="231F20"/>
        </w:rPr>
        <w:t>—</w:t>
      </w:r>
      <w:r>
        <w:rPr>
          <w:rFonts w:ascii="Times New Roman;sans-serif" w:hAnsi="Times New Roman;sans-serif"/>
          <w:b w:val="false"/>
          <w:i/>
          <w:color w:val="231F20"/>
          <w:sz w:val="20"/>
        </w:rPr>
        <w:t>Contribution ex-TAC</w:t>
      </w:r>
      <w:r>
        <w:rPr>
          <w:rFonts w:ascii="Times New Roman;sans-serif" w:hAnsi="Times New Roman;sans-serif"/>
          <w:b w:val="false"/>
          <w:color w:val="231F20"/>
          <w:sz w:val="20"/>
        </w:rPr>
        <w: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net income (loss)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 is a non-GAAP financial measure defined by us as net income (loss) adjusted to eliminate the impact of stock-based compensation and certain other items that are not related to our core operations, such as restructuring and other charges, transaction expense and non-operational media purchases, as well as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use of non-GAAP net income (loss) has limitations as an analytical tool, and you should not consider this measure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net income (loss) to non-GAAP net income (loss) for the periods presented:</w:t>
      </w:r>
    </w:p>
    <w:tbl>
      <w:tblPr>
        <w:tblW w:w="10205" w:type="dxa"/>
        <w:jc w:val="center"/>
        <w:tblInd w:w="0" w:type="dxa"/>
        <w:tblLayout w:type="fixed"/>
        <w:tblCellMar>
          <w:top w:w="28" w:type="dxa"/>
          <w:left w:w="28" w:type="dxa"/>
          <w:bottom w:w="28" w:type="dxa"/>
          <w:right w:w="28" w:type="dxa"/>
        </w:tblCellMar>
      </w:tblPr>
      <w:tblGrid>
        <w:gridCol w:w="2353"/>
        <w:gridCol w:w="2018"/>
        <w:gridCol w:w="1955"/>
        <w:gridCol w:w="211"/>
        <w:gridCol w:w="721"/>
        <w:gridCol w:w="109"/>
        <w:gridCol w:w="109"/>
        <w:gridCol w:w="109"/>
        <w:gridCol w:w="109"/>
        <w:gridCol w:w="211"/>
        <w:gridCol w:w="721"/>
        <w:gridCol w:w="109"/>
        <w:gridCol w:w="109"/>
        <w:gridCol w:w="109"/>
        <w:gridCol w:w="109"/>
        <w:gridCol w:w="211"/>
        <w:gridCol w:w="776"/>
        <w:gridCol w:w="156"/>
      </w:tblGrid>
      <w:tr>
        <w:trPr/>
        <w:tc>
          <w:tcPr>
            <w:tcW w:w="2353"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back (less):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Restructuring and other</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Transaction expense</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Non-operational media purchases</w:t>
            </w:r>
            <w:r>
              <w:rPr>
                <w:rFonts w:ascii="Times New Roman;sans-serif" w:hAnsi="Times New Roman;sans-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Income tax benefit (expense) related to Viant Technology Inc.’s share of income (loss) after adjustments</w:t>
            </w:r>
            <w:r>
              <w:rPr>
                <w:rFonts w:ascii="Times New Roman;sans-serif" w:hAnsi="Times New Roman;sans-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years ended December 31, 2024 and 2023, and severance and other charges related to a reduction in force for the year ended December 31, 2022.</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(2)Transaction expense consists of costs incurred related to our recent acquisition, as well as contemplated or completed securities offerings for the year ended December 31, 2024.</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(3)Non-operational media purchases reflects costs incurred for one-time and non-operating supplier purchases that are not billable to the customer for the year ended December 31, 2024.</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shd w:fill="FFFFFF" w:val="clear"/>
        </w:rPr>
        <w:t xml:space="preserve">The estimated income tax effect of our share of income (loss) after non-GAAP reconciling items for the years ended </w:t>
      </w:r>
      <w:r>
        <w:rPr>
          <w:rFonts w:ascii="Times New Roman;sans-serif" w:hAnsi="Times New Roman;sans-serif"/>
          <w:b w:val="false"/>
          <w:color w:val="000000"/>
          <w:sz w:val="20"/>
        </w:rPr>
        <w:t>December 31, 2024,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is calculated using assumed blended tax rates of 25%, 21% and 45%, respectively, which represent our expected corporate tax rates, excluding discrete and non-recurring tax items</w:t>
      </w:r>
      <w:r>
        <w:rPr>
          <w:rFonts w:ascii="Times New Roman;sans-serif" w:hAnsi="Times New Roman;sans-serif"/>
          <w:b w:val="false"/>
          <w:color w:val="231F20"/>
          <w:sz w:val="20"/>
          <w:shd w:fill="FFFFFF" w:val="clear"/>
        </w:rPr>
        <w:t>.</w:t>
      </w:r>
    </w:p>
    <w:p>
      <w:pPr>
        <w:pStyle w:val="TextBody"/>
        <w:bidi w:val="0"/>
        <w:spacing w:lineRule="auto" w:line="288" w:before="240" w:after="283"/>
        <w:jc w:val="left"/>
        <w:rPr/>
      </w:pPr>
      <w:r>
        <w:rPr>
          <w:rFonts w:ascii="Times New Roman;sans-serif" w:hAnsi="Times New Roman;sans-serif"/>
          <w:b w:val="false"/>
          <w:i/>
          <w:color w:val="000000"/>
          <w:sz w:val="20"/>
        </w:rPr>
        <w:t>Non-GAAP earnings (loss) per share of Class A common stock</w:t>
      </w:r>
      <w:r>
        <w:rPr>
          <w:color w:val="000000"/>
        </w:rPr>
        <w:t>—</w:t>
      </w:r>
      <w:r>
        <w:rPr>
          <w:rFonts w:ascii="Times New Roman;sans-serif" w:hAnsi="Times New Roman;sans-serif"/>
          <w:b w:val="false"/>
          <w:i/>
          <w:color w:val="000000"/>
          <w:sz w:val="20"/>
        </w:rPr>
        <w:t>basic and diluted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and other charges, transaction expense and non-operational media purchases, as well as the income tax effect of these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that aids in the understanding and evaluation of our results of operations in the same manner as our management and board of directors.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 potential limitations, you should consider our non-GAAP financial measures only as supplemental to other GAAP-based financial performance measures, including earnings (loss) per share of Class A common stock—basic and diluted.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non-GAAP earnings (loss) per share of Class A common stock is calculated by dividing the non-GAAP net income (loss) attributable to Class A common stockholders by the number of weighted-average shares of Class A common stock outstanding. Shares of our Class B common stock do not share in our earnings or losses and are therefore not participating securities. As such, separate presentation of basic and diluted non-GAAP earnings (loss) of Class B common stock under the two-class method has not been presented.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Diluted non-GAAP earnings (loss) per share of Class A common stock adjusts the basic non-GAAP earnings (loss) per share for the potential dilutive impact of shares of Class A common stock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year ended December 31, 2024, Class B common stock has been excluded from the computation of diluted earnings (loss) per share of Class A common stock because the effect would have been anti-dilutive under the if-converted method. For the year ended December 31, 2023, Class B common stock, restricted stock units, and nonqualified stock options have been excluded from the computation of diluted earnings (loss) per share of Class A common stock because the effect would have been anti-dilutive under both the if-converted and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reconciliation of earnings (loss) per share of Class A common stock—basic and diluted to non-GAAP earnings (loss) per share of Class A common stock—basic and diluted for the years ended December 31, 2024, 2023 and 2022.</w:t>
      </w:r>
    </w:p>
    <w:tbl>
      <w:tblPr>
        <w:tblW w:w="10205" w:type="dxa"/>
        <w:jc w:val="center"/>
        <w:tblInd w:w="0" w:type="dxa"/>
        <w:tblLayout w:type="fixed"/>
        <w:tblCellMar>
          <w:top w:w="28" w:type="dxa"/>
          <w:left w:w="28" w:type="dxa"/>
          <w:bottom w:w="28" w:type="dxa"/>
          <w:right w:w="28" w:type="dxa"/>
        </w:tblCellMar>
      </w:tblPr>
      <w:tblGrid>
        <w:gridCol w:w="2414"/>
        <w:gridCol w:w="1941"/>
        <w:gridCol w:w="1964"/>
        <w:gridCol w:w="211"/>
        <w:gridCol w:w="721"/>
        <w:gridCol w:w="109"/>
        <w:gridCol w:w="109"/>
        <w:gridCol w:w="109"/>
        <w:gridCol w:w="109"/>
        <w:gridCol w:w="226"/>
        <w:gridCol w:w="662"/>
        <w:gridCol w:w="118"/>
        <w:gridCol w:w="109"/>
        <w:gridCol w:w="109"/>
        <w:gridCol w:w="109"/>
        <w:gridCol w:w="229"/>
        <w:gridCol w:w="785"/>
        <w:gridCol w:w="171"/>
      </w:tblGrid>
      <w:tr>
        <w:trPr/>
        <w:tc>
          <w:tcPr>
            <w:tcW w:w="2414"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r>
      <w:tr>
        <w:trPr/>
        <w:tc>
          <w:tcPr>
            <w:tcW w:w="6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back: Restructuring and other</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back: Transaction expense</w:t>
            </w:r>
            <w:r>
              <w:rPr>
                <w:rFonts w:ascii="Times New Roman;sans-serif" w:hAnsi="Times New Roman;sans-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back: Non-operational media purchases</w:t>
            </w:r>
            <w:r>
              <w:rPr>
                <w:rFonts w:ascii="Times New Roman;sans-serif" w:hAnsi="Times New Roman;sans-serif"/>
                <w:b w:val="false"/>
                <w:color w:val="000000"/>
                <w:sz w:val="13"/>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Income tax benefit (expense) related to Viant Technology Inc.’s share of income (loss) after adjustments</w:t>
            </w:r>
            <w:r>
              <w:rPr>
                <w:rFonts w:ascii="Times New Roman;sans-serif" w:hAnsi="Times New Roman;sans-serif"/>
                <w:b w:val="false"/>
                <w:color w:val="000000"/>
                <w:sz w:val="13"/>
              </w:rPr>
              <w:t>(4)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Net income attributable to noncontrolling interests</w:t>
            </w:r>
            <w:r>
              <w:rPr>
                <w:rFonts w:ascii="Times New Roman;sans-serif" w:hAnsi="Times New Roman;sans-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Viant Technology Inc.—basic</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Reallocation of net income (loss) attributable to noncontrolling interest from the assumed exchange of RSUs and NQSOs for Class A common stock</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from the assumed exchange of RSUs and NQSOs for Class A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Viant Technology Inc.—diluted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outstanding—diluted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earnings (loss) per share of Class A common stock—diluted:</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earnings (loss) per share of Class A common stock—diluted</w:t>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 ended December 31, 2024.</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(2)Transaction expense consists of costs incurred related to our recent acquisition, as well as contemplated or completed securities offerings for the year ended December 31, 2024.</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(3)Non-operational media purchases reflects costs incurred for one-time and non-operating supplier purchases that are not billable to the customer for the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shd w:fill="FFFFFF" w:val="clear"/>
        </w:rPr>
        <w:t xml:space="preserve">The estimated income tax effect of our share of income (loss) after non-GAAP reconciling items for the year ended </w:t>
      </w:r>
      <w:r>
        <w:rPr>
          <w:rFonts w:ascii="Times New Roman;sans-serif" w:hAnsi="Times New Roman;sans-serif"/>
          <w:b w:val="false"/>
          <w:color w:val="000000"/>
          <w:sz w:val="20"/>
        </w:rPr>
        <w:t xml:space="preserve">December 31, 2024 </w:t>
      </w:r>
      <w:r>
        <w:rPr>
          <w:rFonts w:ascii="Times New Roman;sans-serif" w:hAnsi="Times New Roman;sans-serif"/>
          <w:b w:val="false"/>
          <w:color w:val="000000"/>
          <w:sz w:val="20"/>
          <w:shd w:fill="FFFFFF" w:val="clear"/>
        </w:rPr>
        <w:t>is calculated using an assumed blended tax rate of 25%, which represents our expected corporate tax rate, excluding discrete and non-recurring tax items</w:t>
      </w:r>
      <w:r>
        <w:rPr>
          <w:rFonts w:ascii="Times New Roman;sans-serif" w:hAnsi="Times New Roman;sans-serif"/>
          <w:b w:val="false"/>
          <w:color w:val="231F20"/>
          <w:sz w:val="20"/>
          <w:shd w:fill="FFFFFF" w:val="clear"/>
        </w:rPr>
        <w:t>.</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(5)</w:t>
      </w:r>
      <w:r>
        <w:rPr>
          <w:rFonts w:ascii="Times New Roman;sans-serif" w:hAnsi="Times New Roman;sans-serif"/>
          <w:b w:val="false"/>
          <w:color w:val="231F20"/>
          <w:sz w:val="20"/>
        </w:rPr>
        <w:t>The adjustment to net income attributable to noncontrolling interests represents stock-based compensation, restructuring and other charges, transaction expense and non-operational media purchases attributed to the noncontrolling interests outstanding during the period.</w:t>
      </w:r>
    </w:p>
    <w:p>
      <w:pPr>
        <w:pStyle w:val="TextBody"/>
        <w:bidi w:val="0"/>
        <w:spacing w:before="12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453"/>
        <w:gridCol w:w="1978"/>
        <w:gridCol w:w="2002"/>
        <w:gridCol w:w="211"/>
        <w:gridCol w:w="656"/>
        <w:gridCol w:w="109"/>
        <w:gridCol w:w="109"/>
        <w:gridCol w:w="109"/>
        <w:gridCol w:w="109"/>
        <w:gridCol w:w="226"/>
        <w:gridCol w:w="662"/>
        <w:gridCol w:w="118"/>
        <w:gridCol w:w="109"/>
        <w:gridCol w:w="109"/>
        <w:gridCol w:w="109"/>
        <w:gridCol w:w="233"/>
        <w:gridCol w:w="730"/>
        <w:gridCol w:w="173"/>
      </w:tblGrid>
      <w:tr>
        <w:trPr/>
        <w:tc>
          <w:tcPr>
            <w:tcW w:w="2453"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2023</w:t>
            </w:r>
          </w:p>
        </w:tc>
      </w:tr>
      <w:tr>
        <w:trPr/>
        <w:tc>
          <w:tcPr>
            <w:tcW w:w="6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Add back: Restructuring and other</w:t>
            </w:r>
            <w:r>
              <w:rPr>
                <w:rFonts w:ascii="Times New Roman;sans-serif" w:hAnsi="Times New Roman;sans-serif"/>
                <w:b w:val="false"/>
                <w:color w:val="000000"/>
                <w:sz w:val="13"/>
              </w:rPr>
              <w:t>(1)</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Income tax benefit (expense) related to Viant Technology Inc.'s share of income (loss) after adjustments</w:t>
            </w:r>
            <w:r>
              <w:rPr>
                <w:rFonts w:ascii="Times New Roman;sans-serif" w:hAnsi="Times New Roman;sans-serif"/>
                <w:b w:val="false"/>
                <w:color w:val="000000"/>
                <w:sz w:val="13"/>
              </w:rPr>
              <w:t>(2)</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Less: Net income (loss) attributable to noncontrolling interests</w:t>
            </w:r>
            <w:r>
              <w:rPr>
                <w:rFonts w:ascii="Times New Roman;sans-serif" w:hAnsi="Times New Roman;sans-serif"/>
                <w:b w:val="false"/>
                <w:color w:val="000000"/>
                <w:sz w:val="13"/>
              </w:rPr>
              <w:t>(3)</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Inc.—basic</w:t>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Reallocation of net income (loss) attributable to noncontrolling interest from the assumed exchange of RSUs and NQSOs for Class A common stock</w:t>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from the assumed exchange of RSUs and NQSOs for Class A common stock</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outstanding—basic</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outstanding—diluted</w:t>
            </w:r>
          </w:p>
        </w:tc>
        <w:tc>
          <w:tcPr>
            <w:tcW w:w="8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earnings (loss) per share of Class A common stock—diluted:</w:t>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47,032 </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earnings (loss) per share of Class A common stock—diluted</w:t>
            </w:r>
          </w:p>
        </w:tc>
        <w:tc>
          <w:tcPr>
            <w:tcW w:w="8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(1)Restructuring and other includes severance and other charges related to aligning our workforce with our strategic performance goals for the year ended December 31, 2023.</w:t>
      </w:r>
    </w:p>
    <w:p>
      <w:pPr>
        <w:pStyle w:val="TextBody"/>
        <w:bidi w:val="0"/>
        <w:spacing w:lineRule="auto" w:line="288" w:before="120" w:after="283"/>
        <w:ind w:left="0" w:right="0" w:hanging="360"/>
        <w:jc w:val="left"/>
        <w:rPr/>
      </w:pPr>
      <w:r>
        <w:rPr>
          <w:rFonts w:ascii="Times New Roman;sans-serif" w:hAnsi="Times New Roman;sans-serif"/>
          <w:b w:val="false"/>
          <w:color w:val="231F20"/>
          <w:sz w:val="20"/>
        </w:rPr>
        <w:t>(2)</w:t>
      </w:r>
      <w:r>
        <w:rPr>
          <w:rFonts w:ascii="Times New Roman;sans-serif" w:hAnsi="Times New Roman;sans-serif"/>
          <w:b w:val="false"/>
          <w:color w:val="000000"/>
          <w:sz w:val="20"/>
          <w:shd w:fill="FFFFFF" w:val="clear"/>
        </w:rPr>
        <w:t xml:space="preserve">The estimated income tax effect of our share of income (loss) after non-GAAP reconciling items for the year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is calculated using an assumed blended tax rate of 21%, which represents our expected corporate tax rate, excluding discrete and non-recurring tax items</w:t>
      </w:r>
      <w:r>
        <w:rPr>
          <w:rFonts w:ascii="Times New Roman;sans-serif" w:hAnsi="Times New Roman;sans-serif"/>
          <w:b w:val="false"/>
          <w:color w:val="231F2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231F20"/>
          <w:sz w:val="20"/>
        </w:rPr>
        <w:t>The adjustment to net income (loss) attributable to noncontrolling interests represents stock-based compensation and restructuring and other charges attributed to the noncontrolling interests outstanding during the period.</w:t>
      </w:r>
    </w:p>
    <w:p>
      <w:pPr>
        <w:pStyle w:val="TextBody"/>
        <w:bidi w:val="0"/>
        <w:spacing w:before="12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2385"/>
        <w:gridCol w:w="1926"/>
        <w:gridCol w:w="1950"/>
        <w:gridCol w:w="211"/>
        <w:gridCol w:w="762"/>
        <w:gridCol w:w="109"/>
        <w:gridCol w:w="109"/>
        <w:gridCol w:w="109"/>
        <w:gridCol w:w="109"/>
        <w:gridCol w:w="226"/>
        <w:gridCol w:w="662"/>
        <w:gridCol w:w="118"/>
        <w:gridCol w:w="109"/>
        <w:gridCol w:w="109"/>
        <w:gridCol w:w="109"/>
        <w:gridCol w:w="224"/>
        <w:gridCol w:w="812"/>
        <w:gridCol w:w="166"/>
      </w:tblGrid>
      <w:tr>
        <w:trPr/>
        <w:tc>
          <w:tcPr>
            <w:tcW w:w="2385"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2022</w:t>
            </w:r>
          </w:p>
        </w:tc>
      </w:tr>
      <w:tr>
        <w:trPr/>
        <w:tc>
          <w:tcPr>
            <w:tcW w:w="6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Non-GAAP </w:t>
              <w:br/>
              <w:t xml:space="preserve">Earnings (Loss) </w:t>
              <w:br/>
              <w:t>per Share</w:t>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Stock-based compensation</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Add back: Restructuring and other</w:t>
            </w:r>
            <w:r>
              <w:rPr>
                <w:rFonts w:ascii="Times New Roman;sans-serif" w:hAnsi="Times New Roman;sans-serif"/>
                <w:b w:val="false"/>
                <w:color w:val="000000"/>
                <w:sz w:val="13"/>
              </w:rPr>
              <w:t>(1)</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Income tax benefit (expense) related to Viant Technology Inc.'s share of income (loss) after adjustments</w:t>
            </w:r>
            <w:r>
              <w:rPr>
                <w:rFonts w:ascii="Times New Roman;sans-serif" w:hAnsi="Times New Roman;sans-serif"/>
                <w:b w:val="false"/>
                <w:color w:val="000000"/>
                <w:sz w:val="13"/>
              </w:rPr>
              <w:t>(2)</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(loss)</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Less: Net income (loss) attributable to noncontrolling interests</w:t>
            </w:r>
            <w:r>
              <w:rPr>
                <w:rFonts w:ascii="Times New Roman;sans-serif" w:hAnsi="Times New Roman;sans-serif"/>
                <w:b w:val="false"/>
                <w:color w:val="000000"/>
                <w:sz w:val="13"/>
              </w:rPr>
              <w:t>(3)</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Inc.—basic</w:t>
            </w:r>
          </w:p>
        </w:tc>
        <w:tc>
          <w:tcPr>
            <w:tcW w:w="9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Reallocation of net income (loss) attributable to noncontrolling interest from the assumed exchange of RSUs for Class A common stock</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from the assumed exchange of RSUs for Class A common stock</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Inc.—diluted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outstanding—basic</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outstanding—diluted</w:t>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earnings (loss) per share of Class A common stock—diluted:</w:t>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earnings (loss) per share of Class A common stock—diluted</w:t>
            </w:r>
          </w:p>
        </w:tc>
        <w:tc>
          <w:tcPr>
            <w:tcW w:w="97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54,671 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231F20"/>
          <w:sz w:val="20"/>
        </w:rPr>
        <w:t>(1)</w:t>
      </w:r>
      <w:r>
        <w:rPr>
          <w:rFonts w:ascii="Times New Roman;sans-serif" w:hAnsi="Times New Roman;sans-serif"/>
          <w:b w:val="false"/>
          <w:color w:val="000000"/>
          <w:sz w:val="20"/>
          <w:shd w:fill="FFFFFF" w:val="clear"/>
        </w:rPr>
        <w:t>Restructuring and other includes severance and other charges related to a reduction in force for the year ended December 31, 2022.</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 xml:space="preserve">(2)The estimated income tax effect of our share of income (loss) after non-GAAP reconciling items for the year ended December 31, 2022 is calculated using an assumed blended tax rate of </w:t>
      </w:r>
      <w:r>
        <w:rPr>
          <w:rFonts w:ascii="Times New Roman;sans-serif" w:hAnsi="Times New Roman;sans-serif"/>
          <w:b w:val="false"/>
          <w:color w:val="000000"/>
          <w:sz w:val="20"/>
          <w:shd w:fill="FFFFFF" w:val="clear"/>
        </w:rPr>
        <w:t>45%</w:t>
      </w:r>
      <w:r>
        <w:rPr>
          <w:rFonts w:ascii="Times New Roman;sans-serif" w:hAnsi="Times New Roman;sans-serif"/>
          <w:b w:val="false"/>
          <w:color w:val="000000"/>
          <w:sz w:val="20"/>
        </w:rPr>
        <w:t>, which represents our expected corporate tax rate, excluding discrete and non-recurring tax items.</w:t>
      </w:r>
    </w:p>
    <w:p>
      <w:pPr>
        <w:pStyle w:val="TextBody"/>
        <w:bidi w:val="0"/>
        <w:spacing w:lineRule="auto" w:line="288" w:before="120" w:after="283"/>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231F20"/>
          <w:sz w:val="20"/>
        </w:rPr>
        <w:t>The adjustment to net income (loss) attributable to noncontrolling interests represents stock-based compensation and restructuring and other charges attributed to the noncontrolling interests outstanding during the period.</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cash and cash equivalents of $205.0 million and working capital, consisting of current assets less current liabilities, of $217.0 million, compared to cash and cash equivalents of $216.5 million and working capital of $231.6 million as of December 31,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cash are revenues derived from the programmatic purchase of advertising on our platform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are capital expenditures to develop our technology in support of enhancing our platform; purchases of property and equipment in support of our expanding headcount as a result of our growth; the payment of debt obligations used to finance our operations, capital expenditures, platform development and rapid growth; future minimum payments under our non-cancelable operating leases; repurchases under the stock repurchase program; and acquisitions. We intend to continue investing in critical areas of our business in 2025 to further accelerate demand for our product and growth across the platform.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will be sufficient to meet our cash requirements over the next 12 months from the date of this report. We believe we will meet longer-term expected future cash requirements and obligations beyond the next 12 months through a combination of existing cash and cash equivalents, cash flow from operations, the undrawn availability under our revolving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Annual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material cash requirements from non-cancelable contractual obligations with an original duration of over one year included future minimum payments under our non-cancelable operating leases, which we estimate will be approximately $5.7 million in 2025, $5.4 million in 2026, $5.4 million in 2027, $4.1 million in 2028, and $3.6 million in 2029 and non-cancelable contractual agreements primarily related to the hosting of our data storage processing, storage, and other computing services, which we estimate will be approximately $15.4 million in 2025, $15.0 million in 2026, $10.5 million in 2027, and $2.1 million in 2028.</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have any other off-balance sheet arrangements as of December 31, 2024 other than the minimum payments under the operating leases, hosting arrangements, and the indemnification agreements described above and in Note 13—Commitments and Contingencies to our consolidated financial statements included elsewhere in this Annual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initial public offering ("IPO"), we entered into a Tax Receivable Agreement (the "TRA") with Viant Technology LLC, continuing members of Viant Technology LLC (our “pre-IPO owners”) and the TRA Representative (as defined in the TRA), as described under Note 10—Income Taxes and Tax Receivable Agreement to our consolidated financial statements included elsewhere in this Annual Report. From time to time, our subsidiary, Viant Technology LLC, makes cash distributions on a pro rata basis to its members to the extent necessary to cover the members’ tax liabilities with respect to their share of earnings of Viant Technology LLC. These payments are reflected within “Payment of member tax distributions” on the consolidated statements of cash flows. As of December 31, 2024 we concluded that it was more likely than not that our deferred tax assets subject to the TRA would not be realized. Therefore, the Company has not recorded a liability related to the remaining tax savings it may realize from utilization of such deferred tax assets. As of December 31, 2024, the total unrecorded liability for our TRA is approximately $11.2 million. If utilization of the deferred tax asset subject to the TRA becomes more likely than not in the future, the Company will record a liability related to the TRA which will be recognized as an expense within its consolidated statements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Shelf Registration Statement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filed a “shelf” registration statement on Form S-3 (Reg. No. 333-278177) with the SEC, which was declared effective on April 23, 2024. This shelf registration statement, which includes a base prospectus, allows us at any time to offer any combination of securities described in the prospectus in one or more offerings for our own account in an aggregate amount up to $100 million and allows certain selling securityholders to offer and sell up to 10,000,000 shares of Class A common stock in one or more offerings. The Form S-3 is intended to provide us flexibility to conduct registered sales of our securities, subject to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conditions and our future capital needs. The terms of any future offering under the shelf registration statement will be established at the time of such offering and will be described in a prospectus supplement filed with the SEC prior to the completion of any such offering. We would not receive any proceeds from any sale of our Class A common stock by the selling security holders.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23, 2024, our board of directors approved a stock repurchase program with authorization to purchase up to $50 million in shares of our Class A common stock or Class B units of Viant Technology LLC. For the year ended December 31, 2024, we repurchased 1.8 million shares of our Class A common stock, which includes unsettled repurchases as of December 31, 2024, for an aggregate amount of $21.7 million, including costs associated with the repurchases. As of December 31, 2024, $28.3 million remained available under the stock repurchase program for Class A common stock and Class B unit repurchases. For additional information related to share repurchases, refer to Note 9—Stockholders' Equity to our consolidated financial statements included elsewhere in this Annual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Amended Loan Agreement provided us with access to a $75.0 million senior secured revolving credit facility with a maturity date of April 4, 2028 that is collateralized by security interests in substantially all of our assets. As of December 31, 2024, there was no outstanding balance and up to $74.1 million of undrawn availability under the revolving credit facility.</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December 31, 2024, </w:t>
      </w:r>
      <w:r>
        <w:rPr>
          <w:rFonts w:ascii="Times New Roman;sans-serif" w:hAnsi="Times New Roman;sans-serif"/>
          <w:b w:val="false"/>
          <w:color w:val="231F20"/>
          <w:sz w:val="20"/>
        </w:rPr>
        <w:t>the Company was in compliance with all applicable covenants under the Amended Loan Agreement.</w:t>
      </w:r>
      <w:r>
        <w:rPr>
          <w:color w:val="000000"/>
        </w:rPr>
        <w:t xml:space="preserve"> </w:t>
      </w:r>
      <w:r>
        <w:rPr>
          <w:rFonts w:ascii="Times New Roman;sans-serif" w:hAnsi="Times New Roman;sans-serif"/>
          <w:b w:val="false"/>
          <w:color w:val="000000"/>
          <w:sz w:val="20"/>
        </w:rPr>
        <w:t>We do not believe this covenant or any other provision in the Amended Loan Agreement will materially impact our liquidity or otherwise restrict our ability to execute on our business plan during or beyond the next 12 months.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discussion of our Amended Loan Agreement, refer to Note 8—Revolving Credit Facility to our consolidated financial statements included elsewhere in this Annual Report.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investing and financing activities for the fiscal years ended December 31, 2024 and 2023, as reflected in the consolidated statements of cash flows included in Item 8 of this Annual Report, are summarized in the following table:</w:t>
      </w:r>
    </w:p>
    <w:tbl>
      <w:tblPr>
        <w:tblW w:w="6848" w:type="dxa"/>
        <w:jc w:val="center"/>
        <w:tblInd w:w="0" w:type="dxa"/>
        <w:tblLayout w:type="fixed"/>
        <w:tblCellMar>
          <w:top w:w="28" w:type="dxa"/>
          <w:left w:w="28" w:type="dxa"/>
          <w:bottom w:w="28" w:type="dxa"/>
          <w:right w:w="28" w:type="dxa"/>
        </w:tblCellMar>
      </w:tblPr>
      <w:tblGrid>
        <w:gridCol w:w="1565"/>
        <w:gridCol w:w="1375"/>
        <w:gridCol w:w="1379"/>
        <w:gridCol w:w="211"/>
        <w:gridCol w:w="796"/>
        <w:gridCol w:w="109"/>
        <w:gridCol w:w="109"/>
        <w:gridCol w:w="109"/>
        <w:gridCol w:w="109"/>
        <w:gridCol w:w="211"/>
        <w:gridCol w:w="72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 Data</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Provided by Operating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provided by operating activities for the year ended December 31, 2024 was $51.8 million, a net increase of $14.0 million, or 37%, from cash flows provided by operating activities for the year ended December 31, 2023 of $37.8 million. Cash flows provided by operating activities during the year ended December 31, 2024 resulted primarily from: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231F20"/>
          <w:sz w:val="20"/>
        </w:rPr>
        <w:t>an increase of $12.5 million from net income;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231F20"/>
          <w:sz w:val="20"/>
        </w:rPr>
        <w:t xml:space="preserve">an increase of $43.0 million due to noncash add back adjustments to net income primarily comprised of $21.0 million for stock-based compensation, $16.5 million for depreciation and amortization, $4.0 million of noncash lease expense and </w:t>
      </w:r>
      <w:r>
        <w:rPr>
          <w:rFonts w:ascii="Times New Roman;sans-serif" w:hAnsi="Times New Roman;sans-serif"/>
          <w:b w:val="false"/>
          <w:color w:val="000000"/>
          <w:sz w:val="20"/>
        </w:rPr>
        <w:t>$1.4</w:t>
      </w:r>
      <w:r>
        <w:rPr>
          <w:color w:val="231F20"/>
        </w:rPr>
        <w:t xml:space="preserve"> </w:t>
      </w:r>
      <w:r>
        <w:rPr>
          <w:rFonts w:ascii="Times New Roman;sans-serif" w:hAnsi="Times New Roman;sans-serif"/>
          <w:b w:val="false"/>
          <w:color w:val="231F20"/>
          <w:sz w:val="20"/>
        </w:rPr>
        <w:t>million for the provision for doubtful accounts;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231F20"/>
          <w:sz w:val="20"/>
        </w:rPr>
        <w:t>a decrease of $1.5 million from changes in working capital (excluding deferred revenue, other liabilities, and operating lease liabilities), including a net decrease of $34.1 million in accounts receivable, prepaid assets and other assets primarily related to higher sales and timing of customer collections due to seasonal fluctuations as well as an increase of $32.6 million in accounts payable, accrued liabilities and accrued compensation primarily related to timing of payments;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 decrease in operating lease liabilities of </w:t>
      </w:r>
      <w:r>
        <w:rPr>
          <w:rFonts w:ascii="Times New Roman;sans-serif" w:hAnsi="Times New Roman;sans-serif"/>
          <w:b w:val="false"/>
          <w:color w:val="231F20"/>
          <w:sz w:val="20"/>
        </w:rPr>
        <w:t>$4.1</w:t>
      </w:r>
      <w:r>
        <w:rPr>
          <w:color w:val="000000"/>
        </w:rPr>
        <w:t xml:space="preserve"> </w:t>
      </w:r>
      <w:r>
        <w:rPr>
          <w:rFonts w:ascii="Times New Roman;sans-serif" w:hAnsi="Times New Roman;sans-serif"/>
          <w:b w:val="false"/>
          <w:color w:val="000000"/>
          <w:sz w:val="20"/>
        </w:rPr>
        <w:t>million;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 increase in other liabilities of $1.8 million.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cash provided by operating activities of $37.8 million resulted primarily from a net loss of $9.9 million; an increase of $51.2 million primarily due to noncash add back adjustments to net loss of $32.3 million for stock-based compensation, $14.7 million for depreciation and amortization and $4.0 million of noncash lease expense; a decrease in net working capital (excluding deferred revenue, operating lease liabilities and other liabilities) of $0.6 million; an increase in deferred revenue of $0.2 million; a decrease in operating lease liabilities of $3.8 million; and an increase in other liabilities of $0.7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Investing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investing activities have consisted of capital expenditures to develop our technology in support of enhancing our platform, purchases of property and equipment in support of our growth, and acquisitions.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the timing of our platform development cycles. As a result of capitalization of stock-based compensation in future periods and the growth of our business, we expect our capital expenditures and our investment activity to continue to increase.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used in investing activities for the year ended December 31, 2024 was $27.7 million, a net increase of $14.3 million, or 106%, from cash flows used in investing activities for the year ended December 31, 2023 of $13.5 million. Cash flows used in investing activities for the year ended December 31, 2024 resulted primarily from: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$15.2 million of investments in capitalized software to develop our technology in support of enhancing our platform;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$10.0 million of cash paid related to the acquisition of IRIS.TV;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$2.5 million of purchases of property and equipment.</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 xml:space="preserve">During the year ended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cash used in investing activities of </w:t>
      </w:r>
      <w:r>
        <w:rPr>
          <w:rFonts w:ascii="Times New Roman;sans-serif" w:hAnsi="Times New Roman;sans-serif"/>
          <w:b w:val="false"/>
          <w:color w:val="000000"/>
          <w:sz w:val="20"/>
        </w:rPr>
        <w:t>$13.5</w:t>
      </w:r>
      <w:r>
        <w:rPr>
          <w:color w:val="231F20"/>
        </w:rPr>
        <w:t xml:space="preserve"> </w:t>
      </w:r>
      <w:r>
        <w:rPr>
          <w:rFonts w:ascii="Times New Roman;sans-serif" w:hAnsi="Times New Roman;sans-serif"/>
          <w:b w:val="false"/>
          <w:color w:val="231F20"/>
          <w:sz w:val="20"/>
        </w:rPr>
        <w:t xml:space="preserve">million resulted from </w:t>
      </w:r>
      <w:r>
        <w:rPr>
          <w:rFonts w:ascii="Times New Roman;sans-serif" w:hAnsi="Times New Roman;sans-serif"/>
          <w:b w:val="false"/>
          <w:color w:val="000000"/>
          <w:sz w:val="20"/>
        </w:rPr>
        <w:t xml:space="preserve">$12.3 million of </w:t>
      </w:r>
      <w:r>
        <w:rPr>
          <w:rFonts w:ascii="Times New Roman;sans-serif" w:hAnsi="Times New Roman;sans-serif"/>
          <w:b w:val="false"/>
          <w:color w:val="231F20"/>
          <w:sz w:val="20"/>
        </w:rPr>
        <w:t xml:space="preserve">investments in capitalized software development costs and </w:t>
      </w:r>
      <w:r>
        <w:rPr>
          <w:rFonts w:ascii="Times New Roman;sans-serif" w:hAnsi="Times New Roman;sans-serif"/>
          <w:b w:val="false"/>
          <w:color w:val="000000"/>
          <w:sz w:val="20"/>
        </w:rPr>
        <w:t xml:space="preserve">$1.2 million of </w:t>
      </w:r>
      <w:r>
        <w:rPr>
          <w:rFonts w:ascii="Times New Roman;sans-serif" w:hAnsi="Times New Roman;sans-serif"/>
          <w:b w:val="false"/>
          <w:color w:val="231F20"/>
          <w:sz w:val="20"/>
        </w:rPr>
        <w:t>purchases of property and equipment.</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 Used in Financing Activities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financing activities have consisted primarily of repayments of our debt, issuances of our equity and payments of member distributions in accordance with their assumed tax liabilities, repurchases of stock in connection with the taxes paid related to the vesting of equity awards and repurchases of stock related to the stock repurchase program. Net cash provided by or used in financing activities has been and will be used to finance our operations, capital expenditures, platform development and growth.</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Our cash flows used in financing activities for the year ended December 31, 2024 was $35.4 million, a net increase of $21.0 million, or 146%, from cash flows used in financing activities for the year ended December 31, 2023 of $14.4 million. </w:t>
      </w:r>
      <w:r>
        <w:rPr>
          <w:rFonts w:ascii="Times New Roman;sans-serif" w:hAnsi="Times New Roman;sans-serif"/>
          <w:b w:val="false"/>
          <w:color w:val="231F20"/>
          <w:sz w:val="20"/>
        </w:rPr>
        <w:t xml:space="preserve">Cash flows used in financing activities for the year ended </w:t>
      </w:r>
      <w:r>
        <w:rPr>
          <w:rFonts w:ascii="Times New Roman;sans-serif" w:hAnsi="Times New Roman;sans-serif"/>
          <w:b w:val="false"/>
          <w:color w:val="000000"/>
          <w:sz w:val="20"/>
        </w:rPr>
        <w:t>December 31, 2024 resulted primarily from: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$21.6 million for the repurchase of stock related to the stock repurchase program;</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$10.7 million for the </w:t>
      </w:r>
      <w:r>
        <w:rPr>
          <w:rFonts w:ascii="Times New Roman;sans-serif" w:hAnsi="Times New Roman;sans-serif"/>
          <w:b w:val="false"/>
          <w:color w:val="231F20"/>
          <w:sz w:val="20"/>
        </w:rPr>
        <w:t>repurchase of stock in connection with the taxes paid related to the vesting of equity award</w:t>
      </w:r>
      <w:r>
        <w:rPr>
          <w:rFonts w:ascii="Times New Roman;sans-serif" w:hAnsi="Times New Roman;sans-serif"/>
          <w:b w:val="false"/>
          <w:color w:val="000000"/>
          <w:sz w:val="20"/>
        </w:rPr>
        <w: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$6.0 million for payments related to member tax distributions; and partially offset by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$3.1 million of proceeds related to the exercise of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ind w:left="0" w:right="0" w:firstLine="490"/>
        <w:jc w:val="left"/>
        <w:rPr/>
      </w:pPr>
      <w:r>
        <w:rPr>
          <w:rFonts w:ascii="Times New Roman;sans-serif" w:hAnsi="Times New Roman;sans-serif"/>
          <w:b w:val="false"/>
          <w:color w:val="231F20"/>
          <w:sz w:val="20"/>
        </w:rPr>
        <w:t xml:space="preserve">During the year ended </w:t>
      </w:r>
      <w:r>
        <w:rPr>
          <w:rFonts w:ascii="Times New Roman;sans-serif" w:hAnsi="Times New Roman;sans-serif"/>
          <w:b w:val="false"/>
          <w:color w:val="000000"/>
          <w:sz w:val="20"/>
        </w:rPr>
        <w:t>December 31, 2023</w:t>
      </w:r>
      <w:r>
        <w:rPr>
          <w:rFonts w:ascii="Times New Roman;sans-serif" w:hAnsi="Times New Roman;sans-serif"/>
          <w:b w:val="false"/>
          <w:color w:val="231F20"/>
          <w:sz w:val="20"/>
        </w:rPr>
        <w:t xml:space="preserve">, cash used in financing activities of </w:t>
      </w:r>
      <w:r>
        <w:rPr>
          <w:rFonts w:ascii="Times New Roman;sans-serif" w:hAnsi="Times New Roman;sans-serif"/>
          <w:b w:val="false"/>
          <w:color w:val="000000"/>
          <w:sz w:val="20"/>
        </w:rPr>
        <w:t>$14.4</w:t>
      </w:r>
      <w:r>
        <w:rPr>
          <w:color w:val="231F20"/>
        </w:rPr>
        <w:t xml:space="preserve"> </w:t>
      </w:r>
      <w:r>
        <w:rPr>
          <w:rFonts w:ascii="Times New Roman;sans-serif" w:hAnsi="Times New Roman;sans-serif"/>
          <w:b w:val="false"/>
          <w:color w:val="231F20"/>
          <w:sz w:val="20"/>
        </w:rPr>
        <w:t xml:space="preserve">million resulted from </w:t>
      </w:r>
      <w:r>
        <w:rPr>
          <w:rFonts w:ascii="Times New Roman;sans-serif" w:hAnsi="Times New Roman;sans-serif"/>
          <w:b w:val="false"/>
          <w:color w:val="000000"/>
          <w:sz w:val="20"/>
        </w:rPr>
        <w:t>$10.2</w:t>
      </w:r>
      <w:r>
        <w:rPr>
          <w:color w:val="231F20"/>
        </w:rPr>
        <w:t xml:space="preserve"> </w:t>
      </w:r>
      <w:r>
        <w:rPr>
          <w:rFonts w:ascii="Times New Roman;sans-serif" w:hAnsi="Times New Roman;sans-serif"/>
          <w:b w:val="false"/>
          <w:color w:val="231F20"/>
          <w:sz w:val="20"/>
        </w:rPr>
        <w:t xml:space="preserve">million for payments related to member tax distributions and </w:t>
      </w:r>
      <w:r>
        <w:rPr>
          <w:rFonts w:ascii="Times New Roman;sans-serif" w:hAnsi="Times New Roman;sans-serif"/>
          <w:b w:val="false"/>
          <w:color w:val="000000"/>
          <w:sz w:val="20"/>
        </w:rPr>
        <w:t>$4.2</w:t>
      </w:r>
      <w:r>
        <w:rPr>
          <w:color w:val="231F20"/>
        </w:rPr>
        <w:t xml:space="preserve"> </w:t>
      </w:r>
      <w:r>
        <w:rPr>
          <w:rFonts w:ascii="Times New Roman;sans-serif" w:hAnsi="Times New Roman;sans-serif"/>
          <w:b w:val="false"/>
          <w:color w:val="231F20"/>
          <w:sz w:val="20"/>
        </w:rPr>
        <w:t>million for the repurchase of stock in connection with the taxes paid related to the vesting of equity awards.</w:t>
      </w:r>
    </w:p>
    <w:p>
      <w:pPr>
        <w:pStyle w:val="TextBody"/>
        <w:bidi w:val="0"/>
        <w:spacing w:lineRule="auto" w:line="26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Fiscal 2023 Changes in Cash Flows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For the comparison of fiscal 2023 to fiscal 2022, refer to Part II, Item 7 "Management's Discussion and Analysis of Financial Condition and Results of Operations— Liquidity and Capital Resources" included in our Annual Report on Form 10-K for our fiscal year ended December 31, 2023, filed with the SEC on March 4, 2024 under the subheading "Liquidity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and internal use software have the greatest potential impact on our consolidated financial statements. Therefore, we consider these to be our critical accounting policies and estimates.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See Note 2</w:t>
      </w:r>
      <w:r>
        <w:rPr>
          <w:color w:val="000000"/>
        </w:rPr>
        <w:t>—</w:t>
      </w:r>
      <w:r>
        <w:rPr>
          <w:rFonts w:ascii="Times New Roman;sans-serif" w:hAnsi="Times New Roman;sans-serif"/>
          <w:b w:val="false"/>
          <w:color w:val="000000"/>
          <w:sz w:val="20"/>
        </w:rPr>
        <w:t>Basis of Presentation and Summary of Significant Accounting Policies</w:t>
      </w:r>
      <w:r>
        <w:rPr>
          <w:color w:val="231F20"/>
        </w:rPr>
        <w:t xml:space="preserve"> </w:t>
      </w:r>
      <w:r>
        <w:rPr>
          <w:rFonts w:ascii="Times New Roman;sans-serif" w:hAnsi="Times New Roman;sans-serif"/>
          <w:b w:val="false"/>
          <w:color w:val="231F20"/>
          <w:sz w:val="20"/>
        </w:rPr>
        <w:t xml:space="preserve">to our consolidated financial statements included elsewhere in this Annual Report for additional information on the </w:t>
      </w:r>
      <w:r>
        <w:rPr>
          <w:rFonts w:ascii="Times New Roman;sans-serif" w:hAnsi="Times New Roman;sans-serif"/>
          <w:b w:val="false"/>
          <w:color w:val="000000"/>
          <w:sz w:val="20"/>
          <w:shd w:fill="FFFFFF" w:val="clear"/>
        </w:rPr>
        <w:t>significant accounting policies and methods used in the preparation of our consolidated</w:t>
      </w:r>
      <w:r>
        <w:rPr>
          <w:color w:val="231F20"/>
        </w:rPr>
        <w:t xml:space="preserve"> </w:t>
      </w:r>
      <w:r>
        <w:rPr>
          <w:rFonts w:ascii="Times New Roman;sans-serif" w:hAnsi="Times New Roman;sans-serif"/>
          <w:b w:val="false"/>
          <w:color w:val="231F20"/>
          <w:sz w:val="20"/>
        </w:rPr>
        <w:t>financial statements.</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Revenue Recognition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our revenue by providing marketers and advertising agencies with the ability to plan, buy and measure their digital advertising campaigns using our DSP. Our platform enables marketers and their advertising agencies to reach their target audience across CTV, streaming audio, digital out-of-home, mobile and desktop.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apply a five-step approach as defined in Financial Accounting Standards Board (“FASB”) Accounting Standards Codification (“ASC”) 606, Revenue from Contracts with Customers (“ASC 606”), in determining the amount and timing of revenue to be recognized: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Identification of a contract with a customer;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Recognition of revenue when or as the performance obligations are satisfied.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our platform available through different pricing options to tailor to multiple customer types and customer needs. These options consist of a percentage of spend option and a fixed CPM option. “CPM” refers to a payment option in which customers pay a price for every 1,000 impressions an ad receives. We generate revenue when our platform is used on a self-service basis by charging a platform fee that is a percentage of spend. We also offer our customers the ability to use our services to aid in data management, media execution and advanced reporting. When customers utilize these services, we generate revenue by charging (1) a separate service fee that represents a percentage of spend in addition to the platform fee; (2) a flat monthly fee; or (3) a fixed CPM.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agreements with our customers in the form of MSAs in connection with the percentage of spend pricing option, as well as instances where we charge our customers a flat monthly fee. We maintain IOs in connection with the fixed CPM pricing option, which set out the terms of the relationship and use of our platform. The nature of our performance obligations is to enable customers to plan, buy and measure advertising campaigns using our platform and provide campaign execution services as requested.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percentage of spend pricing option, we typically bill customers a platform fee, and in certain instances an additional service fee, which is based on a specified percentage of the customer’s purchases through the platform as well as fees for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features such as data and advanced reporting, plus the cost of TAC. We recognize revenue at the point in time when a purchase by the customer occurs through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determination of whether revenue for the percentage of spend pricing option should be reported on a gross or net basis is based on an assessment of whether we are acting as the principal or an agent in the transaction. In determining whether we are acting as the principal or an agent, we follow the accounting guidance for principal-agent considerations. Making such determinations involves judgment and is based on an evaluation of the terms of each arrangement, none of which are considered presumptive or determinative.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instances discussed above related to the percentage of spend pricing option, </w:t>
      </w:r>
      <w:r>
        <w:rPr>
          <w:rFonts w:ascii="Times New Roman;sans-serif" w:hAnsi="Times New Roman;sans-serif"/>
          <w:b w:val="false"/>
          <w:color w:val="000000"/>
          <w:sz w:val="20"/>
          <w:shd w:fill="FFFFFF" w:val="clear"/>
        </w:rPr>
        <w:t xml:space="preserve">we typically act as an agent because </w:t>
      </w:r>
      <w:r>
        <w:rPr>
          <w:rFonts w:ascii="Times New Roman;sans-serif" w:hAnsi="Times New Roman;sans-serif"/>
          <w:b w:val="false"/>
          <w:color w:val="000000"/>
          <w:sz w:val="20"/>
        </w:rPr>
        <w:t xml:space="preserve">we arrange for the transfer of such costs from the supplier to the customer through the use of our platform and do not control such features prior to transfer to the customer. We do not have primary responsibility for meeting customer specifications and do not have discretion in establishing the price of TAC related to this pricing option. </w:t>
      </w:r>
      <w:r>
        <w:rPr>
          <w:rFonts w:ascii="Times New Roman;sans-serif" w:hAnsi="Times New Roman;sans-serif"/>
          <w:b w:val="false"/>
          <w:color w:val="000000"/>
          <w:sz w:val="20"/>
          <w:shd w:fill="FFFFFF" w:val="clear"/>
        </w:rPr>
        <w:t>As we act as the agent in these arrangements, we report revenue on a net basis.</w:t>
      </w:r>
      <w:r>
        <w:rPr>
          <w:color w:val="000000"/>
        </w:rPr>
        <w:t xml:space="preserve"> </w:t>
      </w:r>
      <w:r>
        <w:rPr>
          <w:rFonts w:ascii="Times New Roman;sans-serif" w:hAnsi="Times New Roman;sans-serif"/>
          <w:b w:val="false"/>
          <w:color w:val="000000"/>
          <w:sz w:val="20"/>
          <w:shd w:fill="FFFFFF" w:val="clear"/>
        </w:rPr>
        <w:t>In certain percentage of spend arrangements, we act as a principal because we control the advertising inventory before it is transferred to the customer, and we bear sole responsibility for fulfillment of the advertising promise and inventory risks. As we act as the principal in these arrangements, we report revenue and the related costs incurred on a gross basis.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For the fixed CPM pricing option, we typically bill customers a fixed CPM price based on advertising impressions delivered through the platform and recognize revenue at the point in time when the advertising impressions are delivered. In certain cases, we also provide third party data segments and measurement reporting, which are recognized at the point in time they are delivered to the customer. We have the primary responsibility for meeting customer specifications and have discretion in establishing the price of TAC related to this pricing option. </w:t>
      </w:r>
      <w:r>
        <w:rPr>
          <w:rFonts w:ascii="Times New Roman;sans-serif" w:hAnsi="Times New Roman;sans-serif"/>
          <w:b w:val="false"/>
          <w:color w:val="000000"/>
          <w:sz w:val="20"/>
          <w:shd w:fill="FFFFFF" w:val="clear"/>
        </w:rPr>
        <w:t>As we act as the principal in these arrangements, we report revenue and the related costs incurred on a gross basis.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invoice our customers on a monthly basis for all pricing options. Invoice payment terms, negotiated on a customer-by-customer basis, are typically 30 to 60 days. Advertising agency customers typically have sequential liability terms, which means payments are not due to us from our advertising agency customer until the advertising agency customer has received payment from its customer, the advertiser.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contract assets recorded on the consolidated balance sheets because our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ASC 606 provides various optional practical expedients. We elected the use of the practical expedient relating to the disclosure of remaining performance obligations within a contract and will not disclose remaining performance obligations for contracts with an original expected duration of one year or less.</w:t>
      </w:r>
    </w:p>
    <w:p>
      <w:pPr>
        <w:pStyle w:val="TextBody"/>
        <w:bidi w:val="0"/>
        <w:spacing w:lineRule="auto" w:line="288" w:before="24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Internal Use Software</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We capitalize certain costs associated with creating and enhancing internally developed software. These costs include personnel and related employee benefits expenses for employees who are directly associated with and who devote time to software development projects. Software development costs that do not qualify for capitalization are expensed as incurred and recorded in technology and development expense in the consolidated statements of operations.</w:t>
      </w:r>
    </w:p>
    <w:p>
      <w:pPr>
        <w:pStyle w:val="TextBody"/>
        <w:bidi w:val="0"/>
        <w:spacing w:lineRule="auto" w:line="288" w:before="120" w:after="283"/>
        <w:ind w:left="0" w:right="0" w:firstLine="540"/>
        <w:jc w:val="left"/>
        <w:rPr>
          <w:rFonts w:ascii="Times New Roman;sans-serif" w:hAnsi="Times New Roman;sans-serif"/>
          <w:b w:val="false"/>
          <w:color w:val="231F20"/>
          <w:sz w:val="20"/>
        </w:rPr>
      </w:pPr>
      <w:r>
        <w:rPr>
          <w:rFonts w:ascii="Times New Roman;sans-serif" w:hAnsi="Times New Roman;sans-serif"/>
          <w:b w:val="false"/>
          <w:color w:val="231F20"/>
          <w:sz w:val="20"/>
        </w:rPr>
        <w:t>Software development activities typically consist of three stages: (1) the planning stage; (2) the application and infrastructure development stage; and (3) the post-implementation stage. Costs incurred in the planning and post-implementation stages, including costs associated with training and repairs and maintenance of the developed technologies, are expensed as incurred. We capitalize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is ready for its intended purpose, at which point the software begins to be depreciated over its estimated useful life.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relates to equity awards granted under the Company’s 2021 Long-Term Incentive Plan (the “LTIP”), which is measured and recognized in the consolidated financial statements based on the fair value of the equity awards granted. Since inception of the LTIP, the Company has only granted restricted stock units (“RSUs”) and nonqualified stock options ("NQSOs"). The fair value of RSUs is calculated using the closing market price of the Company’s Class A common stock on the date of grant. The fair value of nonqualified stock options is estimated using the Black-Scholes option pricing model. The Black-Scholes option pricing model is impacted by the fair value of the Company’s Class A common stock, as well as changes in certain assumptions, including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MANAGEMENT’S DISCUSSION AND ANALYSIS OF </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FINANCIAL CONDITION AND RESULTS OF OPERATIONS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percentages and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limited to, the expected Class A common stock price volatility over the term of the nonqualified stock options, the expected term of the nonqualified stock options, the risk-free interest rate, and the expected dividend yield. The Company records compensation for all equity awards under the LTIP under the straight-line attribution method over the requisite service period. The Company has elected the accounting policy for stock-based compensation to account for forfeitures as they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5, 2012, the JOBS Act was signed into law. The JOBS Act contains provisions that, among other things, reduce certain reporting requirements for qualifying public companies. As an “emerging growth company,” we 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less than $1 billion of non-convertible debt over a three-year period and is not deemed to be a large accelerated filer under the rules of the SEC. We will remain an emerging growth company until December 31, 2026, or sooner if we no longer qualify. We may take advantage of this extended transition period until the first to occur of the date that we (i) are no longer an “emerging growth company” or (ii) affirmatively and irrevocably opt out of this extended transition period.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elected to take advantage of the benefits of this extended transition period. Until the date that we are no longer an “emerging growth company” or affirmatively and irrevocably opt out of the exemption provided by Securities Act Section 7(a)(2)(B), upon issuance of a new or revised accounting standard that applies to our consolidated financial statements and that has a different effective date for public and private companies, the Company will disclose the date on which adoption is required for non-emerging growth companies and the date on which we will adopt the recently issued accounting standard.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recently issued accounting pronouncements, see Note 2—Basis of Presentation and Summary of Significant Accounting Policies to our consolidated financial statements included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Disclosures About Market Risk.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primarily within the United States, and we are exposed to market risks in the ordinary course of our business, including the effects of interest rate changes, foreign currency fluctuations and inflation.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be exposed to market risk from changes in interest rates on our Amended Loan Agreement, which accrues interest at a variable rate. We have not used any derivative financial instruments to manage our interest rate risk exposure. As of December 31, 2024, we had no outstanding balances on our revolving credit facility and had no market risk from changes in interest rates as of such date.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INDEX TO FINANCIAL STATEMENTS</w:t>
      </w:r>
    </w:p>
    <w:tbl>
      <w:tblPr>
        <w:tblW w:w="6837" w:type="dxa"/>
        <w:jc w:val="center"/>
        <w:tblInd w:w="0" w:type="dxa"/>
        <w:tblLayout w:type="fixed"/>
        <w:tblCellMar>
          <w:top w:w="28" w:type="dxa"/>
          <w:left w:w="28" w:type="dxa"/>
          <w:bottom w:w="28" w:type="dxa"/>
          <w:right w:w="28" w:type="dxa"/>
        </w:tblCellMar>
      </w:tblPr>
      <w:tblGrid>
        <w:gridCol w:w="2340"/>
        <w:gridCol w:w="2057"/>
        <w:gridCol w:w="2068"/>
        <w:gridCol w:w="109"/>
        <w:gridCol w:w="109"/>
        <w:gridCol w:w="154"/>
      </w:tblGrid>
      <w:tr>
        <w:trPr/>
        <w:tc>
          <w:tcPr>
            <w:tcW w:w="2340"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1cf36166504df9900859e32c21e8d3_97">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No.34)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1cf36166504df9900859e32c21e8d3_97">
              <w:r>
                <w:rPr>
                  <w:rStyle w:val="InternetLink"/>
                  <w:rFonts w:ascii="Times New Roman;sans-serif" w:hAnsi="Times New Roman;sans-serif"/>
                  <w:b w:val="false"/>
                  <w:strike w:val="false"/>
                  <w:dstrike w:val="false"/>
                  <w:color w:val="000000"/>
                  <w:sz w:val="20"/>
                  <w:u w:val="none"/>
                  <w:effect w:val="none"/>
                </w:rPr>
                <w:t>79</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1cf36166504df9900859e32c21e8d3_100">
              <w:r>
                <w:rPr>
                  <w:rStyle w:val="InternetLink"/>
                  <w:rFonts w:ascii="Times New Roman;sans-serif" w:hAnsi="Times New Roman;sans-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1cf36166504df9900859e32c21e8d3_100">
              <w:r>
                <w:rPr>
                  <w:rStyle w:val="InternetLink"/>
                  <w:rFonts w:ascii="Times New Roman;sans-serif" w:hAnsi="Times New Roman;sans-serif"/>
                  <w:b w:val="false"/>
                  <w:strike w:val="false"/>
                  <w:dstrike w:val="false"/>
                  <w:color w:val="000000"/>
                  <w:sz w:val="20"/>
                  <w:u w:val="none"/>
                  <w:effect w:val="none"/>
                </w:rPr>
                <w:t>80</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1cf36166504df9900859e32c21e8d3_103">
              <w:r>
                <w:rPr>
                  <w:rStyle w:val="InternetLink"/>
                  <w:rFonts w:ascii="Times New Roman;sans-serif" w:hAnsi="Times New Roman;sans-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1cf36166504df9900859e32c21e8d3_103">
              <w:r>
                <w:rPr>
                  <w:rStyle w:val="InternetLink"/>
                  <w:rFonts w:ascii="Times New Roman;sans-serif" w:hAnsi="Times New Roman;sans-serif"/>
                  <w:b w:val="false"/>
                  <w:strike w:val="false"/>
                  <w:dstrike w:val="false"/>
                  <w:color w:val="000000"/>
                  <w:sz w:val="20"/>
                  <w:u w:val="none"/>
                  <w:effect w:val="none"/>
                </w:rPr>
                <w:t>81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1cf36166504df9900859e32c21e8d3_106">
              <w:r>
                <w:rPr>
                  <w:rStyle w:val="InternetLink"/>
                  <w:rFonts w:ascii="Times New Roman;sans-serif" w:hAnsi="Times New Roman;sans-serif"/>
                  <w:b w:val="false"/>
                  <w:color w:val="0000FF"/>
                  <w:sz w:val="20"/>
                  <w:u w:val="single"/>
                </w:rPr>
                <w:t>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1cf36166504df9900859e32c21e8d3_106">
              <w:r>
                <w:rPr>
                  <w:rStyle w:val="InternetLink"/>
                  <w:rFonts w:ascii="Times New Roman;sans-serif" w:hAnsi="Times New Roman;sans-serif"/>
                  <w:b w:val="false"/>
                  <w:strike w:val="false"/>
                  <w:dstrike w:val="false"/>
                  <w:color w:val="000000"/>
                  <w:sz w:val="20"/>
                  <w:u w:val="none"/>
                  <w:effect w:val="none"/>
                </w:rPr>
                <w:t>82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1cf36166504df9900859e32c21e8d3_109">
              <w:r>
                <w:rPr>
                  <w:rStyle w:val="InternetLink"/>
                  <w:rFonts w:ascii="Times New Roman;sans-serif" w:hAnsi="Times New Roman;sans-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1cf36166504df9900859e32c21e8d3_109">
              <w:r>
                <w:rPr>
                  <w:rStyle w:val="InternetLink"/>
                  <w:rFonts w:ascii="Times New Roman;sans-serif" w:hAnsi="Times New Roman;sans-serif"/>
                  <w:b w:val="false"/>
                  <w:strike w:val="false"/>
                  <w:dstrike w:val="false"/>
                  <w:color w:val="000000"/>
                  <w:sz w:val="20"/>
                  <w:u w:val="none"/>
                  <w:effect w:val="none"/>
                </w:rPr>
                <w:t>83</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1cf36166504df9900859e32c21e8d3_112">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1cf36166504df9900859e32c21e8d3_112">
              <w:r>
                <w:rPr>
                  <w:rStyle w:val="InternetLink"/>
                  <w:rFonts w:ascii="Times New Roman;sans-serif" w:hAnsi="Times New Roman;sans-serif"/>
                  <w:b w:val="false"/>
                  <w:strike w:val="false"/>
                  <w:dstrike w:val="false"/>
                  <w:color w:val="000000"/>
                  <w:sz w:val="20"/>
                  <w:u w:val="none"/>
                  <w:effect w:val="none"/>
                </w:rPr>
                <w:t>84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Viant Technology Inc.</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Viant Technology Inc. and subsidiaries (the "Company") as of December 31, 2024 and 2023, the related consolidated statements of operations, stockholders’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Costa Mesa, California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3,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before="240" w:after="283"/>
        <w:jc w:val="center"/>
        <w:rPr/>
      </w:pPr>
      <w:r>
        <w:rPr/>
      </w:r>
    </w:p>
    <w:tbl>
      <w:tblPr>
        <w:tblW w:w="9447" w:type="dxa"/>
        <w:jc w:val="center"/>
        <w:tblInd w:w="0" w:type="dxa"/>
        <w:tblLayout w:type="fixed"/>
        <w:tblCellMar>
          <w:top w:w="28" w:type="dxa"/>
          <w:left w:w="28" w:type="dxa"/>
          <w:bottom w:w="28" w:type="dxa"/>
          <w:right w:w="28" w:type="dxa"/>
        </w:tblCellMar>
      </w:tblPr>
      <w:tblGrid>
        <w:gridCol w:w="1917"/>
        <w:gridCol w:w="1689"/>
        <w:gridCol w:w="1704"/>
        <w:gridCol w:w="211"/>
        <w:gridCol w:w="826"/>
        <w:gridCol w:w="109"/>
        <w:gridCol w:w="109"/>
        <w:gridCol w:w="109"/>
        <w:gridCol w:w="109"/>
        <w:gridCol w:w="211"/>
        <w:gridCol w:w="826"/>
        <w:gridCol w:w="109"/>
        <w:gridCol w:w="109"/>
        <w:gridCol w:w="109"/>
        <w:gridCol w:w="109"/>
        <w:gridCol w:w="211"/>
        <w:gridCol w:w="826"/>
        <w:gridCol w:w="154"/>
      </w:tblGrid>
      <w:tr>
        <w:trPr/>
        <w:tc>
          <w:tcPr>
            <w:tcW w:w="1917"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Class A common stock:</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Class A common stock outstanding:</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w:t>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data)</w:t>
      </w:r>
    </w:p>
    <w:tbl>
      <w:tblPr>
        <w:tblW w:w="7974" w:type="dxa"/>
        <w:jc w:val="center"/>
        <w:tblInd w:w="0" w:type="dxa"/>
        <w:tblLayout w:type="fixed"/>
        <w:tblCellMar>
          <w:top w:w="28" w:type="dxa"/>
          <w:left w:w="28" w:type="dxa"/>
          <w:bottom w:w="28" w:type="dxa"/>
          <w:right w:w="28" w:type="dxa"/>
        </w:tblCellMar>
      </w:tblPr>
      <w:tblGrid>
        <w:gridCol w:w="1915"/>
        <w:gridCol w:w="1687"/>
        <w:gridCol w:w="1708"/>
        <w:gridCol w:w="211"/>
        <w:gridCol w:w="826"/>
        <w:gridCol w:w="109"/>
        <w:gridCol w:w="109"/>
        <w:gridCol w:w="109"/>
        <w:gridCol w:w="109"/>
        <w:gridCol w:w="211"/>
        <w:gridCol w:w="826"/>
        <w:gridCol w:w="154"/>
      </w:tblGrid>
      <w:tr>
        <w:trPr/>
        <w:tc>
          <w:tcPr>
            <w:tcW w:w="1915"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340,417 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 13)</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10,000,000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 none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$0.001 par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450,000,000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Issued — 17,933,825 and 15,937,816</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 16,368,452 and 15,783,941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$0.001 par value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shares — 150,000,000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outstanding — 46,753,841 and 47,032,260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1,565,373 and 153,875 shares held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attributable to Viant Technology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VIANT TECHNOLOGY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CONSOLIDATED STATEMENTS OF STOCKHOLDERS' EQUITY </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thousands)</w:t>
      </w:r>
    </w:p>
    <w:tbl>
      <w:tblPr>
        <w:tblW w:w="14619" w:type="dxa"/>
        <w:jc w:val="center"/>
        <w:tblInd w:w="0" w:type="dxa"/>
        <w:tblLayout w:type="fixed"/>
        <w:tblCellMar>
          <w:top w:w="28" w:type="dxa"/>
          <w:left w:w="28" w:type="dxa"/>
          <w:bottom w:w="28" w:type="dxa"/>
          <w:right w:w="28" w:type="dxa"/>
        </w:tblCellMar>
      </w:tblPr>
      <w:tblGrid>
        <w:gridCol w:w="475"/>
        <w:gridCol w:w="220"/>
        <w:gridCol w:w="221"/>
        <w:gridCol w:w="109"/>
        <w:gridCol w:w="109"/>
        <w:gridCol w:w="109"/>
        <w:gridCol w:w="109"/>
        <w:gridCol w:w="109"/>
        <w:gridCol w:w="210"/>
        <w:gridCol w:w="210"/>
        <w:gridCol w:w="211"/>
        <w:gridCol w:w="109"/>
        <w:gridCol w:w="270"/>
        <w:gridCol w:w="271"/>
        <w:gridCol w:w="171"/>
        <w:gridCol w:w="109"/>
        <w:gridCol w:w="109"/>
        <w:gridCol w:w="109"/>
        <w:gridCol w:w="181"/>
        <w:gridCol w:w="286"/>
        <w:gridCol w:w="109"/>
        <w:gridCol w:w="109"/>
        <w:gridCol w:w="109"/>
        <w:gridCol w:w="109"/>
        <w:gridCol w:w="270"/>
        <w:gridCol w:w="271"/>
        <w:gridCol w:w="251"/>
        <w:gridCol w:w="170"/>
        <w:gridCol w:w="170"/>
        <w:gridCol w:w="171"/>
        <w:gridCol w:w="273"/>
        <w:gridCol w:w="432"/>
        <w:gridCol w:w="166"/>
        <w:gridCol w:w="109"/>
        <w:gridCol w:w="109"/>
        <w:gridCol w:w="109"/>
        <w:gridCol w:w="181"/>
        <w:gridCol w:w="616"/>
        <w:gridCol w:w="109"/>
        <w:gridCol w:w="109"/>
        <w:gridCol w:w="109"/>
        <w:gridCol w:w="109"/>
        <w:gridCol w:w="181"/>
        <w:gridCol w:w="556"/>
        <w:gridCol w:w="109"/>
        <w:gridCol w:w="109"/>
        <w:gridCol w:w="109"/>
        <w:gridCol w:w="109"/>
        <w:gridCol w:w="109"/>
        <w:gridCol w:w="511"/>
        <w:gridCol w:w="340"/>
        <w:gridCol w:w="340"/>
        <w:gridCol w:w="341"/>
        <w:gridCol w:w="109"/>
        <w:gridCol w:w="109"/>
        <w:gridCol w:w="109"/>
        <w:gridCol w:w="181"/>
        <w:gridCol w:w="556"/>
        <w:gridCol w:w="109"/>
        <w:gridCol w:w="190"/>
        <w:gridCol w:w="190"/>
        <w:gridCol w:w="191"/>
        <w:gridCol w:w="181"/>
        <w:gridCol w:w="616"/>
        <w:gridCol w:w="109"/>
        <w:gridCol w:w="327"/>
        <w:gridCol w:w="181"/>
        <w:gridCol w:w="616"/>
        <w:gridCol w:w="154"/>
      </w:tblGrid>
      <w:tr>
        <w:trPr/>
        <w:tc>
          <w:tcPr>
            <w:tcW w:w="4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w:t>
              <w:b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Total </w:t>
              <w:br/>
              <w:t xml:space="preserve">Equity </w:t>
            </w:r>
          </w:p>
        </w:tc>
        <w:tc>
          <w:tcPr>
            <w:tcW w:w="2755" w:type="dxa"/>
            <w:gridSpan w:val="12"/>
            <w:tcBorders/>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47,107</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222,412 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282,574 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related to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Class B common stock for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stock related to tax withholdings on vested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Reissuance of 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Allocation of equity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Accrued member tax distributions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47,082</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265,768 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Cumulative impact of ASU 2016-13 adoption (CECL)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14,784 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47,082 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(36,470)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206,520 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265,559 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related to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Class B common stock for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stock related to tax withholdings on vested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Reissuance of 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Allocation of equity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Accrued member tax distributions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47,032</w:t>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112,830 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274,389 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Class A common stock related to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Exchange of Class B common stock for Class A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stock related to tax withholdings on vested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Repurchase of stock related to the stock repurchase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(1,766)</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Reissuance of treasury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1,311 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Allocation of equity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Accrued member tax distributions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15" w:after="283"/>
              <w:ind w:left="0" w:right="0" w:hanging="90"/>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46,754</w:t>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(50,566)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220,236 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274,075 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VIANT TECHNOLOGY INC.</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thousands)</w:t>
      </w:r>
    </w:p>
    <w:tbl>
      <w:tblPr>
        <w:tblW w:w="10205" w:type="dxa"/>
        <w:jc w:val="center"/>
        <w:tblInd w:w="0" w:type="dxa"/>
        <w:tblLayout w:type="fixed"/>
        <w:tblCellMar>
          <w:top w:w="28" w:type="dxa"/>
          <w:left w:w="28" w:type="dxa"/>
          <w:bottom w:w="28" w:type="dxa"/>
          <w:right w:w="28" w:type="dxa"/>
        </w:tblCellMar>
      </w:tblPr>
      <w:tblGrid>
        <w:gridCol w:w="2322"/>
        <w:gridCol w:w="2023"/>
        <w:gridCol w:w="2037"/>
        <w:gridCol w:w="196"/>
        <w:gridCol w:w="736"/>
        <w:gridCol w:w="109"/>
        <w:gridCol w:w="109"/>
        <w:gridCol w:w="109"/>
        <w:gridCol w:w="109"/>
        <w:gridCol w:w="196"/>
        <w:gridCol w:w="736"/>
        <w:gridCol w:w="109"/>
        <w:gridCol w:w="109"/>
        <w:gridCol w:w="109"/>
        <w:gridCol w:w="109"/>
        <w:gridCol w:w="196"/>
        <w:gridCol w:w="736"/>
        <w:gridCol w:w="155"/>
      </w:tblGrid>
      <w:tr>
        <w:trPr/>
        <w:tc>
          <w:tcPr>
            <w:tcW w:w="2322"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income (loss)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stock related to tax withholdings on vested equity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stock related to the stock repurchase program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member tax distributions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revolving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(19,551)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(31,907)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included in 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 obtained in exchange for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assets financed by accounts payable and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member tax distributions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4"/>
        </w:rPr>
      </w:pPr>
      <w:r>
        <w:rPr>
          <w:rFonts w:ascii="Times New Roman;sans-serif" w:hAnsi="Times New Roman;sans-serif"/>
          <w:b/>
          <w:i/>
          <w:color w:val="000000"/>
          <w:sz w:val="24"/>
        </w:rPr>
        <w:t>1. Nature of Operations</w:t>
      </w:r>
    </w:p>
    <w:p>
      <w:pPr>
        <w:pStyle w:val="TextBody"/>
        <w:bidi w:val="0"/>
        <w:spacing w:lineRule="auto" w:line="288" w:before="120" w:after="283"/>
        <w:ind w:left="0" w:right="0" w:firstLine="540"/>
        <w:jc w:val="left"/>
        <w:rPr/>
      </w:pPr>
      <w:r>
        <w:rPr>
          <w:rFonts w:ascii="Times New Roman;sans-serif" w:hAnsi="Times New Roman;sans-serif"/>
          <w:b w:val="false"/>
          <w:color w:val="231F20"/>
          <w:sz w:val="20"/>
        </w:rPr>
        <w:t>Viant Technology Inc. (the “Company,” “we,” “us,” “our” or “Viant”) was incorporated in the State of Delaware on October 9, 2020</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231F20"/>
          <w:sz w:val="20"/>
        </w:rPr>
        <w:t xml:space="preserve">The Company operates a cloud-based demand side platform ("DSP") that is used by marketers and their advertising agencies to centralize the planning, buying and measurement of their advertising across most channels, including connected TV ("CTV"), </w:t>
      </w:r>
      <w:r>
        <w:rPr>
          <w:rFonts w:ascii="Times New Roman;sans-serif" w:hAnsi="Times New Roman;sans-serif"/>
          <w:b w:val="false"/>
          <w:color w:val="000000"/>
          <w:sz w:val="20"/>
        </w:rPr>
        <w:t>streaming audio, digital out-of-home, mobile and desktop</w:t>
      </w:r>
      <w:r>
        <w:rPr>
          <w:rFonts w:ascii="Times New Roman;sans-serif" w:hAnsi="Times New Roman;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2. Basis of Presentation and Summary of 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are prepared in accordance with generally accepted accounting principles in the United States of America (“GAAP”) and include the operations of the Company, Viant Technology LLC and its wholly owned subsidiaries. Viant Technology LLC is considered a variable interest entity (“VIE”).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accompanying consolidated financial statements reflect the adjustments necessary for the fair statement of its consolidated balance sheets as of December 31, 2024 and 2023, statements of operations for the years ended December 31, 2024, 2023 and 2022 ("fiscal 2024", "fiscal 2023", and "fiscal 2022"), statements of stockholders' equity as of December 31, 2024, 2023 and 2022, and statements of cash flows for the years ended December 31, 2024, 2023 and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On an ongoing basis, management evaluates its estimates, primarily those related to revenue recognition, stock-based 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of widespread macroeconomic and geopolitical uncertainties, including the impact of bank failures, high interest rates, inflationary pressures, labor shortages, shortages of goods and services, supply chain constraints, pandemics, political election cycles, changes in law and interpretations of laws,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Comprehensive Income (Loss)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net income (loss) is equal to comprehensive income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single reportable operating segment which operates an enterprise technology platform that enables marketers and their advertising agencies to automate and centralize the planning, buying and measurement of their video, audio and display ads across all channels, including CTV, streaming audio, digital out-of-home, mobile and desktop in the United States. The Company derives its revenues from the utilization of the platform by marketers and their advertising agencies. In reaching this conclusion of a single reportable operating segment, management considers the definition of the chief operating decision maker (“CODM”), how the business is defined by the CODM, the nature of the information provided to the CODM and how that information is used to make operating decisions, allocate resources and assess performance.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CODM is comprised of the chief executive officer and chief operating officer. The CODM uses multiple measures within the consolidated statements of operations, balance sheets, and cash flows and thus utilizes the entirety of those consolidated statements to make key resource decisions and assess performance at the consolidated level. The CODM does not review segment assets at a different asset level and category. The consolidated net income (loss) is the measure of segment net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is most consistent with U.S. GAAP. In addition to the consolidated operating expenses as noted on the consolidated statements of operations, the CODM is regularly provided with traffic acquisition costs which are included within platform operations as presented below:</w:t>
      </w:r>
    </w:p>
    <w:tbl>
      <w:tblPr>
        <w:tblW w:w="6341" w:type="dxa"/>
        <w:jc w:val="left"/>
        <w:tblInd w:w="0" w:type="dxa"/>
        <w:tblLayout w:type="fixed"/>
        <w:tblCellMar>
          <w:top w:w="28" w:type="dxa"/>
          <w:left w:w="28" w:type="dxa"/>
          <w:bottom w:w="28" w:type="dxa"/>
          <w:right w:w="28" w:type="dxa"/>
        </w:tblCellMar>
      </w:tblPr>
      <w:tblGrid>
        <w:gridCol w:w="798"/>
        <w:gridCol w:w="702"/>
        <w:gridCol w:w="704"/>
        <w:gridCol w:w="211"/>
        <w:gridCol w:w="826"/>
        <w:gridCol w:w="109"/>
        <w:gridCol w:w="109"/>
        <w:gridCol w:w="109"/>
        <w:gridCol w:w="109"/>
        <w:gridCol w:w="211"/>
        <w:gridCol w:w="826"/>
        <w:gridCol w:w="109"/>
        <w:gridCol w:w="109"/>
        <w:gridCol w:w="109"/>
        <w:gridCol w:w="109"/>
        <w:gridCol w:w="211"/>
        <w:gridCol w:w="82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Traffic acquisition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platform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generates its revenue by providing marketers and advertising agencies with the ability to plan, buy and measure their digital advertising campaigns using its DSP. Our platform enables marketers to reach their target audience across CTV, streaming audio, digital out-of-home, mobile and desktop.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applies a five-step approach as defined in Financial Accounting Standards Board (“FASB”) Accounting Standards Codification (“ASC”) 606, Revenue from Contracts with Customers (“ASC 606”), in determining the amount and timing of revenue to be recognized: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Identification of a contract with a customer;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Allocation of the transaction price to the performance obligations in the contract;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Recognition of revenue when or as the performance obligations are satisfied.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make our platform available through different pricing options to tailor to multiple customer types and customer needs. These options consist of a percentage of spend option and a fixed cost per mille (“CPM”) option. CPM refers to a payment option in which customers pay a price for every 1,000 impressions an ad receives. We generate revenue when our platform is used on a self-service basis by charging a platform fee that is a percentage of spend. We also offer our customers the ability to use our services to aid in data management, media execution and advanced reporting. When customers utilize these services, we generate revenue by charging (1) a separate service fee that represents a percentage of spend in addition to the platform fee; (2) a flat monthly fee; or (3) a fixed CPM.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agreements with our customers in the form of master service agreements (“MSA”) in connection with the percentage of spend pricing option, as well as instances where we charge our customers a flat monthly fee. We maintain insertion orders (“IO”) in connection with the fixed CPM pricing option, which set out the terms of the relationship and use of our platform. The nature of our performance obligations is to enable customers to plan, buy and measure advertising campaigns using our platform and provide campaign execution services as requested.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percentage of spend pricing option, we typically bill customers a platform fee, and in certain instances an additional service fee, which is based on a specified percentage of the customer’s purchases through the platform as well as fees for additional features such as data and advanced reporting, plus the cost of TAC, as defined below. We recognize revenue at the point in time when a purchase by the customer occurs through our platform.</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determination of whether revenue for the percentage of spend pricing option should be reported on a gross or net basis is based on an assessment of whether we are acting as the principal or an agent in the transaction. In determining whether we are acting as the principal or an agent, we follow the accounting guidance for principal-agent considerations. Making such determinations involves judgment and is based on an evaluation of the terms of each arrangement, none of which are considered presumptive or determinative.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instances discussed above related to the percentage of spend pricing option, </w:t>
      </w:r>
      <w:r>
        <w:rPr>
          <w:rFonts w:ascii="Times New Roman;sans-serif" w:hAnsi="Times New Roman;sans-serif"/>
          <w:b w:val="false"/>
          <w:color w:val="000000"/>
          <w:sz w:val="20"/>
          <w:shd w:fill="FFFFFF" w:val="clear"/>
        </w:rPr>
        <w:t xml:space="preserve">we typically act as an agent because </w:t>
      </w:r>
      <w:r>
        <w:rPr>
          <w:rFonts w:ascii="Times New Roman;sans-serif" w:hAnsi="Times New Roman;sans-serif"/>
          <w:b w:val="false"/>
          <w:color w:val="000000"/>
          <w:sz w:val="20"/>
        </w:rPr>
        <w:t xml:space="preserve">we arrange for the transfer of such costs from the supplier to the customer through the use of our platform and do not control such features prior to transfer to the customer. We do not have primary responsibility for meeting customer specifications and do not have discretion in establishing the price of TAC related to this pricing option. </w:t>
      </w:r>
      <w:r>
        <w:rPr>
          <w:rFonts w:ascii="Times New Roman;sans-serif" w:hAnsi="Times New Roman;sans-serif"/>
          <w:b w:val="false"/>
          <w:color w:val="000000"/>
          <w:sz w:val="20"/>
          <w:shd w:fill="FFFFFF" w:val="clear"/>
        </w:rPr>
        <w:t>As we act as the agent in these arrangements, we report revenue on a net basis.</w:t>
      </w:r>
      <w:r>
        <w:rPr>
          <w:color w:val="000000"/>
        </w:rPr>
        <w:t xml:space="preserve"> </w:t>
      </w:r>
      <w:r>
        <w:rPr>
          <w:rFonts w:ascii="Times New Roman;sans-serif" w:hAnsi="Times New Roman;sans-serif"/>
          <w:b w:val="false"/>
          <w:color w:val="000000"/>
          <w:sz w:val="20"/>
          <w:shd w:fill="FFFFFF" w:val="clear"/>
        </w:rPr>
        <w:t>In certain percentage of spend arrangements, we act as a principal because we control the advertising inventory before it is transferred to the customer, and we bear sole responsibility for fulfillment of the advertising promise and inventory risks. As we act as the principal in these arrangements, we report revenue and the related costs incurred on a gross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For the fixed CPM pricing option, we typically bill customers a fixed CPM price based on advertising impressions delivered through the platform and recognize revenue at the point in time when the advertising impressions are delivered. In certain cases, we also provide third party data segments and measurement reporting, which are recognized at the point in time they are delivered to the customer. We have the primary responsibility for meeting customer specifications and have discretion in establishing the price of TAC related to this pricing option. </w:t>
      </w:r>
      <w:r>
        <w:rPr>
          <w:rFonts w:ascii="Times New Roman;sans-serif" w:hAnsi="Times New Roman;sans-serif"/>
          <w:b w:val="false"/>
          <w:color w:val="000000"/>
          <w:sz w:val="20"/>
          <w:shd w:fill="FFFFFF" w:val="clear"/>
        </w:rPr>
        <w:t>As we act as the principal in these arrangements, we report revenue and the related costs incurred on a gross basis.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invoices its customers on a monthly basis for all pricing options. Invoice payment terms, negotiated on a customer-by-customer basis, are typically 30 to 60 days. Advertising agency customers typically have sequential liability terms, which means payments are not due to the Company from its advertising agency customer until the advertising agency customer has received payment from its customer, the advertiser.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contract assets recorded on the consolidated balance sheets because the Company’s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ASC 606 provides various optional practical expedients. The Company elected the use of the practical expedient relating to the disclosure of remaining performance obligations within a contract and will not disclose remaining performance obligations for contracts with an original expected duration of one year or less.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classify our operating expenses into the following four categories. Each expense category includes overhead such as rent and occupancy charges, which is allocated based on headcount.</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Platform Operations. </w:t>
      </w:r>
      <w:r>
        <w:rPr>
          <w:rFonts w:ascii="Times New Roman;sans-serif" w:hAnsi="Times New Roman;sans-serif"/>
          <w:b w:val="false"/>
          <w:color w:val="000000"/>
          <w:sz w:val="20"/>
        </w:rPr>
        <w:t>Platform operations expense represents our cost of revenues, which consists of TAC, hosting costs, personnel costs, depreciation of capitalized software development costs, customer support costs and allocated overhead. TAC recorded in platform operations consists of amounts incurred and payable to suppliers for costs associated with our fixed CPM pricing option and certain arrangements related to our percentage of spend pricing option. Personnel costs within platform operations include salaries, bonuses, stock-based compensation and employee benefit costs primarily attributable to personnel who directly support our platform.</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 consists primarily of personnel costs, including salaries, bonuses, stock-based compensation, employee benefit costs and commissions for our sales personnel. Sales and marketing expense also includes costs for market development programs, advertising, promotional and other marketing activities and allocated overhead. Commissions are expensed as incurred.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advertising costs of $6.2 million, $3.4 million, and $9.3 million for the years ended December 31, 2024, 2023 and 2022, respectively, related to the promotion of the Company, its brands, products and services to potential customers. Advertising costs are expensed as incurred and recorded in sales and marketing expense within the consolidated statements of operations.</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Technology and Development. </w:t>
      </w:r>
      <w:r>
        <w:rPr>
          <w:rFonts w:ascii="Times New Roman;sans-serif" w:hAnsi="Times New Roman;sans-serif"/>
          <w:b w:val="false"/>
          <w:color w:val="000000"/>
          <w:sz w:val="20"/>
        </w:rPr>
        <w:t>Technology and development expense consists primarily of personnel costs, including salaries, bonuses, stock-based compensation and employee benefit costs associated with the ongoing development and maintenance of our platform and allocated overhead. Technology and development costs are expensed as incurred, except to the extent that such costs are associated with software development that qualifies for capitalization, which are then recorded as capitalized software development costs included in "Property, equipment, and software, net", on the consolidated balance sheets. We record depreciation for capitalized software not related to our platform within technology and development expense.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General and administrative expense consists primarily of personnel costs, including salaries, bonuses, stock-based compensation and employee benefit costs associated with our executive, accounting, finance, legal, human resources, and other administrative personnel. Additionally, this includes accounting, legal and other professional services fees, insurance expense, bad debt expense and allocated overhead.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relates to equity awards granted under the Company’s 2021 Long-Term Incentive Plan (the "LTIP"), which is measured and recognized in the consolidated financial statements based on the fair value of the equity awards granted. Since inception of the LTIP, the Company has only granted restricted stock units (“RSUs”) and nonqualified stock options ("NQSOs"). The fair value of RSUs is calculated using the closing market price of the Company’s Class A common stock on the date of grant. The fair value of nonqualified stock options is estimated using the Black-Scholes option pricing model. The Black-Scholes option pricing model is impacted by the fair value of the Company’s Class A common stock, as well as changes in certain assumptions, including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limited to, the expected Class A common stock price volatility over the term of the nonqualified stock options, the expected term of the nonqualified stock options, the risk-free interest rate, and the expected dividend yield. The Company records compensation for all equity awards under the LTIP under the straight-line attribution method over the requisite service period. The Company has elected the accounting policy for stock-based compensation to account for forfeitures as they occur.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RSUs generally vest over a period of two-to-four years, contingent upon employment on the vesting date. RSUs awarded to board members upon their appointment annually vest over a three-year period. RSUs awarded to board members annually vest in full on the earlier of (i) the date of the following year’s annual meeting or (ii) the first anniversary of the date of grant. Nonqualified stock options generally vest over a period of two-to-four years and have a contractual term of ten years.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Earnings (Loss) Per Share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 is calculated by dividing the earnings (loss) attributable to Class A common stockholders by the number of weighted-average shares of Class A common stock outstanding during the period. The Company’s RSUs, nonqualified stock options and shares of Class B common stock do not share in the earnings or losses of the Company and are therefore not participating securities. As such, separate presentation of basic and diluted earnings (loss) per share of RSUs, nonqualified stock options and Class B common stock under the two-class method has not been presented.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Diluted earnings (loss) per share adjusts the basic earnings (loss) per share calculation for the potential dilutive impact of common shares such as equity awards using the treasury-stock method. Diluted earnings (loss) per share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year ended December 31, 2024, Class B common stock has been excluded from the computation of diluted earnings (loss) per share of Class A common stock because the effect would have been anti-dilutive under the if-converted method. For the </w:t>
      </w:r>
      <w:r>
        <w:rPr>
          <w:rFonts w:ascii="Times New Roman;sans-serif" w:hAnsi="Times New Roman;sans-serif"/>
          <w:b w:val="false"/>
          <w:color w:val="231F20"/>
          <w:sz w:val="20"/>
        </w:rPr>
        <w:t>years</w:t>
      </w:r>
      <w:r>
        <w:rPr>
          <w:color w:val="000000"/>
        </w:rPr>
        <w:t xml:space="preserve"> </w:t>
      </w:r>
      <w:r>
        <w:rPr>
          <w:rFonts w:ascii="Times New Roman;sans-serif" w:hAnsi="Times New Roman;sans-serif"/>
          <w:b w:val="false"/>
          <w:color w:val="000000"/>
          <w:sz w:val="20"/>
        </w:rPr>
        <w:t>ended December 31, 2023 and 2022, Class B common stock, RSUs and nonqualified stock options have been excluded from the computation of diluted earnings (loss) per share of Class A common stock because the effect would have been anti-dilutive under both the if-converted and treasury stock method.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December 31, 2024, cash equivalents included money market funds of $182.6 million.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 of Allowances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recorded at the invoiced amount, net of an allowance for doubtful accounts, and are unsecured and do not bear interest. The allowance for doubtful accounts is based on the best estimate of the amount of expected credit losses in accounts receivable. The allowance for doubtful accounts is determined based on historical collection experience, our assessment of the financial condition of companies with which we do business, current macroeconomic conditions, and reasonable and supportable forecasts of future macroeconomic conditions, as well as the review in each period of the status of the then-outstanding accounts receivable. Account balances are charged off against the allowance when the Company believes it is probable the receivable will not be recovered. Recoveries of accounts receivable previously written off are recorded when received.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allowance for doubtful accounts:</w:t>
      </w:r>
    </w:p>
    <w:tbl>
      <w:tblPr>
        <w:tblW w:w="6025" w:type="dxa"/>
        <w:jc w:val="center"/>
        <w:tblInd w:w="0" w:type="dxa"/>
        <w:tblLayout w:type="fixed"/>
        <w:tblCellMar>
          <w:top w:w="28" w:type="dxa"/>
          <w:left w:w="28" w:type="dxa"/>
          <w:bottom w:w="28" w:type="dxa"/>
          <w:right w:w="28" w:type="dxa"/>
        </w:tblCellMar>
      </w:tblPr>
      <w:tblGrid>
        <w:gridCol w:w="1315"/>
        <w:gridCol w:w="1154"/>
        <w:gridCol w:w="1160"/>
        <w:gridCol w:w="225"/>
        <w:gridCol w:w="659"/>
        <w:gridCol w:w="116"/>
        <w:gridCol w:w="116"/>
        <w:gridCol w:w="116"/>
        <w:gridCol w:w="116"/>
        <w:gridCol w:w="225"/>
        <w:gridCol w:w="659"/>
        <w:gridCol w:w="164"/>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impact of accounting adoption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doubtful accounts</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Equipment and Software,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Property, equipment and software are recorded at historical cost, less accumulated depreciation. Depreciation is computed using the straight-line method based upon the following estimated useful lives:</w:t>
      </w:r>
    </w:p>
    <w:tbl>
      <w:tblPr>
        <w:tblW w:w="3991" w:type="dxa"/>
        <w:jc w:val="center"/>
        <w:tblInd w:w="0" w:type="dxa"/>
        <w:tblLayout w:type="fixed"/>
        <w:tblCellMar>
          <w:top w:w="28" w:type="dxa"/>
          <w:left w:w="28" w:type="dxa"/>
          <w:bottom w:w="28" w:type="dxa"/>
          <w:right w:w="28" w:type="dxa"/>
        </w:tblCellMar>
      </w:tblPr>
      <w:tblGrid>
        <w:gridCol w:w="1212"/>
        <w:gridCol w:w="1063"/>
        <w:gridCol w:w="1070"/>
        <w:gridCol w:w="189"/>
        <w:gridCol w:w="189"/>
        <w:gridCol w:w="268"/>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 are depreciated on a straight-line basis over the term of the lease, or the useful life of the assets, whichever is shorter.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Repair and maintenance costs are charged to expense as incurred, while replacements and improvements are capitalized. When assets are retired or otherwise disposed of, the cost and related accumulated depreciation are removed from the accounts and any resulting gain or loss is recorded in operating expenses within the consolidated statements of operations.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Software Development Costs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capitalizes certain costs associated with creating and enhancing internally developed software related to the Company’s technology infrastructure and such costs are recorded within property, equipment and software, net. These costs include personnel and related employee benefit expenses for employees who are directly associated with and who devote time to software development projects. Software development costs that do not qualify for capitalization are expensed as incurred and recorded in technology and development expense in the consolidated statements of operations.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 activities typically consist of three stages: (1) the planning stage; (2) the application and infrastructure development stage; and (3) the post-implementation stage. Costs incurred in the planning and post-implementation stages, including costs associated with training and repairs and maintenance of the developed technologies, are expensed as incurred. The Company capitalizes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is ready for its intended purpose. Software development costs are depreciated using a straight-line method over the estimated useful life, commencing when the software is ready for its intended use. The straight-line recognition method approximates the manner in which the expected benefit will be derived.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Capitalized Interest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interest on borrowings related to eligible capital expenditures including development costs related to internal use software which is recorded within property, equipment and software, net. Capitalized interest is added to the cost of the qualified assets and depreciated over the estimated useful lives of the assets.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Impairment of Long-Lived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consist of property, equipment and software and intangible assets with estimable useful lives subject to depreciation and amortization. The Company reviews long-lived assets for impairment whenever events or changes in circumstances indicate that the carrying amount of an asset or asset group may not be recoverable. Recoverability of an asset or asset group to be held and used is measured by a comparison of the carrying amount of an asset or asset group to the estimated undiscounted future cash flows expected to be generated by the asset or asset group. If the carrying amount of the asset or asset group exceeds its estimated future cash flows, an impairment charge is recognized in the amount by which the carrying amount of the asset or asset group exceeds the fair value of the asset or asset group.</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tested at least annually for impairment as of the first day of the fourth fiscal quarter, or more frequently if indicators of impairment exist during the fiscal year. Events or circumstances which could trigger an impairment review include a significant adverse change in legal factors or in the business climate, loss of key customers,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relative to expected historical or projected future results of operations. The Company assesses its conclusion regarding reporting units in conjunction with its annual goodwill impairment test and has determined that it has one reporting unit for the purposes of allocating and testing goodwill.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When testing goodwill for impairment, the Company first performs a qualitative assessment. If the Company determines it is more likely than not that a reporting unit’s fair value is less than its carrying amount, then a one-step impairment test is required. If the Company determines it is not more likely than not a reporting unit’s fair value is less than its carrying amount, then no further analysis is necessary. To identify whether a potential impairment exists, the Company compares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 Any impairment loss is limited to the carrying amount of goodwill within the entity.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framework for measuring fair value and related disclosure requirements about fair value measurements are provided in ASC 820, Fair Value Measurement (“ASC 820”). This pronouncement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ASC 820 contains three input levels as follows: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Level 1</w:t>
      </w:r>
      <w:r>
        <w:rPr>
          <w:rFonts w:ascii="Times New Roman;sans-serif" w:hAnsi="Times New Roman;sans-serif"/>
          <w:b w:val="false"/>
          <w:color w:val="000000"/>
          <w:sz w:val="20"/>
        </w:rPr>
        <w:t>: Unadjusted quoted prices in active markets for identical assets or liabilities accessible to the reporting entity at the measurement date.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Level 2</w:t>
      </w:r>
      <w:r>
        <w:rPr>
          <w:rFonts w:ascii="Times New Roman;sans-serif" w:hAnsi="Times New Roman;sans-serif"/>
          <w:b w:val="false"/>
          <w:color w:val="000000"/>
          <w:sz w:val="20"/>
        </w:rPr>
        <w:t>: Other than quoted prices included in Level 1 inputs that are observable for the asset or liability, either directly or indirectly, for substantially the full term of the asset or liability.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Level 3</w:t>
      </w:r>
      <w:r>
        <w:rPr>
          <w:rFonts w:ascii="Times New Roman;sans-serif" w:hAnsi="Times New Roman;sans-serif"/>
          <w:b w:val="false"/>
          <w:color w:val="000000"/>
          <w:sz w:val="20"/>
        </w:rPr>
        <w:t>: Unobservable inputs for the asset or liability used to measure fair value to the extent that observable inputs are not available, thereby allowing for situations in which there is little, if any, market activity for the asset or liability at the measurement 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the Company’s cash and cash equivalents, accounts receivable, accounts payable, accrued compensation and accrued liabilities approximate fair value due to the short-term nature of these instruments.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 Not Recorded at Fair Value on a Recurring Basis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financial instruments, including debt, are not measured at fair value on a recurring basis in the consolidated balance sheets. The fair value of debt is estimated using primarily level 2 inputs including quoted market prices or discounted cash flow analyses, based on estimated incremental borrowing rates for similar types of borrowing arrangements. As of December 31, 2024, there was no outstanding balance under the Amended Loan Agreement (as defined below).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Recorded at Fair Value on a Non-Recurring Basis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including goodwill and intangible assets, are subject to measurement at fair value on a non-recurring basis if there are indicators of impairment or if they are deemed to be impaired as a result of an impairment review.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beginning of fiscal 2022, the Company adopted new lease accounting guidance issued by the FASB. The most significant change requires lessees to record the present value of operating lease payments as operating lease assets and lease liabilities on its balance sheet and disclose key information about leasing arrangements.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adopted the new guidance using the modified retrospective method at the beginning of fiscal 2022 by applying the package of practical expedients permitted under the transition guidance, which allowed the Company to carry forward its original assessment of whether: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existing arrangements are or contain leases;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our existing arrangements are operating or finance leases;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to capitalize initial direct costs.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adoption, the new guidance resulted in the recognition of operating lease assets of approximately $21.0 million and operating lease liabilities of approximately $22.0 million, which were measured by the present value of the remaining minimum lease payments. In accordance with the guidance, the Company elected the practical expedient to exclude leases with a term of less than one year from the measurement of operating lease assets and lease liabilities. The Company also elected the practical expedient that allows lessees the option to account for lease and non-lease components together as a single component for all real estate classes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pPr>
      <w:r>
        <w:rPr>
          <w:rFonts w:ascii="Times New Roman;sans-serif" w:hAnsi="Times New Roman;sans-serif"/>
          <w:b w:val="false"/>
          <w:color w:val="000000"/>
          <w:sz w:val="20"/>
        </w:rPr>
        <w:t xml:space="preserve">underlying assets. At adoption, in the consolidated balance sheet, we also reclassified deferred rent of approximately $1.0 million for operating leases at the end of the fiscal year ended December 31, 2021 from other current liabilities (current portion) and other long-term liabilities (non-current portion) to current portion of operating lease liabilities and long-term portion of operating lease liabilities, respectively. </w:t>
      </w:r>
      <w:r>
        <w:rPr>
          <w:rFonts w:ascii="Times New Roman;sans-serif" w:hAnsi="Times New Roman;sans-serif"/>
          <w:b w:val="false"/>
          <w:color w:val="252525"/>
          <w:sz w:val="20"/>
        </w:rPr>
        <w:t>The impact on the Company’s consolidated statements of operations and cash flows was not material.</w:t>
      </w:r>
    </w:p>
    <w:p>
      <w:pPr>
        <w:pStyle w:val="TextBody"/>
        <w:bidi w:val="0"/>
        <w:spacing w:lineRule="auto" w:line="288" w:before="120" w:after="283"/>
        <w:ind w:left="0" w:right="0" w:firstLine="540"/>
        <w:jc w:val="left"/>
        <w:rPr/>
      </w:pPr>
      <w:r>
        <w:rPr>
          <w:rFonts w:ascii="Times New Roman;sans-serif" w:hAnsi="Times New Roman;sans-serif"/>
          <w:b w:val="false"/>
          <w:color w:val="252525"/>
          <w:sz w:val="20"/>
        </w:rPr>
        <w:t xml:space="preserve">The present value of the lease payments was calculated using the Company’s incremental borrowing rate applicable to the lease, which is </w:t>
      </w:r>
      <w:r>
        <w:rPr>
          <w:rFonts w:ascii="Times New Roman;sans-serif" w:hAnsi="Times New Roman;sans-serif"/>
          <w:b w:val="false"/>
          <w:color w:val="000000"/>
          <w:sz w:val="20"/>
        </w:rPr>
        <w:t>determined</w:t>
      </w:r>
      <w:r>
        <w:rPr>
          <w:color w:val="252525"/>
        </w:rPr>
        <w:t xml:space="preserve"> </w:t>
      </w:r>
      <w:r>
        <w:rPr>
          <w:rFonts w:ascii="Times New Roman;sans-serif" w:hAnsi="Times New Roman;sans-serif"/>
          <w:b w:val="false"/>
          <w:color w:val="252525"/>
          <w:sz w:val="20"/>
        </w:rPr>
        <w:t>by estimating what it would cost the Company to borrow a collateralized amount equal to the total lease payments over the lease term based on the contractual terms of the lease and the location of the leased asset.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determine whether an arrangement is a lease at the contract inception date. Our leases may require us to make fixed rental payments or variable lease payments, which are based on a variety of factors including property values, tax and utility rates, property services fees, and other factors. Since these costs are variable in nature, they are excluded from the measurement of the reported operating lease assets and liabilities and are expensed as incurred. The Company records rent expense for operating leases, some of which have escalating rent payments, on a straight-line basis over the lease term.</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Concentration of Risk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 amounts due from customers with principal operations primarily in the United States.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one individual customer accounted for 13.9% of consolidated accounts receivable. As of December 31, 2023, one individual customer accounted for 17.9% of consolidated accounts receivable.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three individual suppliers accounted for 14.0%, 12.6% and 12.6%, respectively, of consolidated accounts payable and accrued liabilities. As of December 31, 2023, three suppliers accounted for 16.1%, 14.4% and 11.6%, respectively, of consolidated accounts payable and accrued liabilities.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provides the Company’s concentrations of credit risk with respect to advertising agency holding companies and individual customers as a percentage of the Company’s total revenues for the periods presented. </w:t>
      </w:r>
    </w:p>
    <w:tbl>
      <w:tblPr>
        <w:tblW w:w="6598" w:type="dxa"/>
        <w:jc w:val="left"/>
        <w:tblInd w:w="0" w:type="dxa"/>
        <w:tblLayout w:type="fixed"/>
        <w:tblCellMar>
          <w:top w:w="28" w:type="dxa"/>
          <w:left w:w="28" w:type="dxa"/>
          <w:bottom w:w="28" w:type="dxa"/>
          <w:right w:w="28" w:type="dxa"/>
        </w:tblCellMar>
      </w:tblPr>
      <w:tblGrid>
        <w:gridCol w:w="1199"/>
        <w:gridCol w:w="1055"/>
        <w:gridCol w:w="1061"/>
        <w:gridCol w:w="258"/>
        <w:gridCol w:w="258"/>
        <w:gridCol w:w="263"/>
        <w:gridCol w:w="130"/>
        <w:gridCol w:w="130"/>
        <w:gridCol w:w="130"/>
        <w:gridCol w:w="260"/>
        <w:gridCol w:w="251"/>
        <w:gridCol w:w="324"/>
        <w:gridCol w:w="130"/>
        <w:gridCol w:w="130"/>
        <w:gridCol w:w="130"/>
        <w:gridCol w:w="260"/>
        <w:gridCol w:w="251"/>
        <w:gridCol w:w="378"/>
      </w:tblGrid>
      <w:tr>
        <w:trPr/>
        <w:tc>
          <w:tcPr>
            <w:tcW w:w="119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 Ended December 31, </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 Agency Holding Company</w:t>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&lt;10.0 %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Customer</w:t>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&lt;10.0 %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&lt;10.0 %</w:t>
            </w:r>
          </w:p>
        </w:tc>
      </w:tr>
    </w:tbl>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Related Party Relationships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Capital V LLC (formerly Four Brothers 2 LLC), the holder of Class B common stock as of December 31, 2024, is controlled by the Company’s co-founders, Tim Vanderhook and Chris Vanderhook, and therefore is considered a related party. Refer to Note 14—Related Parties for additional information.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the sole managing member of Viant Technology LLC and, as a result, consolidates the financial results of Viant Technology LLC in the consolidated financial statements. Viant Technology LLC is a pass-through entity for U.S. federal and most applicable state and local income tax purposes following a corporate reorganization effected in connection with our initial public offering. As an entity classified as a partnership for tax purposes, Viant Technology LLC generally is not subject to U.S. federal and certain state and local income taxes. Any taxable income or loss generated by Viant Technology LLC is passed through to and included in the taxable income or loss of its members, including us. The Company is taxed as a corporation and pays corporate federal, state and local taxes with respect to income allocated from Viant Technology LLC, based on the Company's 25.9% interest in Viant Technology LLC.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expects to obtain an increase in its share of tax basis in the net assets of Viant Technology LLC when Class B units are exchanged by the holders of Class B units for shares of Class A common stock of the Company and upon other qualifying transactions. Each change in outstanding shares of Class A common stock of the Company results in a corresponding increase or decrease in the Company's ownership of Class A units of Viant Technology LLC. The Company intends to treat any exchanges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units as direct purchases of LLC interests for U.S. federal income tax purposes. These increases in tax basis may reduce the amounts that the Company would otherwise pay in the future to various taxing authorities. They may also decrease gains (or increase losses) on future dispositions of certain capital assets to the extent tax basis is allocated to those capital assets.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under the asset and liability method, which requires the recognition of deferred tax assets and liabilities (“DTAs” and “DTLs”) for the expected future tax consequences of events that have been included in the financial 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 We recognize DTAs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carryback potential if permitted under the tax law and results of recent operations. If we determine that we would be able to realize our DTAs in the future in excess of their net recorded amount, we would make an adjustment to the DTA valuation allowance, which would reduce the provision for income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IPO, the Company entered into a Tax Receivable Agreement (“TRA”) with Viant Technology LLC and the holders of Class B units of Viant Technology LLC. In the event that such parties exchange any or all of their Class B units for Class A common stock, the TRA requires the Company to make payments to such holders for 85% of the tax benefits realized, or in some cases deemed to be realized, by the Company by such exchange as a result of (i) increases in the Company’s tax basis of its ownership interest in the net assets of Viant Technology LLC resulting from any redemptions or exchanges of noncontrolling interest, (ii) tax basis increases attributable to payments made under the TRA and (iii) deductions attributable to imputed interest pursuant to the TRA (the “TRA Payments”). The annual tax benefits are computed by calculating the income taxes due, including such tax benefits and the income taxes due without such benefits. The Company expects to benefit from the remaining 15% of any tax benefits that it may actually realize. The TRA Payments are not conditioned upon any continued ownership interest in Viant Technology LLC or the Company. To the extent that the Company is unable to timely make payments under the TRA for any reason, such payments generally will be deferred and will accrue interest until paid.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and amount of aggregate payments due under the TRA may vary based on a number of factors, including the amount and timing of the taxable income the Company generates each year and the tax rate then applicable. The Company calculates the liability under the TRA using a TRA model, which includes an assumption related to the fair market value of assets. The payment obligations under the TRA are obligations of the Company and not of Viant Technology LLC. Payments are generally due under the TRA within a specified period of time following the filing of the Company’s tax return for the taxable year with respect to which the payment obligation arises, although interest on such payments will begin to accrue at a rate of the Secured Overnight Financing Rate plus 500 basis points from the due date (without extensions) of such tax return.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TRA provides that if (i) certain mergers, asset sales, other forms of business combinations, or other changes of control were to occur, (ii) there is a material breach of any material obligations under the TRA; or (iii) the Company elects an early termination of the TRA, then the TRA will terminate and the Company's obligations, or the Company's successor’s obligations, under the TRA will accelerate and become due and payable, based on certain assumptions, including an assumption that the Company would have sufficient taxable income to fully utilize all potential future tax benefits that are subject to the TRA and that any Class B units that have not been exchanged are deemed exchanged for the fair market value of the Company's Class A common stock at the time of termination.</w:t>
      </w:r>
    </w:p>
    <w:p>
      <w:pPr>
        <w:pStyle w:val="TextBody"/>
        <w:bidi w:val="0"/>
        <w:spacing w:lineRule="auto" w:line="288" w:before="240" w:after="283"/>
        <w:jc w:val="left"/>
        <w:rPr/>
      </w:pPr>
      <w:r>
        <w:rPr>
          <w:rFonts w:ascii="Times New Roman;sans-serif" w:hAnsi="Times New Roman;sans-serif"/>
          <w:b/>
          <w:i/>
          <w:color w:val="000000"/>
          <w:sz w:val="20"/>
        </w:rPr>
        <w:t>Treasury Stock</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treasury stock under the cost method. When treasury stock is re-issued at a price higher than its cost, the difference is recorded as a component of additional paid-in-capital in our consolidated balance sheets. When treasury stock is re-issued at a price lower than its cost, the difference is recorded as a component of additional paid-in-capital to the extent that there are previously recorded gains to offset the losses. If there are no treasury stock gains in additional paid-in-capital, the losses upon re-issuance of treasury stock are recorded as an increase in accumulated deficit in our consolidated balance sheets.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JOBS Act Election as an Emerging Growth Company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5, 2012, the Jumpstart Our Business Startups Act (the “JOBS Act”) was signed into law. The JOBS Act contains provisions that, among other things, reduce certain reporting requirements for qualifying public companies. As an “emerging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pPr>
      <w:r>
        <w:rPr>
          <w:rFonts w:ascii="Times New Roman;sans-serif" w:hAnsi="Times New Roman;sans-serif"/>
          <w:b w:val="false"/>
          <w:color w:val="000000"/>
          <w:sz w:val="20"/>
        </w:rPr>
        <w:t xml:space="preserve">company,” the </w:t>
      </w:r>
      <w:r>
        <w:rPr>
          <w:rFonts w:ascii="Times New Roman;sans-serif" w:hAnsi="Times New Roman;sans-serif"/>
          <w:b w:val="false"/>
          <w:color w:val="231F20"/>
          <w:sz w:val="20"/>
        </w:rPr>
        <w:t>Company</w:t>
      </w:r>
      <w:r>
        <w:rPr>
          <w:color w:val="000000"/>
        </w:rPr>
        <w:t xml:space="preserve"> </w:t>
      </w:r>
      <w:r>
        <w:rPr>
          <w:rFonts w:ascii="Times New Roman;sans-serif" w:hAnsi="Times New Roman;sans-serif"/>
          <w:b w:val="false"/>
          <w:color w:val="000000"/>
          <w:sz w:val="20"/>
        </w:rPr>
        <w:t>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less than $1 billion of non-convertible debt over a three-year period and is not deemed to be a large accelerated filer under the rules of the Securities and Exchange Commission ("SEC"). The Company will remain an emerging growth company until December 31, 2026, or sooner if it no longer qualifies. The Company may take advantage of this extended transition period until the first to occur of the date that it (i) is no longer an “emerging growth company” or (ii) affirmatively and irrevocably opts out of this extended transition period.</w:t>
      </w:r>
    </w:p>
    <w:p>
      <w:pPr>
        <w:pStyle w:val="TextBody"/>
        <w:bidi w:val="0"/>
        <w:spacing w:lineRule="auto" w:line="288" w:before="120" w:after="283"/>
        <w:ind w:left="0" w:right="0" w:firstLine="4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take advantage of the benefits of this extended transition period for complying with new or revised accounting standards that have different effective dates for public and private companies until the earlier of the date that the Company is no longer an “emerging growth company” or the date that the Company affirmatively and irrevocably opts out of the exemption provided by Securities Act Section 7(a)(2)(B).</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 Improvements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October 2023, the Financial Accounting Standards Board (“FASB”) issued Accounting Standards Update ("ASU") No. 2023-06, </w:t>
      </w:r>
      <w:r>
        <w:rPr>
          <w:rFonts w:ascii="Times New Roman;sans-serif" w:hAnsi="Times New Roman;sans-serif"/>
          <w:b w:val="false"/>
          <w:i/>
          <w:color w:val="000000"/>
          <w:sz w:val="20"/>
        </w:rPr>
        <w:t>Disclosure Improvements: Codification Amendments in Response to the SEC’s Disclosure Update and Simplification Initiative</w:t>
      </w:r>
      <w:r>
        <w:rPr>
          <w:rFonts w:ascii="Times New Roman;sans-serif" w:hAnsi="Times New Roman;sans-serif"/>
          <w:b w:val="false"/>
          <w:color w:val="000000"/>
          <w:sz w:val="20"/>
        </w:rPr>
        <w:t>. ASU 2023-06 includes a number of amendments to clarify or improve disclosure and presentation requirements of a variety of topics in order to allow users to more easily compare entities subject to the SEC’s existing disclosures with those entities that were not previously subject to the requirements and to align the requirements in the FASB accounting standard codification with the SEC's regulations. The effective date for each amendment will be the date on which the SEC’s removal of that related disclosure requirement from Regulation S-X or Regulation S-K becomes effective, with early adoption prohibited. This ASU is not expected to have a material impact on the Company's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ASU 2023-09 is designed to enhance the transparency and decision usefulness of income tax disclosures. The amendments of this update are related to the rate reconciliation and income taxes paid, requiring consistent categories and greater disaggregation of information in the rate reconciliation as well as income taxes paid disaggregated by jurisdiction. The effective date for this ASU is for the fiscal year beginning January 1, 2025, with early adoption permitted. The Company is currently evaluating the impact of these amendments.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Income Statement Expenses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November 2024, the FASB issued ASU No. 2024-03, </w:t>
      </w:r>
      <w:r>
        <w:rPr>
          <w:rFonts w:ascii="Times New Roman;sans-serif" w:hAnsi="Times New Roman;sans-serif"/>
          <w:b w:val="false"/>
          <w:i/>
          <w:color w:val="000000"/>
          <w:sz w:val="20"/>
        </w:rPr>
        <w:t>Income Statement - Reporting Comprehensive Income - Expense Disaggregation Disclosure (Subtopic 220-40): Disaggregation of Income Statement Expenses</w:t>
      </w:r>
      <w:r>
        <w:rPr>
          <w:rFonts w:ascii="Times New Roman;sans-serif" w:hAnsi="Times New Roman;sans-serif"/>
          <w:b w:val="false"/>
          <w:color w:val="000000"/>
          <w:sz w:val="20"/>
        </w:rPr>
        <w:t>. ASU 2024-03 requires disclosure of additional information about specific expense categories in the notes to financial statements on an annual and interim basis. The amendments are effective for annual periods beginning after December 15, 2026, and interim periods beginning after December 15, 2027, with early adoption permitted. The Company is currently evaluating the impact of these amendments.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Instruments—Credit Losses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In June 2016, the FASB issued ASU No. 2016-13,</w:t>
      </w:r>
      <w:r>
        <w:rPr>
          <w:color w:val="000000"/>
        </w:rPr>
        <w:t xml:space="preserve"> </w:t>
      </w:r>
      <w:r>
        <w:rPr>
          <w:rFonts w:ascii="Times New Roman;sans-serif" w:hAnsi="Times New Roman;sans-serif"/>
          <w:b w:val="false"/>
          <w:i/>
          <w:color w:val="000000"/>
          <w:sz w:val="20"/>
        </w:rPr>
        <w:t>Financial Instruments—Credit Losses (Topic 326)</w:t>
      </w:r>
      <w:r>
        <w:rPr>
          <w:rFonts w:ascii="Times New Roman;sans-serif" w:hAnsi="Times New Roman;sans-serif"/>
          <w:b w:val="false"/>
          <w:color w:val="000000"/>
          <w:sz w:val="20"/>
        </w:rPr>
        <w:t>. ASU 2016-13 revises the impairment model to utilize an expected loss methodology in place of the incurred loss methodology, which results in more timely recognition of losses on financial instruments. We adopted this standard at the beginning of the fiscal 2023. As a result, we revised the impairment model to utilize an expected loss methodology in place of an incurred loss methodology related to our allowance for credit losses. We 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Codification Improvements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October 2020, the FASB issued ASU No. 2020-10, </w:t>
      </w:r>
      <w:r>
        <w:rPr>
          <w:rFonts w:ascii="Times New Roman;sans-serif" w:hAnsi="Times New Roman;sans-serif"/>
          <w:b w:val="false"/>
          <w:i/>
          <w:color w:val="000000"/>
          <w:sz w:val="20"/>
        </w:rPr>
        <w:t xml:space="preserve">Codification Improvements, </w:t>
      </w:r>
      <w:r>
        <w:rPr>
          <w:rFonts w:ascii="Times New Roman;sans-serif" w:hAnsi="Times New Roman;sans-serif"/>
          <w:b w:val="false"/>
          <w:color w:val="000000"/>
          <w:sz w:val="20"/>
        </w:rPr>
        <w:t xml:space="preserve">which updates various codification topics by clarifying disclosure requirements to align with the SEC's regulations. The guidance became effective for the Company’s annual reporting period after December 15, 2021 and interim reporting periods within the annual period after December 15, 2022.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2022, we adopted this standard on a prospective basis. The adoption of this ASU did not have a material impact on the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Issuer’s Accounting for Certain Modifications or Exchanges of Freestanding Equity-Classified Written Call Options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May 2021, the FASB issued ASU No. 2021-04, </w:t>
      </w:r>
      <w:r>
        <w:rPr>
          <w:rFonts w:ascii="Times New Roman;sans-serif" w:hAnsi="Times New Roman;sans-serif"/>
          <w:b w:val="false"/>
          <w:i/>
          <w:color w:val="000000"/>
          <w:sz w:val="20"/>
        </w:rPr>
        <w:t>Issuer’s Accounting for Certain Modifications or Exchanges of Freestanding Equity-Classified Written Call Options</w:t>
      </w:r>
      <w:r>
        <w:rPr>
          <w:rFonts w:ascii="Times New Roman;sans-serif" w:hAnsi="Times New Roman;sans-serif"/>
          <w:b w:val="false"/>
          <w:color w:val="000000"/>
          <w:sz w:val="20"/>
        </w:rPr>
        <w:t>, which clarifies an issuer’s accounting for modifications or exchanges of freestanding equity-classified written call options that remain equity classified after modifications or exchanges. The ASU requires issuers to account for the modifications or exchanges based on the economic substance of the modification or exchange and whether the transaction was done to issue equity, to issue or modify debt, or for other reasons. We adopted this standard prospectively on January 1, 2022. The adoption of this ASU did not have an impact on the consolidated financial statements.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ASU 2023-07 requires companies with a single reportable segment to provide all existing segment disclosures in Topic 280, as well as new incremental segment information required by this standard on an annual and interim basis. The guidance is effective for fiscal years beginning after December 15, 2023 on a retrospective basis, and interim periods within fiscal years beginning after December 15, 2024, with early adoption permitted. We adopted this standard for our fiscal 2024 annual consolidated financial statements and have applied this standard retrospectively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3. Revenue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in accordance with ASC 606. Although the Company maintains agreements with its customers in multiple contractual forms, the overall promise within each of the contract types is to provide customers the ability to plan, buy and measure their digital advertising campaigns using our platform. Refer to Note 2—Basis of Presentation and Summary of Significant Accounting Policies for additional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disaggregation of revenue was as follows:</w:t>
      </w:r>
    </w:p>
    <w:tbl>
      <w:tblPr>
        <w:tblW w:w="6027" w:type="dxa"/>
        <w:jc w:val="center"/>
        <w:tblInd w:w="0" w:type="dxa"/>
        <w:tblLayout w:type="fixed"/>
        <w:tblCellMar>
          <w:top w:w="28" w:type="dxa"/>
          <w:left w:w="28" w:type="dxa"/>
          <w:bottom w:w="28" w:type="dxa"/>
          <w:right w:w="28" w:type="dxa"/>
        </w:tblCellMar>
      </w:tblPr>
      <w:tblGrid>
        <w:gridCol w:w="684"/>
        <w:gridCol w:w="601"/>
        <w:gridCol w:w="605"/>
        <w:gridCol w:w="211"/>
        <w:gridCol w:w="826"/>
        <w:gridCol w:w="109"/>
        <w:gridCol w:w="109"/>
        <w:gridCol w:w="109"/>
        <w:gridCol w:w="109"/>
        <w:gridCol w:w="211"/>
        <w:gridCol w:w="826"/>
        <w:gridCol w:w="109"/>
        <w:gridCol w:w="109"/>
        <w:gridCol w:w="109"/>
        <w:gridCol w:w="109"/>
        <w:gridCol w:w="211"/>
        <w:gridCol w:w="82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Over-time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for unsatisfied performance obligations expected to be recognized in the future for contracts with an original expected duration of greater than one year was $0.8 million and $0.2 million as of December 31, 2024 and 2023, respectively. These amounts do not include contracts with an original expected duration of less than one year, which is the majority of the Company’s contracts. As of December 31, 2024 and 2023, total deferred revenue was $0.6 million and $0.3 million, respectively. Remaining deferred revenue that is anticipated to be recognized during the succeeding 12-month period is recorded in the current portion of deferred revenue within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4. Property, Equipment, and Software,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Major classes of property, equipment, and software were as follows:</w:t>
      </w:r>
    </w:p>
    <w:tbl>
      <w:tblPr>
        <w:tblW w:w="6263" w:type="dxa"/>
        <w:jc w:val="center"/>
        <w:tblInd w:w="0" w:type="dxa"/>
        <w:tblLayout w:type="fixed"/>
        <w:tblCellMar>
          <w:top w:w="28" w:type="dxa"/>
          <w:left w:w="28" w:type="dxa"/>
          <w:bottom w:w="28" w:type="dxa"/>
          <w:right w:w="28" w:type="dxa"/>
        </w:tblCellMar>
      </w:tblPr>
      <w:tblGrid>
        <w:gridCol w:w="1343"/>
        <w:gridCol w:w="1177"/>
        <w:gridCol w:w="1184"/>
        <w:gridCol w:w="211"/>
        <w:gridCol w:w="826"/>
        <w:gridCol w:w="109"/>
        <w:gridCol w:w="109"/>
        <w:gridCol w:w="109"/>
        <w:gridCol w:w="109"/>
        <w:gridCol w:w="211"/>
        <w:gridCol w:w="721"/>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equipment, and software,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recorded in the consolidated statements of operations was as follows:</w:t>
      </w:r>
    </w:p>
    <w:tbl>
      <w:tblPr>
        <w:tblW w:w="6386" w:type="dxa"/>
        <w:jc w:val="center"/>
        <w:tblInd w:w="0" w:type="dxa"/>
        <w:tblLayout w:type="fixed"/>
        <w:tblCellMar>
          <w:top w:w="28" w:type="dxa"/>
          <w:left w:w="28" w:type="dxa"/>
          <w:bottom w:w="28" w:type="dxa"/>
          <w:right w:w="28" w:type="dxa"/>
        </w:tblCellMar>
      </w:tblPr>
      <w:tblGrid>
        <w:gridCol w:w="927"/>
        <w:gridCol w:w="817"/>
        <w:gridCol w:w="820"/>
        <w:gridCol w:w="211"/>
        <w:gridCol w:w="721"/>
        <w:gridCol w:w="109"/>
        <w:gridCol w:w="109"/>
        <w:gridCol w:w="109"/>
        <w:gridCol w:w="109"/>
        <w:gridCol w:w="211"/>
        <w:gridCol w:w="721"/>
        <w:gridCol w:w="109"/>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4"/>
        </w:rPr>
        <w:t xml:space="preserve">5. </w:t>
      </w:r>
      <w:bookmarkStart w:id="0" w:name="i856ebea628b84927a79e859618f17b72_2158"/>
      <w:bookmarkEnd w:id="0"/>
      <w:r>
        <w:rPr>
          <w:rFonts w:ascii="Times New Roman;sans-serif" w:hAnsi="Times New Roman;sans-serif"/>
          <w:b/>
          <w:i/>
          <w:color w:val="000000"/>
          <w:sz w:val="24"/>
        </w:rPr>
        <w:t>Leases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Lessee Arrangements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its office space, which have remaining lease terms of up to six years. The Company does not have finance leases.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these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Company's operating leases had a weighted-average remaining lease term of approximately six years and a weighted-average incremental borrowing rate of 4.1%. As of December 31, 2023, the Company's operating leases had a weighted-average remaining lease term of approximately seven years and a weighted-average incremental borrowing rate of 3.6%.</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operating lease liabilities was $4.6 million and $4.7 million for the years ended December 31, 2024 and 2023, respectively.</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cost were as follows:</w:t>
      </w:r>
    </w:p>
    <w:tbl>
      <w:tblPr>
        <w:tblW w:w="4150" w:type="dxa"/>
        <w:jc w:val="center"/>
        <w:tblInd w:w="0" w:type="dxa"/>
        <w:tblLayout w:type="fixed"/>
        <w:tblCellMar>
          <w:top w:w="28" w:type="dxa"/>
          <w:left w:w="28" w:type="dxa"/>
          <w:bottom w:w="28" w:type="dxa"/>
          <w:right w:w="28" w:type="dxa"/>
        </w:tblCellMar>
      </w:tblPr>
      <w:tblGrid>
        <w:gridCol w:w="651"/>
        <w:gridCol w:w="572"/>
        <w:gridCol w:w="576"/>
        <w:gridCol w:w="221"/>
        <w:gridCol w:w="646"/>
        <w:gridCol w:w="114"/>
        <w:gridCol w:w="114"/>
        <w:gridCol w:w="114"/>
        <w:gridCol w:w="114"/>
        <w:gridCol w:w="221"/>
        <w:gridCol w:w="646"/>
        <w:gridCol w:w="161"/>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2024, the Company had a remaining contractual obligation of $1.8 million related to a short-term lease to be paid over the following three years. The effective term of this lease is based on the cumulative days available for use throughout the contractual term, which is less than one year. The cost for this lease is included in the disclosure of short-term lease cost. This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other of our short-term leases are not recorded on the Company's consolidated balance sheet due to our accounting policy election for short-term leases.</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were as follows:</w:t>
      </w:r>
    </w:p>
    <w:tbl>
      <w:tblPr>
        <w:tblW w:w="5280" w:type="dxa"/>
        <w:jc w:val="center"/>
        <w:tblInd w:w="0" w:type="dxa"/>
        <w:tblLayout w:type="fixed"/>
        <w:tblCellMar>
          <w:top w:w="28" w:type="dxa"/>
          <w:left w:w="28" w:type="dxa"/>
          <w:bottom w:w="28" w:type="dxa"/>
          <w:right w:w="28" w:type="dxa"/>
        </w:tblCellMar>
      </w:tblPr>
      <w:tblGrid>
        <w:gridCol w:w="1269"/>
        <w:gridCol w:w="1112"/>
        <w:gridCol w:w="1129"/>
        <w:gridCol w:w="344"/>
        <w:gridCol w:w="1175"/>
        <w:gridCol w:w="251"/>
      </w:tblGrid>
      <w:tr>
        <w:trPr/>
        <w:tc>
          <w:tcPr>
            <w:tcW w:w="126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future lease payments</w:t>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26,008 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current</w:t>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21,278 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6. Goodwill and Intangible Assets, Net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goodwill balance as of December 31, 2024 and 2023 is $19.2 million and $12.4 million, respectively. The balance as of December 31, 2024 is comprised of the Company’s November 2024 acquisition of IRIS.TV as well as the February 2017 acquisition of Adelphic. The goodwill balance was determined based on the excess of the purchase price over the fair value of the identifiable net assets acquired and represents its future revenue and earnings potential related to synergies and certain other assets acquired that do not meet the recognition criteria, such as assembled workforce.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tested for impairment at least annually as of the first day of the fourth fiscal quarter, or more frequently if indicators of impairment exist during the fiscal year. Refer to Note 2—Basis of Presentation and Summary of Significant Accounting Policies for additional information. In December 2024, the Company performed a qualitative impairment assessment of its goodwill in accordance with the policy. The results of this test indicated that the Company’s goodwill was not impaired. No goodwill impairment was recorded for the years ended December 31, 2024, 2023 or 2022. As of December 31, 2024, there is no accumulated goodwill impairment loss.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6, 2024, the Company completed the acquisition of IRIS.TV, which was accounted for as a business combination. The total purchase price for this acquisition was $10.0 million. The purchase price consisted of $3.2 million of net assets acquired based on their estimated fair value on the acquisition date. The excess $6.8 million of the purchase price over the fair value of net assets acquired was recorded to goodwill. The goodwill from the acquisition is attributable to expected synergies and other benefits and is expected to be deductible for tax purposes.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primarily consist of acquired developed technology, customer relationships, and tradenames and trademarks resulting from business combinations.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 No impairment was recorded for intangible assets or other long-lived assets during the years ended December 31, 2024, 2023 or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 of intangible assets and accumulated amortization are as follows:</w:t>
      </w:r>
    </w:p>
    <w:tbl>
      <w:tblPr>
        <w:tblW w:w="7009" w:type="dxa"/>
        <w:jc w:val="center"/>
        <w:tblInd w:w="0" w:type="dxa"/>
        <w:tblLayout w:type="fixed"/>
        <w:tblCellMar>
          <w:top w:w="28" w:type="dxa"/>
          <w:left w:w="28" w:type="dxa"/>
          <w:bottom w:w="28" w:type="dxa"/>
          <w:right w:w="28" w:type="dxa"/>
        </w:tblCellMar>
      </w:tblPr>
      <w:tblGrid>
        <w:gridCol w:w="739"/>
        <w:gridCol w:w="648"/>
        <w:gridCol w:w="652"/>
        <w:gridCol w:w="295"/>
        <w:gridCol w:w="295"/>
        <w:gridCol w:w="296"/>
        <w:gridCol w:w="109"/>
        <w:gridCol w:w="109"/>
        <w:gridCol w:w="109"/>
        <w:gridCol w:w="211"/>
        <w:gridCol w:w="721"/>
        <w:gridCol w:w="109"/>
        <w:gridCol w:w="109"/>
        <w:gridCol w:w="109"/>
        <w:gridCol w:w="109"/>
        <w:gridCol w:w="239"/>
        <w:gridCol w:w="717"/>
        <w:gridCol w:w="125"/>
        <w:gridCol w:w="109"/>
        <w:gridCol w:w="109"/>
        <w:gridCol w:w="109"/>
        <w:gridCol w:w="211"/>
        <w:gridCol w:w="61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2024</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Weighted-</w:t>
              <w:br/>
              <w:t>Average</w:t>
              <w:br/>
              <w:t>Useful Life</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20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8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w:t>
            </w:r>
          </w:p>
        </w:tc>
        <w:tc>
          <w:tcPr>
            <w:tcW w:w="1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Trademarks/tradenames</w:t>
            </w:r>
          </w:p>
        </w:tc>
        <w:tc>
          <w:tcPr>
            <w:tcW w:w="8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754" w:type="dxa"/>
        <w:jc w:val="center"/>
        <w:tblInd w:w="0" w:type="dxa"/>
        <w:tblLayout w:type="fixed"/>
        <w:tblCellMar>
          <w:top w:w="28" w:type="dxa"/>
          <w:left w:w="28" w:type="dxa"/>
          <w:bottom w:w="28" w:type="dxa"/>
          <w:right w:w="28" w:type="dxa"/>
        </w:tblCellMar>
      </w:tblPr>
      <w:tblGrid>
        <w:gridCol w:w="739"/>
        <w:gridCol w:w="648"/>
        <w:gridCol w:w="652"/>
        <w:gridCol w:w="295"/>
        <w:gridCol w:w="295"/>
        <w:gridCol w:w="296"/>
        <w:gridCol w:w="109"/>
        <w:gridCol w:w="109"/>
        <w:gridCol w:w="109"/>
        <w:gridCol w:w="211"/>
        <w:gridCol w:w="616"/>
        <w:gridCol w:w="109"/>
        <w:gridCol w:w="109"/>
        <w:gridCol w:w="109"/>
        <w:gridCol w:w="109"/>
        <w:gridCol w:w="239"/>
        <w:gridCol w:w="717"/>
        <w:gridCol w:w="125"/>
        <w:gridCol w:w="109"/>
        <w:gridCol w:w="109"/>
        <w:gridCol w:w="109"/>
        <w:gridCol w:w="211"/>
        <w:gridCol w:w="46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w:t>
              <w:br/>
              <w:t>Weighted-</w:t>
              <w:br/>
              <w:t>Average</w:t>
              <w:br/>
              <w:t>Useful Life</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Amount</w:t>
            </w:r>
          </w:p>
        </w:tc>
      </w:tr>
      <w:tr>
        <w:trPr/>
        <w:tc>
          <w:tcPr>
            <w:tcW w:w="20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88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(4,927)</w:t>
            </w:r>
          </w:p>
        </w:tc>
        <w:tc>
          <w:tcPr>
            <w:tcW w:w="12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Trademarks/tradenames</w:t>
            </w:r>
          </w:p>
        </w:tc>
        <w:tc>
          <w:tcPr>
            <w:tcW w:w="88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2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recorded in the consolidated statements of operations was as follows:</w:t>
      </w:r>
    </w:p>
    <w:tbl>
      <w:tblPr>
        <w:tblW w:w="5771" w:type="dxa"/>
        <w:jc w:val="center"/>
        <w:tblInd w:w="0" w:type="dxa"/>
        <w:tblLayout w:type="fixed"/>
        <w:tblCellMar>
          <w:top w:w="28" w:type="dxa"/>
          <w:left w:w="28" w:type="dxa"/>
          <w:bottom w:w="28" w:type="dxa"/>
          <w:right w:w="28" w:type="dxa"/>
        </w:tblCellMar>
      </w:tblPr>
      <w:tblGrid>
        <w:gridCol w:w="927"/>
        <w:gridCol w:w="817"/>
        <w:gridCol w:w="820"/>
        <w:gridCol w:w="211"/>
        <w:gridCol w:w="466"/>
        <w:gridCol w:w="109"/>
        <w:gridCol w:w="109"/>
        <w:gridCol w:w="109"/>
        <w:gridCol w:w="109"/>
        <w:gridCol w:w="211"/>
        <w:gridCol w:w="466"/>
        <w:gridCol w:w="109"/>
        <w:gridCol w:w="109"/>
        <w:gridCol w:w="109"/>
        <w:gridCol w:w="109"/>
        <w:gridCol w:w="211"/>
        <w:gridCol w:w="61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amortization of intangible assets is as follows:</w:t>
      </w:r>
    </w:p>
    <w:tbl>
      <w:tblPr>
        <w:tblW w:w="2715" w:type="dxa"/>
        <w:jc w:val="center"/>
        <w:tblInd w:w="0" w:type="dxa"/>
        <w:tblLayout w:type="fixed"/>
        <w:tblCellMar>
          <w:top w:w="28" w:type="dxa"/>
          <w:left w:w="28" w:type="dxa"/>
          <w:bottom w:w="28" w:type="dxa"/>
          <w:right w:w="28" w:type="dxa"/>
        </w:tblCellMar>
      </w:tblPr>
      <w:tblGrid>
        <w:gridCol w:w="340"/>
        <w:gridCol w:w="300"/>
        <w:gridCol w:w="306"/>
        <w:gridCol w:w="380"/>
        <w:gridCol w:w="1110"/>
        <w:gridCol w:w="279"/>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7. Accrued Liabilities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accrued liabilities consisted of the following:</w:t>
      </w:r>
    </w:p>
    <w:tbl>
      <w:tblPr>
        <w:tblW w:w="5183" w:type="dxa"/>
        <w:jc w:val="center"/>
        <w:tblInd w:w="0" w:type="dxa"/>
        <w:tblLayout w:type="fixed"/>
        <w:tblCellMar>
          <w:top w:w="28" w:type="dxa"/>
          <w:left w:w="28" w:type="dxa"/>
          <w:bottom w:w="28" w:type="dxa"/>
          <w:right w:w="28" w:type="dxa"/>
        </w:tblCellMar>
      </w:tblPr>
      <w:tblGrid>
        <w:gridCol w:w="988"/>
        <w:gridCol w:w="869"/>
        <w:gridCol w:w="872"/>
        <w:gridCol w:w="211"/>
        <w:gridCol w:w="721"/>
        <w:gridCol w:w="109"/>
        <w:gridCol w:w="109"/>
        <w:gridCol w:w="109"/>
        <w:gridCol w:w="109"/>
        <w:gridCol w:w="211"/>
        <w:gridCol w:w="721"/>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traffic acquisition costs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8. Revolving Credit Facility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31, 2019, the Company entered into an asset-based revolving credit and security agreement (the "Loan Agreement") with PNC Bank, National Association ("PNC Bank") that originally provided a senior secured revolving credit facility with borrowing capacity of up to $40.0 million and a maturity date of October 31, 2024. On April 4, 2023, the Company entered into an amendment to the Loan Agreement (as so amended, the "Amended Loan Agreement") that increased the borrowing capacity under the revolving credit facility to $75.0 million, extended the maturity date to April 4, 2028, and changed the rates at which advances will bear interest. The Amended Loan Agreement is collateralized by security interests in substantially all of the Company's assets.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 (as defined in the Amended Loan Agreement) plus the SOFR Adjustment of 0.10% plus an applicable margin. The applicable margin is between 1.00% to 1.25% for Domestic Rate Loans and between 2.00% and 2.25% for Term SOFR Rate Loans based on the average undrawn availability under the revolving credit facility. </w:t>
      </w:r>
      <w:r>
        <w:rPr>
          <w:rFonts w:ascii="Times New Roman;sans-serif" w:hAnsi="Times New Roman;sans-serif"/>
          <w:b w:val="false"/>
          <w:color w:val="231F20"/>
          <w:sz w:val="20"/>
        </w:rPr>
        <w:t xml:space="preserve">The applicable margin as of </w:t>
      </w:r>
      <w:r>
        <w:rPr>
          <w:rFonts w:ascii="Times New Roman;sans-serif" w:hAnsi="Times New Roman;sans-serif"/>
          <w:b w:val="false"/>
          <w:color w:val="000000"/>
          <w:sz w:val="20"/>
        </w:rPr>
        <w:t>December 31, 2024</w:t>
      </w:r>
      <w:r>
        <w:rPr>
          <w:color w:val="231F20"/>
        </w:rPr>
        <w:t xml:space="preserve"> </w:t>
      </w:r>
      <w:r>
        <w:rPr>
          <w:rFonts w:ascii="Times New Roman;sans-serif" w:hAnsi="Times New Roman;sans-serif"/>
          <w:b w:val="false"/>
          <w:color w:val="231F20"/>
          <w:sz w:val="20"/>
        </w:rPr>
        <w:t xml:space="preserve">was equal to </w:t>
      </w:r>
      <w:r>
        <w:rPr>
          <w:rFonts w:ascii="Times New Roman;sans-serif" w:hAnsi="Times New Roman;sans-serif"/>
          <w:b w:val="false"/>
          <w:color w:val="000000"/>
          <w:sz w:val="20"/>
        </w:rPr>
        <w:t>1.00%</w:t>
      </w:r>
      <w:r>
        <w:rPr>
          <w:color w:val="231F20"/>
        </w:rPr>
        <w:t xml:space="preserve"> </w:t>
      </w:r>
      <w:r>
        <w:rPr>
          <w:rFonts w:ascii="Times New Roman;sans-serif" w:hAnsi="Times New Roman;sans-serif"/>
          <w:b w:val="false"/>
          <w:color w:val="231F20"/>
          <w:sz w:val="20"/>
        </w:rPr>
        <w:t xml:space="preserve">for Domestic Rate Loans and </w:t>
      </w:r>
      <w:r>
        <w:rPr>
          <w:rFonts w:ascii="Times New Roman;sans-serif" w:hAnsi="Times New Roman;sans-serif"/>
          <w:b w:val="false"/>
          <w:color w:val="000000"/>
          <w:sz w:val="20"/>
        </w:rPr>
        <w:t>2.00%</w:t>
      </w:r>
      <w:r>
        <w:rPr>
          <w:color w:val="231F20"/>
        </w:rPr>
        <w:t xml:space="preserve"> </w:t>
      </w:r>
      <w:r>
        <w:rPr>
          <w:rFonts w:ascii="Times New Roman;sans-serif" w:hAnsi="Times New Roman;sans-serif"/>
          <w:b w:val="false"/>
          <w:color w:val="231F20"/>
          <w:sz w:val="20"/>
        </w:rPr>
        <w:t xml:space="preserve">for Term SOFR Rate Loans. </w:t>
      </w:r>
      <w:r>
        <w:rPr>
          <w:rFonts w:ascii="Times New Roman;sans-serif" w:hAnsi="Times New Roman;sans-serif"/>
          <w:b w:val="false"/>
          <w:color w:val="000000"/>
          <w:sz w:val="20"/>
        </w:rPr>
        <w:t>The facility fee for undrawn amounts under the Amended Loan Agreement is 0.375% per annum; additionally, the Company pays customary letter of credit fees as applicable.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Amended Loan Agreement also requires that the Company maintain compliance with a minimum Fixed Charge Coverage Ratio (as defined in the Amended Loan Agreement) of 1.40 to 1.00 at any time undrawn availability is less than 25%. As of December 31, 2024, the Company was in compliance with all applicable covenants under the Amended Loan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 outstanding balance under the revolving credit facility as of December 31,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9. Stockholders' Equity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maximum number of shares of the Company’s Class A common stock that may be issued pursuant to stock awards under the LTIP (the "Share Reserve") was 11,787,112 shares of Class A common stock as of the time of the adoption. The Share Reserve automatically increases on January 1 of each year, commencing on January 1, 2022 and ending with a final increase on January 1, 2031 in an amount equal to 5% of the total number of shares of capital stock outstanding on December 31 of the preceding calendar year; provided, however, that the Company’s board of directors may provide that there will not be a January 1 increase in the Share Reserve in a given year or that the increase will be less than 5% of the shares of capital stock outstanding on the preceding December 31.</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authorized to grant RSUs, incentive stock options, nonqualified stock options, stock appreciation rights, restricted stock awards, and performance stock awards under the LTIP. As of December 31, 2024, the Company had currently only granted RSUs and nonqualified stock options. Under the LTIP, 5.5 million shares of Class A common stock remained available for grant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recorded in the consolidated statements of operations was as follows:</w:t>
      </w:r>
    </w:p>
    <w:tbl>
      <w:tblPr>
        <w:tblW w:w="6386" w:type="dxa"/>
        <w:jc w:val="center"/>
        <w:tblInd w:w="0" w:type="dxa"/>
        <w:tblLayout w:type="fixed"/>
        <w:tblCellMar>
          <w:top w:w="28" w:type="dxa"/>
          <w:left w:w="28" w:type="dxa"/>
          <w:bottom w:w="28" w:type="dxa"/>
          <w:right w:w="28" w:type="dxa"/>
        </w:tblCellMar>
      </w:tblPr>
      <w:tblGrid>
        <w:gridCol w:w="927"/>
        <w:gridCol w:w="817"/>
        <w:gridCol w:w="820"/>
        <w:gridCol w:w="211"/>
        <w:gridCol w:w="721"/>
        <w:gridCol w:w="109"/>
        <w:gridCol w:w="109"/>
        <w:gridCol w:w="109"/>
        <w:gridCol w:w="109"/>
        <w:gridCol w:w="211"/>
        <w:gridCol w:w="721"/>
        <w:gridCol w:w="109"/>
        <w:gridCol w:w="109"/>
        <w:gridCol w:w="109"/>
        <w:gridCol w:w="109"/>
        <w:gridCol w:w="211"/>
        <w:gridCol w:w="721"/>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Platform operations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28,901 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RSU activity:</w:t>
      </w:r>
    </w:p>
    <w:tbl>
      <w:tblPr>
        <w:tblW w:w="6731" w:type="dxa"/>
        <w:jc w:val="center"/>
        <w:tblInd w:w="0" w:type="dxa"/>
        <w:tblLayout w:type="fixed"/>
        <w:tblCellMar>
          <w:top w:w="28" w:type="dxa"/>
          <w:left w:w="28" w:type="dxa"/>
          <w:bottom w:w="28" w:type="dxa"/>
          <w:right w:w="28" w:type="dxa"/>
        </w:tblCellMar>
      </w:tblPr>
      <w:tblGrid>
        <w:gridCol w:w="1315"/>
        <w:gridCol w:w="1156"/>
        <w:gridCol w:w="1159"/>
        <w:gridCol w:w="469"/>
        <w:gridCol w:w="469"/>
        <w:gridCol w:w="471"/>
        <w:gridCol w:w="109"/>
        <w:gridCol w:w="109"/>
        <w:gridCol w:w="109"/>
        <w:gridCol w:w="329"/>
        <w:gridCol w:w="796"/>
        <w:gridCol w:w="240"/>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Grant-Date Fair</w:t>
              <w:br/>
              <w:t> Value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 as of December 31, 2023</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24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outstanding as of December 31, 2024</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RSUs, as of their respective vesting dates, during the year ended December 31, 2024 was $23.8 million. As of December 31, 2024, the Company had unrecognized stock-based compensation relating to RSUs of approximately $34.4 million, which is expected to be recognized over a weighted-average period of 1.8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Nonqualified Stock Options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nonqualified stock option activity:</w:t>
      </w:r>
    </w:p>
    <w:tbl>
      <w:tblPr>
        <w:tblW w:w="10205" w:type="dxa"/>
        <w:jc w:val="center"/>
        <w:tblInd w:w="0" w:type="dxa"/>
        <w:tblLayout w:type="fixed"/>
        <w:tblCellMar>
          <w:top w:w="28" w:type="dxa"/>
          <w:left w:w="28" w:type="dxa"/>
          <w:bottom w:w="28" w:type="dxa"/>
          <w:right w:w="28" w:type="dxa"/>
        </w:tblCellMar>
      </w:tblPr>
      <w:tblGrid>
        <w:gridCol w:w="801"/>
        <w:gridCol w:w="702"/>
        <w:gridCol w:w="706"/>
        <w:gridCol w:w="458"/>
        <w:gridCol w:w="458"/>
        <w:gridCol w:w="459"/>
        <w:gridCol w:w="109"/>
        <w:gridCol w:w="109"/>
        <w:gridCol w:w="109"/>
        <w:gridCol w:w="430"/>
        <w:gridCol w:w="1042"/>
        <w:gridCol w:w="224"/>
        <w:gridCol w:w="109"/>
        <w:gridCol w:w="109"/>
        <w:gridCol w:w="109"/>
        <w:gridCol w:w="729"/>
        <w:gridCol w:w="729"/>
        <w:gridCol w:w="730"/>
        <w:gridCol w:w="109"/>
        <w:gridCol w:w="109"/>
        <w:gridCol w:w="109"/>
        <w:gridCol w:w="340"/>
        <w:gridCol w:w="1164"/>
        <w:gridCol w:w="252"/>
      </w:tblGrid>
      <w:tr>
        <w:trPr/>
        <w:tc>
          <w:tcPr>
            <w:tcW w:w="80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Options </w:t>
              <w:br/>
              <w:t xml:space="preserve">(in thousands)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Remaining 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p>
            <w:pPr>
              <w:pStyle w:val="TableContents"/>
              <w:bidi w:val="0"/>
              <w:spacing w:lineRule="auto" w:line="240" w:before="0" w:after="0"/>
              <w:ind w:left="0" w:right="0" w:hanging="180"/>
              <w:jc w:val="center"/>
              <w:rPr/>
            </w:pPr>
            <w:r>
              <w:rPr>
                <w:rFonts w:ascii="Times New Roman;sans-serif" w:hAnsi="Times New Roman;sans-serif"/>
                <w:b/>
                <w:color w:val="000000"/>
                <w:sz w:val="20"/>
              </w:rPr>
              <w:t>(in thousands)</w:t>
            </w:r>
            <w:r>
              <w:rPr>
                <w:rFonts w:ascii="Times New Roman;sans-serif" w:hAnsi="Times New Roman;sans-serif"/>
                <w:b/>
                <w:color w:val="000000"/>
                <w:sz w:val="13"/>
              </w:rPr>
              <w:t>(1)</w:t>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1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Expired</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2024</w:t>
            </w:r>
          </w:p>
        </w:tc>
        <w:tc>
          <w:tcPr>
            <w:tcW w:w="13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231F20"/>
          <w:sz w:val="20"/>
        </w:rPr>
        <w:t xml:space="preserve">The aggregate intrinsic value is calculated as the difference between the exercise price of the underlying stock option awards and the closing market price of our Class A common stock as of </w:t>
      </w:r>
      <w:r>
        <w:rPr>
          <w:rFonts w:ascii="Times New Roman;sans-serif" w:hAnsi="Times New Roman;sans-serif"/>
          <w:b w:val="false"/>
          <w:color w:val="000000"/>
          <w:sz w:val="20"/>
        </w:rPr>
        <w:t>December 31, 2024 and December 31,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the nonqualified stock options granted during the years ended December 31, 2024, 2023 and 2022 was $6.67, $3.20 and $3.50, respectively. The total intrinsic value of options exercised during the year ended December 31, 2024 was $10.8 million and were de minimis for the years ended December 31, 2023 and 2022.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unrecognized stock-based compensation relating to unvested nonqualified stock options of approximately $6.9 million, which is expected to be recognized over a weighted-average period of 1.4 years as of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assumptions used in the Black-Scholes model to determine the fair value of nonqualified stock options were as follows:</w:t>
      </w:r>
    </w:p>
    <w:tbl>
      <w:tblPr>
        <w:tblW w:w="6298" w:type="dxa"/>
        <w:jc w:val="center"/>
        <w:tblInd w:w="0" w:type="dxa"/>
        <w:tblLayout w:type="fixed"/>
        <w:tblCellMar>
          <w:top w:w="28" w:type="dxa"/>
          <w:left w:w="28" w:type="dxa"/>
          <w:bottom w:w="28" w:type="dxa"/>
          <w:right w:w="28" w:type="dxa"/>
        </w:tblCellMar>
      </w:tblPr>
      <w:tblGrid>
        <w:gridCol w:w="772"/>
        <w:gridCol w:w="676"/>
        <w:gridCol w:w="682"/>
        <w:gridCol w:w="255"/>
        <w:gridCol w:w="256"/>
        <w:gridCol w:w="294"/>
        <w:gridCol w:w="118"/>
        <w:gridCol w:w="118"/>
        <w:gridCol w:w="118"/>
        <w:gridCol w:w="291"/>
        <w:gridCol w:w="291"/>
        <w:gridCol w:w="723"/>
        <w:gridCol w:w="118"/>
        <w:gridCol w:w="118"/>
        <w:gridCol w:w="118"/>
        <w:gridCol w:w="275"/>
        <w:gridCol w:w="275"/>
        <w:gridCol w:w="800"/>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- 4.3%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- 2.8%</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- 81.5%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- 62.7%</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6.0 - 6.1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5.9 - 6.0</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Company bases the risk-free interest rate assumption for equity awards on the rates for U.S. Treasury securities with maturities similar to those of the expected term of the award being valued.</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Due to the limited trading history of the Company’s Class A common stock, the expected volatility assumption is based on both the volatility of a peer group of similar companies whose share prices are publicly available as well as the historical volatility of the Company's daily stock prices. The Company will continue to apply this process until a sufficient amount of historical information regarding the volatility of the Company’s own stock price becomes available.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Given the insufficient historical data relating to nonqualified stock option exercises, the expected term assumption is based on the simplified method, which uses the midpoint of the weighted-average vesting period and the contractual term. The Company will continue to apply this process until a sufficient amount of historical information regarding the Company’s nonqualified stock option exercises becomes available.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Expected Dividend Yield.</w:t>
      </w:r>
      <w:r>
        <w:rPr>
          <w:color w:val="000000"/>
        </w:rPr>
        <w:t xml:space="preserve"> </w:t>
      </w:r>
      <w:r>
        <w:rPr>
          <w:rFonts w:ascii="Times New Roman;sans-serif" w:hAnsi="Times New Roman;sans-serif"/>
          <w:b w:val="false"/>
          <w:color w:val="000000"/>
          <w:sz w:val="20"/>
        </w:rPr>
        <w:t>The Company’s expected dividend yield assumption is zero as it has never paid dividends and has no present intention to do so in the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23, 2024, the Company's board of directors approved a stock repurchase program with authorization to purchase up to $50 million in shares of the Company's Class A common stock or Class B units of Viant Technology LLC. As of December 31, 2024, $28.3 million remained available under the stock repurchase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make repurchases under the program, from time to time, through open market purchases, block trades, in privately negotiated transactions, accelerated stock repurchase transactions, or by other means.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number of shares of Class A common stock or Class B units, has no time limit, and may be modified, suspended, or discontinued at any time without notice, at the discretion of the board of directors. The Company expects to fund repurchases from existing cash and cash equivalents, short-term investments and/or future 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A common stock and Class B units repurchased by the Company under the stock repurchase program were as follows (in thousands):</w:t>
      </w:r>
    </w:p>
    <w:p>
      <w:pPr>
        <w:pStyle w:val="TextBody"/>
        <w:bidi w:val="0"/>
        <w:spacing w:before="0" w:after="0"/>
        <w:ind w:left="0" w:right="0" w:firstLine="540"/>
        <w:jc w:val="left"/>
        <w:rPr/>
      </w:pPr>
      <w:r>
        <w:rPr/>
      </w:r>
    </w:p>
    <w:tbl>
      <w:tblPr>
        <w:tblW w:w="6139" w:type="dxa"/>
        <w:jc w:val="center"/>
        <w:tblInd w:w="0" w:type="dxa"/>
        <w:tblLayout w:type="fixed"/>
        <w:tblCellMar>
          <w:top w:w="28" w:type="dxa"/>
          <w:left w:w="28" w:type="dxa"/>
          <w:bottom w:w="28" w:type="dxa"/>
          <w:right w:w="28" w:type="dxa"/>
        </w:tblCellMar>
      </w:tblPr>
      <w:tblGrid>
        <w:gridCol w:w="1070"/>
        <w:gridCol w:w="940"/>
        <w:gridCol w:w="945"/>
        <w:gridCol w:w="308"/>
        <w:gridCol w:w="308"/>
        <w:gridCol w:w="281"/>
        <w:gridCol w:w="176"/>
        <w:gridCol w:w="176"/>
        <w:gridCol w:w="176"/>
        <w:gridCol w:w="342"/>
        <w:gridCol w:w="1168"/>
        <w:gridCol w:w="249"/>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 2024</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Shares</w:t>
            </w:r>
            <w:r>
              <w:rPr>
                <w:rFonts w:ascii="Times New Roman;sans-serif" w:hAnsi="Times New Roman;sans-serif"/>
                <w:b/>
                <w:color w:val="000000"/>
                <w:sz w:val="13"/>
              </w:rPr>
              <w:t>(1)</w:t>
            </w:r>
          </w:p>
        </w:tc>
        <w:tc>
          <w:tcPr>
            <w:tcW w:w="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Amount</w:t>
            </w:r>
            <w:r>
              <w:rPr>
                <w:rFonts w:ascii="Times New Roman;sans-serif" w:hAnsi="Times New Roman;sans-serif"/>
                <w:b/>
                <w:color w:val="000000"/>
                <w:sz w:val="13"/>
              </w:rPr>
              <w:t>(2)</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repurchases</w:t>
            </w:r>
          </w:p>
        </w:tc>
        <w:tc>
          <w:tcPr>
            <w:tcW w:w="8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unit repurchases</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repurchases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21,715 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w:t>
      </w:r>
      <w:r>
        <w:rPr>
          <w:rFonts w:ascii="Times New Roman;sans-serif" w:hAnsi="Times New Roman;sans-serif"/>
          <w:b w:val="false"/>
          <w:color w:val="231F20"/>
          <w:sz w:val="20"/>
        </w:rPr>
        <w:t xml:space="preserve">Shares repurchased include unsettled repurchases as of </w:t>
      </w:r>
      <w:r>
        <w:rPr>
          <w:rFonts w:ascii="Times New Roman;sans-serif" w:hAnsi="Times New Roman;sans-serif"/>
          <w:b w:val="false"/>
          <w:color w:val="000000"/>
          <w:sz w:val="20"/>
        </w:rPr>
        <w:t>December 31, 2024.</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(2)Amount includes costs associated with the repurchase such as commissions.</w:t>
      </w:r>
    </w:p>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Issuance of Shares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Upon vesting of shares under the LTIP, the Company will issue treasury stock. If treasury stock is not available, newly issued stock will be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10. Income Taxes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For the year ended December 31, 2024, the Company recognized income tax expense of $0.2 million due to current federal and state taxes payable, resulting in an effective tax rate of 2.0%. For the year ended December 31, 2023, the Company recognized income tax expense of $0.2 million due to federal and state taxes payable, resulting in an effective tax rate of (1.5)%. For the year ended December 31, 2022, the Company did not recognize an income tax expense or benefit, which resulted in an effective tax rate of 0.0%.</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the sole managing member of Viant Technology LLC and, as a result, consolidates the financial results of Viant Technology LLC in the consolidated financial statements. Viant Technology LLC is a pass-through entity for U.S. federal and most applicable state and local income tax purposes following a corporate reorganization effected in connection with the IPO. As an entity classified as a partnership for tax purposes, Viant Technology LLC generally is not subject to U.S. federal and certain state and local income taxes. Subsequent to the IPO, any taxable income or loss generated by Viant Technology LLC is passed through to and included in the taxable income or loss of its members, including the Company. The Company is taxed as a corporation and pays corporate federal, state and local taxes with respect to income allocated from Viant Technology LLC, based on the Company's 25.9% economic interest in Viant Technology LLC.</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attributable to the Company was as follows:</w:t>
      </w:r>
    </w:p>
    <w:tbl>
      <w:tblPr>
        <w:tblW w:w="5576" w:type="dxa"/>
        <w:jc w:val="center"/>
        <w:tblInd w:w="0" w:type="dxa"/>
        <w:tblLayout w:type="fixed"/>
        <w:tblCellMar>
          <w:top w:w="28" w:type="dxa"/>
          <w:left w:w="28" w:type="dxa"/>
          <w:bottom w:w="28" w:type="dxa"/>
          <w:right w:w="28" w:type="dxa"/>
        </w:tblCellMar>
      </w:tblPr>
      <w:tblGrid>
        <w:gridCol w:w="931"/>
        <w:gridCol w:w="821"/>
        <w:gridCol w:w="827"/>
        <w:gridCol w:w="211"/>
        <w:gridCol w:w="466"/>
        <w:gridCol w:w="109"/>
        <w:gridCol w:w="109"/>
        <w:gridCol w:w="109"/>
        <w:gridCol w:w="109"/>
        <w:gridCol w:w="211"/>
        <w:gridCol w:w="466"/>
        <w:gridCol w:w="109"/>
        <w:gridCol w:w="109"/>
        <w:gridCol w:w="109"/>
        <w:gridCol w:w="109"/>
        <w:gridCol w:w="211"/>
        <w:gridCol w:w="406"/>
        <w:gridCol w:w="154"/>
      </w:tblGrid>
      <w:tr>
        <w:trPr/>
        <w:tc>
          <w:tcPr>
            <w:tcW w:w="9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income tax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provision</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income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income tax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provision</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statutory tax rate to the effective tax rate for the years presented are as follows:</w:t>
      </w:r>
    </w:p>
    <w:tbl>
      <w:tblPr>
        <w:tblW w:w="7758" w:type="dxa"/>
        <w:jc w:val="center"/>
        <w:tblInd w:w="0" w:type="dxa"/>
        <w:tblLayout w:type="fixed"/>
        <w:tblCellMar>
          <w:top w:w="28" w:type="dxa"/>
          <w:left w:w="28" w:type="dxa"/>
          <w:bottom w:w="28" w:type="dxa"/>
          <w:right w:w="28" w:type="dxa"/>
        </w:tblCellMar>
      </w:tblPr>
      <w:tblGrid>
        <w:gridCol w:w="1579"/>
        <w:gridCol w:w="1390"/>
        <w:gridCol w:w="1395"/>
        <w:gridCol w:w="291"/>
        <w:gridCol w:w="294"/>
        <w:gridCol w:w="294"/>
        <w:gridCol w:w="118"/>
        <w:gridCol w:w="118"/>
        <w:gridCol w:w="118"/>
        <w:gridCol w:w="291"/>
        <w:gridCol w:w="294"/>
        <w:gridCol w:w="294"/>
        <w:gridCol w:w="118"/>
        <w:gridCol w:w="118"/>
        <w:gridCol w:w="118"/>
        <w:gridCol w:w="291"/>
        <w:gridCol w:w="294"/>
        <w:gridCol w:w="343"/>
      </w:tblGrid>
      <w:tr>
        <w:trPr/>
        <w:tc>
          <w:tcPr>
            <w:tcW w:w="1579"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at 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passed through to noncontrolling interests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 taxes, net of federal benefit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items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Uncertain tax position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effective rate</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give rise to a significant portion of the deferred tax assets and deferred tax liabilities are as follows:</w:t>
      </w:r>
    </w:p>
    <w:tbl>
      <w:tblPr>
        <w:tblW w:w="5108" w:type="dxa"/>
        <w:jc w:val="center"/>
        <w:tblInd w:w="0" w:type="dxa"/>
        <w:tblLayout w:type="fixed"/>
        <w:tblCellMar>
          <w:top w:w="28" w:type="dxa"/>
          <w:left w:w="28" w:type="dxa"/>
          <w:bottom w:w="28" w:type="dxa"/>
          <w:right w:w="28" w:type="dxa"/>
        </w:tblCellMar>
      </w:tblPr>
      <w:tblGrid>
        <w:gridCol w:w="1039"/>
        <w:gridCol w:w="911"/>
        <w:gridCol w:w="914"/>
        <w:gridCol w:w="211"/>
        <w:gridCol w:w="616"/>
        <w:gridCol w:w="109"/>
        <w:gridCol w:w="109"/>
        <w:gridCol w:w="109"/>
        <w:gridCol w:w="109"/>
        <w:gridCol w:w="211"/>
        <w:gridCol w:w="616"/>
        <w:gridCol w:w="154"/>
      </w:tblGrid>
      <w:tr>
        <w:trPr/>
        <w:tc>
          <w:tcPr>
            <w:tcW w:w="103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(liabilities)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the Company considers whether it is probable that some or all of the deferred tax assets will not be realized. In determining whether the deferred taxes are realizable, the Company considers the period of expiration of the tax asset, historical and projected taxable income, and tax liabilities for the tax jurisdiction in which the tax asset is located. Valuation allowances are provided to reduce the amounts of deferred tax assets to an amount that is more likely than not to be realized based on an assessment of positive and negative evidence, including estimates of future taxable income necessary to realize future deductible amounts. As of December 31, 2024 and 2023, the Company has recorded a valuation allowance against its deferred tax assets of $12.5 million and $10.9 million, respectively, as management determined it is not more likely than not that the deferred tax assets will be realized.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the Company has federal net operating loss carryforwards of approximately $5.4 million and $6.1 million, respectively. As of December 31, 2024 and 2023, the Company has state net operating loss carryforwards of approximately $3.6 million and $3.8 million, respectively. The federal net operating losses carry forward indefinitely and state net operating losses begin to expire in 2032. As of December 31, 2024, the Company has federal and state research and development tax credits of approximately $0.8 million and $0.7 million, respectively. The federal credits will begin to expire in 2044 and the state credits carry forward until exhausted.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 of total gross unrecognized tax benefits is as follows:</w:t>
      </w:r>
    </w:p>
    <w:tbl>
      <w:tblPr>
        <w:tblW w:w="6893" w:type="dxa"/>
        <w:jc w:val="center"/>
        <w:tblInd w:w="0" w:type="dxa"/>
        <w:tblLayout w:type="fixed"/>
        <w:tblCellMar>
          <w:top w:w="28" w:type="dxa"/>
          <w:left w:w="28" w:type="dxa"/>
          <w:bottom w:w="28" w:type="dxa"/>
          <w:right w:w="28" w:type="dxa"/>
        </w:tblCellMar>
      </w:tblPr>
      <w:tblGrid>
        <w:gridCol w:w="1793"/>
        <w:gridCol w:w="1576"/>
        <w:gridCol w:w="1580"/>
        <w:gridCol w:w="211"/>
        <w:gridCol w:w="466"/>
        <w:gridCol w:w="109"/>
        <w:gridCol w:w="109"/>
        <w:gridCol w:w="109"/>
        <w:gridCol w:w="109"/>
        <w:gridCol w:w="211"/>
        <w:gridCol w:w="466"/>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 of unrecognized tax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 based on tax positions related to current year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 based on tax positions related to prior years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 of unrecognized tax benefits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unrecognized tax benefits, if recognized, would not have an impact on the Company's effective tax rate assuming the Company continues to maintain a full valuation allowance position. As of December 31, 2024, no significant increases or decreases to the Company's uncertain tax positions are expected within the next twelve months.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U.S. federal and state returns are open to examination for all periods ending December 31, 2021 and thereafter. However, to the extent allowed by law the tax authorities may have the right to examine prior periods where net operating losses were generated and carried forward and make adjustments up to the amount of the net operating loss or credit carry forward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11. Earnings (Loss) Per Share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2024, 2023 and 2022, basic net earnings (loss) per share has been calculated by dividing net income (loss) attributable to Class A common stockholders by the weighted average number of shares of Class A common stock outstanding for the same period. Shares of Class A common stock are weighted for the portion of the period in which the shares were outstanding. Diluted earnings (loss) per share has been calculated in a manner consistent with that of basic net earnings (loss) per share while considering all potentially dilutive shares of Class A common stock outstanding during the period.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earnings (loss) per share for the periods presented. Refer to Note 2—Basis of Presentation and Summary of Significant Accounting Policies for additional information related to basic and diluted earnings (loss) per share.</w:t>
      </w:r>
    </w:p>
    <w:tbl>
      <w:tblPr>
        <w:tblW w:w="10205" w:type="dxa"/>
        <w:jc w:val="center"/>
        <w:tblInd w:w="0" w:type="dxa"/>
        <w:tblLayout w:type="fixed"/>
        <w:tblCellMar>
          <w:top w:w="28" w:type="dxa"/>
          <w:left w:w="28" w:type="dxa"/>
          <w:bottom w:w="28" w:type="dxa"/>
          <w:right w:w="28" w:type="dxa"/>
        </w:tblCellMar>
      </w:tblPr>
      <w:tblGrid>
        <w:gridCol w:w="2452"/>
        <w:gridCol w:w="2004"/>
        <w:gridCol w:w="1950"/>
        <w:gridCol w:w="211"/>
        <w:gridCol w:w="721"/>
        <w:gridCol w:w="109"/>
        <w:gridCol w:w="109"/>
        <w:gridCol w:w="109"/>
        <w:gridCol w:w="109"/>
        <w:gridCol w:w="211"/>
        <w:gridCol w:w="656"/>
        <w:gridCol w:w="109"/>
        <w:gridCol w:w="109"/>
        <w:gridCol w:w="109"/>
        <w:gridCol w:w="109"/>
        <w:gridCol w:w="211"/>
        <w:gridCol w:w="761"/>
        <w:gridCol w:w="156"/>
      </w:tblGrid>
      <w:tr>
        <w:trPr/>
        <w:tc>
          <w:tcPr>
            <w:tcW w:w="2452"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back: Reallocation of net income (loss) attributable to noncontrolling interest from the assumed exchange of dilutive securities for Class A common stock</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from the assumed exchange of dilutive securities for Class A common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Class A common stock outstanding—diluted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of Class A common stock—diluted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shares excluded from earnings (loss) per share of Class A common stock—diluted: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w:t>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w:t>
            </w:r>
          </w:p>
        </w:tc>
      </w:tr>
      <w:tr>
        <w:trPr/>
        <w:tc>
          <w:tcPr>
            <w:tcW w:w="6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Class B common stock</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47,082</w:t>
            </w:r>
          </w:p>
        </w:tc>
      </w:tr>
      <w:tr>
        <w:trPr/>
        <w:tc>
          <w:tcPr>
            <w:tcW w:w="6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excluded from earnings (loss) per share of Class A common stock—diluted</w:t>
            </w:r>
          </w:p>
        </w:tc>
        <w:tc>
          <w:tcPr>
            <w:tcW w:w="10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12. Noncontrolling Interests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The limited liability company agreement of Viant Technology LLC, as amended and restated,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Changes in 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 will result in a change in ownership, where the Company will rebalance the noncontrolling interest, offset by a change in additional-paid-in-capital.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ownership of Viant Technology LLC:</w:t>
      </w:r>
    </w:p>
    <w:tbl>
      <w:tblPr>
        <w:tblW w:w="8518" w:type="dxa"/>
        <w:jc w:val="center"/>
        <w:tblInd w:w="0" w:type="dxa"/>
        <w:tblLayout w:type="fixed"/>
        <w:tblCellMar>
          <w:top w:w="28" w:type="dxa"/>
          <w:left w:w="28" w:type="dxa"/>
          <w:bottom w:w="28" w:type="dxa"/>
          <w:right w:w="28" w:type="dxa"/>
        </w:tblCellMar>
      </w:tblPr>
      <w:tblGrid>
        <w:gridCol w:w="758"/>
        <w:gridCol w:w="667"/>
        <w:gridCol w:w="674"/>
        <w:gridCol w:w="389"/>
        <w:gridCol w:w="389"/>
        <w:gridCol w:w="391"/>
        <w:gridCol w:w="208"/>
        <w:gridCol w:w="208"/>
        <w:gridCol w:w="208"/>
        <w:gridCol w:w="307"/>
        <w:gridCol w:w="309"/>
        <w:gridCol w:w="607"/>
        <w:gridCol w:w="109"/>
        <w:gridCol w:w="109"/>
        <w:gridCol w:w="109"/>
        <w:gridCol w:w="389"/>
        <w:gridCol w:w="389"/>
        <w:gridCol w:w="391"/>
        <w:gridCol w:w="205"/>
        <w:gridCol w:w="205"/>
        <w:gridCol w:w="205"/>
        <w:gridCol w:w="307"/>
        <w:gridCol w:w="309"/>
        <w:gridCol w:w="676"/>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Owner</w:t>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 Owned</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w:t>
              <w:br/>
              <w:t xml:space="preserve">Percentage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Units Owned</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Ownership</w:t>
              <w:br/>
              <w:t xml:space="preserve">Percentage </w:t>
            </w:r>
          </w:p>
        </w:tc>
      </w:tr>
      <w:tr>
        <w:trPr/>
        <w:tc>
          <w:tcPr>
            <w:tcW w:w="20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w:t>
            </w:r>
          </w:p>
        </w:tc>
        <w:tc>
          <w:tcPr>
            <w:tcW w:w="116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16,368,452</w:t>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6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15,783,941</w:t>
            </w:r>
          </w:p>
        </w:tc>
        <w:tc>
          <w:tcPr>
            <w:tcW w:w="6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6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46,753,841</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47,032,260</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69"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63,122,293</w:t>
            </w:r>
          </w:p>
        </w:tc>
        <w:tc>
          <w:tcPr>
            <w:tcW w:w="6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0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62,816,201</w:t>
            </w:r>
          </w:p>
        </w:tc>
        <w:tc>
          <w:tcPr>
            <w:tcW w:w="61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2024, noncontrolling interests exchanged 278,419 Class B shares of Viant Technology LLC for 278,419 shares of the Company’s Class A common stock, which also resulted in the cancellation of 278,419 shares of the Company’s Class B common stock that were previously held by noncontrolling interests with no additional consideration provided. During the year ended December 31, 2023, noncontrolling interests exchanged 50,000 Class B shares of Viant Technology LLC for 50,000 shares of the Company’s Class A common stock, which also resulted in the cancellation of 50,000 shares of the Company’s Class B common stock that were previously held by noncontrolling interests with no additional consideration provided.</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effect of changes in the Company’s ownership interest in Viant Technology LLC on the Company’s equity for the years indicated:</w:t>
      </w:r>
    </w:p>
    <w:tbl>
      <w:tblPr>
        <w:tblW w:w="10205" w:type="dxa"/>
        <w:jc w:val="center"/>
        <w:tblInd w:w="0" w:type="dxa"/>
        <w:tblLayout w:type="fixed"/>
        <w:tblCellMar>
          <w:top w:w="28" w:type="dxa"/>
          <w:left w:w="28" w:type="dxa"/>
          <w:bottom w:w="28" w:type="dxa"/>
          <w:right w:w="28" w:type="dxa"/>
        </w:tblCellMar>
      </w:tblPr>
      <w:tblGrid>
        <w:gridCol w:w="2682"/>
        <w:gridCol w:w="1884"/>
        <w:gridCol w:w="1889"/>
        <w:gridCol w:w="211"/>
        <w:gridCol w:w="661"/>
        <w:gridCol w:w="109"/>
        <w:gridCol w:w="109"/>
        <w:gridCol w:w="109"/>
        <w:gridCol w:w="109"/>
        <w:gridCol w:w="211"/>
        <w:gridCol w:w="661"/>
        <w:gridCol w:w="109"/>
        <w:gridCol w:w="109"/>
        <w:gridCol w:w="109"/>
        <w:gridCol w:w="109"/>
        <w:gridCol w:w="211"/>
        <w:gridCol w:w="766"/>
        <w:gridCol w:w="157"/>
      </w:tblGrid>
      <w:tr>
        <w:trPr/>
        <w:tc>
          <w:tcPr>
            <w:tcW w:w="2682"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Viant Technology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 noncontrolling interests: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6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the additional-paid-in-capital of Viant Technology Inc. resulting from ownership changes in Viant Technology LLC</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(20,284)</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Viant Technology Inc. and transfers to noncontrolling interests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(32,197)</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13. Commitments and Contingencies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 Commitments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non-cancelable operating lease commitments for office space that have been recorded as operating lease liabilities. Refer to Note 5—Leases for additional information regarding lease commitments.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Hosting Commitments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non-cancelable contractual agreements primarily related to the hosting of our data storage processing, storage and other computing services. As of December 31, 2024, we estimate these obligations to be approximately $15.4 million in 2025, $15.0 million in 2026, $10.5 million in 2027, and $2.1 million in 2028.</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Guarantees and Indemnities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VIANT TECHNOLOGY INC.</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CONSOLIDATED FINANCIAL STATEMENTS</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(tabular dollars in thousands, except for per share data)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 The Company is not aware of indemnification claims that could have a material effect on the Company’s consolidated financial statements. Accordingly, no amounts for any obligation have been recorded as of December 31,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i/>
          <w:color w:val="000000"/>
          <w:sz w:val="24"/>
        </w:rPr>
      </w:pPr>
      <w:r>
        <w:rPr>
          <w:rFonts w:ascii="Times New Roman;sans-serif" w:hAnsi="Times New Roman;sans-serif"/>
          <w:b/>
          <w:i/>
          <w:color w:val="000000"/>
          <w:sz w:val="24"/>
        </w:rPr>
        <w:t>14. Related Parties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 balance of $0.3 million as of December 31, 2024 and $0.3 million as of December 31, 2023, payable to related parties for expenses they incurred on our behalf, which was recorded within accrued liabilities on the consolidated balance sheets. The related expense incurred by the Company was $1.1 million for the year ended December 31, 2024, and $0.9 million for the year ended December 31, 2023.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no revenue from its transactions with related parties during the years ended December 31, 2024, 2023 and 2022. The Company recorded no purchases from related parties during the years ended December 31, 2024, 2023 and 2022.</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and 2023, no amounts were due to or due from related parties, other than those mentioned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9A. Controls and Procedures. </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have concluded that 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Management's Report on Internal Control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is responsible for establishing and maintaining adequate internal control over financial reporting (as defined in Rules 13a-15(f) and 15d-15(f) under the Exchange Act). We maintain internal control over financial reporting designed to provide reasonable assurance regarding the reliability of financial reporting and the preparation of financial statements for external purposes in accordance with GAAP.</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Internal control over financial reporting includes maintaining records that, in reasonable detail, accurately and fairly reflect our transactions and dispositions of assets; providing reasonable assurance that transactions are recorded as necessary for the preparation of consolidated financial statements in accordance with accounting principles generally accepted in the United States of America; providing reasonable assurance that receipts and expenditures of Company assets are made in accordance with authorizations of management and our board of directors; and providing reasonable assurance that unauthorized acquisition, use or disposition of Company assets that could have a material effect on the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supervision and with the participation of our chief executive officer and chief financial officer, our management conducted an evaluation of the effectiveness of our internal control over financial reporting based on the criteria set forth in “Internal Control—Integrated Framework” issued by the Committee of Sponsoring Organizations of the Treadway Commission (2013 framework). </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excluded from the scope of our assessment of internal control over financial reporting the operations and related assets of IRIS.TV, which we acquired on November 6, 2024. These exclusions are consistent with the SEC Staff guidance that an assessment of a recently acquired business may be omitted from the scope of our assessment of the effectiveness of disclosure controls and procedures that are also part of internal control over financial reporting in the twelve months following the acquisition. The total assets and total net revenues of IRIS.TV represent 1% and &lt;1%, respectively, of the related consolidated financial statement amounts as of and for the year ended December 31, 2024.</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Attestation Report of the Independent Registered Public Accounting Firm</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does not include an attestation report of our registered public accounting firm regarding internal control over financial reporting due to an exemption established by the JOBS Act for “emerging growth companies”.</w:t>
      </w: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IRIS.TV acquisition, we have implemented new processes and controls over accounting for an acquisition, including determining the fair value of the assets acquired and liabilities assumed.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Except as disclosed above, there were no changes in our internal control over financial reporting (as defined in Rules 13a-15(d) and 15d-15(d) under the Exchange Act) during the three months ended </w:t>
      </w:r>
      <w:r>
        <w:rPr>
          <w:rFonts w:ascii="Times New Roman;sans-serif" w:hAnsi="Times New Roman;sans-serif"/>
          <w:b w:val="false"/>
          <w:color w:val="000000"/>
          <w:sz w:val="20"/>
        </w:rPr>
        <w:t>December 31, 2024 that has materially affected</w:t>
      </w:r>
      <w:r>
        <w:rPr>
          <w:rFonts w:ascii="Times New Roman;sans-serif" w:hAnsi="Times New Roman;sans-serif"/>
          <w:b w:val="false"/>
          <w:color w:val="000000"/>
          <w:sz w:val="20"/>
          <w:shd w:fill="FFFFFF" w:val="clear"/>
        </w:rPr>
        <w:t>, or is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Limitations on the Effectiveness of Disclosure Controls and Procedures</w:t>
      </w:r>
    </w:p>
    <w:p>
      <w:pPr>
        <w:pStyle w:val="TextBody"/>
        <w:bidi w:val="0"/>
        <w:spacing w:lineRule="auto" w:line="288"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9B. Other Information.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None.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 On December 11, 2024, Larry Madden, our Chief Financial Officer, entered into a Rule 10b5-1 trading arrangement intended to satisfy the affirmative defense conditions of Rule 10b5-1(c) for the sale of up to 268,460 shares of the Company’s Class A common stock, including up to 128,347 shares to be issued upon the vesting of restricted stock units, which will be reduced by the number of shares withheld to cover taxes, if any, through September 30, 2025. During the three months ended December 31, 2024, no other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10. Directors, Executive Officers and Corporate Governance.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2025 Annual Meeting of Stockholders, which will be filed with the SEC no later than 120 days after December 31, 2024.</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written Code of Business Conduct and Ethics (our “Code of Conduct”) that applies to all officers, directors and employees, including our principal executive officer, principal financial officer, principal accounting officer or controller, or persons performing similar functions. The Code of Conduct is available on our website at www.viantinc.com. We intend to satisfy the disclosure requirement under Item 5.05 of Form 8-K regarding amendments to, or waiver from, a provision of our Code of Conduct, as well as Nasdaq’s requirement to disclose waivers with respect to directors and executive officers, by posting such information on our website at the address specified above. The information contained on our website is not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11. Executive Compensation.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2025 Annual Meeting of Stockholders, which will be filed with the SEC no later than 120 days after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12. Security Ownership of Certain Beneficial Owners and Management and Related Stockholder Matters.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2025 Annual Meeting of Stockholders, which will be filed with the SEC no later than 120 days after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2025 Annual Meeting of Stockholders, which will be filed with the SEC no later than 120 days after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to the definitive Proxy Statement for our 2025 Annual Meeting of Stockholders, which will be filed with the SEC no later than 120 days after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and Financial Statement Schedules.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(a)The following documents are filed as a part of this Annual Report: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Index to Consolidated Financial Statements at Part II, Item 8 of this Annual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(2)Financial Statement Schedules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 schedules are omitted as they are either not applicable or the information required is presented in the financial statements and notes thereto under Part II, Item 8 of this Annual Report.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documents listed in the following Exhibit Index of this Annual Report are incorporated by reference or are filed with this Annual Report, in each case as indicated therein (numbered in accordance with Item 601 of Regulation S-K).</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86"/>
        <w:gridCol w:w="2630"/>
        <w:gridCol w:w="375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Amended and Restated Certificate of Incorporation of Viant Technology Inc. (incorporated by reference to Exhibit 3.1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Viant Technology Inc. (incorporated by reference to Exhibit 3.2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Description of Securities (incorporated by reference to Exhibit 4.1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Second Amended and Restated Limited Liability Company Agreement of Viant Technology LLC, dated as of February 9, 2021 (incorporated by reference to Exhibit 10.1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 xml:space="preserve">Amendment No. 1 to Second Amended and Restated Limited Liability Company Agreement of Viant Technology LLC, dated as of February 12, 2021 (incorporated by reference to Exhibit 10.2 to the Company’s Annual Report on Form 10-K (File No. 001-40015) for the year ended December 31, 2020, filed on March 23, 2021)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Tax Receivable Agreement, by and among Viant Technology Inc., Viant Technology LLC, each of the TRA Holders, and the TRA Representative, dated as of February 9, 2021 (incorporated by reference to Exhibit 10.3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Registration Rights Agreement, by and among Viant Technology Inc. and the parties thereto, dated as of February 9, 2021 (incorporated by reference to Exhibit 10.4 to the Company’s Annual Report on Form 10-K (File No. 001-40015) for the year ended December 31, 2020, filed on March 23,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Indemnification Agreement by and between Viant Technology Inc. and each of its directors and executive officers (incorporated by reference to Exhibit 10.4 to the Company’s Registration Statement on Form S-1 (File No. 333-252117), filed on February 1,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 xml:space="preserve">Revolving Credit and Security Agreement and Guaranty, dated as of October 31, 2019, by and among Viant Technology LLC, Viant US LLC, Adelphic LLC, Myspace LLC and each additional Borrower from time to time party thereto, PNC Bank, National Association, as Agent and each additional Lender from time to time party thereto (incorporated by reference to Exhibit 10.5 to the Company’s Registration Statement on Form S-1 (File No. 333-252117), filed on February 1, 2021)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First Amendment to Revolving Credit and Security Agreement and Guaranty, dated as of April 13, 2020, by and among Viant Technology LLC, Viant US LLC, Adelphic LLC and Myspace LLC, as Borrowers, and PNC Bank, National Association, as Agent and Lender (incorporated by reference to Exhibit 10.6 to the Company’s Registration Statement on Form S-1 (File No. 333-252117), filed on February 1,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Second Amendment to Revolving Credit and Security Agreement and Guaranty, dated as of April 30, 2020, by and among Viant Technology LLC, Viant US LLC, Adelphic LLC and Myspace LLC, as Borrowers, and PNC Bank, National Association, as Agent and Lender (incorporated by reference to Exhibit 10.7 to the Company’s Registration Statement on Form S-1 (File No. 333-252117), filed on February 1,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8"/>
        <w:gridCol w:w="193"/>
        <w:gridCol w:w="196"/>
        <w:gridCol w:w="109"/>
        <w:gridCol w:w="109"/>
        <w:gridCol w:w="109"/>
        <w:gridCol w:w="2815"/>
        <w:gridCol w:w="2673"/>
        <w:gridCol w:w="3783"/>
      </w:tblGrid>
      <w:tr>
        <w:trPr/>
        <w:tc>
          <w:tcPr>
            <w:tcW w:w="2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Third Amendment to Revolving Credit and Security Agreement and Guaranty, dated as of May 29, 2020, by and among Viant Technology LLC, Viant US LLC, Adelphic LLC and Myspace LLC, as Borrowers, and PNC Bank, National Association, as Agent and Lender (incorporated by reference to Exhibit 10.8 to the Company’s Registration Statement on Form S-1 (File No. 333-252117), filed on February 1, 2021)</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Fourth Amendment to Revolving Credit and Security Agreement and Guaranty, dated as of January 29, 2021, by and among Viant Technology LLC, Viant US LLC, Adelphic LLC, Myspace LLC and the Company, as Borrowers, and PNC Bank, National Association, as Agent and Lender (incorporated by reference to Exhibit 10.9 to the Company’s Registration Statement on Form S-1 (File No. 333-252117), filed on February 1, 2021)</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Fifth Amendment to Revolving Credit and Security Agreement and Guaranty, dated as of October 15, 2021, by and among Viant Technology LLC, Viant US LLC, Adelphic LLC, Myspace LLC and the Company, as Borrowers, and PNC Bank, National Association, as Agent and Lender (incorporated by reference to Exhibit 10.1 to the Company’s Quarterly Report on Form 10-Q (File No. 001-40015) for the quarter ended September 30, 2021, filed on November 10, 2021)</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Sixth Amendment to the Revolving Credit and Security Agreement and Guaranty, dated as of April 4, 2023, among Viant Technology LLC, Viant US LLC, Adelphic LLC, Myspace LLC, Viant Technology Inc., the Lenders party thereto and PNC Bank, National Association (incorporated by reference to Exhibit 10.1 to the Company’s Current Report on Form 8-K (File No. 001-40015) filed on April 6, 2023).</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Viant Technology Inc. 2021 Long-Term Incentive Plan (incorporated by reference to Exhibit 99.1 to the Company’s Registration Statement on Form S-8 (File No. 333-252912), filed on February 9, 2021)</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Employment Agreement, dated as of March 27, 2017, by and between Viant Technology LLC and Larry Madden (incorporated by reference to Exhibit 10.13 to the Company’s Registration Statement on Form S-1 (File No. 333-252117), filed on February 1, 2021)</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Limited Liability Company Agreement of Viant Technology Equity Plan LLC, dated as of March 14, 2017 (incorporated by reference to Exhibit 10.14 to the Company’s Registration Statement on Form S-1 (File No. 333-252117), filed on February 1, 2021)</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Annual Incentive Plan (incorporated by reference to Exhibit 10.1 to the Company’s Current Report on Form 8-K (File No. 001-40015), filed on March 4, 2022)</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Form of Grant Notice and Standard Terms and Conditions for Nonqualified Stock Options under the Viant Technology Inc. 2021 Long-Term Incentive Plan (Employee Form) (incorporated by reference to Exhibit 10.17 to the Company’s Annual Report on Form 10-K (File No. 001-40015) for the year ended December 31, 2023, filed on March 4, 2024)</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Form of Grant Notice and Standard Terms and Conditions for Restricted Stock Units under the Viant Technology Inc. 2021 Long-Term Incentive Plan (Employee Form) (incorporated by reference to Exhibit 10.18 to the Company’s Annual Report on Form 10-K (File No. 001-40015) for the year ended December 31, 2023, filed on March 4, 2024)</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Form of Grant Notice and Standard Terms and Conditions for Restricted Stock Units for Non-Employee Directors under the Viant Technology Inc. 2021 Long-Term Incentive Plan (incorporated by reference to Exhibit 99.4 to the Company’s Registration Statement on Form S-8 (File No. 333-252912), filed on February 9, 2021)</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Form of Grant Notice and Standard Terms and Conditions for Restricted Stock Units under the Viant Technology Inc. 2021 Long-Term Incentive Plan (New Hire Form) (incorporated by reference to Exhibit 10.20 to the Company’s Annual Report on Form 10-K (File No. 001-40015) for the year ended December 31, 2023, filed on March 4, 2024)</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First Amendment to Employment Agreement, dated as of November 15, 2018, by and between Viant Technology LLC and Larry Madden (incorporated by reference to Exhibit 10.2 to the Company’s Quarterly Report on Form 10-Q (File No. 001-40015) for the quarter ended March 31, 2022, filed on May 3, 2022)</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Viant Technology Inc. Non-Employee Director Compensation Policy, effective as of March 20, 2024 (incorporated by reference to Exhibit 10.1 to the Company’s Quarterly Report on Form 10-Q (File No. 001-40015) for the quarter ended March 31, 2024, filed on April 30, 2024)</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insidertradingpolicy.htm">
              <w:r>
                <w:rPr>
                  <w:rStyle w:val="InternetLink"/>
                  <w:rFonts w:ascii="Times New Roman;sans-serif" w:hAnsi="Times New Roman;sans-serif"/>
                  <w:b w:val="false"/>
                  <w:color w:val="000080"/>
                  <w:sz w:val="20"/>
                  <w:u w:val="single"/>
                </w:rPr>
                <w:t>Viant Technology Inc. In</w:t>
              </w:r>
            </w:hyperlink>
            <w:hyperlink w:anchor="a2024insidertradingpolicy.htm">
              <w:r>
                <w:rPr>
                  <w:rStyle w:val="InternetLink"/>
                  <w:rFonts w:ascii="Times New Roman;sans-serif" w:hAnsi="Times New Roman;sans-serif"/>
                  <w:b w:val="false"/>
                  <w:color w:val="000080"/>
                  <w:sz w:val="20"/>
                  <w:u w:val="single"/>
                </w:rPr>
                <w:t>sider Trading Policy</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41231xex211listofsu.htm">
              <w:r>
                <w:rPr>
                  <w:rStyle w:val="InternetLink"/>
                  <w:rFonts w:ascii="Times New Roman;sans-serif" w:hAnsi="Times New Roman;sans-serif"/>
                  <w:b w:val="false"/>
                  <w:color w:val="0000FF"/>
                  <w:sz w:val="20"/>
                  <w:u w:val="single"/>
                </w:rPr>
                <w:t>Subsidiaries of the Company</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41231xex231.htm">
              <w:r>
                <w:rPr>
                  <w:rStyle w:val="InternetLink"/>
                  <w:rFonts w:ascii="Times New Roman;sans-serif" w:hAnsi="Times New Roman;sans-serif"/>
                  <w:b w:val="false"/>
                  <w:color w:val="0000FF"/>
                  <w:sz w:val="20"/>
                  <w:u w:val="single"/>
                </w:rPr>
                <w:t>Consent of Deloitte &amp; Touche LLP, independent registered public accounting firm.</w:t>
              </w:r>
            </w:hyperlink>
            <w:r>
              <w:rPr>
                <w:color w:val="000000"/>
              </w:rPr>
              <w:t xml:space="preserve"> </w:t>
            </w:r>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41231xex311.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41231xex312.htm">
              <w:r>
                <w:rPr>
                  <w:rStyle w:val="InternetLink"/>
                  <w:rFonts w:ascii="Times New Roman;sans-serif" w:hAnsi="Times New Roman;sans-serif"/>
                  <w:b w:val="false"/>
                  <w:color w:val="0000FF"/>
                  <w:sz w:val="20"/>
                  <w:u w:val="single"/>
                </w:rPr>
                <w:t>Certification of Principal Financial Officer pursuant to Section 302 of the Sarbanes-Oxley Act of 2002</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41231xex321.htm">
              <w:r>
                <w:rPr>
                  <w:rStyle w:val="InternetLink"/>
                  <w:rFonts w:ascii="Times New Roman;sans-serif" w:hAnsi="Times New Roman;sans-serif"/>
                  <w:b w:val="false"/>
                  <w:color w:val="0000FF"/>
                  <w:sz w:val="20"/>
                  <w:u w:val="single"/>
                </w:rPr>
                <w:t>Certification of Principal Executive Officer pursuant to Section 906 of the Sarbanes-Oxley Act of 2002</w:t>
              </w:r>
            </w:hyperlink>
          </w:p>
        </w:tc>
      </w:tr>
      <w:tr>
        <w:trPr/>
        <w:tc>
          <w:tcPr>
            <w:tcW w:w="6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sp-20241231xex322.htm">
              <w:r>
                <w:rPr>
                  <w:rStyle w:val="InternetLink"/>
                  <w:rFonts w:ascii="Times New Roman;sans-serif" w:hAnsi="Times New Roman;sans-serif"/>
                  <w:b w:val="false"/>
                  <w:color w:val="0000FF"/>
                  <w:sz w:val="20"/>
                  <w:u w:val="single"/>
                </w:rPr>
                <w:t>Certification of Principal Financial Officer pursuant to Section 906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7"/>
        <w:gridCol w:w="202"/>
        <w:gridCol w:w="203"/>
        <w:gridCol w:w="109"/>
        <w:gridCol w:w="109"/>
        <w:gridCol w:w="109"/>
        <w:gridCol w:w="2699"/>
        <w:gridCol w:w="2699"/>
        <w:gridCol w:w="3828"/>
      </w:tblGrid>
      <w:tr>
        <w:trPr/>
        <w:tc>
          <w:tcPr>
            <w:tcW w:w="24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3828" w:type="dxa"/>
            <w:tcBorders/>
            <w:vAlign w:val="center"/>
          </w:tcPr>
          <w:p>
            <w:pPr>
              <w:pStyle w:val="TableContents"/>
              <w:bidi w:val="0"/>
              <w:spacing w:before="0" w:after="283"/>
              <w:jc w:val="left"/>
              <w:rPr>
                <w:sz w:val="4"/>
                <w:szCs w:val="4"/>
              </w:rPr>
            </w:pPr>
            <w:r>
              <w:rPr>
                <w:sz w:val="4"/>
                <w:szCs w:val="4"/>
              </w:rPr>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80"/>
                  <w:sz w:val="20"/>
                  <w:u w:val="single"/>
                </w:rPr>
                <w:t>Viant Technology Inc. Policy For Recovery of Erroneously Awarded Compensation</w:t>
              </w:r>
            </w:hyperlink>
            <w:hyperlink r:id="rId31">
              <w:r>
                <w:rPr>
                  <w:rStyle w:val="InternetLink"/>
                  <w:rFonts w:ascii="Times New Roman;sans-serif" w:hAnsi="Times New Roman;sans-serif"/>
                  <w:b w:val="false"/>
                  <w:color w:val="000080"/>
                  <w:sz w:val="20"/>
                  <w:u w:val="single"/>
                </w:rPr>
                <w:t xml:space="preserve"> </w:t>
              </w:r>
            </w:hyperlink>
            <w:hyperlink r:id="rId32">
              <w:r>
                <w:rPr>
                  <w:rStyle w:val="InternetLink"/>
                  <w:rFonts w:ascii="Times New Roman;sans-serif" w:hAnsi="Times New Roman;sans-serif"/>
                  <w:b w:val="false"/>
                  <w:color w:val="000080"/>
                  <w:sz w:val="20"/>
                  <w:u w:val="single"/>
                </w:rPr>
                <w:t>(incorporated by reference to Exhibit 97.1 to the Company’s Annual Report on Form 10-K (File No. 001-40015) for the year ended December 31, 2023, filed on March 4, 2024)</w:t>
              </w:r>
            </w:hyperlink>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 contract or arrangement.</w:t>
      </w:r>
    </w:p>
    <w:p>
      <w:pPr>
        <w:pStyle w:val="TextBody"/>
        <w:bidi w:val="0"/>
        <w:spacing w:lineRule="auto" w:line="288" w:before="0" w:after="0"/>
        <w:ind w:left="0" w:right="0" w:hanging="540"/>
        <w:jc w:val="left"/>
        <w:rPr/>
      </w:pPr>
      <w:r>
        <w:rPr>
          <w:color w:val="000000"/>
        </w:rPr>
        <w:t>†</w:t>
      </w:r>
      <w:r>
        <w:rPr>
          <w:rFonts w:ascii="Times New Roman;sans-serif" w:hAnsi="Times New Roman;sans-serif"/>
          <w:b w:val="false"/>
          <w:color w:val="000000"/>
          <w:sz w:val="20"/>
          <w:shd w:fill="FFFFFF" w:val="clear"/>
        </w:rPr>
        <w:t>The certifications furnished in Exhibits 32.1 and 32.2 hereto are deemed to accompany this Annual Report on Form 10-K and will not be deemed “filed” for purposes of Section 18 of the Exchange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sans-serif" w:hAnsi="Times New Roman;sans-serif"/>
          <w:b/>
          <w:color w:val="000000"/>
          <w:sz w:val="20"/>
        </w:rPr>
        <w:t>.</w:t>
      </w:r>
    </w:p>
    <w:tbl>
      <w:tblPr>
        <w:tblW w:w="6359" w:type="dxa"/>
        <w:jc w:val="left"/>
        <w:tblInd w:w="0" w:type="dxa"/>
        <w:tblLayout w:type="fixed"/>
        <w:tblCellMar>
          <w:top w:w="28" w:type="dxa"/>
          <w:left w:w="28" w:type="dxa"/>
          <w:bottom w:w="28" w:type="dxa"/>
          <w:right w:w="28" w:type="dxa"/>
        </w:tblCellMar>
      </w:tblPr>
      <w:tblGrid>
        <w:gridCol w:w="645"/>
        <w:gridCol w:w="568"/>
        <w:gridCol w:w="571"/>
        <w:gridCol w:w="390"/>
        <w:gridCol w:w="390"/>
        <w:gridCol w:w="390"/>
        <w:gridCol w:w="997"/>
        <w:gridCol w:w="997"/>
        <w:gridCol w:w="141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c>
        <w:tc>
          <w:tcPr>
            <w:tcW w:w="11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0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Tim Vanderhook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Chairman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in the capacities and on the dates indicated.</w:t>
      </w:r>
    </w:p>
    <w:tbl>
      <w:tblPr>
        <w:tblW w:w="7657" w:type="dxa"/>
        <w:jc w:val="center"/>
        <w:tblInd w:w="0" w:type="dxa"/>
        <w:tblLayout w:type="fixed"/>
        <w:tblCellMar>
          <w:top w:w="28" w:type="dxa"/>
          <w:left w:w="28" w:type="dxa"/>
          <w:bottom w:w="28" w:type="dxa"/>
          <w:right w:w="28" w:type="dxa"/>
        </w:tblCellMar>
      </w:tblPr>
      <w:tblGrid>
        <w:gridCol w:w="667"/>
        <w:gridCol w:w="586"/>
        <w:gridCol w:w="591"/>
        <w:gridCol w:w="109"/>
        <w:gridCol w:w="109"/>
        <w:gridCol w:w="109"/>
        <w:gridCol w:w="1269"/>
        <w:gridCol w:w="1269"/>
        <w:gridCol w:w="1286"/>
        <w:gridCol w:w="109"/>
        <w:gridCol w:w="109"/>
        <w:gridCol w:w="109"/>
        <w:gridCol w:w="389"/>
        <w:gridCol w:w="389"/>
        <w:gridCol w:w="557"/>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p>
            <w:pPr>
              <w:pStyle w:val="TableContents"/>
              <w:bidi w:val="0"/>
              <w:spacing w:lineRule="auto" w:line="276" w:before="15"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Tim Vanderhook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76" w:before="15"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Larry Madden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Chris Vanderhook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Chris Vanderhook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Max Valdes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Max Valdes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Vivian Yang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 2025</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Vivian Yang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19.1</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518" w:before="79" w:after="283"/>
        <w:ind w:left="0" w:right="0" w:hanging="5"/>
        <w:jc w:val="center"/>
        <w:rPr>
          <w:rFonts w:ascii="Times New Roman;sans-serif" w:hAnsi="Times New Roman;sans-serif"/>
          <w:b/>
          <w:color w:val="000000"/>
          <w:sz w:val="24"/>
        </w:rPr>
      </w:pPr>
      <w:r>
        <w:rPr>
          <w:rFonts w:ascii="Times New Roman;sans-serif" w:hAnsi="Times New Roman;sans-serif"/>
          <w:b/>
          <w:color w:val="000000"/>
          <w:sz w:val="24"/>
        </w:rPr>
        <w:t>Viant Technology Inc. Insider Trading Policy</w:t>
      </w:r>
    </w:p>
    <w:p>
      <w:pPr>
        <w:pStyle w:val="TextBody"/>
        <w:bidi w:val="0"/>
        <w:spacing w:lineRule="auto" w:line="288" w:before="3" w:after="283"/>
        <w:jc w:val="center"/>
        <w:rPr>
          <w:rFonts w:ascii="Times New Roman;sans-serif" w:hAnsi="Times New Roman;sans-serif"/>
          <w:b/>
          <w:color w:val="000000"/>
          <w:sz w:val="24"/>
        </w:rPr>
      </w:pPr>
      <w:r>
        <w:rPr>
          <w:rFonts w:ascii="Times New Roman;sans-serif" w:hAnsi="Times New Roman;sans-serif"/>
          <w:b/>
          <w:color w:val="000000"/>
          <w:sz w:val="24"/>
        </w:rPr>
        <w:t>Amended and Restated on August 2, 2024</w:t>
      </w:r>
    </w:p>
    <w:p>
      <w:pPr>
        <w:pStyle w:val="TextBody"/>
        <w:bidi w:val="0"/>
        <w:spacing w:lineRule="auto" w:line="288" w:before="201" w:after="283"/>
        <w:ind w:left="0" w:right="0" w:hanging="719"/>
        <w:jc w:val="left"/>
        <w:rPr>
          <w:rFonts w:ascii="Times New Roman;sans-serif" w:hAnsi="Times New Roman;sans-serif"/>
          <w:b/>
          <w:color w:val="000000"/>
          <w:sz w:val="24"/>
        </w:rPr>
      </w:pPr>
      <w:r>
        <w:rPr>
          <w:rFonts w:ascii="Times New Roman;sans-serif" w:hAnsi="Times New Roman;sans-serif"/>
          <w:b/>
          <w:color w:val="000000"/>
          <w:sz w:val="24"/>
        </w:rPr>
        <w:t>I.Introduction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Federal and state laws prohibit buying, selling or making other transfers of securities by persons who have material information that is not generally known or available to the public (“</w:t>
      </w:r>
      <w:r>
        <w:rPr>
          <w:rFonts w:ascii="Times New Roman;sans-serif" w:hAnsi="Times New Roman;sans-serif"/>
          <w:b/>
          <w:i/>
          <w:color w:val="000000"/>
          <w:sz w:val="24"/>
        </w:rPr>
        <w:t>Material Nonpublic Information</w:t>
      </w:r>
      <w:r>
        <w:rPr>
          <w:color w:val="000000"/>
        </w:rPr>
        <w:t>”</w:t>
      </w:r>
      <w:r>
        <w:rPr>
          <w:rFonts w:ascii="Times New Roman;sans-serif" w:hAnsi="Times New Roman;sans-serif"/>
          <w:b w:val="false"/>
          <w:color w:val="000000"/>
          <w:sz w:val="24"/>
        </w:rPr>
        <w:t>). These laws also prohibit persons with such Material Nonpublic Information from disclosing this information to others who trade securities.</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Viant Technology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adopted the following policy (this “</w:t>
      </w:r>
      <w:r>
        <w:rPr>
          <w:rFonts w:ascii="Times New Roman;sans-serif" w:hAnsi="Times New Roman;sans-serif"/>
          <w:b/>
          <w:i/>
          <w:color w:val="000000"/>
          <w:sz w:val="24"/>
        </w:rPr>
        <w:t>Policy</w:t>
      </w:r>
      <w:r>
        <w:rPr>
          <w:color w:val="000000"/>
        </w:rPr>
        <w:t>”</w:t>
      </w:r>
      <w:r>
        <w:rPr>
          <w:rFonts w:ascii="Times New Roman;sans-serif" w:hAnsi="Times New Roman;sans-serif"/>
          <w:b w:val="false"/>
          <w:color w:val="000000"/>
          <w:sz w:val="24"/>
        </w:rPr>
        <w:t>) regarding trading in securities by directors, officers, employees and consultants (collectively, “</w:t>
      </w:r>
      <w:r>
        <w:rPr>
          <w:rFonts w:ascii="Times New Roman;sans-serif" w:hAnsi="Times New Roman;sans-serif"/>
          <w:b/>
          <w:i/>
          <w:color w:val="000000"/>
          <w:sz w:val="24"/>
        </w:rPr>
        <w:t>Insiders</w:t>
      </w:r>
      <w:r>
        <w:rPr>
          <w:color w:val="000000"/>
        </w:rPr>
        <w:t>”</w:t>
      </w:r>
      <w:r>
        <w:rPr>
          <w:rFonts w:ascii="Times New Roman;sans-serif" w:hAnsi="Times New Roman;sans-serif"/>
          <w:b w:val="false"/>
          <w:color w:val="000000"/>
          <w:sz w:val="24"/>
        </w:rPr>
        <w:t>).</w:t>
      </w:r>
    </w:p>
    <w:p>
      <w:pPr>
        <w:pStyle w:val="TextBody"/>
        <w:bidi w:val="0"/>
        <w:spacing w:lineRule="auto" w:line="288" w:before="240" w:after="283"/>
        <w:ind w:left="0" w:right="0" w:firstLine="720"/>
        <w:jc w:val="both"/>
        <w:rPr/>
      </w:pPr>
      <w:r>
        <w:rPr>
          <w:rFonts w:ascii="Times New Roman;sans-serif" w:hAnsi="Times New Roman;sans-serif"/>
          <w:b/>
          <w:color w:val="000000"/>
          <w:sz w:val="24"/>
        </w:rPr>
        <w:t xml:space="preserve">You are responsible for ensuring that you do not violate federal or state securities laws or this Policy. </w:t>
      </w:r>
      <w:r>
        <w:rPr>
          <w:rFonts w:ascii="Times New Roman;sans-serif" w:hAnsi="Times New Roman;sans-serif"/>
          <w:b w:val="false"/>
          <w:color w:val="000000"/>
          <w:sz w:val="24"/>
        </w:rPr>
        <w:t>The Company designed this Policy to promote compliance with the federal securities laws and to protect the Company and you from the serious liabilities and penalties that can result from violations of these laws.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violate the insider trading laws, you may have to pay civil fines for up to three times the profit gained or loss avoided by such trading, as well as criminal fines of up to $5 million. You also may have to serve a jail sentence of up to 20 years. In addition, the Company may face civil penalties up to the greater of $2.5 million (as adjusted for inflation), or three times the profit gained or loss avoided as a result of your insider trading violations, as well as criminal fines of up to $25 million.</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Both the Securities and Exchange Commission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and The Nasdaq Stock Market LLC (“</w:t>
      </w:r>
      <w:r>
        <w:rPr>
          <w:rFonts w:ascii="Times New Roman;sans-serif" w:hAnsi="Times New Roman;sans-serif"/>
          <w:b/>
          <w:i/>
          <w:color w:val="000000"/>
          <w:sz w:val="24"/>
        </w:rPr>
        <w:t>Nasdaq</w:t>
      </w:r>
      <w:r>
        <w:rPr>
          <w:color w:val="000000"/>
        </w:rPr>
        <w:t>”</w:t>
      </w:r>
      <w:r>
        <w:rPr>
          <w:rFonts w:ascii="Times New Roman;sans-serif" w:hAnsi="Times New Roman;sans-serif"/>
          <w:b w:val="false"/>
          <w:color w:val="000000"/>
          <w:sz w:val="24"/>
        </w:rPr>
        <w:t>) are very effective at detecting and pursuing insider trading cases. The SEC has successfully prosecuted cases against insiders trading through foreign accounts, trading by family members and friends, and trading involving only a small number of shares. Therefore, it is important that you understand the breadth of activities that constitute illegal insider trading. This Policy sets out the Company’s policy in the area of insider trading and should be read carefully and complied with fully.</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will be reviewed, evaluated and revised by the Company from time to time in light of regulatory changes, developments in the Company’s business and other factors.</w:t>
      </w:r>
    </w:p>
    <w:p>
      <w:pPr>
        <w:pStyle w:val="TextBody"/>
        <w:bidi w:val="0"/>
        <w:spacing w:lineRule="auto" w:line="288" w:before="240" w:after="283"/>
        <w:ind w:left="0" w:right="0" w:hanging="320"/>
        <w:jc w:val="left"/>
        <w:rPr>
          <w:rFonts w:ascii="Times New Roman;sans-serif" w:hAnsi="Times New Roman;sans-serif"/>
          <w:b/>
          <w:color w:val="000000"/>
          <w:sz w:val="24"/>
        </w:rPr>
      </w:pPr>
      <w:r>
        <w:rPr>
          <w:rFonts w:ascii="Times New Roman;sans-serif" w:hAnsi="Times New Roman;sans-serif"/>
          <w:b/>
          <w:color w:val="000000"/>
          <w:sz w:val="24"/>
        </w:rPr>
        <w:t>II.Policies and Procedures</w:t>
      </w:r>
    </w:p>
    <w:p>
      <w:pPr>
        <w:pStyle w:val="TextBody"/>
        <w:bidi w:val="0"/>
        <w:spacing w:before="21" w:after="283"/>
        <w:jc w:val="left"/>
        <w:rPr/>
      </w:pPr>
      <w:r>
        <w:rPr/>
      </w:r>
    </w:p>
    <w:p>
      <w:pPr>
        <w:pStyle w:val="TextBody"/>
        <w:bidi w:val="0"/>
        <w:spacing w:lineRule="auto" w:line="288" w:before="1" w:after="283"/>
        <w:ind w:left="0" w:right="0" w:hanging="359"/>
        <w:jc w:val="left"/>
        <w:rPr>
          <w:rFonts w:ascii="Times New Roman;sans-serif" w:hAnsi="Times New Roman;sans-serif"/>
          <w:b/>
          <w:color w:val="000000"/>
          <w:sz w:val="24"/>
        </w:rPr>
      </w:pPr>
      <w:r>
        <w:rPr>
          <w:rFonts w:ascii="Times New Roman;sans-serif" w:hAnsi="Times New Roman;sans-serif"/>
          <w:b/>
          <w:color w:val="000000"/>
          <w:sz w:val="24"/>
        </w:rPr>
        <w:t>A.Trading Policy</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1.In addition to the restrictions set forth elsewhere in this Policy, you may not buy or sell a company’s securities when you have Material Nonpublic Information about that company. This Policy against “insider trading” applies to trading in Company securities, as well as to trading in the securities of other companies, such as the Company’s customers and suppliers or a company with which the Company is or may be negotiating a major transaction, to the extent you obtain Material Nonpublic Information about such company in connection with your employment or service to the Company.</w:t>
      </w:r>
    </w:p>
    <w:p>
      <w:pPr>
        <w:pStyle w:val="TextBody"/>
        <w:bidi w:val="0"/>
        <w:spacing w:before="170" w:after="283"/>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2"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2.You may not convey Material Nonpublic Information about the Company or Material Nonpublic Information about another company obtained in connection with your employment or service to the Company to others. You also may not suggest that anyone purchase or sell any company’s securities while you are aware of Material Nonpublic Information about that company. These practices, known as “tipping,” also violate federal securities laws and can result in the same civil and criminal penalties that apply if you engage in insider trading directly, even if you do not receive any money or derive any benefit from trades made by persons to whom you passed Material Nonpublic Information. This Policy does not restrict legitimate business communications on a “need to know” basis.</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3.It is against Company policy for you to engage in short-term or speculative transactions in Company securities. As such, you may not engage in: (a) short-term trading (generally defined as selling or purchasing Company securities within six months following a purchase or sale, respectively);</w:t>
      </w:r>
    </w:p>
    <w:p>
      <w:pPr>
        <w:pStyle w:val="TextBody"/>
        <w:bidi w:val="0"/>
        <w:spacing w:lineRule="auto" w:line="288" w:before="2" w:after="283"/>
        <w:jc w:val="both"/>
        <w:rPr>
          <w:rFonts w:ascii="Times New Roman;sans-serif" w:hAnsi="Times New Roman;sans-serif"/>
          <w:b w:val="false"/>
          <w:color w:val="000000"/>
          <w:sz w:val="24"/>
        </w:rPr>
      </w:pPr>
      <w:r>
        <w:rPr>
          <w:rFonts w:ascii="Times New Roman;sans-serif" w:hAnsi="Times New Roman;sans-serif"/>
          <w:b w:val="false"/>
          <w:color w:val="000000"/>
          <w:sz w:val="24"/>
        </w:rPr>
        <w:t>(b) short sales (selling Company securities you do not own); (c) transactions involving publicly traded options or other derivatives, such as trading in puts or calls with respect to Company securities; and (d) hedging transactions. Additionally, because securities held in a margin account or pledged as collateral may be sold without your consent, if you fail to meet a margin call or if you default on a loan, a margin or foreclosure sale may result in unlawful insider trading. Because of this danger, you should exercise caution when including Company securities in a margin account or pledging Company securities as collateral for a loan. With respect to hedging transactions, you are prohibited from purchasing financial instruments (including prepaid variable forward contracts, equity swaps, collars and exchange funds), or otherwise engaging in transactions, that hedge or offset, or are designed to hedge or offset, any decrease in the market value of Company securities.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The foregoing restrictions apply to all Insiders. These restrictions also apply to family members who reside with you (including a spouse, a child, a child away at college, stepchildren, grandchildren, parents, stepparents, grandparents, siblings and in-laws), anyone else who lives in your household (other than household employees), any family members who do not live in your household but whose transactions in Company securities are directed by you or are subject to your influence or control, such as parents or children who consult with you before they trade in Company securities, corporations or other business entities controlled or managed by you, and trusts for which you are the trustee or otherwise influence or control (all of the above, your “</w:t>
      </w:r>
      <w:r>
        <w:rPr>
          <w:rFonts w:ascii="Times New Roman;sans-serif" w:hAnsi="Times New Roman;sans-serif"/>
          <w:b/>
          <w:i/>
          <w:color w:val="000000"/>
          <w:sz w:val="24"/>
        </w:rPr>
        <w:t>Family Members and Entities</w:t>
      </w:r>
      <w:r>
        <w:rPr>
          <w:color w:val="000000"/>
        </w:rPr>
        <w:t>”</w:t>
      </w:r>
      <w:r>
        <w:rPr>
          <w:rFonts w:ascii="Times New Roman;sans-serif" w:hAnsi="Times New Roman;sans-serif"/>
          <w:b w:val="false"/>
          <w:color w:val="000000"/>
          <w:sz w:val="24"/>
        </w:rPr>
        <w:t>). The SEC and federal prosecutors may presume that trading by Family Members and Entities is based on information you supplied and may treat any such transactions as if you had traded yourself. There is no exception for small transactions or transactions that may seem necessary or justifiable for independent reasons, such as the need to raise money for an emergency expenditure.</w:t>
      </w:r>
    </w:p>
    <w:p>
      <w:pPr>
        <w:pStyle w:val="TextBody"/>
        <w:bidi w:val="0"/>
        <w:spacing w:lineRule="auto" w:line="288"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continues to apply to you even after your employment or other relationship with the Company as an Insider has terminated or ended. If you are in possession of Material Nonpublic Information when your employment or other relationship ends, you may not trade in Company securities until that information has become public or is no longer material.</w:t>
      </w:r>
    </w:p>
    <w:p>
      <w:pPr>
        <w:pStyle w:val="TextBody"/>
        <w:bidi w:val="0"/>
        <w:spacing w:before="0" w:after="0"/>
        <w:ind w:left="0" w:right="0" w:firstLine="115"/>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Policy, references to “trading” and “transactions” includes, among other things:</w:t>
      </w:r>
    </w:p>
    <w:p>
      <w:pPr>
        <w:pStyle w:val="TextBody"/>
        <w:bidi w:val="0"/>
        <w:spacing w:before="0" w:after="0"/>
        <w:jc w:val="left"/>
        <w:rPr/>
      </w:pPr>
      <w:r>
        <w:rPr/>
      </w:r>
    </w:p>
    <w:p>
      <w:pPr>
        <w:pStyle w:val="TextBody"/>
        <w:bidi w:val="0"/>
        <w:spacing w:lineRule="auto" w:line="288" w:before="72" w:after="283"/>
        <w:ind w:left="0" w:right="0" w:hanging="360"/>
        <w:jc w:val="left"/>
        <w:rPr/>
      </w:pPr>
      <w:r>
        <w:rPr>
          <w:color w:val="000000"/>
        </w:rPr>
        <w:t>•</w:t>
      </w:r>
      <w:r>
        <w:rPr>
          <w:rFonts w:ascii="Times New Roman;sans-serif" w:hAnsi="Times New Roman;sans-serif"/>
          <w:b w:val="false"/>
          <w:color w:val="000000"/>
          <w:sz w:val="24"/>
        </w:rPr>
        <w:t>purchases and sales of Company securities in public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2" w:after="283"/>
        <w:ind w:left="0" w:right="0" w:hanging="360"/>
        <w:jc w:val="left"/>
        <w:rPr/>
      </w:pPr>
      <w:r>
        <w:rPr>
          <w:color w:val="000000"/>
        </w:rPr>
        <w:t>•</w:t>
      </w:r>
      <w:r>
        <w:rPr>
          <w:rFonts w:ascii="Times New Roman;sans-serif" w:hAnsi="Times New Roman;sans-serif"/>
          <w:b w:val="false"/>
          <w:color w:val="000000"/>
          <w:sz w:val="24"/>
        </w:rPr>
        <w:t>sales of Company securities obtained through the exercise of employee stock options or upon the vesting of other equity awards granted by the Company;</w:t>
      </w:r>
    </w:p>
    <w:p>
      <w:pPr>
        <w:pStyle w:val="TextBody"/>
        <w:bidi w:val="0"/>
        <w:spacing w:lineRule="auto" w:line="288" w:before="239" w:after="283"/>
        <w:ind w:left="0" w:right="0" w:hanging="360"/>
        <w:jc w:val="left"/>
        <w:rPr/>
      </w:pPr>
      <w:r>
        <w:rPr>
          <w:color w:val="000000"/>
        </w:rPr>
        <w:t>•</w:t>
      </w:r>
      <w:r>
        <w:rPr>
          <w:rFonts w:ascii="Times New Roman;sans-serif" w:hAnsi="Times New Roman;sans-serif"/>
          <w:b w:val="false"/>
          <w:color w:val="000000"/>
          <w:sz w:val="24"/>
        </w:rPr>
        <w:t>purchases and sales of derivative securities or any interest or position relating to the future price of Company securities, such as put options, call options and short or forward sales;</w:t>
      </w:r>
    </w:p>
    <w:p>
      <w:pPr>
        <w:pStyle w:val="TextBody"/>
        <w:bidi w:val="0"/>
        <w:spacing w:lineRule="auto" w:line="288" w:before="241" w:after="283"/>
        <w:ind w:left="0" w:right="0" w:hanging="359"/>
        <w:jc w:val="left"/>
        <w:rPr/>
      </w:pPr>
      <w:r>
        <w:rPr>
          <w:color w:val="000000"/>
        </w:rPr>
        <w:t>•</w:t>
      </w:r>
      <w:r>
        <w:rPr>
          <w:rFonts w:ascii="Times New Roman;sans-serif" w:hAnsi="Times New Roman;sans-serif"/>
          <w:b w:val="false"/>
          <w:color w:val="000000"/>
          <w:sz w:val="24"/>
        </w:rPr>
        <w:t>making gifts of Company securities (including charitable donations); and</w:t>
      </w:r>
    </w:p>
    <w:p>
      <w:pPr>
        <w:pStyle w:val="TextBody"/>
        <w:bidi w:val="0"/>
        <w:spacing w:lineRule="auto" w:line="288" w:before="239" w:after="283"/>
        <w:ind w:left="0" w:right="0" w:hanging="360"/>
        <w:jc w:val="left"/>
        <w:rPr/>
      </w:pPr>
      <w:r>
        <w:rPr>
          <w:color w:val="000000"/>
        </w:rPr>
        <w:t>•</w:t>
      </w:r>
      <w:r>
        <w:rPr>
          <w:rFonts w:ascii="Times New Roman;sans-serif" w:hAnsi="Times New Roman;sans-serif"/>
          <w:b w:val="false"/>
          <w:color w:val="000000"/>
          <w:sz w:val="24"/>
        </w:rPr>
        <w:t>using Company securities to secure a loan.</w:t>
      </w:r>
    </w:p>
    <w:p>
      <w:pPr>
        <w:pStyle w:val="TextBody"/>
        <w:bidi w:val="0"/>
        <w:spacing w:lineRule="auto" w:line="288" w:before="237" w:after="283"/>
        <w:ind w:left="0" w:right="0" w:firstLine="720"/>
        <w:jc w:val="both"/>
        <w:rPr/>
      </w:pPr>
      <w:r>
        <w:rPr>
          <w:rFonts w:ascii="Times New Roman;sans-serif" w:hAnsi="Times New Roman;sans-serif"/>
          <w:b w:val="false"/>
          <w:color w:val="000000"/>
          <w:sz w:val="24"/>
        </w:rPr>
        <w:t>Notwithstanding the foregoing, for purposes of this Policy, “</w:t>
      </w:r>
      <w:r>
        <w:rPr>
          <w:rFonts w:ascii="Times New Roman;sans-serif" w:hAnsi="Times New Roman;sans-serif"/>
          <w:b/>
          <w:i/>
          <w:color w:val="000000"/>
          <w:sz w:val="24"/>
        </w:rPr>
        <w:t>trading</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i/>
          <w:color w:val="000000"/>
          <w:sz w:val="24"/>
        </w:rPr>
        <w:t>transactions</w:t>
      </w:r>
      <w:r>
        <w:rPr>
          <w:color w:val="000000"/>
        </w:rPr>
        <w:t xml:space="preserve">” </w:t>
      </w:r>
      <w:r>
        <w:rPr>
          <w:rFonts w:ascii="Times New Roman;sans-serif" w:hAnsi="Times New Roman;sans-serif"/>
          <w:b w:val="false"/>
          <w:color w:val="000000"/>
          <w:sz w:val="24"/>
        </w:rPr>
        <w:t xml:space="preserve">does </w:t>
      </w:r>
      <w:r>
        <w:rPr>
          <w:rFonts w:ascii="Times New Roman;sans-serif" w:hAnsi="Times New Roman;sans-serif"/>
          <w:b w:val="false"/>
          <w:color w:val="000000"/>
          <w:sz w:val="24"/>
          <w:u w:val="single"/>
        </w:rPr>
        <w:t>not</w:t>
      </w:r>
      <w:r>
        <w:rPr>
          <w:color w:val="000000"/>
        </w:rPr>
        <w:t xml:space="preserve"> </w:t>
      </w:r>
      <w:r>
        <w:rPr>
          <w:rFonts w:ascii="Times New Roman;sans-serif" w:hAnsi="Times New Roman;sans-serif"/>
          <w:b w:val="false"/>
          <w:color w:val="000000"/>
          <w:sz w:val="24"/>
        </w:rPr>
        <w:t>include: (a) the vesting of equity-based awards; (b) the withholding of Company securities to satisfy a tax withholding obligation upon the vesting of equity-based awards; (c) the acquisition of Company securities upon the exercise of stock options where the exercise price and applicable tax withholding amounts are paid in cash or if there is a “net exercise.” A “</w:t>
      </w:r>
      <w:r>
        <w:rPr>
          <w:rFonts w:ascii="Times New Roman;sans-serif" w:hAnsi="Times New Roman;sans-serif"/>
          <w:b/>
          <w:i/>
          <w:color w:val="000000"/>
          <w:sz w:val="24"/>
        </w:rPr>
        <w:t>net exercise</w:t>
      </w:r>
      <w:r>
        <w:rPr>
          <w:color w:val="000000"/>
        </w:rPr>
        <w:t xml:space="preserve">” </w:t>
      </w:r>
      <w:r>
        <w:rPr>
          <w:rFonts w:ascii="Times New Roman;sans-serif" w:hAnsi="Times New Roman;sans-serif"/>
          <w:b w:val="false"/>
          <w:color w:val="000000"/>
          <w:sz w:val="24"/>
        </w:rPr>
        <w:t>is the use of shares underlying a stock option to pay the exercise price and/or tax withholding obligation. However, any market sale of the stock received upon exercise or settlement of any such equity awards remains subject to all provisions of this Policy whether or not for the purpose of generating the cash needed to pay the exercise price or pay taxes; provided, that Insiders may sell-to-cover that number of shares of the Company’s securities necessary to satisfy the Company’s tax withholding obligations upon the exercise or settlement of options or other equity awards granted under the Company’s equity incentive plans if such sell-to-cover arrangement is effected pursuant to either (i) terms provided in the award agreement governing the applicable equity award or a program implemented by the Board of Directors of the Company or a duly appointed committee thereof or (ii) a written election by the individual employee, provided that in the case of an individual election (a) the election (including any changes to or termination of any election) is made during an open Window Period (as defined below) prior to the exercise or settlement of such options or other equity awards and (b) at the time of such election, change or termination, as applicable, such individual was not in possession of Material Nonpublic Information about the Company. For the avoidance of doubt, the subsequent sale of the remaining shares acquired upon the exercise or settlement of the options or other equity awards is subject to all provisions of this Policy.</w:t>
      </w:r>
    </w:p>
    <w:p>
      <w:pPr>
        <w:pStyle w:val="TextBody"/>
        <w:bidi w:val="0"/>
        <w:spacing w:lineRule="auto" w:line="288"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trading in Company securities pursuant to a Rule 10b5-1 Plan (as defined below) “or non-Rule 10b5-1 trading arrangement” as defined by Item 408 of Regulation S-K is not subject to the trading prohibitions contained in this Policy, provided that such plan has been approved in advance in accordance with Section E of this Policy.</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Insiders should consult the General Counsel (subject to Section G) if they have any questions regarding the interpretation or application of this Policy. As used in this Policy, the term “</w:t>
      </w:r>
      <w:r>
        <w:rPr>
          <w:rFonts w:ascii="Times New Roman;sans-serif" w:hAnsi="Times New Roman;sans-serif"/>
          <w:b/>
          <w:i/>
          <w:color w:val="000000"/>
          <w:sz w:val="24"/>
        </w:rPr>
        <w:t>General Counsel</w:t>
      </w:r>
      <w:r>
        <w:rPr>
          <w:color w:val="000000"/>
        </w:rPr>
        <w:t xml:space="preserve">” </w:t>
      </w:r>
      <w:r>
        <w:rPr>
          <w:rFonts w:ascii="Times New Roman;sans-serif" w:hAnsi="Times New Roman;sans-serif"/>
          <w:b w:val="false"/>
          <w:color w:val="000000"/>
          <w:sz w:val="24"/>
        </w:rPr>
        <w:t>shall refer to any employee holding the title of Chief Legal Officer or General Counsel.</w:t>
      </w:r>
    </w:p>
    <w:p>
      <w:pPr>
        <w:pStyle w:val="TextBody"/>
        <w:bidi w:val="0"/>
        <w:spacing w:lineRule="auto" w:line="288" w:before="240" w:after="283"/>
        <w:ind w:left="0" w:right="0" w:hanging="356"/>
        <w:jc w:val="left"/>
        <w:rPr>
          <w:rFonts w:ascii="Times New Roman;sans-serif" w:hAnsi="Times New Roman;sans-serif"/>
          <w:b/>
          <w:color w:val="000000"/>
          <w:sz w:val="24"/>
        </w:rPr>
      </w:pPr>
      <w:r>
        <w:rPr>
          <w:rFonts w:ascii="Times New Roman;sans-serif" w:hAnsi="Times New Roman;sans-serif"/>
          <w:b/>
          <w:color w:val="000000"/>
          <w:sz w:val="24"/>
        </w:rPr>
        <w:t>B.What is “Material Nonpublic Information”?</w:t>
      </w:r>
    </w:p>
    <w:p>
      <w:pPr>
        <w:pStyle w:val="TextBody"/>
        <w:bidi w:val="0"/>
        <w:spacing w:lineRule="auto" w:line="288" w:before="240" w:after="283"/>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i/>
          <w:color w:val="000000"/>
          <w:sz w:val="24"/>
        </w:rPr>
        <w:t>Material Information</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Material information generally means information there is a reasonable likelihood that a reasonable investor would consider important in making an investment decision to buy, hold or sell securities. Either positive or negative information may be material. Depending on the circumstances, common examples of information that may be material include: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4" w:after="283"/>
        <w:ind w:left="0" w:right="0" w:hanging="359"/>
        <w:jc w:val="left"/>
        <w:rPr/>
      </w:pPr>
      <w:r>
        <w:rPr>
          <w:color w:val="000000"/>
        </w:rPr>
        <w:t>•</w:t>
      </w:r>
      <w:r>
        <w:rPr>
          <w:rFonts w:ascii="Times New Roman;sans-serif" w:hAnsi="Times New Roman;sans-serif"/>
          <w:b w:val="false"/>
          <w:color w:val="000000"/>
          <w:sz w:val="24"/>
        </w:rPr>
        <w:t>earnings, revenue or similar financial information;</w:t>
      </w:r>
    </w:p>
    <w:p>
      <w:pPr>
        <w:pStyle w:val="TextBody"/>
        <w:bidi w:val="0"/>
        <w:spacing w:lineRule="auto" w:line="288" w:before="239" w:after="283"/>
        <w:ind w:left="0" w:right="0" w:hanging="359"/>
        <w:jc w:val="left"/>
        <w:rPr/>
      </w:pPr>
      <w:r>
        <w:rPr>
          <w:color w:val="000000"/>
        </w:rPr>
        <w:t>•</w:t>
      </w:r>
      <w:r>
        <w:rPr>
          <w:rFonts w:ascii="Times New Roman;sans-serif" w:hAnsi="Times New Roman;sans-serif"/>
          <w:b w:val="false"/>
          <w:color w:val="000000"/>
          <w:sz w:val="24"/>
        </w:rPr>
        <w:t>unexpected financial results;</w:t>
      </w:r>
    </w:p>
    <w:p>
      <w:pPr>
        <w:pStyle w:val="TextBody"/>
        <w:bidi w:val="0"/>
        <w:spacing w:lineRule="auto" w:line="288" w:before="237" w:after="283"/>
        <w:ind w:left="0" w:right="0" w:hanging="359"/>
        <w:jc w:val="left"/>
        <w:rPr/>
      </w:pPr>
      <w:r>
        <w:rPr>
          <w:color w:val="000000"/>
        </w:rPr>
        <w:t>•</w:t>
      </w:r>
      <w:r>
        <w:rPr>
          <w:rFonts w:ascii="Times New Roman;sans-serif" w:hAnsi="Times New Roman;sans-serif"/>
          <w:b w:val="false"/>
          <w:color w:val="000000"/>
          <w:sz w:val="24"/>
        </w:rPr>
        <w:t>unpublished financial reports or projections;</w:t>
      </w:r>
    </w:p>
    <w:p>
      <w:pPr>
        <w:pStyle w:val="TextBody"/>
        <w:bidi w:val="0"/>
        <w:spacing w:lineRule="auto" w:line="288" w:before="243" w:after="283"/>
        <w:ind w:left="0" w:right="0" w:hanging="359"/>
        <w:jc w:val="left"/>
        <w:rPr/>
      </w:pPr>
      <w:r>
        <w:rPr>
          <w:color w:val="000000"/>
        </w:rPr>
        <w:t>•</w:t>
      </w:r>
      <w:r>
        <w:rPr>
          <w:rFonts w:ascii="Times New Roman;sans-serif" w:hAnsi="Times New Roman;sans-serif"/>
          <w:b w:val="false"/>
          <w:color w:val="000000"/>
          <w:sz w:val="24"/>
        </w:rPr>
        <w:t>changes in control;</w:t>
      </w:r>
    </w:p>
    <w:p>
      <w:pPr>
        <w:pStyle w:val="TextBody"/>
        <w:bidi w:val="0"/>
        <w:spacing w:lineRule="auto" w:line="288" w:before="237" w:after="283"/>
        <w:ind w:left="0" w:right="0" w:hanging="359"/>
        <w:jc w:val="left"/>
        <w:rPr/>
      </w:pPr>
      <w:r>
        <w:rPr>
          <w:color w:val="000000"/>
        </w:rPr>
        <w:t>•</w:t>
      </w:r>
      <w:r>
        <w:rPr>
          <w:rFonts w:ascii="Times New Roman;sans-serif" w:hAnsi="Times New Roman;sans-serif"/>
          <w:b w:val="false"/>
          <w:color w:val="000000"/>
          <w:sz w:val="24"/>
        </w:rPr>
        <w:t>changes in directors, executive management or auditors;</w:t>
      </w:r>
    </w:p>
    <w:p>
      <w:pPr>
        <w:pStyle w:val="TextBody"/>
        <w:bidi w:val="0"/>
        <w:spacing w:lineRule="auto" w:line="288" w:before="236" w:after="283"/>
        <w:ind w:left="0" w:right="0" w:hanging="360"/>
        <w:jc w:val="both"/>
        <w:rPr/>
      </w:pPr>
      <w:r>
        <w:rPr>
          <w:color w:val="000000"/>
        </w:rPr>
        <w:t>•</w:t>
      </w:r>
      <w:r>
        <w:rPr>
          <w:rFonts w:ascii="Times New Roman;sans-serif" w:hAnsi="Times New Roman;sans-serif"/>
          <w:b w:val="false"/>
          <w:color w:val="000000"/>
          <w:sz w:val="24"/>
        </w:rPr>
        <w:t>significant actual or potential cybersecurity incidents or events that affect the Company or third-party providers that support the Company’s business operations, including computer system or network compromises, viruses or other destructive software, and data breach incidents that may disclose personal, business or other confidential information;</w:t>
      </w:r>
    </w:p>
    <w:p>
      <w:pPr>
        <w:pStyle w:val="TextBody"/>
        <w:bidi w:val="0"/>
        <w:spacing w:lineRule="auto" w:line="288" w:before="239" w:after="283"/>
        <w:ind w:left="0" w:right="0" w:hanging="360"/>
        <w:jc w:val="both"/>
        <w:rPr/>
      </w:pPr>
      <w:r>
        <w:rPr>
          <w:color w:val="000000"/>
        </w:rPr>
        <w:t>•</w:t>
      </w:r>
      <w:r>
        <w:rPr>
          <w:rFonts w:ascii="Times New Roman;sans-serif" w:hAnsi="Times New Roman;sans-serif"/>
          <w:b w:val="false"/>
          <w:color w:val="000000"/>
          <w:sz w:val="24"/>
        </w:rPr>
        <w:t>information about current, proposed or contemplated significant transactions, business plans, acquisition targets or significant expansions or contractions of operations;</w:t>
      </w:r>
    </w:p>
    <w:p>
      <w:pPr>
        <w:pStyle w:val="TextBody"/>
        <w:bidi w:val="0"/>
        <w:spacing w:lineRule="auto" w:line="288" w:before="236" w:after="283"/>
        <w:ind w:left="0" w:right="0" w:hanging="360"/>
        <w:jc w:val="both"/>
        <w:rPr/>
      </w:pPr>
      <w:r>
        <w:rPr>
          <w:color w:val="000000"/>
        </w:rPr>
        <w:t>•</w:t>
      </w:r>
      <w:r>
        <w:rPr>
          <w:rFonts w:ascii="Times New Roman;sans-serif" w:hAnsi="Times New Roman;sans-serif"/>
          <w:b w:val="false"/>
          <w:color w:val="000000"/>
          <w:sz w:val="24"/>
        </w:rPr>
        <w:t>offerings of additional Company securities, significant borrowings or other financing transactions outside of the ordinary course;</w:t>
      </w:r>
    </w:p>
    <w:p>
      <w:pPr>
        <w:pStyle w:val="TextBody"/>
        <w:bidi w:val="0"/>
        <w:spacing w:lineRule="auto" w:line="288" w:before="239" w:after="283"/>
        <w:ind w:left="0" w:right="0" w:hanging="360"/>
        <w:jc w:val="both"/>
        <w:rPr/>
      </w:pPr>
      <w:r>
        <w:rPr>
          <w:color w:val="000000"/>
        </w:rPr>
        <w:t>•</w:t>
      </w:r>
      <w:r>
        <w:rPr>
          <w:rFonts w:ascii="Times New Roman;sans-serif" w:hAnsi="Times New Roman;sans-serif"/>
          <w:b w:val="false"/>
          <w:color w:val="000000"/>
          <w:sz w:val="24"/>
        </w:rPr>
        <w:t>the declaration of a stock split or the proposed or contemplated issuance, redemption or repurchase of securities or changes in dividend policies;</w:t>
      </w:r>
    </w:p>
    <w:p>
      <w:pPr>
        <w:pStyle w:val="TextBody"/>
        <w:bidi w:val="0"/>
        <w:spacing w:lineRule="auto" w:line="288" w:before="239" w:after="283"/>
        <w:ind w:left="0" w:right="0" w:hanging="359"/>
        <w:jc w:val="left"/>
        <w:rPr/>
      </w:pPr>
      <w:r>
        <w:rPr>
          <w:color w:val="000000"/>
        </w:rPr>
        <w:t>•</w:t>
      </w:r>
      <w:r>
        <w:rPr>
          <w:rFonts w:ascii="Times New Roman;sans-serif" w:hAnsi="Times New Roman;sans-serif"/>
          <w:b w:val="false"/>
          <w:color w:val="000000"/>
          <w:sz w:val="24"/>
        </w:rPr>
        <w:t>the establishment of a repurchase program for Company securities;</w:t>
      </w:r>
    </w:p>
    <w:p>
      <w:pPr>
        <w:pStyle w:val="TextBody"/>
        <w:bidi w:val="0"/>
        <w:spacing w:lineRule="auto" w:line="288" w:before="239" w:after="283"/>
        <w:ind w:left="0" w:right="0" w:hanging="360"/>
        <w:jc w:val="both"/>
        <w:rPr/>
      </w:pPr>
      <w:r>
        <w:rPr>
          <w:color w:val="000000"/>
        </w:rPr>
        <w:t>•</w:t>
      </w:r>
      <w:r>
        <w:rPr>
          <w:rFonts w:ascii="Times New Roman;sans-serif" w:hAnsi="Times New Roman;sans-serif"/>
          <w:b w:val="false"/>
          <w:color w:val="000000"/>
          <w:sz w:val="24"/>
        </w:rPr>
        <w:t>material defaults under agreements or actions by creditors, clients, or suppliers relating to a company’s credit rating;</w:t>
      </w:r>
    </w:p>
    <w:p>
      <w:pPr>
        <w:pStyle w:val="TextBody"/>
        <w:bidi w:val="0"/>
        <w:spacing w:lineRule="auto" w:line="288" w:before="241" w:after="283"/>
        <w:ind w:left="0" w:right="0" w:hanging="359"/>
        <w:jc w:val="left"/>
        <w:rPr/>
      </w:pPr>
      <w:r>
        <w:rPr>
          <w:color w:val="000000"/>
        </w:rPr>
        <w:t>•</w:t>
      </w:r>
      <w:r>
        <w:rPr>
          <w:rFonts w:ascii="Times New Roman;sans-serif" w:hAnsi="Times New Roman;sans-serif"/>
          <w:b w:val="false"/>
          <w:color w:val="000000"/>
          <w:sz w:val="24"/>
        </w:rPr>
        <w:t>information about major contracts;</w:t>
      </w:r>
    </w:p>
    <w:p>
      <w:pPr>
        <w:pStyle w:val="TextBody"/>
        <w:bidi w:val="0"/>
        <w:spacing w:lineRule="auto" w:line="288" w:before="238" w:after="283"/>
        <w:ind w:left="0" w:right="0" w:hanging="360"/>
        <w:jc w:val="left"/>
        <w:rPr/>
      </w:pPr>
      <w:r>
        <w:rPr>
          <w:color w:val="000000"/>
        </w:rPr>
        <w:t>•</w:t>
      </w:r>
      <w:r>
        <w:rPr>
          <w:rFonts w:ascii="Times New Roman;sans-serif" w:hAnsi="Times New Roman;sans-serif"/>
          <w:b w:val="false"/>
          <w:color w:val="000000"/>
          <w:sz w:val="24"/>
        </w:rPr>
        <w:t>gain or loss of a significant customer or supplier;</w:t>
      </w:r>
    </w:p>
    <w:p>
      <w:pPr>
        <w:pStyle w:val="TextBody"/>
        <w:bidi w:val="0"/>
        <w:spacing w:lineRule="auto" w:line="288" w:before="234" w:after="283"/>
        <w:ind w:left="0" w:right="0" w:hanging="360"/>
        <w:jc w:val="both"/>
        <w:rPr/>
      </w:pPr>
      <w:r>
        <w:rPr>
          <w:color w:val="000000"/>
        </w:rPr>
        <w:t>•</w:t>
      </w:r>
      <w:r>
        <w:rPr>
          <w:rFonts w:ascii="Times New Roman;sans-serif" w:hAnsi="Times New Roman;sans-serif"/>
          <w:b w:val="false"/>
          <w:color w:val="000000"/>
          <w:sz w:val="24"/>
        </w:rPr>
        <w:t>major new products or designs or significant advances in product development or price changes on major products or services;</w:t>
      </w:r>
    </w:p>
    <w:p>
      <w:pPr>
        <w:pStyle w:val="TextBody"/>
        <w:bidi w:val="0"/>
        <w:spacing w:lineRule="auto" w:line="288" w:before="239" w:after="283"/>
        <w:ind w:left="0" w:right="0" w:hanging="360"/>
        <w:jc w:val="both"/>
        <w:rPr/>
      </w:pPr>
      <w:r>
        <w:rPr>
          <w:color w:val="000000"/>
        </w:rPr>
        <w:t>•</w:t>
      </w:r>
      <w:r>
        <w:rPr>
          <w:rFonts w:ascii="Times New Roman;sans-serif" w:hAnsi="Times New Roman;sans-serif"/>
          <w:b w:val="false"/>
          <w:color w:val="000000"/>
          <w:sz w:val="24"/>
        </w:rPr>
        <w:t>the interruption of production or other aspects of a company’s business as a result of an accident, fire, natural disaster, breakdown of labor negotiations or any major shut-down;</w:t>
      </w:r>
    </w:p>
    <w:p>
      <w:pPr>
        <w:pStyle w:val="TextBody"/>
        <w:bidi w:val="0"/>
        <w:spacing w:lineRule="auto" w:line="288" w:before="239" w:after="283"/>
        <w:ind w:left="0" w:right="0" w:hanging="359"/>
        <w:jc w:val="left"/>
        <w:rPr/>
      </w:pPr>
      <w:r>
        <w:rPr>
          <w:color w:val="000000"/>
        </w:rPr>
        <w:t>•</w:t>
      </w:r>
      <w:r>
        <w:rPr>
          <w:rFonts w:ascii="Times New Roman;sans-serif" w:hAnsi="Times New Roman;sans-serif"/>
          <w:b w:val="false"/>
          <w:color w:val="000000"/>
          <w:sz w:val="24"/>
        </w:rPr>
        <w:t>extraordinary borrowing, bankruptcy or other liquidity concerns or developments; or</w:t>
      </w:r>
    </w:p>
    <w:p>
      <w:pPr>
        <w:pStyle w:val="TextBody"/>
        <w:bidi w:val="0"/>
        <w:spacing w:lineRule="auto" w:line="288" w:before="239" w:after="283"/>
        <w:ind w:left="0" w:right="0" w:hanging="360"/>
        <w:jc w:val="both"/>
        <w:rPr/>
      </w:pPr>
      <w:r>
        <w:rPr>
          <w:color w:val="000000"/>
        </w:rPr>
        <w:t>•</w:t>
      </w:r>
      <w:r>
        <w:rPr>
          <w:rFonts w:ascii="Times New Roman;sans-serif" w:hAnsi="Times New Roman;sans-serif"/>
          <w:b w:val="false"/>
          <w:color w:val="000000"/>
          <w:sz w:val="24"/>
        </w:rPr>
        <w:t>the institution of, or developments in, major litigation, investigations, or regulatory actions or proceedings.</w:t>
      </w:r>
    </w:p>
    <w:p>
      <w:pPr>
        <w:pStyle w:val="TextBody"/>
        <w:bidi w:val="0"/>
        <w:spacing w:lineRule="auto" w:line="288"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Federal and Nasdaq investigators will scrutinize a questionable trade after the fact with the benefit of hindsight, so you should always err on the side of deciding that the information is material and not trade. If you have questions regarding specific transactions, please contact the General Counsel (subject to Section G).</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2" w:after="283"/>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i/>
          <w:color w:val="000000"/>
          <w:sz w:val="24"/>
        </w:rPr>
        <w:t>Nonpublic Information</w:t>
      </w:r>
    </w:p>
    <w:p>
      <w:pPr>
        <w:pStyle w:val="TextBody"/>
        <w:bidi w:val="0"/>
        <w:spacing w:lineRule="auto" w:line="288" w:before="243"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Nonpublic information is information that is not generally known or available to the public. We consider information to be available to the public only when:</w:t>
      </w:r>
    </w:p>
    <w:p>
      <w:pPr>
        <w:pStyle w:val="TextBody"/>
        <w:bidi w:val="0"/>
        <w:spacing w:lineRule="auto" w:line="288" w:before="239" w:after="283"/>
        <w:ind w:left="0" w:right="0" w:hanging="360"/>
        <w:jc w:val="both"/>
        <w:rPr/>
      </w:pPr>
      <w:r>
        <w:rPr>
          <w:color w:val="000000"/>
        </w:rPr>
        <w:t>•</w:t>
      </w:r>
      <w:r>
        <w:rPr>
          <w:rFonts w:ascii="Times New Roman;sans-serif" w:hAnsi="Times New Roman;sans-serif"/>
          <w:b w:val="false"/>
          <w:color w:val="000000"/>
          <w:sz w:val="24"/>
        </w:rPr>
        <w:t>it has been released to the public by the Company through appropriate channels (e.g., by means of a press release, SEC filing, or a widely disseminated statement from a senior officer); and</w:t>
      </w:r>
    </w:p>
    <w:p>
      <w:pPr>
        <w:pStyle w:val="TextBody"/>
        <w:bidi w:val="0"/>
        <w:spacing w:lineRule="auto" w:line="288" w:before="237" w:after="283"/>
        <w:ind w:left="0" w:right="0" w:hanging="360"/>
        <w:jc w:val="both"/>
        <w:rPr/>
      </w:pPr>
      <w:r>
        <w:rPr>
          <w:color w:val="000000"/>
        </w:rPr>
        <w:t>•</w:t>
      </w:r>
      <w:r>
        <w:rPr>
          <w:rFonts w:ascii="Times New Roman;sans-serif" w:hAnsi="Times New Roman;sans-serif"/>
          <w:b w:val="false"/>
          <w:color w:val="000000"/>
          <w:sz w:val="24"/>
        </w:rPr>
        <w:t>enough time has elapsed to permit the investment market to absorb and evaluate the information.</w:t>
      </w:r>
    </w:p>
    <w:p>
      <w:pPr>
        <w:pStyle w:val="TextBody"/>
        <w:bidi w:val="0"/>
        <w:spacing w:lineRule="auto" w:line="288" w:before="23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general rule, you should consider information to be nonpublic until one full trading day has lapsed following public disclosure.</w:t>
      </w:r>
    </w:p>
    <w:p>
      <w:pPr>
        <w:pStyle w:val="TextBody"/>
        <w:bidi w:val="0"/>
        <w:spacing w:lineRule="auto" w:line="288" w:before="240" w:after="283"/>
        <w:ind w:left="0" w:right="0" w:hanging="359"/>
        <w:jc w:val="left"/>
        <w:rPr>
          <w:rFonts w:ascii="Times New Roman;sans-serif" w:hAnsi="Times New Roman;sans-serif"/>
          <w:b/>
          <w:color w:val="000000"/>
          <w:sz w:val="24"/>
        </w:rPr>
      </w:pPr>
      <w:r>
        <w:rPr>
          <w:rFonts w:ascii="Times New Roman;sans-serif" w:hAnsi="Times New Roman;sans-serif"/>
          <w:b/>
          <w:color w:val="000000"/>
          <w:sz w:val="24"/>
        </w:rPr>
        <w:t>C.Unauthorized Disclosure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Insiders must maintain the confidentiality of Company information for competitive, security and other business reasons, as well as to comply with federal and state securities laws. All information you learn about the Company or its business plans is potentially nonpublic information until it is publicly disclosed. You should treat this information as confidential and proprietary to the Company. You may not disclose it to others, such as family members, other relatives, or business or social acquaintances.</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 in accordance with the Company’s Guidelines for Public Disclosures and Communications with the Investment Community. If you receive inquiries of this nature, refer them to the Chief Financial Officer or the General Counsel.</w:t>
      </w:r>
    </w:p>
    <w:p>
      <w:pPr>
        <w:pStyle w:val="TextBody"/>
        <w:bidi w:val="0"/>
        <w:spacing w:lineRule="auto" w:line="288" w:before="240" w:after="283"/>
        <w:ind w:left="0" w:right="0" w:hanging="359"/>
        <w:jc w:val="left"/>
        <w:rPr>
          <w:rFonts w:ascii="Times New Roman;sans-serif" w:hAnsi="Times New Roman;sans-serif"/>
          <w:b/>
          <w:color w:val="000000"/>
          <w:sz w:val="24"/>
        </w:rPr>
      </w:pPr>
      <w:r>
        <w:rPr>
          <w:rFonts w:ascii="Times New Roman;sans-serif" w:hAnsi="Times New Roman;sans-serif"/>
          <w:b/>
          <w:color w:val="000000"/>
          <w:sz w:val="24"/>
        </w:rPr>
        <w:t>D.When and How to Trade Company Stock</w:t>
      </w:r>
    </w:p>
    <w:p>
      <w:pPr>
        <w:pStyle w:val="TextBody"/>
        <w:bidi w:val="0"/>
        <w:spacing w:lineRule="auto" w:line="288" w:before="241" w:after="283"/>
        <w:ind w:left="0" w:right="0" w:firstLine="720"/>
        <w:jc w:val="both"/>
        <w:rPr/>
      </w:pPr>
      <w:r>
        <w:rPr>
          <w:rFonts w:ascii="Times New Roman;sans-serif" w:hAnsi="Times New Roman;sans-serif"/>
          <w:b w:val="false"/>
          <w:color w:val="000000"/>
          <w:sz w:val="24"/>
        </w:rPr>
        <w:t>Insiders may only trade in Company securities during a window period beginning after the completion of one full trading day following the public dissemination of the Company’s annual or quarterly financial results (each, an “</w:t>
      </w:r>
      <w:r>
        <w:rPr>
          <w:rFonts w:ascii="Times New Roman;sans-serif" w:hAnsi="Times New Roman;sans-serif"/>
          <w:b/>
          <w:i/>
          <w:color w:val="000000"/>
          <w:sz w:val="24"/>
        </w:rPr>
        <w:t>Earnings Release</w:t>
      </w:r>
      <w:r>
        <w:rPr>
          <w:color w:val="000000"/>
        </w:rPr>
        <w:t>”</w:t>
      </w:r>
      <w:r>
        <w:rPr>
          <w:rFonts w:ascii="Times New Roman;sans-serif" w:hAnsi="Times New Roman;sans-serif"/>
          <w:b w:val="false"/>
          <w:color w:val="000000"/>
          <w:sz w:val="24"/>
        </w:rPr>
        <w:t>) and ending at 5:00 p.m. Pacific Time on the fourteenth day prior to the end of each fiscal quarter (each such period, a “</w:t>
      </w:r>
      <w:r>
        <w:rPr>
          <w:rFonts w:ascii="Times New Roman;sans-serif" w:hAnsi="Times New Roman;sans-serif"/>
          <w:b/>
          <w:i/>
          <w:color w:val="000000"/>
          <w:sz w:val="24"/>
        </w:rPr>
        <w:t>Window Period</w:t>
      </w:r>
      <w:r>
        <w:rPr>
          <w:color w:val="000000"/>
        </w:rPr>
        <w:t>”</w:t>
      </w:r>
      <w:r>
        <w:rPr>
          <w:rFonts w:ascii="Times New Roman;sans-serif" w:hAnsi="Times New Roman;sans-serif"/>
          <w:b w:val="false"/>
          <w:color w:val="000000"/>
          <w:sz w:val="24"/>
        </w:rPr>
        <w:t>). For example, if the Company were to release earnings after the market close on Monday, November 6, trading could begin at 6:30 a.m. Pacific Time on Wednesday, November 8, and if the Company were to release earnings before the market open on Monday, November 6, trading could begin at 6:30 a.m. Pacific Time on Tuesday, November 7.</w:t>
      </w:r>
    </w:p>
    <w:p>
      <w:pPr>
        <w:pStyle w:val="TextBody"/>
        <w:bidi w:val="0"/>
        <w:spacing w:lineRule="auto" w:line="288" w:before="240" w:after="283"/>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However, even if a Window Period is open, you may not trade in Company securities if you are aware of Material Nonpublic Information about the Company. In addition, if you are subject to the Company’s Pre-clearance Policy (described below), you must pre-clear transactions even if you initiate them when a Window Period is open.</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From time to time during a Window Period, the Company may close trading due to developments (such as a significant event or transaction) that involve Material Nonpublic Information. </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such cases, the General Counsel or another senior executive may notify particular individuals that they should not engage in any transactions involving the purchase or sale of Company securities or the securities of another company. If you are subject to a special blackout period, you should not trade in the applicable company’s securities during such time and you should not disclose to others the fact that you are prohibited from trading. You should not interpret the absence of a special blackout period as confirmation that you are not in possession of Material Nonpublic Information or as permission to trade in Company securities or the securities of any other company.</w:t>
      </w:r>
    </w:p>
    <w:p>
      <w:pPr>
        <w:pStyle w:val="TextBody"/>
        <w:bidi w:val="0"/>
        <w:spacing w:lineRule="auto" w:line="288" w:before="24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light of these restrictions, if you expect a need to sell Company securities at a specific time in the future, you may wish to consider entering into a Rule 10b5-1 Plan.</w:t>
      </w:r>
    </w:p>
    <w:p>
      <w:pPr>
        <w:pStyle w:val="TextBody"/>
        <w:bidi w:val="0"/>
        <w:spacing w:lineRule="auto" w:line="288" w:before="240" w:after="283"/>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i/>
          <w:color w:val="000000"/>
          <w:sz w:val="24"/>
        </w:rPr>
        <w:t>Pre-clearance Policy</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The Company requires its directors, officers and certain other employees and consultants who are so designated from time to time (such officers and designated employees and consultants, “</w:t>
      </w:r>
      <w:r>
        <w:rPr>
          <w:rFonts w:ascii="Times New Roman;sans-serif" w:hAnsi="Times New Roman;sans-serif"/>
          <w:b/>
          <w:i/>
          <w:color w:val="000000"/>
          <w:sz w:val="24"/>
        </w:rPr>
        <w:t>Pre- clearance Insiders</w:t>
      </w:r>
      <w:r>
        <w:rPr>
          <w:color w:val="000000"/>
        </w:rPr>
        <w:t>”</w:t>
      </w:r>
      <w:r>
        <w:rPr>
          <w:rFonts w:ascii="Times New Roman;sans-serif" w:hAnsi="Times New Roman;sans-serif"/>
          <w:b w:val="false"/>
          <w:color w:val="000000"/>
          <w:sz w:val="24"/>
        </w:rPr>
        <w:t>) to contact the General Counsel in advance of effecting any purchase, sale or other trading of Company securities and to obtain prior approval of the transaction (the “</w:t>
      </w:r>
      <w:r>
        <w:rPr>
          <w:rFonts w:ascii="Times New Roman;sans-serif" w:hAnsi="Times New Roman;sans-serif"/>
          <w:b/>
          <w:i/>
          <w:color w:val="000000"/>
          <w:sz w:val="24"/>
        </w:rPr>
        <w:t>Pre-clearance Policy</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 xml:space="preserve">The Pre-clearance Policy applies to directors and Pre-clearance Insiders even if a transaction is initiated while a Window Period is open. </w:t>
      </w:r>
      <w:r>
        <w:rPr>
          <w:rFonts w:ascii="Times New Roman;sans-serif" w:hAnsi="Times New Roman;sans-serif"/>
          <w:b w:val="false"/>
          <w:color w:val="000000"/>
          <w:sz w:val="24"/>
        </w:rPr>
        <w:t>The Pre-clearance Policy also applies to Family Members and Entities of a director or Pre-clearance Insider. The Chief Executive Officer, Chief Operating Officer, Chief Financial Officer or the General Counsel may modify the list of Pre-clearance Insiders from time to time.</w:t>
      </w:r>
    </w:p>
    <w:p>
      <w:pPr>
        <w:pStyle w:val="TextBody"/>
        <w:bidi w:val="0"/>
        <w:spacing w:lineRule="auto" w:line="288" w:before="240" w:after="283"/>
        <w:ind w:left="0" w:right="0" w:firstLine="604"/>
        <w:jc w:val="both"/>
        <w:rPr>
          <w:rFonts w:ascii="Times New Roman;sans-serif" w:hAnsi="Times New Roman;sans-serif"/>
          <w:b w:val="false"/>
          <w:color w:val="000000"/>
          <w:sz w:val="24"/>
        </w:rPr>
      </w:pPr>
      <w:r>
        <w:rPr>
          <w:rFonts w:ascii="Times New Roman;sans-serif" w:hAnsi="Times New Roman;sans-serif"/>
          <w:b w:val="false"/>
          <w:color w:val="000000"/>
          <w:sz w:val="24"/>
        </w:rPr>
        <w:t>All requests must be submitted to the General Counsel at least two business days in advance of the proposed transaction. The General Counsel will then determine whether the transaction may proceed. In the event that the General Counsel desires to trade in Company securities and obtain clearance of the proposed transaction in accordance with this Section D.3., pre-clearance of such transaction by the Chief Financial Officer is required. The Pre-clearance Policy applies even if you are initiating a transaction while a Window Period is open.</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transaction is approved under the Pre-clearance Policy, the transaction must be executed before the earlier of (i) three business days after the approval is obtained and (ii) the conclusion of any Window Period then in effect, but regardless may not be executed if you acquire Material Nonpublic Information concerning the Company during that time. If a transaction is not completed within the period described above, the transaction must be approved again before it may be executed.</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 proposed transaction is not approved under the Pre-clearance Policy, you should refrain from initiating any transaction in Company securities, and you should not inform anyone within or outside of the Company of the restriction.</w:t>
      </w:r>
    </w:p>
    <w:p>
      <w:pPr>
        <w:pStyle w:val="TextBody"/>
        <w:bidi w:val="0"/>
        <w:spacing w:lineRule="auto" w:line="288" w:before="243" w:after="283"/>
        <w:ind w:left="0" w:right="0" w:firstLine="720"/>
        <w:jc w:val="both"/>
        <w:rPr/>
      </w:pPr>
      <w:r>
        <w:rPr>
          <w:rFonts w:ascii="Times New Roman;sans-serif" w:hAnsi="Times New Roman;sans-serif"/>
          <w:b w:val="false"/>
          <w:color w:val="000000"/>
          <w:sz w:val="24"/>
        </w:rPr>
        <w:t>In addition, when a request for pre-clearance is made, the requestor should carefully consider whether he or she may be aware of any Material Nonpublic Information about the Company and should describe fully those circumstances to the General Counsel. If applicable, the requestor should also indicate whether he or she has effected any non-exempt “opposite-way” transactions under Section 16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 within the past six months, and should be prepared to report the proposed transaction on a Form 4 filing with the SEC. The requestor should also be prepared to comply with Rule 144 of the Securities Act of 1933, as amended, and file a Form 144 with the SEC, if necessary, at the time of any sale.</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2"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Section E below, any transaction under a Rule 10b5-1 Plan or non-Rule 10b5-1 trading arrangement will not be subject to the Pre-clearance Policy or require pre-clearance at the time of the transaction.</w:t>
      </w:r>
    </w:p>
    <w:p>
      <w:pPr>
        <w:pStyle w:val="TextBody"/>
        <w:bidi w:val="0"/>
        <w:spacing w:lineRule="auto" w:line="288" w:before="243" w:after="283"/>
        <w:ind w:left="0" w:right="0" w:hanging="356"/>
        <w:jc w:val="left"/>
        <w:rPr>
          <w:rFonts w:ascii="Times New Roman;sans-serif" w:hAnsi="Times New Roman;sans-serif"/>
          <w:b/>
          <w:color w:val="000000"/>
          <w:sz w:val="24"/>
        </w:rPr>
      </w:pPr>
      <w:r>
        <w:rPr>
          <w:rFonts w:ascii="Times New Roman;sans-serif" w:hAnsi="Times New Roman;sans-serif"/>
          <w:b/>
          <w:color w:val="000000"/>
          <w:sz w:val="24"/>
        </w:rPr>
        <w:t>E.Rule 10b5-1 Plans</w:t>
      </w:r>
    </w:p>
    <w:p>
      <w:pPr>
        <w:pStyle w:val="TextBody"/>
        <w:bidi w:val="0"/>
        <w:spacing w:lineRule="auto" w:line="288" w:before="240" w:after="283"/>
        <w:ind w:left="0" w:right="0" w:firstLine="720"/>
        <w:jc w:val="both"/>
        <w:rPr/>
      </w:pPr>
      <w:r>
        <w:rPr>
          <w:rFonts w:ascii="Times New Roman;sans-serif" w:hAnsi="Times New Roman;sans-serif"/>
          <w:b w:val="false"/>
          <w:color w:val="000000"/>
          <w:sz w:val="24"/>
        </w:rPr>
        <w:t>Rule 10b5-1 of the Exchange Act, provides a defense from insider trading liability if trades occur pursuant to a pre-arranged, written trading plan established in compliance with the requirements of Rule 10b5-1 of the Exchange Act (each such plan, a “</w:t>
      </w:r>
      <w:r>
        <w:rPr>
          <w:rFonts w:ascii="Times New Roman;sans-serif" w:hAnsi="Times New Roman;sans-serif"/>
          <w:b/>
          <w:i/>
          <w:color w:val="000000"/>
          <w:sz w:val="24"/>
        </w:rPr>
        <w:t>Rule 10b5-1 Plan</w:t>
      </w:r>
      <w:r>
        <w:rPr>
          <w:color w:val="000000"/>
        </w:rPr>
        <w:t>”</w:t>
      </w:r>
      <w:r>
        <w:rPr>
          <w:rFonts w:ascii="Times New Roman;sans-serif" w:hAnsi="Times New Roman;sans-serif"/>
          <w:b w:val="false"/>
          <w:color w:val="000000"/>
          <w:sz w:val="24"/>
        </w:rPr>
        <w:t>). It is possible to pre-arrange trades in Company securities by entering into a Rule 10b5-1 Plan. Rule 10b5-1 Plans can be established for a single trade or a series of trades. Among other things, a Rule 10b5-1 Plan must either specify the number of securities to be bought or sold, along with the price and the date, or provide a written formula for determining this information. Alternatively, a Rule 10b5-1 Plan can delegate investment discretion to a third party, such as a broker, who then makes trading decisions without further input from the person implementing the plan. Because the SEC rules on Rule 10b5-1 Plans are complex, you should consult with your broker and be sure you fully understand the limitations and conditions of the rules before you establish such a plan.</w:t>
      </w:r>
    </w:p>
    <w:p>
      <w:pPr>
        <w:pStyle w:val="TextBody"/>
        <w:bidi w:val="0"/>
        <w:spacing w:lineRule="auto" w:line="288" w:before="238"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Rule 10b5-1 Plans and non-Rule 10b5-1 trading arrangements, including any amendments, modifications and terminations thereof, must be reviewed and approved in advance by the General Counsel.</w:t>
      </w:r>
    </w:p>
    <w:p>
      <w:pPr>
        <w:pStyle w:val="TextBody"/>
        <w:bidi w:val="0"/>
        <w:spacing w:lineRule="auto" w:line="288" w:before="240" w:after="283"/>
        <w:ind w:left="0" w:right="0" w:hanging="356"/>
        <w:jc w:val="left"/>
        <w:rPr>
          <w:rFonts w:ascii="Times New Roman;sans-serif" w:hAnsi="Times New Roman;sans-serif"/>
          <w:b/>
          <w:color w:val="000000"/>
          <w:sz w:val="24"/>
        </w:rPr>
      </w:pPr>
      <w:r>
        <w:rPr>
          <w:rFonts w:ascii="Times New Roman;sans-serif" w:hAnsi="Times New Roman;sans-serif"/>
          <w:b/>
          <w:color w:val="000000"/>
          <w:sz w:val="24"/>
        </w:rPr>
        <w:t>F.Noncompliance</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Anyone who fails to comply with this Policy will be subject to appropriate disciplinary action, up to and including termination of employment.</w:t>
      </w:r>
    </w:p>
    <w:p>
      <w:pPr>
        <w:pStyle w:val="TextBody"/>
        <w:bidi w:val="0"/>
        <w:spacing w:lineRule="auto" w:line="288" w:before="24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Once you have reviewed and understand this Policy, please acknowledge and confirm through the method(s) provided by the Company.</w:t>
      </w:r>
    </w:p>
    <w:p>
      <w:pPr>
        <w:pStyle w:val="TextBody"/>
        <w:bidi w:val="0"/>
        <w:spacing w:lineRule="auto" w:line="288" w:before="240" w:after="283"/>
        <w:ind w:left="0" w:right="0" w:hanging="356"/>
        <w:jc w:val="left"/>
        <w:rPr>
          <w:rFonts w:ascii="Times New Roman;sans-serif" w:hAnsi="Times New Roman;sans-serif"/>
          <w:b/>
          <w:color w:val="000000"/>
          <w:sz w:val="24"/>
        </w:rPr>
      </w:pPr>
      <w:r>
        <w:rPr>
          <w:rFonts w:ascii="Times New Roman;sans-serif" w:hAnsi="Times New Roman;sans-serif"/>
          <w:b/>
          <w:color w:val="000000"/>
          <w:sz w:val="24"/>
        </w:rPr>
        <w:t>G.Questions</w: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Questions about these guidelines should be directed to the General Counsel. At any time when the Company does not have a General Counsel, the duties and responsibilities assigned to the General Counsel under this policy shall be performed by the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21.1</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Subsidiaries of the Registrant</w:t>
      </w:r>
    </w:p>
    <w:p>
      <w:pPr>
        <w:pStyle w:val="TextBody"/>
        <w:bidi w:val="0"/>
        <w:spacing w:lineRule="auto" w:line="288" w:before="0" w:after="0"/>
        <w:jc w:val="left"/>
        <w:rPr>
          <w:color w:val="000000"/>
          <w:shd w:fill="FFFFFF" w:val="clear"/>
        </w:rPr>
      </w:pPr>
      <w:r>
        <w:rPr>
          <w:color w:val="000000"/>
          <w:shd w:fill="FFFFFF" w:val="clear"/>
        </w:rPr>
        <w:t> </w:t>
      </w:r>
    </w:p>
    <w:tbl>
      <w:tblPr>
        <w:tblW w:w="6952" w:type="dxa"/>
        <w:jc w:val="left"/>
        <w:tblInd w:w="0" w:type="dxa"/>
        <w:tblLayout w:type="fixed"/>
        <w:tblCellMar>
          <w:top w:w="28" w:type="dxa"/>
          <w:left w:w="28" w:type="dxa"/>
          <w:bottom w:w="28" w:type="dxa"/>
          <w:right w:w="28" w:type="dxa"/>
        </w:tblCellMar>
      </w:tblPr>
      <w:tblGrid>
        <w:gridCol w:w="375"/>
        <w:gridCol w:w="329"/>
        <w:gridCol w:w="329"/>
        <w:gridCol w:w="329"/>
        <w:gridCol w:w="329"/>
        <w:gridCol w:w="333"/>
        <w:gridCol w:w="109"/>
        <w:gridCol w:w="109"/>
        <w:gridCol w:w="109"/>
        <w:gridCol w:w="715"/>
        <w:gridCol w:w="715"/>
        <w:gridCol w:w="715"/>
        <w:gridCol w:w="715"/>
        <w:gridCol w:w="715"/>
        <w:gridCol w:w="1026"/>
      </w:tblGrid>
      <w:tr>
        <w:trPr/>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Name of the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601"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r>
      <w:tr>
        <w:trPr/>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Adelphic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601"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IRIS.TV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1"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Myspace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601"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Viant Technology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601"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0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8"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6"/>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Viant US LLC</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601" w:type="dxa"/>
            <w:gridSpan w:val="6"/>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240"/>
        <w:jc w:val="left"/>
        <w:rPr/>
      </w:pPr>
      <w:r>
        <w:rPr/>
      </w:r>
    </w:p>
    <w:p>
      <w:pPr>
        <w:pStyle w:val="TextBody"/>
        <w:bidi w:val="0"/>
        <w:spacing w:before="0" w:after="24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23.1</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righ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 333-278177 on Form S-3 and Registration Statement Nos. 333-252912, 333-263458, 333-270244, and 333-277644 on Form S-8 of our report dated March 3, 2025, relating to the financial statements of Viant Technology Inc., appearing in this Annual Report on Form 10-K for the year ended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Costa Mesa, California</w:t>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March 3,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 UNDER THE SECURITIES EXCHANGE ACT OF 1934, 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Tim Vanderhook, certify that: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Viant Technology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pPr>
      <w:r>
        <w:rPr>
          <w:rFonts w:ascii="Times New Roman;sans-serif" w:hAnsi="Times New Roman;sans-serif"/>
          <w:b w:val="false"/>
          <w:color w:val="000000"/>
          <w:sz w:val="20"/>
        </w:rPr>
        <w:t xml:space="preserve">(b) </w:t>
      </w:r>
      <w:r>
        <w:rPr>
          <w:rFonts w:ascii="Times New Roman;sans-serif" w:hAnsi="Times New Roman;sans-serif"/>
          <w:b w:val="false"/>
          <w:color w:val="333333"/>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bl>
      <w:tblPr>
        <w:tblW w:w="3924" w:type="dxa"/>
        <w:jc w:val="left"/>
        <w:tblInd w:w="0" w:type="dxa"/>
        <w:tblLayout w:type="fixed"/>
        <w:tblCellMar>
          <w:top w:w="28" w:type="dxa"/>
          <w:left w:w="28" w:type="dxa"/>
          <w:bottom w:w="28" w:type="dxa"/>
          <w:right w:w="28" w:type="dxa"/>
        </w:tblCellMar>
      </w:tblPr>
      <w:tblGrid>
        <w:gridCol w:w="124"/>
        <w:gridCol w:w="109"/>
        <w:gridCol w:w="109"/>
        <w:gridCol w:w="1069"/>
        <w:gridCol w:w="1069"/>
        <w:gridCol w:w="10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Vanderhook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RULES 13a-14(a) AND 15d-14(a) UNDER THE SECURITIES EXCHANGE ACT OF 1934, AS ADOPTED PURSUANT TO SECTION 302 OF THE SARBANES-OXLEY ACT OF 2002.</w:t>
      </w:r>
    </w:p>
    <w:p>
      <w:pPr>
        <w:pStyle w:val="TextBody"/>
        <w:bidi w:val="0"/>
        <w:spacing w:lineRule="auto" w:line="288" w:before="24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 Larry Madden, certify that: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Viant Technology Inc.;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pPr>
      <w:r>
        <w:rPr>
          <w:rFonts w:ascii="Times New Roman;sans-serif" w:hAnsi="Times New Roman;sans-serif"/>
          <w:b w:val="false"/>
          <w:color w:val="000000"/>
          <w:sz w:val="20"/>
        </w:rPr>
        <w:t xml:space="preserve">(b) </w:t>
      </w:r>
      <w:r>
        <w:rPr>
          <w:rFonts w:ascii="Times New Roman;sans-serif" w:hAnsi="Times New Roman;sans-serif"/>
          <w:b w:val="false"/>
          <w:color w:val="333333"/>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color w:val="000000"/>
        </w:rPr>
        <w:t xml:space="preserv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bl>
      <w:tblPr>
        <w:tblW w:w="4107" w:type="dxa"/>
        <w:jc w:val="left"/>
        <w:tblInd w:w="0" w:type="dxa"/>
        <w:tblLayout w:type="fixed"/>
        <w:tblCellMar>
          <w:top w:w="28" w:type="dxa"/>
          <w:left w:w="28" w:type="dxa"/>
          <w:bottom w:w="28" w:type="dxa"/>
          <w:right w:w="28" w:type="dxa"/>
        </w:tblCellMar>
      </w:tblPr>
      <w:tblGrid>
        <w:gridCol w:w="1352"/>
        <w:gridCol w:w="1186"/>
        <w:gridCol w:w="1197"/>
        <w:gridCol w:w="109"/>
        <w:gridCol w:w="109"/>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Madden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Viant Technology Inc. (the “Company”) on Form 10-K for the fiscal year ended December 31, 2024,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442"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951"/>
        <w:gridCol w:w="951"/>
        <w:gridCol w:w="135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 Vanderhook</w:t>
            </w:r>
          </w:p>
        </w:tc>
      </w:tr>
      <w:tr>
        <w:trPr/>
        <w:tc>
          <w:tcPr>
            <w:tcW w:w="178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 Vanderhook</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76" w:before="20" w:after="5"/>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Chairman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88" w:before="24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Viant Technology Inc. (the “Company”) on Form 10-K for the fiscal year ended December 31, 2024,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5953" w:type="dxa"/>
        <w:jc w:val="left"/>
        <w:tblInd w:w="0" w:type="dxa"/>
        <w:tblLayout w:type="fixed"/>
        <w:tblCellMar>
          <w:top w:w="28" w:type="dxa"/>
          <w:left w:w="28" w:type="dxa"/>
          <w:bottom w:w="28" w:type="dxa"/>
          <w:right w:w="28" w:type="dxa"/>
        </w:tblCellMar>
      </w:tblPr>
      <w:tblGrid>
        <w:gridCol w:w="645"/>
        <w:gridCol w:w="568"/>
        <w:gridCol w:w="571"/>
        <w:gridCol w:w="134"/>
        <w:gridCol w:w="134"/>
        <w:gridCol w:w="136"/>
        <w:gridCol w:w="1102"/>
        <w:gridCol w:w="1102"/>
        <w:gridCol w:w="1561"/>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3,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Larry Madden</w:t>
            </w:r>
          </w:p>
        </w:tc>
      </w:tr>
      <w:tr>
        <w:trPr/>
        <w:tc>
          <w:tcPr>
            <w:tcW w:w="178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Larry Madden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76" w:before="20" w:after="5"/>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76" w:before="20" w:after="5"/>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hyperlink" Target="http://www.sec.gov/Archives/edgar/data/1828791/000156459021014855/dsp-ex31_279.htm" TargetMode="External"/><Relationship Id="rId6" Type="http://schemas.openxmlformats.org/officeDocument/2006/relationships/hyperlink" Target="http://www.sec.gov/Archives/edgar/data/1828791/000156459021014855/dsp-ex32_278.htm" TargetMode="External"/><Relationship Id="rId7" Type="http://schemas.openxmlformats.org/officeDocument/2006/relationships/hyperlink" Target="http://www.sec.gov/Archives/edgar/data/1828791/000156459021014855/dsp-ex41_276.htm" TargetMode="External"/><Relationship Id="rId8" Type="http://schemas.openxmlformats.org/officeDocument/2006/relationships/hyperlink" Target="http://www.sec.gov/Archives/edgar/data/1828791/000156459021014855/dsp-ex101_277.htm" TargetMode="External"/><Relationship Id="rId9" Type="http://schemas.openxmlformats.org/officeDocument/2006/relationships/hyperlink" Target="http://www.sec.gov/Archives/edgar/data/1828791/000156459021014855/dsp-ex102_275.htm" TargetMode="External"/><Relationship Id="rId10" Type="http://schemas.openxmlformats.org/officeDocument/2006/relationships/hyperlink" Target="http://www.sec.gov/Archives/edgar/data/1828791/000156459021014855/dsp-ex103_274.htm" TargetMode="External"/><Relationship Id="rId11" Type="http://schemas.openxmlformats.org/officeDocument/2006/relationships/hyperlink" Target="http://www.sec.gov/Archives/edgar/data/1828791/000156459021014855/dsp-ex104_273.htm" TargetMode="External"/><Relationship Id="rId12" Type="http://schemas.openxmlformats.org/officeDocument/2006/relationships/hyperlink" Target="http://www.sec.gov/Archives/edgar/data/1828791/000119312521023519/d88953dex104.htm" TargetMode="External"/><Relationship Id="rId13" Type="http://schemas.openxmlformats.org/officeDocument/2006/relationships/hyperlink" Target="http://www.sec.gov/Archives/edgar/data/1828791/000119312521023519/d88953dex105.htm" TargetMode="External"/><Relationship Id="rId14" Type="http://schemas.openxmlformats.org/officeDocument/2006/relationships/hyperlink" Target="http://www.sec.gov/Archives/edgar/data/1828791/000119312521023519/d88953dex106.htm" TargetMode="External"/><Relationship Id="rId15" Type="http://schemas.openxmlformats.org/officeDocument/2006/relationships/hyperlink" Target="http://www.sec.gov/Archives/edgar/data/1828791/000119312521023519/d88953dex107.htm" TargetMode="External"/><Relationship Id="rId16" Type="http://schemas.openxmlformats.org/officeDocument/2006/relationships/hyperlink" Target="http://www.sec.gov/Archives/edgar/data/1828791/000119312521023519/d88953dex108.htm" TargetMode="External"/><Relationship Id="rId17" Type="http://schemas.openxmlformats.org/officeDocument/2006/relationships/hyperlink" Target="http://www.sec.gov/Archives/edgar/data/1828791/000119312521023519/d88953dex109.htm" TargetMode="External"/><Relationship Id="rId18" Type="http://schemas.openxmlformats.org/officeDocument/2006/relationships/hyperlink" Target="http://www.sec.gov/Archives/edgar/data/1828791/000156459021056133/dsp-ex101_248.htm" TargetMode="External"/><Relationship Id="rId19" Type="http://schemas.openxmlformats.org/officeDocument/2006/relationships/hyperlink" Target="https://www.sec.gov/Archives/edgar/data/1828791/000182879123000030/redline-conformedcreditagr.htm" TargetMode="External"/><Relationship Id="rId20" Type="http://schemas.openxmlformats.org/officeDocument/2006/relationships/hyperlink" Target="http://www.sec.gov/Archives/edgar/data/0001828791/000119312521034620/d84137dex991.htm" TargetMode="External"/><Relationship Id="rId21" Type="http://schemas.openxmlformats.org/officeDocument/2006/relationships/hyperlink" Target="http://www.sec.gov/Archives/edgar/data/1828791/000119312521023519/d88953dex1013.htm" TargetMode="External"/><Relationship Id="rId22" Type="http://schemas.openxmlformats.org/officeDocument/2006/relationships/hyperlink" Target="http://www.sec.gov/Archives/edgar/data/1828791/000119312521023519/d88953dex1014.htm" TargetMode="External"/><Relationship Id="rId23" Type="http://schemas.openxmlformats.org/officeDocument/2006/relationships/hyperlink" Target="http://www.sec.gov/Archives/edgar/data/0001828791/000119312522066059/d323789dex101.htm" TargetMode="External"/><Relationship Id="rId24" Type="http://schemas.openxmlformats.org/officeDocument/2006/relationships/hyperlink" Target="https://www.sec.gov/ix?doc=/Archives/edgar/data/0001828791/000182879124000011/dsp-20231231.htm" TargetMode="External"/><Relationship Id="rId25" Type="http://schemas.openxmlformats.org/officeDocument/2006/relationships/hyperlink" Target="http://www.sec.gov/Archives/edgar/data/1828791/000119312521034620/d84137dex993.htm" TargetMode="External"/><Relationship Id="rId26" Type="http://schemas.openxmlformats.org/officeDocument/2006/relationships/hyperlink" Target="http://www.sec.gov/Archives/edgar/data/1828791/000119312521034620/d84137dex994.htm" TargetMode="External"/><Relationship Id="rId27" Type="http://schemas.openxmlformats.org/officeDocument/2006/relationships/hyperlink" Target="https://www.sec.gov/ix?doc=/Archives/edgar/data/0001828791/000182879124000011/dsp-20231231.htm" TargetMode="External"/><Relationship Id="rId28" Type="http://schemas.openxmlformats.org/officeDocument/2006/relationships/hyperlink" Target="https://www.sec.gov/Archives/edgar/data/1828791/000156459022017525/dsp-ex102_267.htm" TargetMode="External"/><Relationship Id="rId29" Type="http://schemas.openxmlformats.org/officeDocument/2006/relationships/hyperlink" Target="https://www.sec.gov/ix?doc=/Archives/edgar/data/0001828791/000182879124000024/dsp-20240331.htm" TargetMode="External"/><Relationship Id="rId30" Type="http://schemas.openxmlformats.org/officeDocument/2006/relationships/hyperlink" Target="https://www.sec.gov/ix?doc=/Archives/edgar/data/0001828791/000182879124000011/dsp-20231231.htm" TargetMode="External"/><Relationship Id="rId31" Type="http://schemas.openxmlformats.org/officeDocument/2006/relationships/hyperlink" Target="https://www.sec.gov/ix?doc=/Archives/edgar/data/0001828791/000182879124000011/dsp-20231231.htm" TargetMode="External"/><Relationship Id="rId32" Type="http://schemas.openxmlformats.org/officeDocument/2006/relationships/hyperlink" Target="https://www.sec.gov/ix?doc=/Archives/edgar/data/0001828791/000182879124000011/dsp-20231231.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76368</Words>
  <Characters>424928</Characters>
  <CharactersWithSpaces>497883</CharactersWithSpaces>
  <Paragraphs>5760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