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168910</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248920</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264795</wp:posOffset>
            </wp:positionV>
            <wp:extent cx="7141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3299460</wp:posOffset>
            </wp:positionH>
            <wp:positionV relativeFrom="paragraph">
              <wp:posOffset>34925</wp:posOffset>
            </wp:positionV>
            <wp:extent cx="542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3299460</wp:posOffset>
            </wp:positionH>
            <wp:positionV relativeFrom="paragraph">
              <wp:posOffset>77470</wp:posOffset>
            </wp:positionV>
            <wp:extent cx="542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7" w:lineRule="exact"/>
        <w:rPr>
          <w:sz w:val="24"/>
          <w:szCs w:val="24"/>
          <w:color w:val="auto"/>
        </w:rPr>
      </w:pPr>
    </w:p>
    <w:p>
      <w:pPr>
        <w:ind w:left="4200" w:right="3420" w:hanging="4199"/>
        <w:spacing w:after="0" w:line="331" w:lineRule="auto"/>
        <w:tabs>
          <w:tab w:leader="none" w:pos="455"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spacing w:after="0" w:line="181" w:lineRule="exact"/>
        <w:rPr>
          <w:sz w:val="24"/>
          <w:szCs w:val="24"/>
          <w:color w:val="auto"/>
        </w:rPr>
      </w:pPr>
    </w:p>
    <w:p>
      <w:pPr>
        <w:ind w:left="460" w:hanging="459"/>
        <w:spacing w:after="0"/>
        <w:tabs>
          <w:tab w:leader="none" w:pos="4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67" w:lineRule="exact"/>
        <w:rPr>
          <w:sz w:val="24"/>
          <w:szCs w:val="24"/>
          <w:color w:val="auto"/>
        </w:rPr>
      </w:pPr>
    </w:p>
    <w:p>
      <w:pPr>
        <w:ind w:left="378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4" w:lineRule="exact"/>
        <w:rPr>
          <w:sz w:val="24"/>
          <w:szCs w:val="24"/>
          <w:color w:val="auto"/>
        </w:rPr>
      </w:pPr>
    </w:p>
    <w:p>
      <w:pPr>
        <w:ind w:left="4480"/>
        <w:spacing w:after="0"/>
        <w:rPr>
          <w:sz w:val="20"/>
          <w:szCs w:val="20"/>
          <w:color w:val="auto"/>
        </w:rPr>
      </w:pPr>
      <w:r>
        <w:rPr>
          <w:rFonts w:ascii="Arial" w:cs="Arial" w:eastAsia="Arial" w:hAnsi="Arial"/>
          <w:sz w:val="15"/>
          <w:szCs w:val="15"/>
          <w:b w:val="1"/>
          <w:bCs w:val="1"/>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3299460</wp:posOffset>
            </wp:positionH>
            <wp:positionV relativeFrom="paragraph">
              <wp:posOffset>57785</wp:posOffset>
            </wp:positionV>
            <wp:extent cx="542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3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6"/>
          </w:tcPr>
          <w:p>
            <w:pPr>
              <w:jc w:val="center"/>
              <w:ind w:right="440"/>
              <w:spacing w:after="0"/>
              <w:rPr>
                <w:sz w:val="20"/>
                <w:szCs w:val="20"/>
                <w:color w:val="auto"/>
              </w:rPr>
            </w:pPr>
            <w:r>
              <w:rPr>
                <w:rFonts w:ascii="Arial" w:cs="Arial" w:eastAsia="Arial" w:hAnsi="Arial"/>
                <w:sz w:val="27"/>
                <w:szCs w:val="27"/>
                <w:b w:val="1"/>
                <w:bCs w:val="1"/>
                <w:color w:val="auto"/>
                <w:w w:val="89"/>
              </w:rPr>
              <w:t>Viant Technology Inc.</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520" w:type="dxa"/>
            <w:vAlign w:val="bottom"/>
            <w:gridSpan w:val="7"/>
          </w:tcPr>
          <w:p>
            <w:pPr>
              <w:jc w:val="center"/>
              <w:ind w:right="60"/>
              <w:spacing w:after="0"/>
              <w:rPr>
                <w:sz w:val="20"/>
                <w:szCs w:val="20"/>
                <w:color w:val="auto"/>
              </w:rPr>
            </w:pPr>
            <w:r>
              <w:rPr>
                <w:rFonts w:ascii="Arial" w:cs="Arial" w:eastAsia="Arial" w:hAnsi="Arial"/>
                <w:sz w:val="15"/>
                <w:szCs w:val="15"/>
                <w:b w:val="1"/>
                <w:bCs w:val="1"/>
                <w:color w:val="auto"/>
                <w:w w:val="90"/>
              </w:rPr>
              <w:t>(Exact name of registrant as specified in its charter)</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3880" w:type="dxa"/>
            <w:vAlign w:val="bottom"/>
            <w:vMerge w:val="restart"/>
          </w:tcPr>
          <w:p>
            <w:pPr>
              <w:jc w:val="center"/>
              <w:ind w:left="1632"/>
              <w:spacing w:after="0"/>
              <w:rPr>
                <w:sz w:val="20"/>
                <w:szCs w:val="20"/>
                <w:color w:val="auto"/>
              </w:rPr>
            </w:pPr>
            <w:r>
              <w:rPr>
                <w:rFonts w:ascii="Arial" w:cs="Arial" w:eastAsia="Arial" w:hAnsi="Arial"/>
                <w:sz w:val="15"/>
                <w:szCs w:val="15"/>
                <w:b w:val="1"/>
                <w:bCs w:val="1"/>
                <w:color w:val="auto"/>
                <w:w w:val="94"/>
              </w:rPr>
              <w:t>Delaware</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820" w:type="dxa"/>
            <w:vAlign w:val="bottom"/>
            <w:vMerge w:val="restart"/>
          </w:tcPr>
          <w:p>
            <w:pPr>
              <w:jc w:val="right"/>
              <w:ind w:right="2373"/>
              <w:spacing w:after="0"/>
              <w:rPr>
                <w:sz w:val="20"/>
                <w:szCs w:val="20"/>
                <w:color w:val="auto"/>
              </w:rPr>
            </w:pPr>
            <w:r>
              <w:rPr>
                <w:rFonts w:ascii="Arial" w:cs="Arial" w:eastAsia="Arial" w:hAnsi="Arial"/>
                <w:sz w:val="15"/>
                <w:szCs w:val="15"/>
                <w:b w:val="1"/>
                <w:bCs w:val="1"/>
                <w:color w:val="auto"/>
              </w:rPr>
              <w:t>85-3447553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80" w:type="dxa"/>
            <w:vAlign w:val="bottom"/>
          </w:tcPr>
          <w:p>
            <w:pPr>
              <w:jc w:val="center"/>
              <w:ind w:left="1632"/>
              <w:spacing w:after="0" w:line="126" w:lineRule="exact"/>
              <w:rPr>
                <w:sz w:val="20"/>
                <w:szCs w:val="20"/>
                <w:color w:val="auto"/>
              </w:rPr>
            </w:pPr>
            <w:r>
              <w:rPr>
                <w:rFonts w:ascii="Arial" w:cs="Arial" w:eastAsia="Arial" w:hAnsi="Arial"/>
                <w:sz w:val="12"/>
                <w:szCs w:val="12"/>
                <w:b w:val="1"/>
                <w:bCs w:val="1"/>
                <w:color w:val="auto"/>
                <w:w w:val="88"/>
              </w:rPr>
              <w:t>(State or other jurisdiction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20" w:type="dxa"/>
            <w:vAlign w:val="bottom"/>
          </w:tcPr>
          <w:p>
            <w:pPr>
              <w:jc w:val="center"/>
              <w:ind w:right="1713"/>
              <w:spacing w:after="0" w:line="126" w:lineRule="exact"/>
              <w:rPr>
                <w:sz w:val="20"/>
                <w:szCs w:val="20"/>
                <w:color w:val="auto"/>
              </w:rPr>
            </w:pPr>
            <w:r>
              <w:rPr>
                <w:rFonts w:ascii="Arial" w:cs="Arial" w:eastAsia="Arial" w:hAnsi="Arial"/>
                <w:sz w:val="12"/>
                <w:szCs w:val="12"/>
                <w:b w:val="1"/>
                <w:bCs w:val="1"/>
                <w:color w:val="auto"/>
                <w:w w:val="91"/>
              </w:rPr>
              <w:t>(I.R.S. Employer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80" w:type="dxa"/>
            <w:vAlign w:val="bottom"/>
          </w:tcPr>
          <w:p>
            <w:pPr>
              <w:jc w:val="center"/>
              <w:ind w:left="1632"/>
              <w:spacing w:after="0" w:line="130" w:lineRule="exact"/>
              <w:rPr>
                <w:sz w:val="20"/>
                <w:szCs w:val="20"/>
                <w:color w:val="auto"/>
              </w:rPr>
            </w:pPr>
            <w:r>
              <w:rPr>
                <w:rFonts w:ascii="Arial" w:cs="Arial" w:eastAsia="Arial" w:hAnsi="Arial"/>
                <w:sz w:val="12"/>
                <w:szCs w:val="12"/>
                <w:b w:val="1"/>
                <w:bCs w:val="1"/>
                <w:color w:val="auto"/>
                <w:w w:val="89"/>
              </w:rPr>
              <w:t>incorporation or organization)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20" w:type="dxa"/>
            <w:vAlign w:val="bottom"/>
          </w:tcPr>
          <w:p>
            <w:pPr>
              <w:jc w:val="center"/>
              <w:ind w:right="1713"/>
              <w:spacing w:after="0" w:line="130" w:lineRule="exact"/>
              <w:rPr>
                <w:sz w:val="20"/>
                <w:szCs w:val="20"/>
                <w:color w:val="auto"/>
              </w:rPr>
            </w:pPr>
            <w:r>
              <w:rPr>
                <w:rFonts w:ascii="Arial" w:cs="Arial" w:eastAsia="Arial" w:hAnsi="Arial"/>
                <w:sz w:val="12"/>
                <w:szCs w:val="12"/>
                <w:b w:val="1"/>
                <w:bCs w:val="1"/>
                <w:color w:val="auto"/>
                <w:w w:val="90"/>
              </w:rPr>
              <w:t>Identification No.)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jc w:val="center"/>
              <w:ind w:left="1632"/>
              <w:spacing w:after="0"/>
              <w:rPr>
                <w:sz w:val="20"/>
                <w:szCs w:val="20"/>
                <w:color w:val="auto"/>
              </w:rPr>
            </w:pPr>
            <w:r>
              <w:rPr>
                <w:rFonts w:ascii="Arial" w:cs="Arial" w:eastAsia="Arial" w:hAnsi="Arial"/>
                <w:sz w:val="15"/>
                <w:szCs w:val="15"/>
                <w:b w:val="1"/>
                <w:bCs w:val="1"/>
                <w:color w:val="auto"/>
                <w:w w:val="90"/>
              </w:rPr>
              <w:t>2722 Michelson Drive, Suite 100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tcPr>
          <w:p>
            <w:pPr>
              <w:jc w:val="center"/>
              <w:ind w:left="1632"/>
              <w:spacing w:after="0"/>
              <w:rPr>
                <w:sz w:val="20"/>
                <w:szCs w:val="20"/>
                <w:color w:val="auto"/>
              </w:rPr>
            </w:pPr>
            <w:r>
              <w:rPr>
                <w:rFonts w:ascii="Arial" w:cs="Arial" w:eastAsia="Arial" w:hAnsi="Arial"/>
                <w:sz w:val="15"/>
                <w:szCs w:val="15"/>
                <w:b w:val="1"/>
                <w:bCs w:val="1"/>
                <w:color w:val="auto"/>
                <w:w w:val="99"/>
              </w:rPr>
              <w:t>Irvine, CA</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20" w:type="dxa"/>
            <w:vAlign w:val="bottom"/>
          </w:tcPr>
          <w:p>
            <w:pPr>
              <w:jc w:val="right"/>
              <w:ind w:right="2553"/>
              <w:spacing w:after="0"/>
              <w:rPr>
                <w:sz w:val="20"/>
                <w:szCs w:val="20"/>
                <w:color w:val="auto"/>
              </w:rPr>
            </w:pPr>
            <w:r>
              <w:rPr>
                <w:rFonts w:ascii="Arial" w:cs="Arial" w:eastAsia="Arial" w:hAnsi="Arial"/>
                <w:sz w:val="15"/>
                <w:szCs w:val="15"/>
                <w:b w:val="1"/>
                <w:bCs w:val="1"/>
                <w:color w:val="auto"/>
              </w:rPr>
              <w:t>92612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80" w:type="dxa"/>
            <w:vAlign w:val="bottom"/>
          </w:tcPr>
          <w:p>
            <w:pPr>
              <w:jc w:val="center"/>
              <w:ind w:left="1632"/>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20" w:type="dxa"/>
            <w:vAlign w:val="bottom"/>
          </w:tcPr>
          <w:p>
            <w:pPr>
              <w:jc w:val="center"/>
              <w:ind w:right="1733"/>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20" w:type="dxa"/>
            <w:vAlign w:val="bottom"/>
            <w:gridSpan w:val="9"/>
          </w:tcPr>
          <w:p>
            <w:pPr>
              <w:jc w:val="center"/>
              <w:spacing w:after="0"/>
              <w:rPr>
                <w:sz w:val="20"/>
                <w:szCs w:val="20"/>
                <w:color w:val="auto"/>
              </w:rPr>
            </w:pPr>
            <w:r>
              <w:rPr>
                <w:rFonts w:ascii="Arial" w:cs="Arial" w:eastAsia="Arial" w:hAnsi="Arial"/>
                <w:sz w:val="15"/>
                <w:szCs w:val="15"/>
                <w:b w:val="1"/>
                <w:bCs w:val="1"/>
                <w:color w:val="auto"/>
                <w:w w:val="90"/>
              </w:rPr>
              <w:t>Registrant’s telephone number, including area code: (949) 861-8888</w:t>
            </w:r>
          </w:p>
        </w:tc>
        <w:tc>
          <w:tcPr>
            <w:tcW w:w="0" w:type="dxa"/>
            <w:vAlign w:val="bottom"/>
          </w:tcPr>
          <w:p>
            <w:pPr>
              <w:spacing w:after="0"/>
              <w:rPr>
                <w:sz w:val="1"/>
                <w:szCs w:val="1"/>
                <w:color w:val="auto"/>
              </w:rPr>
            </w:pPr>
          </w:p>
        </w:tc>
      </w:tr>
      <w:tr>
        <w:trPr>
          <w:trHeight w:val="57"/>
        </w:trPr>
        <w:tc>
          <w:tcPr>
            <w:tcW w:w="3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5"/>
          </w:tcPr>
          <w:p>
            <w:pPr>
              <w:jc w:val="center"/>
              <w:ind w:right="1340"/>
              <w:spacing w:after="0"/>
              <w:rPr>
                <w:sz w:val="20"/>
                <w:szCs w:val="20"/>
                <w:color w:val="auto"/>
              </w:rPr>
            </w:pPr>
            <w:r>
              <w:rPr>
                <w:rFonts w:ascii="Arial" w:cs="Arial" w:eastAsia="Arial" w:hAnsi="Arial"/>
                <w:sz w:val="13"/>
                <w:szCs w:val="13"/>
                <w:b w:val="1"/>
                <w:bCs w:val="1"/>
                <w:color w:val="auto"/>
                <w:w w:val="92"/>
              </w:rPr>
              <w:t>Trading</w:t>
            </w: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80" w:type="dxa"/>
            <w:vAlign w:val="bottom"/>
          </w:tcPr>
          <w:p>
            <w:pPr>
              <w:ind w:left="1640"/>
              <w:spacing w:after="0"/>
              <w:rPr>
                <w:sz w:val="20"/>
                <w:szCs w:val="20"/>
                <w:color w:val="auto"/>
              </w:rPr>
            </w:pPr>
            <w:r>
              <w:rPr>
                <w:rFonts w:ascii="Arial" w:cs="Arial" w:eastAsia="Arial" w:hAnsi="Arial"/>
                <w:sz w:val="13"/>
                <w:szCs w:val="13"/>
                <w:b w:val="1"/>
                <w:bCs w:val="1"/>
                <w:color w:val="auto"/>
              </w:rPr>
              <w:t>Title of each class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5"/>
          </w:tcPr>
          <w:p>
            <w:pPr>
              <w:jc w:val="center"/>
              <w:ind w:right="1340"/>
              <w:spacing w:after="0"/>
              <w:rPr>
                <w:sz w:val="20"/>
                <w:szCs w:val="20"/>
                <w:color w:val="auto"/>
              </w:rPr>
            </w:pPr>
            <w:r>
              <w:rPr>
                <w:rFonts w:ascii="Arial" w:cs="Arial" w:eastAsia="Arial" w:hAnsi="Arial"/>
                <w:sz w:val="13"/>
                <w:szCs w:val="13"/>
                <w:b w:val="1"/>
                <w:bCs w:val="1"/>
                <w:color w:val="auto"/>
                <w:w w:val="82"/>
              </w:rPr>
              <w:t>Symbol(s)</w:t>
            </w:r>
          </w:p>
        </w:tc>
        <w:tc>
          <w:tcPr>
            <w:tcW w:w="3820" w:type="dxa"/>
            <w:vAlign w:val="bottom"/>
          </w:tcPr>
          <w:p>
            <w:pPr>
              <w:jc w:val="center"/>
              <w:ind w:right="1153"/>
              <w:spacing w:after="0"/>
              <w:rPr>
                <w:sz w:val="20"/>
                <w:szCs w:val="20"/>
                <w:color w:val="auto"/>
              </w:rPr>
            </w:pPr>
            <w:r>
              <w:rPr>
                <w:rFonts w:ascii="Arial" w:cs="Arial" w:eastAsia="Arial" w:hAnsi="Arial"/>
                <w:sz w:val="13"/>
                <w:szCs w:val="13"/>
                <w:b w:val="1"/>
                <w:bCs w:val="1"/>
                <w:color w:val="auto"/>
                <w:w w:val="84"/>
              </w:rPr>
              <w:t>Name of each exchange on which registered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Class A common stock, par value $0.001 per share</w:t>
            </w: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4"/>
                <w:szCs w:val="14"/>
                <w:color w:val="auto"/>
                <w:w w:val="97"/>
              </w:rPr>
              <w:t>DSP</w:t>
            </w: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820" w:type="dxa"/>
            <w:vAlign w:val="bottom"/>
            <w:tcBorders>
              <w:top w:val="single" w:sz="8" w:color="auto"/>
            </w:tcBorders>
          </w:tcPr>
          <w:p>
            <w:pPr>
              <w:jc w:val="center"/>
              <w:ind w:right="1153"/>
              <w:spacing w:after="0" w:line="131"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20" w:type="dxa"/>
            <w:vAlign w:val="bottom"/>
          </w:tcPr>
          <w:p>
            <w:pPr>
              <w:jc w:val="center"/>
              <w:ind w:right="1153"/>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bl>
    <w:p>
      <w:pPr>
        <w:spacing w:after="0" w:line="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13" w:lineRule="exact"/>
        <w:rPr>
          <w:sz w:val="24"/>
          <w:szCs w:val="24"/>
          <w:color w:val="auto"/>
        </w:rPr>
      </w:pPr>
    </w:p>
    <w:p>
      <w:pPr>
        <w:ind w:right="4600"/>
        <w:spacing w:after="0" w:line="17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right="120"/>
        <w:spacing w:after="0" w:line="15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380"/>
        <w:spacing w:after="0" w:line="15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24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5"/>
        </w:trPr>
        <w:tc>
          <w:tcPr>
            <w:tcW w:w="170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7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02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5" w:lineRule="exact"/>
        <w:rPr>
          <w:sz w:val="24"/>
          <w:szCs w:val="24"/>
          <w:color w:val="auto"/>
        </w:rPr>
      </w:pPr>
    </w:p>
    <w:p>
      <w:pPr>
        <w:ind w:right="340"/>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40"/>
        <w:spacing w:after="0" w:line="15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 w:lineRule="exact"/>
        <w:rPr>
          <w:sz w:val="24"/>
          <w:szCs w:val="24"/>
          <w:color w:val="auto"/>
        </w:rPr>
      </w:pPr>
    </w:p>
    <w:p>
      <w:pPr>
        <w:ind w:right="200"/>
        <w:spacing w:after="0" w:line="237"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Class A common stock on the Nasdaq Global Select Market on June 30, 2021, the last business day of the Registrant’s most recently completed second fiscal quarter, was approximately $342.5 million.</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As of March 8, 2022, there were 13,741,508 shares and 47,082,260 shares of the registrant’s Class A and Class B common stock, respectively, $0.001 par value per share, outstanding.</w:t>
      </w:r>
    </w:p>
    <w:p>
      <w:pPr>
        <w:spacing w:after="0" w:line="18"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ind w:right="700"/>
        <w:spacing w:after="0" w:line="278" w:lineRule="auto"/>
        <w:rPr>
          <w:sz w:val="20"/>
          <w:szCs w:val="20"/>
          <w:color w:val="auto"/>
        </w:rPr>
      </w:pPr>
      <w:r>
        <w:rPr>
          <w:rFonts w:ascii="Arial" w:cs="Arial" w:eastAsia="Arial" w:hAnsi="Arial"/>
          <w:sz w:val="12"/>
          <w:szCs w:val="12"/>
          <w:color w:val="auto"/>
        </w:rPr>
        <w:t>Portions of the registrant’s definitive proxy statement for its 2022 Annual Meeting of Stockholders, which the registrant intends to file pursuant to Regulation 14A with the Securities and Exchange Commission not later than 120 days after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184150</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419100</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Page</w:t>
            </w:r>
          </w:p>
        </w:tc>
      </w:tr>
      <w:tr>
        <w:trPr>
          <w:trHeight w:val="169"/>
        </w:trPr>
        <w:tc>
          <w:tcPr>
            <w:tcW w:w="4980" w:type="dxa"/>
            <w:vAlign w:val="bottom"/>
            <w:tcBorders>
              <w:bottom w:val="single" w:sz="8" w:color="0000EE"/>
            </w:tcBorders>
            <w:gridSpan w:val="22"/>
          </w:tcPr>
          <w:p>
            <w:pPr>
              <w:spacing w:after="0" w:line="169" w:lineRule="exact"/>
              <w:rPr>
                <w:rFonts w:ascii="Arial" w:cs="Arial" w:eastAsia="Arial" w:hAnsi="Arial"/>
                <w:sz w:val="17"/>
                <w:szCs w:val="17"/>
                <w:color w:val="0000EE"/>
                <w:w w:val="94"/>
              </w:rPr>
            </w:pPr>
            <w:hyperlink w:anchor="page3">
              <w:r>
                <w:rPr>
                  <w:rFonts w:ascii="Arial" w:cs="Arial" w:eastAsia="Arial" w:hAnsi="Arial"/>
                  <w:sz w:val="17"/>
                  <w:szCs w:val="17"/>
                  <w:color w:val="0000EE"/>
                  <w:w w:val="94"/>
                </w:rPr>
                <w:t>SPECIAL NOTE REGARDING FORWARD-LOOKING STATEMENTS</w:t>
              </w:r>
            </w:hyperlink>
          </w:p>
        </w:tc>
        <w:tc>
          <w:tcPr>
            <w:tcW w:w="5620" w:type="dxa"/>
            <w:vAlign w:val="bottom"/>
            <w:gridSpan w:val="8"/>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7"/>
                <w:szCs w:val="17"/>
                <w:color w:val="auto"/>
              </w:rPr>
              <w:t>3</w:t>
            </w:r>
          </w:p>
        </w:tc>
      </w:tr>
      <w:tr>
        <w:trPr>
          <w:trHeight w:val="194"/>
        </w:trPr>
        <w:tc>
          <w:tcPr>
            <w:tcW w:w="10600" w:type="dxa"/>
            <w:vAlign w:val="bottom"/>
            <w:gridSpan w:val="30"/>
          </w:tcPr>
          <w:p>
            <w:pPr>
              <w:spacing w:after="0" w:line="194" w:lineRule="exact"/>
              <w:rPr>
                <w:rFonts w:ascii="Arial" w:cs="Arial" w:eastAsia="Arial" w:hAnsi="Arial"/>
                <w:sz w:val="17"/>
                <w:szCs w:val="17"/>
                <w:color w:val="0000EE"/>
              </w:rPr>
            </w:pPr>
            <w:hyperlink w:anchor="page3">
              <w:r>
                <w:rPr>
                  <w:rFonts w:ascii="Arial" w:cs="Arial" w:eastAsia="Arial" w:hAnsi="Arial"/>
                  <w:sz w:val="17"/>
                  <w:szCs w:val="17"/>
                  <w:color w:val="0000EE"/>
                </w:rPr>
                <w:t>RISK FACTOR SUMMARY</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3</w:t>
            </w:r>
          </w:p>
        </w:tc>
      </w:tr>
      <w:tr>
        <w:trPr>
          <w:trHeight w:val="194"/>
        </w:trPr>
        <w:tc>
          <w:tcPr>
            <w:tcW w:w="1140" w:type="dxa"/>
            <w:vAlign w:val="bottom"/>
            <w:tcBorders>
              <w:top w:val="single" w:sz="8" w:color="0000EE"/>
            </w:tcBorders>
            <w:gridSpan w:val="5"/>
          </w:tcPr>
          <w:p>
            <w:pPr>
              <w:spacing w:after="0" w:line="194"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w:t>
            </w:r>
          </w:p>
        </w:tc>
        <w:tc>
          <w:tcPr>
            <w:tcW w:w="9460" w:type="dxa"/>
            <w:vAlign w:val="bottom"/>
            <w:gridSpan w:val="25"/>
          </w:tcPr>
          <w:p>
            <w:pPr>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1A.</w:t>
            </w:r>
          </w:p>
        </w:tc>
        <w:tc>
          <w:tcPr>
            <w:tcW w:w="9460" w:type="dxa"/>
            <w:vAlign w:val="bottom"/>
            <w:gridSpan w:val="25"/>
          </w:tcPr>
          <w:p>
            <w:pPr>
              <w:spacing w:after="0" w:line="194" w:lineRule="exact"/>
              <w:rPr>
                <w:rFonts w:ascii="Arial" w:cs="Arial" w:eastAsia="Arial" w:hAnsi="Arial"/>
                <w:sz w:val="17"/>
                <w:szCs w:val="17"/>
                <w:color w:val="0000EE"/>
              </w:rPr>
            </w:pPr>
            <w:hyperlink w:anchor="page19">
              <w:r>
                <w:rPr>
                  <w:rFonts w:ascii="Arial" w:cs="Arial" w:eastAsia="Arial" w:hAnsi="Arial"/>
                  <w:sz w:val="17"/>
                  <w:szCs w:val="17"/>
                  <w:color w:val="0000EE"/>
                </w:rPr>
                <w:t>Risk Factors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19</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1B.</w:t>
            </w:r>
          </w:p>
        </w:tc>
        <w:tc>
          <w:tcPr>
            <w:tcW w:w="1920" w:type="dxa"/>
            <w:vAlign w:val="bottom"/>
            <w:tcBorders>
              <w:bottom w:val="single" w:sz="8" w:color="0000EE"/>
            </w:tcBorders>
            <w:gridSpan w:val="12"/>
          </w:tcPr>
          <w:p>
            <w:pPr>
              <w:spacing w:after="0" w:line="194" w:lineRule="exact"/>
              <w:rPr>
                <w:rFonts w:ascii="Arial" w:cs="Arial" w:eastAsia="Arial" w:hAnsi="Arial"/>
                <w:sz w:val="17"/>
                <w:szCs w:val="17"/>
                <w:color w:val="0000EE"/>
                <w:w w:val="89"/>
              </w:rPr>
            </w:pPr>
            <w:hyperlink w:anchor="page51">
              <w:r>
                <w:rPr>
                  <w:rFonts w:ascii="Arial" w:cs="Arial" w:eastAsia="Arial" w:hAnsi="Arial"/>
                  <w:sz w:val="17"/>
                  <w:szCs w:val="17"/>
                  <w:color w:val="0000EE"/>
                  <w:w w:val="89"/>
                </w:rPr>
                <w:t>Unresolved Staff Comments</w:t>
              </w:r>
            </w:hyperlink>
          </w:p>
        </w:tc>
        <w:tc>
          <w:tcPr>
            <w:tcW w:w="7540" w:type="dxa"/>
            <w:vAlign w:val="bottom"/>
            <w:gridSpan w:val="13"/>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2.</w:t>
            </w:r>
          </w:p>
        </w:tc>
        <w:tc>
          <w:tcPr>
            <w:tcW w:w="9460" w:type="dxa"/>
            <w:vAlign w:val="bottom"/>
            <w:gridSpan w:val="25"/>
          </w:tcPr>
          <w:p>
            <w:pPr>
              <w:spacing w:after="0" w:line="194" w:lineRule="exact"/>
              <w:rPr>
                <w:rFonts w:ascii="Arial" w:cs="Arial" w:eastAsia="Arial" w:hAnsi="Arial"/>
                <w:sz w:val="17"/>
                <w:szCs w:val="17"/>
                <w:color w:val="0000EE"/>
              </w:rPr>
            </w:pPr>
            <w:hyperlink w:anchor="page51">
              <w:r>
                <w:rPr>
                  <w:rFonts w:ascii="Arial" w:cs="Arial" w:eastAsia="Arial" w:hAnsi="Arial"/>
                  <w:sz w:val="17"/>
                  <w:szCs w:val="17"/>
                  <w:color w:val="0000EE"/>
                </w:rPr>
                <w:t>Properties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3.</w:t>
            </w:r>
          </w:p>
        </w:tc>
        <w:tc>
          <w:tcPr>
            <w:tcW w:w="1260" w:type="dxa"/>
            <w:vAlign w:val="bottom"/>
            <w:tcBorders>
              <w:bottom w:val="single" w:sz="8" w:color="0000EE"/>
            </w:tcBorders>
            <w:gridSpan w:val="7"/>
          </w:tcPr>
          <w:p>
            <w:pPr>
              <w:spacing w:after="0" w:line="194" w:lineRule="exact"/>
              <w:rPr>
                <w:rFonts w:ascii="Arial" w:cs="Arial" w:eastAsia="Arial" w:hAnsi="Arial"/>
                <w:sz w:val="17"/>
                <w:szCs w:val="17"/>
                <w:color w:val="0000EE"/>
                <w:w w:val="88"/>
              </w:rPr>
            </w:pPr>
            <w:hyperlink w:anchor="page51">
              <w:r>
                <w:rPr>
                  <w:rFonts w:ascii="Arial" w:cs="Arial" w:eastAsia="Arial" w:hAnsi="Arial"/>
                  <w:sz w:val="17"/>
                  <w:szCs w:val="17"/>
                  <w:color w:val="0000EE"/>
                  <w:w w:val="88"/>
                </w:rPr>
                <w:t>Legal Proceedings</w:t>
              </w:r>
            </w:hyperlink>
          </w:p>
        </w:tc>
        <w:tc>
          <w:tcPr>
            <w:tcW w:w="8200" w:type="dxa"/>
            <w:vAlign w:val="bottom"/>
            <w:gridSpan w:val="18"/>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4.</w:t>
            </w:r>
          </w:p>
        </w:tc>
        <w:tc>
          <w:tcPr>
            <w:tcW w:w="9460" w:type="dxa"/>
            <w:vAlign w:val="bottom"/>
            <w:gridSpan w:val="25"/>
          </w:tcPr>
          <w:p>
            <w:pPr>
              <w:spacing w:after="0" w:line="194" w:lineRule="exact"/>
              <w:rPr>
                <w:rFonts w:ascii="Arial" w:cs="Arial" w:eastAsia="Arial" w:hAnsi="Arial"/>
                <w:sz w:val="17"/>
                <w:szCs w:val="17"/>
                <w:color w:val="0000EE"/>
              </w:rPr>
            </w:pPr>
            <w:hyperlink w:anchor="page51">
              <w:r>
                <w:rPr>
                  <w:rFonts w:ascii="Arial" w:cs="Arial" w:eastAsia="Arial" w:hAnsi="Arial"/>
                  <w:sz w:val="17"/>
                  <w:szCs w:val="17"/>
                  <w:color w:val="0000EE"/>
                </w:rPr>
                <w:t>Mine Safety Disclosures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r>
      <w:tr>
        <w:trPr>
          <w:trHeight w:val="320"/>
        </w:trPr>
        <w:tc>
          <w:tcPr>
            <w:tcW w:w="1140" w:type="dxa"/>
            <w:vAlign w:val="bottom"/>
            <w:gridSpan w:val="5"/>
          </w:tcPr>
          <w:p>
            <w:pPr>
              <w:spacing w:after="0"/>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PART II</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4"/>
        </w:trPr>
        <w:tc>
          <w:tcPr>
            <w:tcW w:w="600" w:type="dxa"/>
            <w:vAlign w:val="bottom"/>
            <w:tcBorders>
              <w:top w:val="single" w:sz="8" w:color="0000EE"/>
            </w:tcBorders>
            <w:gridSpan w:val="2"/>
          </w:tcPr>
          <w:p>
            <w:pPr>
              <w:ind w:left="120"/>
              <w:spacing w:after="0" w:line="194" w:lineRule="exact"/>
              <w:rPr>
                <w:sz w:val="20"/>
                <w:szCs w:val="20"/>
                <w:color w:val="auto"/>
              </w:rPr>
            </w:pPr>
            <w:r>
              <w:rPr>
                <w:rFonts w:ascii="Arial" w:cs="Arial" w:eastAsia="Arial" w:hAnsi="Arial"/>
                <w:sz w:val="17"/>
                <w:szCs w:val="17"/>
                <w:color w:val="auto"/>
                <w:w w:val="88"/>
              </w:rPr>
              <w:t>Item 5.</w:t>
            </w:r>
          </w:p>
        </w:tc>
        <w:tc>
          <w:tcPr>
            <w:tcW w:w="540" w:type="dxa"/>
            <w:vAlign w:val="bottom"/>
            <w:gridSpan w:val="3"/>
          </w:tcPr>
          <w:p>
            <w:pPr>
              <w:spacing w:after="0"/>
              <w:rPr>
                <w:sz w:val="16"/>
                <w:szCs w:val="16"/>
                <w:color w:val="auto"/>
              </w:rPr>
            </w:pPr>
          </w:p>
        </w:tc>
        <w:tc>
          <w:tcPr>
            <w:tcW w:w="9460" w:type="dxa"/>
            <w:vAlign w:val="bottom"/>
            <w:gridSpan w:val="25"/>
          </w:tcPr>
          <w:p>
            <w:pPr>
              <w:spacing w:after="0" w:line="194" w:lineRule="exact"/>
              <w:rPr>
                <w:rFonts w:ascii="Arial" w:cs="Arial" w:eastAsia="Arial" w:hAnsi="Arial"/>
                <w:sz w:val="17"/>
                <w:szCs w:val="17"/>
                <w:color w:val="0000EE"/>
              </w:rPr>
            </w:pPr>
            <w:hyperlink w:anchor="page52">
              <w:r>
                <w:rPr>
                  <w:rFonts w:ascii="Arial" w:cs="Arial" w:eastAsia="Arial" w:hAnsi="Arial"/>
                  <w:sz w:val="17"/>
                  <w:szCs w:val="17"/>
                  <w:color w:val="0000EE"/>
                </w:rPr>
                <w:t>Market for Registrant’s Common Equity, Related Stockholder Matters and Issuer Purchases of Equity Securities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6.</w:t>
            </w:r>
          </w:p>
        </w:tc>
        <w:tc>
          <w:tcPr>
            <w:tcW w:w="1600" w:type="dxa"/>
            <w:vAlign w:val="bottom"/>
            <w:tcBorders>
              <w:top w:val="single" w:sz="8" w:color="0000EE"/>
              <w:bottom w:val="single" w:sz="8" w:color="0000EE"/>
            </w:tcBorders>
            <w:gridSpan w:val="9"/>
          </w:tcPr>
          <w:p>
            <w:pPr>
              <w:spacing w:after="0" w:line="194" w:lineRule="exact"/>
              <w:rPr>
                <w:rFonts w:ascii="Arial" w:cs="Arial" w:eastAsia="Arial" w:hAnsi="Arial"/>
                <w:sz w:val="17"/>
                <w:szCs w:val="17"/>
                <w:color w:val="0000EE"/>
                <w:w w:val="87"/>
              </w:rPr>
            </w:pPr>
            <w:hyperlink w:anchor="page55">
              <w:r>
                <w:rPr>
                  <w:rFonts w:ascii="Arial" w:cs="Arial" w:eastAsia="Arial" w:hAnsi="Arial"/>
                  <w:sz w:val="17"/>
                  <w:szCs w:val="17"/>
                  <w:color w:val="0000EE"/>
                  <w:w w:val="87"/>
                </w:rPr>
                <w:t>Selected Financial Data</w:t>
              </w:r>
            </w:hyperlink>
          </w:p>
        </w:tc>
        <w:tc>
          <w:tcPr>
            <w:tcW w:w="5920" w:type="dxa"/>
            <w:vAlign w:val="bottom"/>
            <w:tcBorders>
              <w:top w:val="single" w:sz="8" w:color="0000EE"/>
            </w:tcBorders>
            <w:gridSpan w:val="15"/>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7.</w:t>
            </w:r>
          </w:p>
        </w:tc>
        <w:tc>
          <w:tcPr>
            <w:tcW w:w="9460" w:type="dxa"/>
            <w:vAlign w:val="bottom"/>
            <w:gridSpan w:val="25"/>
          </w:tcPr>
          <w:p>
            <w:pPr>
              <w:spacing w:after="0" w:line="194" w:lineRule="exact"/>
              <w:rPr>
                <w:rFonts w:ascii="Arial" w:cs="Arial" w:eastAsia="Arial" w:hAnsi="Arial"/>
                <w:sz w:val="17"/>
                <w:szCs w:val="17"/>
                <w:color w:val="0000EE"/>
              </w:rPr>
            </w:pPr>
            <w:hyperlink w:anchor="page58">
              <w:r>
                <w:rPr>
                  <w:rFonts w:ascii="Arial" w:cs="Arial" w:eastAsia="Arial" w:hAnsi="Arial"/>
                  <w:sz w:val="17"/>
                  <w:szCs w:val="17"/>
                  <w:color w:val="0000EE"/>
                </w:rPr>
                <w:t>Management’s Discussion and Analysis of Financial Condition and Results of Operations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58</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7A.</w:t>
            </w:r>
          </w:p>
        </w:tc>
        <w:tc>
          <w:tcPr>
            <w:tcW w:w="6020" w:type="dxa"/>
            <w:vAlign w:val="bottom"/>
            <w:tcBorders>
              <w:top w:val="single" w:sz="8" w:color="0000EE"/>
            </w:tcBorders>
            <w:gridSpan w:val="21"/>
          </w:tcPr>
          <w:p>
            <w:pPr>
              <w:spacing w:after="0" w:line="194" w:lineRule="exact"/>
              <w:rPr>
                <w:rFonts w:ascii="Arial" w:cs="Arial" w:eastAsia="Arial" w:hAnsi="Arial"/>
                <w:sz w:val="17"/>
                <w:szCs w:val="17"/>
                <w:color w:val="0000EE"/>
              </w:rPr>
            </w:pPr>
            <w:hyperlink w:anchor="page82">
              <w:r>
                <w:rPr>
                  <w:rFonts w:ascii="Arial" w:cs="Arial" w:eastAsia="Arial" w:hAnsi="Arial"/>
                  <w:sz w:val="17"/>
                  <w:szCs w:val="17"/>
                  <w:color w:val="0000EE"/>
                </w:rPr>
                <w:t>Quantitative and Qualitative Disclosures About Market Risk</w:t>
              </w:r>
            </w:hyperlink>
          </w:p>
        </w:tc>
        <w:tc>
          <w:tcPr>
            <w:tcW w:w="3440" w:type="dxa"/>
            <w:vAlign w:val="bottom"/>
            <w:gridSpan w:val="4"/>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82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8.</w:t>
            </w:r>
          </w:p>
        </w:tc>
        <w:tc>
          <w:tcPr>
            <w:tcW w:w="4060" w:type="dxa"/>
            <w:vAlign w:val="bottom"/>
            <w:tcBorders>
              <w:top w:val="single" w:sz="8" w:color="0000EE"/>
            </w:tcBorders>
            <w:gridSpan w:val="18"/>
          </w:tcPr>
          <w:p>
            <w:pPr>
              <w:spacing w:after="0" w:line="194" w:lineRule="exact"/>
              <w:rPr>
                <w:rFonts w:ascii="Arial" w:cs="Arial" w:eastAsia="Arial" w:hAnsi="Arial"/>
                <w:sz w:val="17"/>
                <w:szCs w:val="17"/>
                <w:color w:val="0000EE"/>
              </w:rPr>
            </w:pPr>
            <w:hyperlink w:anchor="page83">
              <w:r>
                <w:rPr>
                  <w:rFonts w:ascii="Arial" w:cs="Arial" w:eastAsia="Arial" w:hAnsi="Arial"/>
                  <w:sz w:val="17"/>
                  <w:szCs w:val="17"/>
                  <w:color w:val="0000EE"/>
                </w:rPr>
                <w:t>Financial Statements and Supplementary Data</w:t>
              </w:r>
            </w:hyperlink>
          </w:p>
        </w:tc>
        <w:tc>
          <w:tcPr>
            <w:tcW w:w="5400" w:type="dxa"/>
            <w:vAlign w:val="bottom"/>
            <w:gridSpan w:val="7"/>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77</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9.</w:t>
            </w:r>
          </w:p>
        </w:tc>
        <w:tc>
          <w:tcPr>
            <w:tcW w:w="9460" w:type="dxa"/>
            <w:vAlign w:val="bottom"/>
            <w:gridSpan w:val="25"/>
          </w:tcPr>
          <w:p>
            <w:pPr>
              <w:spacing w:after="0" w:line="194" w:lineRule="exact"/>
              <w:rPr>
                <w:rFonts w:ascii="Arial" w:cs="Arial" w:eastAsia="Arial" w:hAnsi="Arial"/>
                <w:sz w:val="17"/>
                <w:szCs w:val="17"/>
                <w:color w:val="0000EE"/>
              </w:rPr>
            </w:pPr>
            <w:hyperlink w:anchor="page122">
              <w:r>
                <w:rPr>
                  <w:rFonts w:ascii="Arial" w:cs="Arial" w:eastAsia="Arial" w:hAnsi="Arial"/>
                  <w:sz w:val="17"/>
                  <w:szCs w:val="17"/>
                  <w:color w:val="0000EE"/>
                </w:rPr>
                <w:t>Changes in and Disagreements with Accountants on Accounting and Financial Disclosure</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110</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9A.</w:t>
            </w:r>
          </w:p>
        </w:tc>
        <w:tc>
          <w:tcPr>
            <w:tcW w:w="1660" w:type="dxa"/>
            <w:vAlign w:val="bottom"/>
            <w:tcBorders>
              <w:top w:val="single" w:sz="8" w:color="0000EE"/>
              <w:bottom w:val="single" w:sz="8" w:color="0000EE"/>
            </w:tcBorders>
            <w:gridSpan w:val="10"/>
          </w:tcPr>
          <w:p>
            <w:pPr>
              <w:spacing w:after="0" w:line="194" w:lineRule="exact"/>
              <w:rPr>
                <w:rFonts w:ascii="Arial" w:cs="Arial" w:eastAsia="Arial" w:hAnsi="Arial"/>
                <w:sz w:val="17"/>
                <w:szCs w:val="17"/>
                <w:color w:val="0000EE"/>
                <w:w w:val="87"/>
              </w:rPr>
            </w:pPr>
            <w:hyperlink w:anchor="page122">
              <w:r>
                <w:rPr>
                  <w:rFonts w:ascii="Arial" w:cs="Arial" w:eastAsia="Arial" w:hAnsi="Arial"/>
                  <w:sz w:val="17"/>
                  <w:szCs w:val="17"/>
                  <w:color w:val="0000EE"/>
                  <w:w w:val="87"/>
                </w:rPr>
                <w:t>Controls and Procedures</w:t>
              </w:r>
            </w:hyperlink>
          </w:p>
        </w:tc>
        <w:tc>
          <w:tcPr>
            <w:tcW w:w="4380" w:type="dxa"/>
            <w:vAlign w:val="bottom"/>
            <w:tcBorders>
              <w:top w:val="single" w:sz="8" w:color="0000EE"/>
            </w:tcBorders>
            <w:gridSpan w:val="12"/>
          </w:tcPr>
          <w:p>
            <w:pPr>
              <w:spacing w:after="0"/>
              <w:rPr>
                <w:sz w:val="16"/>
                <w:szCs w:val="16"/>
                <w:color w:val="auto"/>
              </w:rPr>
            </w:pPr>
          </w:p>
        </w:tc>
        <w:tc>
          <w:tcPr>
            <w:tcW w:w="3420" w:type="dxa"/>
            <w:vAlign w:val="bottom"/>
            <w:gridSpan w:val="3"/>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110</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9B.</w:t>
            </w:r>
          </w:p>
        </w:tc>
        <w:tc>
          <w:tcPr>
            <w:tcW w:w="1240" w:type="dxa"/>
            <w:vAlign w:val="bottom"/>
            <w:tcBorders>
              <w:bottom w:val="single" w:sz="8" w:color="0000EE"/>
            </w:tcBorders>
            <w:gridSpan w:val="6"/>
          </w:tcPr>
          <w:p>
            <w:pPr>
              <w:spacing w:after="0" w:line="194" w:lineRule="exact"/>
              <w:rPr>
                <w:rFonts w:ascii="Arial" w:cs="Arial" w:eastAsia="Arial" w:hAnsi="Arial"/>
                <w:sz w:val="17"/>
                <w:szCs w:val="17"/>
                <w:color w:val="0000EE"/>
                <w:w w:val="92"/>
              </w:rPr>
            </w:pPr>
            <w:hyperlink w:anchor="page123">
              <w:r>
                <w:rPr>
                  <w:rFonts w:ascii="Arial" w:cs="Arial" w:eastAsia="Arial" w:hAnsi="Arial"/>
                  <w:sz w:val="17"/>
                  <w:szCs w:val="17"/>
                  <w:color w:val="0000EE"/>
                  <w:w w:val="92"/>
                </w:rPr>
                <w:t>Other Information</w:t>
              </w:r>
            </w:hyperlink>
          </w:p>
        </w:tc>
        <w:tc>
          <w:tcPr>
            <w:tcW w:w="8220" w:type="dxa"/>
            <w:vAlign w:val="bottom"/>
            <w:gridSpan w:val="19"/>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111</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9C.</w:t>
            </w:r>
          </w:p>
        </w:tc>
        <w:tc>
          <w:tcPr>
            <w:tcW w:w="9460" w:type="dxa"/>
            <w:vAlign w:val="bottom"/>
            <w:gridSpan w:val="25"/>
          </w:tcPr>
          <w:p>
            <w:pPr>
              <w:spacing w:after="0" w:line="194" w:lineRule="exact"/>
              <w:rPr>
                <w:rFonts w:ascii="Arial" w:cs="Arial" w:eastAsia="Arial" w:hAnsi="Arial"/>
                <w:sz w:val="17"/>
                <w:szCs w:val="17"/>
                <w:color w:val="0000EE"/>
              </w:rPr>
            </w:pPr>
            <w:hyperlink w:anchor="page123">
              <w:r>
                <w:rPr>
                  <w:rFonts w:ascii="Arial" w:cs="Arial" w:eastAsia="Arial" w:hAnsi="Arial"/>
                  <w:sz w:val="17"/>
                  <w:szCs w:val="17"/>
                  <w:color w:val="0000EE"/>
                </w:rPr>
                <w:t>Disclosure Regarding Foreign Jurisdictions that Prevent Inspections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111</w:t>
            </w:r>
          </w:p>
        </w:tc>
      </w:tr>
      <w:tr>
        <w:trPr>
          <w:trHeight w:val="320"/>
        </w:trPr>
        <w:tc>
          <w:tcPr>
            <w:tcW w:w="68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124">
              <w:r>
                <w:rPr>
                  <w:rFonts w:ascii="Arial" w:cs="Arial" w:eastAsia="Arial" w:hAnsi="Arial"/>
                  <w:sz w:val="17"/>
                  <w:szCs w:val="17"/>
                  <w:b w:val="1"/>
                  <w:bCs w:val="1"/>
                  <w:color w:val="0000EE"/>
                </w:rPr>
                <w:t>PART III</w:t>
              </w:r>
            </w:hyperlink>
          </w:p>
        </w:tc>
        <w:tc>
          <w:tcPr>
            <w:tcW w:w="4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10.</w:t>
            </w:r>
          </w:p>
        </w:tc>
        <w:tc>
          <w:tcPr>
            <w:tcW w:w="3820" w:type="dxa"/>
            <w:vAlign w:val="bottom"/>
            <w:tcBorders>
              <w:bottom w:val="single" w:sz="8" w:color="0000EE"/>
            </w:tcBorders>
            <w:gridSpan w:val="16"/>
          </w:tcPr>
          <w:p>
            <w:pPr>
              <w:spacing w:after="0" w:line="194" w:lineRule="exact"/>
              <w:rPr>
                <w:rFonts w:ascii="Arial" w:cs="Arial" w:eastAsia="Arial" w:hAnsi="Arial"/>
                <w:sz w:val="17"/>
                <w:szCs w:val="17"/>
                <w:color w:val="0000EE"/>
                <w:w w:val="89"/>
              </w:rPr>
            </w:pPr>
            <w:hyperlink w:anchor="page124">
              <w:r>
                <w:rPr>
                  <w:rFonts w:ascii="Arial" w:cs="Arial" w:eastAsia="Arial" w:hAnsi="Arial"/>
                  <w:sz w:val="17"/>
                  <w:szCs w:val="17"/>
                  <w:color w:val="0000EE"/>
                  <w:w w:val="89"/>
                </w:rPr>
                <w:t>Directors, Executive Officers and Corporate Governance</w:t>
              </w:r>
            </w:hyperlink>
          </w:p>
        </w:tc>
        <w:tc>
          <w:tcPr>
            <w:tcW w:w="5640" w:type="dxa"/>
            <w:vAlign w:val="bottom"/>
            <w:gridSpan w:val="9"/>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11.</w:t>
            </w:r>
          </w:p>
        </w:tc>
        <w:tc>
          <w:tcPr>
            <w:tcW w:w="9460" w:type="dxa"/>
            <w:vAlign w:val="bottom"/>
            <w:gridSpan w:val="25"/>
          </w:tcPr>
          <w:p>
            <w:pPr>
              <w:spacing w:after="0" w:line="194" w:lineRule="exact"/>
              <w:rPr>
                <w:rFonts w:ascii="Arial" w:cs="Arial" w:eastAsia="Arial" w:hAnsi="Arial"/>
                <w:sz w:val="17"/>
                <w:szCs w:val="17"/>
                <w:color w:val="0000EE"/>
              </w:rPr>
            </w:pPr>
            <w:hyperlink w:anchor="page124">
              <w:r>
                <w:rPr>
                  <w:rFonts w:ascii="Arial" w:cs="Arial" w:eastAsia="Arial" w:hAnsi="Arial"/>
                  <w:sz w:val="17"/>
                  <w:szCs w:val="17"/>
                  <w:color w:val="0000EE"/>
                </w:rPr>
                <w:t>Executive Compensation</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20"/>
        </w:trPr>
        <w:tc>
          <w:tcPr>
            <w:tcW w:w="6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12.</w:t>
            </w:r>
          </w:p>
        </w:tc>
        <w:tc>
          <w:tcPr>
            <w:tcW w:w="6800" w:type="dxa"/>
            <w:vAlign w:val="bottom"/>
            <w:tcBorders>
              <w:bottom w:val="single" w:sz="8" w:color="0000EE"/>
            </w:tcBorders>
            <w:gridSpan w:val="23"/>
          </w:tcPr>
          <w:p>
            <w:pPr>
              <w:spacing w:after="0" w:line="194" w:lineRule="exact"/>
              <w:rPr>
                <w:rFonts w:ascii="Arial" w:cs="Arial" w:eastAsia="Arial" w:hAnsi="Arial"/>
                <w:sz w:val="17"/>
                <w:szCs w:val="17"/>
                <w:color w:val="0000EE"/>
                <w:w w:val="89"/>
              </w:rPr>
            </w:pPr>
            <w:hyperlink w:anchor="page124">
              <w:r>
                <w:rPr>
                  <w:rFonts w:ascii="Arial" w:cs="Arial" w:eastAsia="Arial" w:hAnsi="Arial"/>
                  <w:sz w:val="17"/>
                  <w:szCs w:val="17"/>
                  <w:color w:val="0000EE"/>
                  <w:w w:val="89"/>
                </w:rPr>
                <w:t>Security Ownership of Certain Beneficial Owners and Management and Related Stockholder Matters</w:t>
              </w:r>
            </w:hyperlink>
          </w:p>
        </w:tc>
        <w:tc>
          <w:tcPr>
            <w:tcW w:w="2660" w:type="dxa"/>
            <w:vAlign w:val="bottom"/>
            <w:gridSpan w:val="2"/>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13.</w:t>
            </w:r>
          </w:p>
        </w:tc>
        <w:tc>
          <w:tcPr>
            <w:tcW w:w="9460" w:type="dxa"/>
            <w:vAlign w:val="bottom"/>
            <w:gridSpan w:val="25"/>
          </w:tcPr>
          <w:p>
            <w:pPr>
              <w:spacing w:after="0" w:line="194" w:lineRule="exact"/>
              <w:rPr>
                <w:rFonts w:ascii="Arial" w:cs="Arial" w:eastAsia="Arial" w:hAnsi="Arial"/>
                <w:sz w:val="17"/>
                <w:szCs w:val="17"/>
                <w:color w:val="0000EE"/>
              </w:rPr>
            </w:pPr>
            <w:hyperlink w:anchor="page124">
              <w:r>
                <w:rPr>
                  <w:rFonts w:ascii="Arial" w:cs="Arial" w:eastAsia="Arial" w:hAnsi="Arial"/>
                  <w:sz w:val="17"/>
                  <w:szCs w:val="17"/>
                  <w:color w:val="0000EE"/>
                </w:rPr>
                <w:t>Certain Relationships and Related Transactions, and Director Independence</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14.</w:t>
            </w:r>
          </w:p>
        </w:tc>
        <w:tc>
          <w:tcPr>
            <w:tcW w:w="5080" w:type="dxa"/>
            <w:vAlign w:val="bottom"/>
            <w:tcBorders>
              <w:top w:val="single" w:sz="8" w:color="0000EE"/>
            </w:tcBorders>
            <w:gridSpan w:val="20"/>
          </w:tcPr>
          <w:p>
            <w:pPr>
              <w:spacing w:after="0" w:line="194" w:lineRule="exact"/>
              <w:rPr>
                <w:rFonts w:ascii="Arial" w:cs="Arial" w:eastAsia="Arial" w:hAnsi="Arial"/>
                <w:sz w:val="17"/>
                <w:szCs w:val="17"/>
                <w:color w:val="0000EE"/>
              </w:rPr>
            </w:pPr>
            <w:hyperlink w:anchor="page124">
              <w:r>
                <w:rPr>
                  <w:rFonts w:ascii="Arial" w:cs="Arial" w:eastAsia="Arial" w:hAnsi="Arial"/>
                  <w:sz w:val="17"/>
                  <w:szCs w:val="17"/>
                  <w:color w:val="0000EE"/>
                </w:rPr>
                <w:t>Principal Accountant Fees and Services</w:t>
              </w:r>
            </w:hyperlink>
          </w:p>
        </w:tc>
        <w:tc>
          <w:tcPr>
            <w:tcW w:w="4380" w:type="dxa"/>
            <w:vAlign w:val="bottom"/>
            <w:gridSpan w:val="5"/>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320"/>
        </w:trPr>
        <w:tc>
          <w:tcPr>
            <w:tcW w:w="1140" w:type="dxa"/>
            <w:vAlign w:val="bottom"/>
            <w:gridSpan w:val="5"/>
          </w:tcPr>
          <w:p>
            <w:pPr>
              <w:spacing w:after="0"/>
              <w:rPr>
                <w:rFonts w:ascii="Arial" w:cs="Arial" w:eastAsia="Arial" w:hAnsi="Arial"/>
                <w:sz w:val="17"/>
                <w:szCs w:val="17"/>
                <w:b w:val="1"/>
                <w:bCs w:val="1"/>
                <w:color w:val="0000EE"/>
              </w:rPr>
            </w:pPr>
            <w:hyperlink w:anchor="page124">
              <w:r>
                <w:rPr>
                  <w:rFonts w:ascii="Arial" w:cs="Arial" w:eastAsia="Arial" w:hAnsi="Arial"/>
                  <w:sz w:val="17"/>
                  <w:szCs w:val="17"/>
                  <w:b w:val="1"/>
                  <w:bCs w:val="1"/>
                  <w:color w:val="0000EE"/>
                </w:rPr>
                <w:t>PART IV</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15.</w:t>
            </w:r>
          </w:p>
        </w:tc>
        <w:tc>
          <w:tcPr>
            <w:tcW w:w="9460" w:type="dxa"/>
            <w:vAlign w:val="bottom"/>
            <w:gridSpan w:val="25"/>
          </w:tcPr>
          <w:p>
            <w:pPr>
              <w:spacing w:after="0" w:line="194" w:lineRule="exact"/>
              <w:rPr>
                <w:rFonts w:ascii="Arial" w:cs="Arial" w:eastAsia="Arial" w:hAnsi="Arial"/>
                <w:sz w:val="17"/>
                <w:szCs w:val="17"/>
                <w:color w:val="0000EE"/>
              </w:rPr>
            </w:pPr>
            <w:hyperlink w:anchor="page124">
              <w:r>
                <w:rPr>
                  <w:rFonts w:ascii="Arial" w:cs="Arial" w:eastAsia="Arial" w:hAnsi="Arial"/>
                  <w:sz w:val="17"/>
                  <w:szCs w:val="17"/>
                  <w:color w:val="0000EE"/>
                </w:rPr>
                <w:t>Exhibits and Financial Statement Schedules</w:t>
              </w:r>
            </w:hyperlink>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112</w:t>
            </w:r>
          </w:p>
        </w:tc>
      </w:tr>
      <w:tr>
        <w:trPr>
          <w:trHeight w:val="194"/>
        </w:trPr>
        <w:tc>
          <w:tcPr>
            <w:tcW w:w="1140" w:type="dxa"/>
            <w:vAlign w:val="bottom"/>
            <w:gridSpan w:val="5"/>
          </w:tcPr>
          <w:p>
            <w:pPr>
              <w:ind w:left="120"/>
              <w:spacing w:after="0" w:line="194" w:lineRule="exact"/>
              <w:rPr>
                <w:sz w:val="20"/>
                <w:szCs w:val="20"/>
                <w:color w:val="auto"/>
              </w:rPr>
            </w:pPr>
            <w:r>
              <w:rPr>
                <w:rFonts w:ascii="Arial" w:cs="Arial" w:eastAsia="Arial" w:hAnsi="Arial"/>
                <w:sz w:val="17"/>
                <w:szCs w:val="17"/>
                <w:color w:val="auto"/>
              </w:rPr>
              <w:t>Item 16.</w:t>
            </w:r>
          </w:p>
        </w:tc>
        <w:tc>
          <w:tcPr>
            <w:tcW w:w="2940" w:type="dxa"/>
            <w:vAlign w:val="bottom"/>
            <w:tcBorders>
              <w:top w:val="single" w:sz="8" w:color="0000EE"/>
            </w:tcBorders>
            <w:gridSpan w:val="14"/>
          </w:tcPr>
          <w:p>
            <w:pPr>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Form 10-K Summary</w:t>
              </w:r>
            </w:hyperlink>
          </w:p>
        </w:tc>
        <w:tc>
          <w:tcPr>
            <w:tcW w:w="6520" w:type="dxa"/>
            <w:vAlign w:val="bottom"/>
            <w:gridSpan w:val="11"/>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115</w:t>
            </w:r>
          </w:p>
        </w:tc>
      </w:tr>
      <w:tr>
        <w:trPr>
          <w:trHeight w:val="19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Borders>
              <w:top w:val="single" w:sz="8" w:color="0000EE"/>
              <w:bottom w:val="single" w:sz="8" w:color="0000EE"/>
            </w:tcBorders>
            <w:gridSpan w:val="3"/>
          </w:tcPr>
          <w:p>
            <w:pPr>
              <w:spacing w:after="0" w:line="194" w:lineRule="exact"/>
              <w:rPr>
                <w:rFonts w:ascii="Arial" w:cs="Arial" w:eastAsia="Arial" w:hAnsi="Arial"/>
                <w:sz w:val="17"/>
                <w:szCs w:val="17"/>
                <w:color w:val="0000EE"/>
                <w:w w:val="86"/>
              </w:rPr>
            </w:pPr>
            <w:hyperlink w:anchor="page128">
              <w:r>
                <w:rPr>
                  <w:rFonts w:ascii="Arial" w:cs="Arial" w:eastAsia="Arial" w:hAnsi="Arial"/>
                  <w:sz w:val="17"/>
                  <w:szCs w:val="17"/>
                  <w:color w:val="0000EE"/>
                  <w:w w:val="86"/>
                </w:rPr>
                <w:t>Signatures</w:t>
              </w:r>
            </w:hyperlink>
          </w:p>
        </w:tc>
        <w:tc>
          <w:tcPr>
            <w:tcW w:w="720" w:type="dxa"/>
            <w:vAlign w:val="bottom"/>
            <w:tcBorders>
              <w:top w:val="single" w:sz="8" w:color="0000EE"/>
            </w:tcBorders>
            <w:gridSpan w:val="5"/>
          </w:tcPr>
          <w:p>
            <w:pPr>
              <w:spacing w:after="0"/>
              <w:rPr>
                <w:sz w:val="16"/>
                <w:szCs w:val="16"/>
                <w:color w:val="auto"/>
              </w:rPr>
            </w:pPr>
          </w:p>
        </w:tc>
        <w:tc>
          <w:tcPr>
            <w:tcW w:w="8020" w:type="dxa"/>
            <w:vAlign w:val="bottom"/>
            <w:gridSpan w:val="17"/>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1" w:lineRule="exact"/>
        <w:rPr>
          <w:sz w:val="20"/>
          <w:szCs w:val="20"/>
          <w:color w:val="auto"/>
        </w:rPr>
      </w:pPr>
    </w:p>
    <w:p>
      <w:pPr>
        <w:ind w:firstLine="865"/>
        <w:spacing w:after="0" w:line="284" w:lineRule="auto"/>
        <w:rPr>
          <w:sz w:val="20"/>
          <w:szCs w:val="20"/>
          <w:color w:val="auto"/>
        </w:rPr>
      </w:pPr>
      <w:r>
        <w:rPr>
          <w:rFonts w:ascii="Arial" w:cs="Arial" w:eastAsia="Arial" w:hAnsi="Arial"/>
          <w:sz w:val="15"/>
          <w:szCs w:val="15"/>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 included in this Annual Report, including, without limitation, statements regarding our financial position, business strategy and other plans and objectives for our future operations, are forward-looking statements. These statements include declarations regarding our management’s beliefs and current expectations. In some cases, you can identify forward-looking statements by words such as “may,” “will,” “should,” “could,” “intend,” “consider,” “expect,” “plan,” “anticipate,” “believe,” “estimate,” “predict” or “continue” or the negative of such words or other similar terms or expressions. Forward-looking statements contained in this Annual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potential impacts of the COVID-19 pandemic and related public health measures on our business,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162" w:lineRule="exact"/>
        <w:rPr>
          <w:sz w:val="20"/>
          <w:szCs w:val="20"/>
          <w:color w:val="auto"/>
        </w:rPr>
      </w:pPr>
    </w:p>
    <w:p>
      <w:pPr>
        <w:ind w:right="140" w:firstLine="865"/>
        <w:spacing w:after="0" w:line="275" w:lineRule="auto"/>
        <w:rPr>
          <w:sz w:val="20"/>
          <w:szCs w:val="20"/>
          <w:color w:val="auto"/>
        </w:rPr>
      </w:pPr>
      <w:r>
        <w:rPr>
          <w:rFonts w:ascii="Arial" w:cs="Arial" w:eastAsia="Arial" w:hAnsi="Arial"/>
          <w:sz w:val="16"/>
          <w:szCs w:val="16"/>
          <w:color w:val="auto"/>
        </w:rPr>
        <w:t>Such statements are not guarantees of future performance and involve a number of assumptions, risks and uncertainties that could cause actual results to differ materially from expected results. As a result, you should not put undue reliance on any forward-looking statement. These forward-looking statements are included throughout this Annual Report. Factors that could cause our actual results to differ materially from those expressed or implied in such forward-looking statements include, but are not limited to, the risk factors discussed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Annual Report.</w:t>
      </w:r>
    </w:p>
    <w:p>
      <w:pPr>
        <w:spacing w:after="0" w:line="163" w:lineRule="exact"/>
        <w:rPr>
          <w:sz w:val="20"/>
          <w:szCs w:val="20"/>
          <w:color w:val="auto"/>
        </w:rPr>
      </w:pPr>
    </w:p>
    <w:p>
      <w:pPr>
        <w:ind w:right="40" w:firstLine="865"/>
        <w:spacing w:after="0" w:line="285" w:lineRule="auto"/>
        <w:rPr>
          <w:sz w:val="20"/>
          <w:szCs w:val="20"/>
          <w:color w:val="auto"/>
        </w:rPr>
      </w:pPr>
      <w:r>
        <w:rPr>
          <w:rFonts w:ascii="Arial" w:cs="Arial" w:eastAsia="Arial" w:hAnsi="Arial"/>
          <w:sz w:val="15"/>
          <w:szCs w:val="15"/>
          <w:color w:val="auto"/>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 You should read this Annual Report, and the documents that we reference in this Annual Report and have filed with the Securities and Exchange Commission (“SEC”), with the understanding that our actual future results, performance, and events and circumstances may be materially different from what we expect.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 SUMMARY</w:t>
      </w:r>
    </w:p>
    <w:p>
      <w:pPr>
        <w:spacing w:after="0" w:line="211" w:lineRule="exact"/>
        <w:rPr>
          <w:sz w:val="20"/>
          <w:szCs w:val="20"/>
          <w:color w:val="auto"/>
        </w:rPr>
      </w:pPr>
    </w:p>
    <w:p>
      <w:pPr>
        <w:ind w:right="280" w:firstLine="865"/>
        <w:spacing w:after="0" w:line="337" w:lineRule="auto"/>
        <w:rPr>
          <w:sz w:val="20"/>
          <w:szCs w:val="20"/>
          <w:color w:val="auto"/>
        </w:rPr>
      </w:pPr>
      <w:r>
        <w:rPr>
          <w:rFonts w:ascii="Arial" w:cs="Arial" w:eastAsia="Arial" w:hAnsi="Arial"/>
          <w:sz w:val="15"/>
          <w:szCs w:val="15"/>
          <w:color w:val="auto"/>
        </w:rPr>
        <w:t>Our business is subject to numerous risks and uncertainties, including those described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of this Annual Report. You should carefully consider these risks and uncertainties when investing in our Class A common stock. Some of the principal risks and uncertainties include the following: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440" w:right="18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Our success and revenue growth are dependent on adding new customers, effectively educating and training our existing customers on how to make full use of our platform and increasing usage of our platform by our customers</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34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We may not realize the expected benefits of an industry shift away from cookie-based consumer tracking as such shift may not occur as rapidly as we expect or may not be realized at all</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54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The effects of the ongoing COVID-19 pandemic and other adverse market events have had, and could in the future have, an adverse impact on our business, operating results and financial condition</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8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If we fail to innovate and make the right investment decisions in our offerings and platform, we may not attract and retain customers and our revenue and results of operations may decline</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32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The market for programmatic advertising is evolving. If this market develops slower or differently than we expect, our business, operating results and financial condition would be adversely affected</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10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We receive a significant amount of revenue from a select number of advertising agency holding companies, owning various advertising agencies, and the loss of advertising agencies as customers could harm our business, operating results and financial condition</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right="460" w:hanging="432"/>
        <w:spacing w:after="0" w:line="337"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5"/>
          <w:szCs w:val="15"/>
          <w:color w:val="231F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r>
        <w:rPr>
          <w:rFonts w:ascii="Arial" w:cs="Arial" w:eastAsia="Arial" w:hAnsi="Arial"/>
          <w:sz w:val="15"/>
          <w:szCs w:val="15"/>
          <w:color w:val="000000"/>
        </w:rPr>
        <w:t>;</w:t>
      </w:r>
    </w:p>
    <w:p>
      <w:pPr>
        <w:spacing w:after="0" w:line="18" w:lineRule="exact"/>
        <w:rPr>
          <w:rFonts w:ascii="Arial" w:cs="Arial" w:eastAsia="Arial" w:hAnsi="Arial"/>
          <w:sz w:val="15"/>
          <w:szCs w:val="15"/>
          <w:color w:val="auto"/>
        </w:rPr>
      </w:pPr>
    </w:p>
    <w:p>
      <w:pPr>
        <w:ind w:left="440" w:hanging="432"/>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If our access to advertising inventory is diminished or fails to grow, our revenue could decline and our growth could be impeded</w:t>
      </w:r>
      <w:r>
        <w:rPr>
          <w:rFonts w:ascii="Arial" w:cs="Arial" w:eastAsia="Arial" w:hAnsi="Arial"/>
          <w:sz w:val="17"/>
          <w:szCs w:val="17"/>
          <w:color w:val="000000"/>
        </w:rPr>
        <w:t>;</w:t>
      </w:r>
    </w:p>
    <w:p>
      <w:pPr>
        <w:spacing w:after="0" w:line="106" w:lineRule="exact"/>
        <w:rPr>
          <w:rFonts w:ascii="Arial" w:cs="Arial" w:eastAsia="Arial" w:hAnsi="Arial"/>
          <w:sz w:val="17"/>
          <w:szCs w:val="17"/>
          <w:color w:val="auto"/>
        </w:rPr>
      </w:pPr>
    </w:p>
    <w:p>
      <w:pPr>
        <w:ind w:left="440" w:right="54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access to people-based data is diminished, the effectiveness of our platform would be decreased, which could harm our operating results and financial condition;</w:t>
      </w:r>
    </w:p>
    <w:p>
      <w:pPr>
        <w:spacing w:after="0" w:line="165" w:lineRule="exact"/>
        <w:rPr>
          <w:rFonts w:ascii="Arial" w:cs="Arial" w:eastAsia="Arial" w:hAnsi="Arial"/>
          <w:sz w:val="17"/>
          <w:szCs w:val="17"/>
          <w:color w:val="auto"/>
        </w:rPr>
      </w:pPr>
    </w:p>
    <w:p>
      <w:pPr>
        <w:ind w:left="440" w:right="160" w:hanging="432"/>
        <w:spacing w:after="0" w:line="254"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adversely affect the demand for our products and services, or other adverse business consequences</w:t>
      </w:r>
      <w:r>
        <w:rPr>
          <w:rFonts w:ascii="Arial" w:cs="Arial" w:eastAsia="Arial" w:hAnsi="Arial"/>
          <w:sz w:val="17"/>
          <w:szCs w:val="17"/>
          <w:color w:val="000000"/>
        </w:rPr>
        <w:t>;</w:t>
      </w:r>
    </w:p>
    <w:p>
      <w:pPr>
        <w:spacing w:after="0" w:line="78" w:lineRule="exact"/>
        <w:rPr>
          <w:rFonts w:ascii="Arial" w:cs="Arial" w:eastAsia="Arial" w:hAnsi="Arial"/>
          <w:sz w:val="17"/>
          <w:szCs w:val="17"/>
          <w:color w:val="auto"/>
        </w:rPr>
      </w:pPr>
    </w:p>
    <w:p>
      <w:pPr>
        <w:ind w:left="440" w:right="560" w:hanging="432"/>
        <w:spacing w:after="0" w:line="25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spacing w:after="0" w:line="174" w:lineRule="exact"/>
        <w:rPr>
          <w:rFonts w:ascii="Arial" w:cs="Arial" w:eastAsia="Arial" w:hAnsi="Arial"/>
          <w:sz w:val="17"/>
          <w:szCs w:val="17"/>
          <w:color w:val="auto"/>
        </w:rPr>
      </w:pPr>
    </w:p>
    <w:p>
      <w:pPr>
        <w:ind w:left="440" w:right="300" w:hanging="432"/>
        <w:spacing w:after="0" w:line="300"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143" w:lineRule="exact"/>
        <w:rPr>
          <w:rFonts w:ascii="Arial" w:cs="Arial" w:eastAsia="Arial" w:hAnsi="Arial"/>
          <w:sz w:val="16"/>
          <w:szCs w:val="16"/>
          <w:color w:val="auto"/>
        </w:rPr>
      </w:pPr>
    </w:p>
    <w:p>
      <w:pPr>
        <w:ind w:left="440" w:right="18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Our proprietary rights may be difficult to enforce, which could enable others to copy or use aspects of our technology without compensating us, thereby eroding our competitive advantages and harming our business;</w:t>
      </w:r>
    </w:p>
    <w:p>
      <w:pPr>
        <w:spacing w:after="0" w:line="65" w:lineRule="exact"/>
        <w:rPr>
          <w:rFonts w:ascii="Arial" w:cs="Arial" w:eastAsia="Arial" w:hAnsi="Arial"/>
          <w:sz w:val="17"/>
          <w:szCs w:val="17"/>
          <w:color w:val="auto"/>
        </w:rPr>
      </w:pPr>
    </w:p>
    <w:p>
      <w:pPr>
        <w:ind w:left="440" w:right="16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Our business is subject to a wide range of laws and regulations, many of which are evolving, and failure to comply with such laws and regulations could harm our business, financial condition, and results of operations;</w:t>
      </w:r>
    </w:p>
    <w:p>
      <w:pPr>
        <w:spacing w:after="0" w:line="65" w:lineRule="exact"/>
        <w:rPr>
          <w:rFonts w:ascii="Arial" w:cs="Arial" w:eastAsia="Arial" w:hAnsi="Arial"/>
          <w:sz w:val="17"/>
          <w:szCs w:val="17"/>
          <w:color w:val="auto"/>
        </w:rPr>
      </w:pPr>
    </w:p>
    <w:p>
      <w:pPr>
        <w:ind w:left="44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We may experience fluctuations in our operating results, which could make our future operating results difficult to predict or cause our operating results to fall below securities analysts’ and investors’ expectations</w:t>
      </w:r>
      <w:r>
        <w:rPr>
          <w:rFonts w:ascii="Arial" w:cs="Arial" w:eastAsia="Arial" w:hAnsi="Arial"/>
          <w:sz w:val="17"/>
          <w:szCs w:val="17"/>
          <w:color w:val="000000"/>
        </w:rPr>
        <w:t>;</w:t>
      </w:r>
    </w:p>
    <w:p>
      <w:pPr>
        <w:spacing w:after="0" w:line="65" w:lineRule="exact"/>
        <w:rPr>
          <w:rFonts w:ascii="Arial" w:cs="Arial" w:eastAsia="Arial" w:hAnsi="Arial"/>
          <w:sz w:val="17"/>
          <w:szCs w:val="17"/>
          <w:color w:val="auto"/>
        </w:rPr>
      </w:pPr>
    </w:p>
    <w:p>
      <w:pPr>
        <w:ind w:left="440" w:hanging="432"/>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our costs increase, we may not be able to generate sufficient revenue to sustain profitability;</w:t>
      </w:r>
    </w:p>
    <w:p>
      <w:pPr>
        <w:spacing w:after="0" w:line="106" w:lineRule="exact"/>
        <w:rPr>
          <w:rFonts w:ascii="Arial" w:cs="Arial" w:eastAsia="Arial" w:hAnsi="Arial"/>
          <w:sz w:val="17"/>
          <w:szCs w:val="17"/>
          <w:color w:val="auto"/>
        </w:rPr>
      </w:pPr>
    </w:p>
    <w:p>
      <w:pPr>
        <w:ind w:left="440" w:right="20" w:hanging="432"/>
        <w:spacing w:after="0" w:line="269"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The market price of our Class A common stock has been and may continue to be volatile or may decline regardless of our operating performance, and you could lose all or part of your investment;</w:t>
      </w:r>
    </w:p>
    <w:p>
      <w:pPr>
        <w:spacing w:after="0" w:line="26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62865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820"/>
          </w:cols>
          <w:pgMar w:left="740" w:top="127" w:right="339" w:bottom="1440" w:gutter="0" w:footer="0" w:header="0"/>
        </w:sectPr>
      </w:pPr>
    </w:p>
    <w:bookmarkStart w:id="4" w:name="page5"/>
    <w:bookmarkEnd w:id="4"/>
    <w:p>
      <w:pPr>
        <w:ind w:left="860" w:right="20" w:hanging="432"/>
        <w:spacing w:after="0" w:line="258"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We are a “controlled company” within the meaning of the listing standards of the Nasdaq Global Select Market and, as a result, qualify for, and rely on, exemptions from certain corporate governance requirements. You do not have the same protections afforded to stockholders of companies that are subject to such requirements; </w:t>
      </w:r>
      <w:r>
        <w:rPr>
          <w:rFonts w:ascii="Arial" w:cs="Arial" w:eastAsia="Arial" w:hAnsi="Arial"/>
          <w:sz w:val="17"/>
          <w:szCs w:val="17"/>
          <w:color w:val="231F20"/>
        </w:rPr>
        <w:t>and</w:t>
      </w:r>
    </w:p>
    <w:p>
      <w:pPr>
        <w:spacing w:after="0" w:line="174" w:lineRule="exact"/>
        <w:rPr>
          <w:rFonts w:ascii="Arial" w:cs="Arial" w:eastAsia="Arial" w:hAnsi="Arial"/>
          <w:sz w:val="17"/>
          <w:szCs w:val="17"/>
          <w:color w:val="auto"/>
        </w:rPr>
      </w:pPr>
    </w:p>
    <w:p>
      <w:pPr>
        <w:ind w:left="860" w:right="200" w:hanging="432"/>
        <w:spacing w:after="0" w:line="300"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Company</w:t>
      </w:r>
    </w:p>
    <w:p>
      <w:pPr>
        <w:spacing w:after="0" w:line="211" w:lineRule="exact"/>
        <w:rPr>
          <w:sz w:val="20"/>
          <w:szCs w:val="20"/>
          <w:color w:val="auto"/>
        </w:rPr>
      </w:pPr>
    </w:p>
    <w:p>
      <w:pPr>
        <w:ind w:right="180" w:firstLine="589"/>
        <w:spacing w:after="0" w:line="258" w:lineRule="auto"/>
        <w:rPr>
          <w:sz w:val="20"/>
          <w:szCs w:val="20"/>
          <w:color w:val="auto"/>
        </w:rPr>
      </w:pPr>
      <w:r>
        <w:rPr>
          <w:rFonts w:ascii="Arial" w:cs="Arial" w:eastAsia="Arial" w:hAnsi="Arial"/>
          <w:sz w:val="17"/>
          <w:szCs w:val="17"/>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75" w:lineRule="exact"/>
        <w:rPr>
          <w:sz w:val="20"/>
          <w:szCs w:val="20"/>
          <w:color w:val="auto"/>
        </w:rPr>
      </w:pPr>
    </w:p>
    <w:p>
      <w:pPr>
        <w:ind w:right="200" w:firstLine="589"/>
        <w:spacing w:after="0" w:line="258" w:lineRule="auto"/>
        <w:rPr>
          <w:sz w:val="20"/>
          <w:szCs w:val="20"/>
          <w:color w:val="auto"/>
        </w:rPr>
      </w:pPr>
      <w:r>
        <w:rPr>
          <w:rFonts w:ascii="Arial" w:cs="Arial" w:eastAsia="Arial" w:hAnsi="Arial"/>
          <w:sz w:val="17"/>
          <w:szCs w:val="17"/>
          <w:color w:val="231F20"/>
        </w:rPr>
        <w:t>Our demand side platform (“DSP”), Adelphic, is an enterprise software platform that is used by marketers and their advertising agencies to centralize the planning, buying and measurement of their advertising across most channels. Through our technology, a marketer can easily buy ads on desktop, mobile, connected TV, linear TV, in-game streaming audio and digital billboards.</w:t>
      </w:r>
    </w:p>
    <w:p>
      <w:pPr>
        <w:spacing w:after="0" w:line="175" w:lineRule="exact"/>
        <w:rPr>
          <w:sz w:val="20"/>
          <w:szCs w:val="20"/>
          <w:color w:val="auto"/>
        </w:rPr>
      </w:pPr>
    </w:p>
    <w:p>
      <w:pPr>
        <w:ind w:right="180" w:firstLine="589"/>
        <w:spacing w:after="0" w:line="258" w:lineRule="auto"/>
        <w:rPr>
          <w:sz w:val="20"/>
          <w:szCs w:val="20"/>
          <w:color w:val="auto"/>
        </w:rPr>
      </w:pPr>
      <w:r>
        <w:rPr>
          <w:rFonts w:ascii="Arial" w:cs="Arial" w:eastAsia="Arial" w:hAnsi="Arial"/>
          <w:sz w:val="17"/>
          <w:szCs w:val="17"/>
          <w:color w:val="231F20"/>
        </w:rPr>
        <w:t>Our software is designed to make our customers’ lives easier by enabling marketers and their advertising agencies to plan, buy and measure advertising campaigns in a highly automated fashion. We offer an easy-to-use self-service platform that provides customers with transparency and control over their advertising campaigns.</w:t>
      </w:r>
    </w:p>
    <w:p>
      <w:pPr>
        <w:spacing w:after="0" w:line="175" w:lineRule="exact"/>
        <w:rPr>
          <w:sz w:val="20"/>
          <w:szCs w:val="20"/>
          <w:color w:val="auto"/>
        </w:rPr>
      </w:pPr>
    </w:p>
    <w:p>
      <w:pPr>
        <w:ind w:right="60" w:firstLine="589"/>
        <w:spacing w:after="0" w:line="299" w:lineRule="auto"/>
        <w:rPr>
          <w:sz w:val="20"/>
          <w:szCs w:val="20"/>
          <w:color w:val="auto"/>
        </w:rPr>
      </w:pPr>
      <w:r>
        <w:rPr>
          <w:rFonts w:ascii="Arial" w:cs="Arial" w:eastAsia="Arial" w:hAnsi="Arial"/>
          <w:sz w:val="15"/>
          <w:szCs w:val="15"/>
          <w:color w:val="231F20"/>
        </w:rPr>
        <w:t>Our platform offers customers unique visibility across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spacing w:after="0" w:line="147" w:lineRule="exact"/>
        <w:rPr>
          <w:sz w:val="20"/>
          <w:szCs w:val="20"/>
          <w:color w:val="auto"/>
        </w:rPr>
      </w:pPr>
    </w:p>
    <w:p>
      <w:pPr>
        <w:ind w:firstLine="589"/>
        <w:spacing w:after="0" w:line="251" w:lineRule="auto"/>
        <w:rPr>
          <w:sz w:val="20"/>
          <w:szCs w:val="20"/>
          <w:color w:val="auto"/>
        </w:rPr>
      </w:pPr>
      <w:r>
        <w:rPr>
          <w:rFonts w:ascii="Arial" w:cs="Arial" w:eastAsia="Arial" w:hAnsi="Arial"/>
          <w:sz w:val="17"/>
          <w:szCs w:val="17"/>
          <w:color w:val="231F20"/>
        </w:rPr>
        <w:t>Marketers use our software to deliver advertising campaigns to their desired target audience across channels and formats. Through platform integrations, we offer our customers access to omnichannel advertising inventory, which refers to media available across devices, channels and formats. This includes access to approximately 300 million unique desktop and mobile users, approximately 115 million connected TV households, approximately 112 million linear TV households, over 200 million unique digital audio users, and approximately 158,000 unique digital billboards in the United States. Our platform supports a full range of transaction types including real-time bidding, private marketplace and programmatic guaranteed, allowing customers to easily source and integrate ad inventory directly from publishers and private marketplaces.</w:t>
      </w:r>
    </w:p>
    <w:p>
      <w:pPr>
        <w:spacing w:after="0" w:line="182" w:lineRule="exact"/>
        <w:rPr>
          <w:sz w:val="20"/>
          <w:szCs w:val="20"/>
          <w:color w:val="auto"/>
        </w:rPr>
      </w:pPr>
    </w:p>
    <w:p>
      <w:pPr>
        <w:ind w:right="200" w:firstLine="589"/>
        <w:spacing w:after="0" w:line="272" w:lineRule="auto"/>
        <w:rPr>
          <w:sz w:val="20"/>
          <w:szCs w:val="20"/>
          <w:color w:val="auto"/>
        </w:rPr>
      </w:pPr>
      <w:r>
        <w:rPr>
          <w:rFonts w:ascii="Arial" w:cs="Arial" w:eastAsia="Arial" w:hAnsi="Arial"/>
          <w:sz w:val="16"/>
          <w:szCs w:val="16"/>
          <w:color w:val="231F20"/>
        </w:rPr>
        <w:t>We enable deep data access through our data integrations to authenticate user identities across a range of devices. Our matching of people-based identifiers enables us to be the nexus point with more than 70 data partners, providing customers with deep access to people-based data across market verticals such as automotive, entertainment, business to business, retail, consumer packaged goods, travel and tourism, and healthcare. Our proprietary identity graph has linked approximately 115 million households to an estimated 1 billion connected devices and is combined with access to approximately 280,000 audience attributes in the United States, which we believe makes it one of the largest in the industry.</w:t>
      </w:r>
    </w:p>
    <w:p>
      <w:pPr>
        <w:spacing w:after="0" w:line="165" w:lineRule="exact"/>
        <w:rPr>
          <w:sz w:val="20"/>
          <w:szCs w:val="20"/>
          <w:color w:val="auto"/>
        </w:rPr>
      </w:pPr>
    </w:p>
    <w:p>
      <w:pPr>
        <w:ind w:right="460" w:firstLine="589"/>
        <w:spacing w:after="0" w:line="269" w:lineRule="auto"/>
        <w:rPr>
          <w:sz w:val="20"/>
          <w:szCs w:val="20"/>
          <w:color w:val="auto"/>
        </w:rPr>
      </w:pPr>
      <w:r>
        <w:rPr>
          <w:rFonts w:ascii="Arial" w:cs="Arial" w:eastAsia="Arial" w:hAnsi="Arial"/>
          <w:sz w:val="17"/>
          <w:szCs w:val="17"/>
          <w:color w:val="231F20"/>
        </w:rPr>
        <w:t>Our customers are advertising buyers including large advertising holding companies, independent advertising agencies, mid-market advertising service organizations as well as marketers that rely on our self-service software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ind w:right="300"/>
        <w:spacing w:after="0" w:line="300" w:lineRule="auto"/>
        <w:rPr>
          <w:sz w:val="20"/>
          <w:szCs w:val="20"/>
          <w:color w:val="auto"/>
        </w:rPr>
      </w:pPr>
      <w:r>
        <w:rPr>
          <w:rFonts w:ascii="Arial" w:cs="Arial" w:eastAsia="Arial" w:hAnsi="Arial"/>
          <w:sz w:val="16"/>
          <w:szCs w:val="16"/>
          <w:color w:val="231F20"/>
        </w:rPr>
        <w:t>platform for their programmatic ad buying needs. We are a trusted partner to our customers and have had a 95% customer satisfaction rating for the last four years based on Viant’s Annual Adelphic Customer Satisfaction Survey. Many of our customers use our software as their primary DSP.</w:t>
      </w:r>
    </w:p>
    <w:p>
      <w:pPr>
        <w:spacing w:after="0" w:line="144" w:lineRule="exact"/>
        <w:rPr>
          <w:sz w:val="20"/>
          <w:szCs w:val="20"/>
          <w:color w:val="auto"/>
        </w:rPr>
      </w:pPr>
    </w:p>
    <w:p>
      <w:pPr>
        <w:ind w:firstLine="589"/>
        <w:spacing w:after="0" w:line="287" w:lineRule="auto"/>
        <w:rPr>
          <w:sz w:val="20"/>
          <w:szCs w:val="20"/>
          <w:color w:val="auto"/>
        </w:rPr>
      </w:pPr>
      <w:r>
        <w:rPr>
          <w:rFonts w:ascii="Arial" w:cs="Arial" w:eastAsia="Arial" w:hAnsi="Arial"/>
          <w:sz w:val="15"/>
          <w:szCs w:val="15"/>
          <w:color w:val="231F20"/>
        </w:rPr>
        <w:t>Our platform is built on people-based data. Using our identity resolution capabilities and identity graph, marketers and their advertising agencies can identify targeted consumers using real-world identifiers rather than relying primarily on cookies to track users. We believe the industry is shifting to a people-based framework to replace cookies in delivering personalized advertising, particularly for identification. People-based data allows marketers to deliver personalized advertising while being able to accurately link ad impressions across multiple devices and to customer sales and measure the impact of their ad spend. In addition, people-based data allows consumers to know who is collecting their data and what it is being used for, and also gives them the right to delete or stop use of their data for personalized advertising. Many of our competitors rely on cookies for the targeting and measurement of digital advertising but this technology has not been effective at accurately measuring the real impact of a marketer’s ad spend on their business results. Apple’s popular web browser, Safari, currently does not allow third-party cookies and Google has announced plans to entirely disallow third-party cookies in their Chrome browser in 2023. This market change has created an increase in demand by marketers actively looking for platforms like ours that offer an alternative to cookie-based tracking, which we believe is strengthening our strategic position.</w:t>
      </w:r>
    </w:p>
    <w:p>
      <w:pPr>
        <w:spacing w:after="0" w:line="156" w:lineRule="exact"/>
        <w:rPr>
          <w:sz w:val="20"/>
          <w:szCs w:val="20"/>
          <w:color w:val="auto"/>
        </w:rPr>
      </w:pPr>
    </w:p>
    <w:p>
      <w:pPr>
        <w:ind w:right="60" w:firstLine="589"/>
        <w:spacing w:after="0" w:line="291" w:lineRule="auto"/>
        <w:rPr>
          <w:sz w:val="20"/>
          <w:szCs w:val="20"/>
          <w:color w:val="auto"/>
        </w:rPr>
      </w:pPr>
      <w:r>
        <w:rPr>
          <w:rFonts w:ascii="Arial" w:cs="Arial" w:eastAsia="Arial" w:hAnsi="Arial"/>
          <w:sz w:val="15"/>
          <w:szCs w:val="15"/>
          <w:color w:val="231F20"/>
        </w:rPr>
        <w:t>Programmatic advertising has proven its value to marketers and more organizations are devoting more of their digital ad spend to it. The digital ecosystem continues to evolve and with it programmatic advertising, creating new opportunities and needs for marketers and their agencies. The U.S. programmatic advertising market is expected to grow from $75.1 billion in 2020 to $142.0 billion in 2023, a 24% compound annual growth rate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our software platform is designed to address these needs and expand our market opportunity.</w:t>
      </w:r>
    </w:p>
    <w:p>
      <w:pPr>
        <w:spacing w:after="0" w:line="154" w:lineRule="exact"/>
        <w:rPr>
          <w:sz w:val="20"/>
          <w:szCs w:val="20"/>
          <w:color w:val="auto"/>
        </w:rPr>
      </w:pPr>
    </w:p>
    <w:p>
      <w:pPr>
        <w:ind w:right="80" w:firstLine="589"/>
        <w:spacing w:after="0" w:line="254" w:lineRule="auto"/>
        <w:rPr>
          <w:sz w:val="20"/>
          <w:szCs w:val="20"/>
          <w:color w:val="auto"/>
        </w:rPr>
      </w:pPr>
      <w:r>
        <w:rPr>
          <w:rFonts w:ascii="Arial" w:cs="Arial" w:eastAsia="Arial" w:hAnsi="Arial"/>
          <w:sz w:val="17"/>
          <w:szCs w:val="17"/>
          <w:color w:val="231F20"/>
        </w:rPr>
        <w:t xml:space="preserve">Our total revenue was $224.1 million, $165.3 million and $164.9 million for the fiscal years ended December 31, 2021, 2020 and 2019, respectively, representing increases of 35.6% from fiscal 2020 to fiscal 2021 and 0.2% from fiscal 2019 to fiscal 2020. We recorded net loss of $37.6 million and net income $20.6 million and adjusted EBITDA of </w:t>
      </w:r>
      <w:r>
        <w:rPr>
          <w:rFonts w:ascii="Arial" w:cs="Arial" w:eastAsia="Arial" w:hAnsi="Arial"/>
          <w:sz w:val="17"/>
          <w:szCs w:val="17"/>
          <w:color w:val="000000"/>
        </w:rPr>
        <w:t>$37.1</w:t>
      </w:r>
      <w:r>
        <w:rPr>
          <w:rFonts w:ascii="Arial" w:cs="Arial" w:eastAsia="Arial" w:hAnsi="Arial"/>
          <w:sz w:val="17"/>
          <w:szCs w:val="17"/>
          <w:color w:val="231F20"/>
        </w:rPr>
        <w:t xml:space="preserve"> million and $31.8 million for the years ended December 31, 2021 and 2020, respectively, compared to net income of $9.9 million and adjusted EBITDA of $24.7 million for the fiscal year ended December 31, 2019.</w:t>
      </w:r>
    </w:p>
    <w:p>
      <w:pPr>
        <w:spacing w:after="0" w:line="179" w:lineRule="exact"/>
        <w:rPr>
          <w:sz w:val="20"/>
          <w:szCs w:val="20"/>
          <w:color w:val="auto"/>
        </w:rPr>
      </w:pPr>
    </w:p>
    <w:p>
      <w:pPr>
        <w:ind w:right="40" w:firstLine="589"/>
        <w:spacing w:after="0" w:line="254" w:lineRule="auto"/>
        <w:rPr>
          <w:sz w:val="20"/>
          <w:szCs w:val="20"/>
          <w:color w:val="auto"/>
        </w:rPr>
      </w:pPr>
      <w:r>
        <w:rPr>
          <w:rFonts w:ascii="Arial" w:cs="Arial" w:eastAsia="Arial" w:hAnsi="Arial"/>
          <w:sz w:val="17"/>
          <w:szCs w:val="17"/>
          <w:color w:val="231F20"/>
        </w:rPr>
        <w:t xml:space="preserve">Adjusted EBITDA is a financial measure not presented in accordance with generally accepted </w:t>
      </w:r>
      <w:r>
        <w:rPr>
          <w:rFonts w:ascii="Arial" w:cs="Arial" w:eastAsia="Arial" w:hAnsi="Arial"/>
          <w:sz w:val="17"/>
          <w:szCs w:val="17"/>
          <w:color w:val="000000"/>
        </w:rPr>
        <w:t>accounting principles in the United States of America</w:t>
      </w:r>
      <w:r>
        <w:rPr>
          <w:rFonts w:ascii="Arial" w:cs="Arial" w:eastAsia="Arial" w:hAnsi="Arial"/>
          <w:sz w:val="17"/>
          <w:szCs w:val="17"/>
          <w:color w:val="231F20"/>
        </w:rPr>
        <w:t xml:space="preserve"> (“GAAP”). For a definition of adjusted EBITDA, an explanation of our management’s use of this measure and a reconciliation of adjusted EBITDA to our net income or net loss, see </w:t>
      </w:r>
      <w:r>
        <w:rPr>
          <w:rFonts w:ascii="Arial" w:cs="Arial" w:eastAsia="Arial" w:hAnsi="Arial"/>
          <w:sz w:val="17"/>
          <w:szCs w:val="17"/>
          <w:i w:val="1"/>
          <w:iCs w:val="1"/>
          <w:color w:val="231F20"/>
        </w:rPr>
        <w:t>“Management’s Discussion and Analysis of Financial Condition and Results of Operations—Key Operating and Financial Performance Measures—</w:t>
      </w:r>
      <w:r>
        <w:rPr>
          <w:rFonts w:ascii="Arial" w:cs="Arial" w:eastAsia="Arial" w:hAnsi="Arial"/>
          <w:sz w:val="17"/>
          <w:szCs w:val="17"/>
          <w:color w:val="231F20"/>
        </w:rPr>
        <w:t xml:space="preserve"> </w:t>
      </w:r>
      <w:r>
        <w:rPr>
          <w:rFonts w:ascii="Arial" w:cs="Arial" w:eastAsia="Arial" w:hAnsi="Arial"/>
          <w:sz w:val="17"/>
          <w:szCs w:val="17"/>
          <w:i w:val="1"/>
          <w:iCs w:val="1"/>
          <w:color w:val="231F20"/>
        </w:rPr>
        <w:t>Use of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Industry</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We believe the key industry trends shaping the advertising market include:</w:t>
      </w:r>
    </w:p>
    <w:p>
      <w:pPr>
        <w:spacing w:after="0" w:line="207" w:lineRule="exact"/>
        <w:rPr>
          <w:sz w:val="20"/>
          <w:szCs w:val="20"/>
          <w:color w:val="auto"/>
        </w:rPr>
      </w:pPr>
    </w:p>
    <w:p>
      <w:pPr>
        <w:ind w:right="20" w:firstLine="589"/>
        <w:spacing w:after="0" w:line="268" w:lineRule="auto"/>
        <w:rPr>
          <w:sz w:val="20"/>
          <w:szCs w:val="20"/>
          <w:color w:val="auto"/>
        </w:rPr>
      </w:pPr>
      <w:r>
        <w:rPr>
          <w:rFonts w:ascii="Arial" w:cs="Arial" w:eastAsia="Arial" w:hAnsi="Arial"/>
          <w:sz w:val="16"/>
          <w:szCs w:val="16"/>
          <w:b w:val="1"/>
          <w:bCs w:val="1"/>
          <w:i w:val="1"/>
          <w:iCs w:val="1"/>
          <w:color w:val="231F20"/>
        </w:rPr>
        <w:t xml:space="preserve">Advertising dollars shifting toward programmatic advertising: </w:t>
      </w:r>
      <w:r>
        <w:rPr>
          <w:rFonts w:ascii="Arial" w:cs="Arial" w:eastAsia="Arial" w:hAnsi="Arial"/>
          <w:sz w:val="16"/>
          <w:szCs w:val="16"/>
          <w:color w:val="231F20"/>
        </w:rPr>
        <w:t>We believe the advertising industry is still in the early stages of a shift toward programmatic</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advertising. The ability to transact through real-time-bidding platforms has evolved beyond banner advertising to be used across a wide range of advertising channels and formats, including desktop, mobile, connected TV, linear TV, in-game, streaming audio and digital billboards. U.S. programmatic advertising is experiencing a rapid increase in adoption and, according to eMarketer, is expected to grow at a 24% CAGR from 2020 to 2023, reaching $123.2 billion in 2022 and $142.0 billion by 2023. U.S. programmatic advertising is forecasted to represent 39% of total U.S. media spend by 2023, increasing from 31% in 2020. The TV industry is undergoing significant disruptions as internet-enabled connected TV has become a preferred vehicle for streaming video content. The amount of connected TV users in the U.S. is forecasted to increase from approximately 209 million, or 63% of the U.S. population, in 2020 to approximately 236 million, or 68% of the U.S. population, in 2025, according to eMarketer. Connected TV also provides a number of benefits to</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 w:name="page7"/>
    <w:bookmarkEnd w:id="6"/>
    <w:p>
      <w:pPr>
        <w:ind w:right="220"/>
        <w:spacing w:after="0" w:line="308" w:lineRule="auto"/>
        <w:rPr>
          <w:sz w:val="20"/>
          <w:szCs w:val="20"/>
          <w:color w:val="auto"/>
        </w:rPr>
      </w:pPr>
      <w:r>
        <w:rPr>
          <w:rFonts w:ascii="Arial" w:cs="Arial" w:eastAsia="Arial" w:hAnsi="Arial"/>
          <w:sz w:val="15"/>
          <w:szCs w:val="15"/>
          <w:color w:val="231F20"/>
        </w:rPr>
        <w:t>advertisers, including more accurate control of scale, addressability and measurement. Marketers are increasingly investing in connected TV as more inventory becomes available. According to eMarketer, 54% of connected TV ad spend was transacted programmatically in 2019 and the share of programmatic is expected to increase to nearly 79% in 2023. In addition, connected TV ad spend is expected to grow from $9.0 billion in 2020 to $34.5 billion in 2025, a 31% CAGR.</w:t>
      </w:r>
    </w:p>
    <w:p>
      <w:pPr>
        <w:spacing w:after="0" w:line="141" w:lineRule="exact"/>
        <w:rPr>
          <w:sz w:val="20"/>
          <w:szCs w:val="20"/>
          <w:color w:val="auto"/>
        </w:rPr>
      </w:pPr>
    </w:p>
    <w:p>
      <w:pPr>
        <w:ind w:right="260" w:firstLine="589"/>
        <w:spacing w:after="0" w:line="299" w:lineRule="auto"/>
        <w:rPr>
          <w:sz w:val="20"/>
          <w:szCs w:val="20"/>
          <w:color w:val="auto"/>
        </w:rPr>
      </w:pPr>
      <w:r>
        <w:rPr>
          <w:rFonts w:ascii="Arial" w:cs="Arial" w:eastAsia="Arial" w:hAnsi="Arial"/>
          <w:sz w:val="15"/>
          <w:szCs w:val="15"/>
          <w:b w:val="1"/>
          <w:bCs w:val="1"/>
          <w:i w:val="1"/>
          <w:iCs w:val="1"/>
          <w:color w:val="231F20"/>
        </w:rPr>
        <w:t xml:space="preserve">Strong marketer demand for ROAS measurement across all channels: </w:t>
      </w:r>
      <w:r>
        <w:rPr>
          <w:rFonts w:ascii="Arial" w:cs="Arial" w:eastAsia="Arial" w:hAnsi="Arial"/>
          <w:sz w:val="15"/>
          <w:szCs w:val="15"/>
          <w:color w:val="231F20"/>
        </w:rPr>
        <w:t>Marketers are looking for a centralized view of their customers, while connecting</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online and offline purchases to accurately measure ROAS. ROAS is a critical metric for marketing campaigns. Insights from ROAS across all campaigns inform marketers about what they are getting for their money across all media investments near real-time. Hence, marketers seek tools to track their ROAS across all channels. We believe people-based platforms are able to provide a more accurate measurement of ROAS as compared to cookie-based platforms.</w:t>
      </w:r>
    </w:p>
    <w:p>
      <w:pPr>
        <w:spacing w:after="0" w:line="147" w:lineRule="exact"/>
        <w:rPr>
          <w:sz w:val="20"/>
          <w:szCs w:val="20"/>
          <w:color w:val="auto"/>
        </w:rPr>
      </w:pPr>
    </w:p>
    <w:p>
      <w:pPr>
        <w:ind w:right="20" w:firstLine="589"/>
        <w:spacing w:after="0" w:line="251" w:lineRule="auto"/>
        <w:rPr>
          <w:sz w:val="20"/>
          <w:szCs w:val="20"/>
          <w:color w:val="auto"/>
        </w:rPr>
      </w:pPr>
      <w:r>
        <w:rPr>
          <w:rFonts w:ascii="Arial" w:cs="Arial" w:eastAsia="Arial" w:hAnsi="Arial"/>
          <w:sz w:val="17"/>
          <w:szCs w:val="17"/>
          <w:b w:val="1"/>
          <w:bCs w:val="1"/>
          <w:i w:val="1"/>
          <w:iCs w:val="1"/>
          <w:color w:val="231F20"/>
        </w:rPr>
        <w:t xml:space="preserve">Demand for scaled people-based platforms: </w:t>
      </w:r>
      <w:r>
        <w:rPr>
          <w:rFonts w:ascii="Arial" w:cs="Arial" w:eastAsia="Arial" w:hAnsi="Arial"/>
          <w:sz w:val="17"/>
          <w:szCs w:val="17"/>
          <w:color w:val="231F20"/>
        </w:rPr>
        <w:t>Advertising has become more data driven and marketers need to be able to target audiences at the individual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software platforms that primarily utilize cookies for device identification. In today’s connected world, marketers need to be able to identify their customers and connect with them across multiple channels, devices and formats. This is driving an industry shift away from cookie-based DSPs to scaled people-based DSPs.</w:t>
      </w:r>
    </w:p>
    <w:p>
      <w:pPr>
        <w:spacing w:after="0" w:line="182" w:lineRule="exact"/>
        <w:rPr>
          <w:sz w:val="20"/>
          <w:szCs w:val="20"/>
          <w:color w:val="auto"/>
        </w:rPr>
      </w:pPr>
    </w:p>
    <w:p>
      <w:pPr>
        <w:ind w:firstLine="589"/>
        <w:spacing w:after="0" w:line="250" w:lineRule="auto"/>
        <w:rPr>
          <w:sz w:val="20"/>
          <w:szCs w:val="20"/>
          <w:color w:val="auto"/>
        </w:rPr>
      </w:pPr>
      <w:r>
        <w:rPr>
          <w:rFonts w:ascii="Arial" w:cs="Arial" w:eastAsia="Arial" w:hAnsi="Arial"/>
          <w:sz w:val="17"/>
          <w:szCs w:val="17"/>
          <w:b w:val="1"/>
          <w:bCs w:val="1"/>
          <w:i w:val="1"/>
          <w:iCs w:val="1"/>
          <w:color w:val="231F20"/>
        </w:rPr>
        <w:t xml:space="preserve">Brands directly selecting advertising software solutions: </w:t>
      </w:r>
      <w:r>
        <w:rPr>
          <w:rFonts w:ascii="Arial" w:cs="Arial" w:eastAsia="Arial" w:hAnsi="Arial"/>
          <w:sz w:val="17"/>
          <w:szCs w:val="17"/>
          <w:color w:val="231F20"/>
        </w:rPr>
        <w:t>Marketers are increasingly becoming directly involved in the selection of their advertising software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solutions as they seek to reduce costs, better leverage their customer data and gain more control over their advertising. These factors have also led to an increase in marketers moving programmatic ad buying functions in-house. The automation of ad-buying technology has enabled fast, accurate and cost-effective decision-making, resulting in ad buying becoming a skillset that an increasing number of chief marketing officers want to fully own. According to the most recent survey by the Interactive Advertising Bureau, an advertising business organization that develops industry standards, conducts research, and provides legal support for the online advertising industry, in 2019, 18% of U.S. brands had completely moved programmatic ad buying in-house, and 51% of U.S. brands had moved a portion of their programmatic ad buying in-house.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231F20"/>
        </w:rPr>
        <w:t>Our Market Opportunity</w:t>
      </w:r>
    </w:p>
    <w:p>
      <w:pPr>
        <w:spacing w:after="0" w:line="211"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231F20"/>
        </w:rPr>
        <w:t>We believe that over the long term, our total addressable market is the total global advertising market which, eMarketer has forecasted to grow from $866 billion in 2022 to $1.09 trillion in 2025, an 8% CAGR. Currently, our focus is primarily on the U.S. market, which eMarketer has forecasted to grow from $309 billion in 2022 to $384 billion in 2025 in the United States, an 8% CAGR, broken into the following segments:</w:t>
      </w:r>
    </w:p>
    <w:p>
      <w:pPr>
        <w:spacing w:after="0" w:line="175" w:lineRule="exact"/>
        <w:rPr>
          <w:sz w:val="20"/>
          <w:szCs w:val="20"/>
          <w:color w:val="auto"/>
        </w:rPr>
      </w:pPr>
    </w:p>
    <w:p>
      <w:pPr>
        <w:ind w:left="1160" w:right="360" w:hanging="581"/>
        <w:spacing w:after="0" w:line="26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Desktop and Mobile: </w:t>
      </w:r>
      <w:r>
        <w:rPr>
          <w:rFonts w:ascii="Arial" w:cs="Arial" w:eastAsia="Arial" w:hAnsi="Arial"/>
          <w:sz w:val="17"/>
          <w:szCs w:val="17"/>
          <w:color w:val="231F20"/>
        </w:rPr>
        <w:t>U.S. desktop and mobile advertising are forecasted to grow from a $215 billion market in 2022 to a $273 billion market in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2025, an 8% CAGR.</w:t>
      </w:r>
    </w:p>
    <w:p>
      <w:pPr>
        <w:spacing w:after="0" w:line="165" w:lineRule="exact"/>
        <w:rPr>
          <w:rFonts w:ascii="Arial" w:cs="Arial" w:eastAsia="Arial" w:hAnsi="Arial"/>
          <w:sz w:val="17"/>
          <w:szCs w:val="17"/>
          <w:color w:val="231F20"/>
        </w:rPr>
      </w:pPr>
    </w:p>
    <w:p>
      <w:pPr>
        <w:ind w:left="1160" w:right="120" w:hanging="581"/>
        <w:spacing w:after="0" w:line="26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Connected TV: </w:t>
      </w:r>
      <w:r>
        <w:rPr>
          <w:rFonts w:ascii="Arial" w:cs="Arial" w:eastAsia="Arial" w:hAnsi="Arial"/>
          <w:sz w:val="17"/>
          <w:szCs w:val="17"/>
          <w:color w:val="231F20"/>
        </w:rPr>
        <w:t>U.S. connected TV advertising is forecasted to be a $19 billion market in 2022 and forecasted to grow to $34 billion in 2025, a 22%</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CAGR. Connected TV includes over-the-top (“OTT”) content delivered through a connected device over the internet.</w:t>
      </w:r>
    </w:p>
    <w:p>
      <w:pPr>
        <w:spacing w:after="0" w:line="165" w:lineRule="exact"/>
        <w:rPr>
          <w:rFonts w:ascii="Arial" w:cs="Arial" w:eastAsia="Arial" w:hAnsi="Arial"/>
          <w:sz w:val="17"/>
          <w:szCs w:val="17"/>
          <w:color w:val="231F20"/>
        </w:rPr>
      </w:pPr>
    </w:p>
    <w:p>
      <w:pPr>
        <w:ind w:left="1160" w:right="160" w:hanging="581"/>
        <w:spacing w:after="0" w:line="26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Linear TV: </w:t>
      </w:r>
      <w:r>
        <w:rPr>
          <w:rFonts w:ascii="Arial" w:cs="Arial" w:eastAsia="Arial" w:hAnsi="Arial"/>
          <w:sz w:val="17"/>
          <w:szCs w:val="17"/>
          <w:color w:val="231F20"/>
        </w:rPr>
        <w:t>U.S. linear TV advertising is forecasted to be a $67 billion market in 2022 and forecasted to be a $66 billion market in 2025, a negative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0.3% CAGR.</w:t>
      </w:r>
    </w:p>
    <w:p>
      <w:pPr>
        <w:spacing w:after="0" w:line="165" w:lineRule="exact"/>
        <w:rPr>
          <w:rFonts w:ascii="Arial" w:cs="Arial" w:eastAsia="Arial" w:hAnsi="Arial"/>
          <w:sz w:val="17"/>
          <w:szCs w:val="17"/>
          <w:color w:val="231F20"/>
        </w:rPr>
      </w:pPr>
    </w:p>
    <w:p>
      <w:pPr>
        <w:ind w:left="1160" w:right="280" w:hanging="581"/>
        <w:spacing w:after="0" w:line="26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Streaming Audio: </w:t>
      </w:r>
      <w:r>
        <w:rPr>
          <w:rFonts w:ascii="Arial" w:cs="Arial" w:eastAsia="Arial" w:hAnsi="Arial"/>
          <w:sz w:val="17"/>
          <w:szCs w:val="17"/>
          <w:color w:val="231F20"/>
        </w:rPr>
        <w:t>U.S. digital audio advertising is forecasted to be a $6 billion market in 2022 and forecasted to grow to $8 billion in 2025, a 9%</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CAGR.</w:t>
      </w:r>
    </w:p>
    <w:p>
      <w:pPr>
        <w:spacing w:after="0" w:line="165" w:lineRule="exact"/>
        <w:rPr>
          <w:rFonts w:ascii="Arial" w:cs="Arial" w:eastAsia="Arial" w:hAnsi="Arial"/>
          <w:sz w:val="17"/>
          <w:szCs w:val="17"/>
          <w:color w:val="231F20"/>
        </w:rPr>
      </w:pPr>
    </w:p>
    <w:p>
      <w:pPr>
        <w:ind w:left="1160" w:right="460" w:hanging="581"/>
        <w:spacing w:after="0" w:line="26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Digital Billboards: </w:t>
      </w:r>
      <w:r>
        <w:rPr>
          <w:rFonts w:ascii="Arial" w:cs="Arial" w:eastAsia="Arial" w:hAnsi="Arial"/>
          <w:sz w:val="17"/>
          <w:szCs w:val="17"/>
          <w:color w:val="231F20"/>
        </w:rPr>
        <w:t>U.S. billboard advertising is forecasted to be a $2 billion market in 2022 and forecasted to grow to $3 billion in 2025, a 7%</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CAGR.</w:t>
      </w:r>
    </w:p>
    <w:p>
      <w:pPr>
        <w:spacing w:after="0" w:line="166"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231F20"/>
        </w:rPr>
        <w:t>The forecasts for each segment above include both programmatic and non-programmatic digital advertising. In recent years, programmatic advertising has represented an increasing portion of total U.S. media spend. eMarketer estimates that the U.S. programmatic advertising market, as represented by the segments above, will grow from $75 billion in 2020 to $142 billion in 2023, a 24% CAGR.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Solution</w:t>
      </w:r>
    </w:p>
    <w:p>
      <w:pPr>
        <w:spacing w:after="0" w:line="21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6"/>
          <w:szCs w:val="16"/>
          <w:color w:val="231F20"/>
        </w:rPr>
        <w:t>We make it easy to buy an ad anywhere, and help brands measure the impact of their ad spend by providing electronic buying and measurement of all advertising. Our software platform enables marketers and their advertising agencies to plan, buy and measure campaigns across channels. Integrated with our people-based capabilities, we provide our customers with a full suite of forecasting, reporting and automation functionality to make informed decisions around their advertising investments. We provide superior customer service to ensure our customers have the level of support required for their unique business needs. Viant is driven to be a leader in innovation, automation, transparency, customer focus and responsible media.</w:t>
      </w:r>
    </w:p>
    <w:p>
      <w:pPr>
        <w:spacing w:after="0" w:line="165" w:lineRule="exact"/>
        <w:rPr>
          <w:sz w:val="20"/>
          <w:szCs w:val="20"/>
          <w:color w:val="auto"/>
        </w:rPr>
      </w:pPr>
    </w:p>
    <w:p>
      <w:pPr>
        <w:ind w:right="20" w:firstLine="589"/>
        <w:spacing w:after="0" w:line="254" w:lineRule="auto"/>
        <w:rPr>
          <w:sz w:val="20"/>
          <w:szCs w:val="20"/>
          <w:color w:val="auto"/>
        </w:rPr>
      </w:pPr>
      <w:r>
        <w:rPr>
          <w:rFonts w:ascii="Arial" w:cs="Arial" w:eastAsia="Arial" w:hAnsi="Arial"/>
          <w:sz w:val="17"/>
          <w:szCs w:val="17"/>
          <w:b w:val="1"/>
          <w:bCs w:val="1"/>
          <w:i w:val="1"/>
          <w:iCs w:val="1"/>
          <w:color w:val="231F20"/>
        </w:rPr>
        <w:t xml:space="preserve">Holistic, Omnichannel DSP: </w:t>
      </w:r>
      <w:r>
        <w:rPr>
          <w:rFonts w:ascii="Arial" w:cs="Arial" w:eastAsia="Arial" w:hAnsi="Arial"/>
          <w:sz w:val="17"/>
          <w:szCs w:val="17"/>
          <w:color w:val="231F20"/>
        </w:rPr>
        <w:t>Marketers and their agencies can use our integrated software platform to efficiently manage omnichannel campaigns and access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metrics from each channel to inform decisions in other channels. Our integrations enable the purchase of advertising media across desktop, mobile, connected TV, linear TV, in-game, streaming audio and digital billboards. Our technology leverages artificial intelligence (“AI”) and machine learning to identify the best supply partners, formats and impressions based on our customers’ goals.</w:t>
      </w:r>
    </w:p>
    <w:p>
      <w:pPr>
        <w:spacing w:after="0" w:line="179" w:lineRule="exact"/>
        <w:rPr>
          <w:sz w:val="20"/>
          <w:szCs w:val="20"/>
          <w:color w:val="auto"/>
        </w:rPr>
      </w:pPr>
    </w:p>
    <w:p>
      <w:pPr>
        <w:ind w:right="80" w:firstLine="589"/>
        <w:spacing w:after="0" w:line="258" w:lineRule="auto"/>
        <w:rPr>
          <w:sz w:val="20"/>
          <w:szCs w:val="20"/>
          <w:color w:val="auto"/>
        </w:rPr>
      </w:pPr>
      <w:r>
        <w:rPr>
          <w:rFonts w:ascii="Arial" w:cs="Arial" w:eastAsia="Arial" w:hAnsi="Arial"/>
          <w:sz w:val="17"/>
          <w:szCs w:val="17"/>
          <w:b w:val="1"/>
          <w:bCs w:val="1"/>
          <w:i w:val="1"/>
          <w:iCs w:val="1"/>
          <w:color w:val="231F20"/>
        </w:rPr>
        <w:t xml:space="preserve">Viant Household ID™ (“VHHID”): </w:t>
      </w:r>
      <w:r>
        <w:rPr>
          <w:rFonts w:ascii="Arial" w:cs="Arial" w:eastAsia="Arial" w:hAnsi="Arial"/>
          <w:sz w:val="17"/>
          <w:szCs w:val="17"/>
          <w:color w:val="231F20"/>
        </w:rPr>
        <w:t>Our proprietary people-based, household profile, which provides known household insights for optimized bid decisions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and touchpoint collection across consumer pathways, offers holistic targeting and measurement across channels. Our omnichannel DSP has exclusive access to the VHHID, providing a major differentiator for our DSP technology in today’s cookieless world.</w:t>
      </w:r>
    </w:p>
    <w:p>
      <w:pPr>
        <w:spacing w:after="0" w:line="175" w:lineRule="exact"/>
        <w:rPr>
          <w:sz w:val="20"/>
          <w:szCs w:val="20"/>
          <w:color w:val="auto"/>
        </w:rPr>
      </w:pPr>
    </w:p>
    <w:p>
      <w:pPr>
        <w:ind w:right="200" w:firstLine="589"/>
        <w:spacing w:after="0" w:line="252" w:lineRule="auto"/>
        <w:rPr>
          <w:sz w:val="20"/>
          <w:szCs w:val="20"/>
          <w:color w:val="auto"/>
        </w:rPr>
      </w:pPr>
      <w:r>
        <w:rPr>
          <w:rFonts w:ascii="Arial" w:cs="Arial" w:eastAsia="Arial" w:hAnsi="Arial"/>
          <w:sz w:val="17"/>
          <w:szCs w:val="17"/>
          <w:b w:val="1"/>
          <w:bCs w:val="1"/>
          <w:i w:val="1"/>
          <w:iCs w:val="1"/>
          <w:color w:val="231F20"/>
        </w:rPr>
        <w:t xml:space="preserve">World Without Cookies Software Release/People-Based Advertising: </w:t>
      </w:r>
      <w:r>
        <w:rPr>
          <w:rFonts w:ascii="Arial" w:cs="Arial" w:eastAsia="Arial" w:hAnsi="Arial"/>
          <w:sz w:val="17"/>
          <w:szCs w:val="17"/>
          <w:color w:val="231F20"/>
        </w:rPr>
        <w:t>Released in 2021, our World Without Cookies software integrates a people-based,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household approach directly into the Adelphic® DSP. By unifying the Viant Household ID™ throughout Adelphic, World Without Cookies empowers marketers to manage reach and frequency at the household level, reducing waste and improving the customer experience. In a recent study, marketers using our World Without Cookies software saw over 200% more conversions and reached 40% more households compared to traditional cookie-based platforms, and decreased frequency by 28%.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ind w:firstLine="589"/>
        <w:spacing w:after="0" w:line="270" w:lineRule="auto"/>
        <w:rPr>
          <w:sz w:val="20"/>
          <w:szCs w:val="20"/>
          <w:color w:val="auto"/>
        </w:rPr>
      </w:pPr>
      <w:r>
        <w:rPr>
          <w:rFonts w:ascii="Arial" w:cs="Arial" w:eastAsia="Arial" w:hAnsi="Arial"/>
          <w:sz w:val="16"/>
          <w:szCs w:val="16"/>
          <w:b w:val="1"/>
          <w:bCs w:val="1"/>
          <w:i w:val="1"/>
          <w:iCs w:val="1"/>
          <w:color w:val="231F20"/>
        </w:rPr>
        <w:t xml:space="preserve">Viant Identity Graph: </w:t>
      </w:r>
      <w:r>
        <w:rPr>
          <w:rFonts w:ascii="Arial" w:cs="Arial" w:eastAsia="Arial" w:hAnsi="Arial"/>
          <w:sz w:val="16"/>
          <w:szCs w:val="16"/>
          <w:color w:val="231F20"/>
        </w:rPr>
        <w:t>Our proprietary, established identity resolution capabilities powers our identity graph, which reduces or eliminates the need for cookies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 xml:space="preserve">by enabling matching of people-based identifiers that anchor digital identifiers and allow marketers to reach targeted consumers in a privacy-conscious manner, irrespective of device or channel. Our proprietary identity graph has linked approximately 115 million U.S. households to approximately 1 billion connected devices. </w:t>
      </w:r>
      <w:r>
        <w:rPr>
          <w:rFonts w:ascii="Arial" w:cs="Arial" w:eastAsia="Arial" w:hAnsi="Arial"/>
          <w:sz w:val="16"/>
          <w:szCs w:val="16"/>
          <w:color w:val="1E1F21"/>
        </w:rPr>
        <w:t>This process provides access to an estimated 280,000 audience attributes using our proprietary people-based, household profile, the VHHID, allowing marketers to reach real consumers, not proxies, whether they are at home or away. The VHHID provides known insights for optimized bid decisions and touchpoint collection across consumer pathways for holistic targeting and measurement across channels.</w:t>
      </w:r>
    </w:p>
    <w:p>
      <w:pPr>
        <w:spacing w:after="0" w:line="167" w:lineRule="exact"/>
        <w:rPr>
          <w:sz w:val="20"/>
          <w:szCs w:val="20"/>
          <w:color w:val="auto"/>
        </w:rPr>
      </w:pPr>
    </w:p>
    <w:p>
      <w:pPr>
        <w:ind w:right="260" w:firstLine="589"/>
        <w:spacing w:after="0" w:line="252" w:lineRule="auto"/>
        <w:rPr>
          <w:sz w:val="20"/>
          <w:szCs w:val="20"/>
          <w:color w:val="auto"/>
        </w:rPr>
      </w:pPr>
      <w:r>
        <w:rPr>
          <w:rFonts w:ascii="Arial" w:cs="Arial" w:eastAsia="Arial" w:hAnsi="Arial"/>
          <w:sz w:val="17"/>
          <w:szCs w:val="17"/>
          <w:b w:val="1"/>
          <w:bCs w:val="1"/>
          <w:i w:val="1"/>
          <w:iCs w:val="1"/>
          <w:color w:val="231F20"/>
        </w:rPr>
        <w:t xml:space="preserve">Advanced Reporting and Measurement: </w:t>
      </w:r>
      <w:r>
        <w:rPr>
          <w:rFonts w:ascii="Arial" w:cs="Arial" w:eastAsia="Arial" w:hAnsi="Arial"/>
          <w:sz w:val="17"/>
          <w:szCs w:val="17"/>
          <w:color w:val="231F20"/>
        </w:rPr>
        <w:t>We invest heavily in our measurement capabilities, as we believe advertising should be driving a positive return.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Our software and self-service data lake empower customers with differentiated insights, including conversion lift, multi-touch attribution, foot-traffic data reports, digital-out-of-home lift, sales reporting and ROAS analytics. Leveraging our people-based framework and machine learning algorithms, our platform provides marketers real-time actionable insights throughout an advertising campaign. Our built-in automation enables marketers to optimize digital campaigns designed to achieve their key performance indicator(“KPI”) goals.</w:t>
      </w:r>
    </w:p>
    <w:p>
      <w:pPr>
        <w:spacing w:after="0" w:line="181" w:lineRule="exact"/>
        <w:rPr>
          <w:sz w:val="20"/>
          <w:szCs w:val="20"/>
          <w:color w:val="auto"/>
        </w:rPr>
      </w:pPr>
    </w:p>
    <w:p>
      <w:pPr>
        <w:ind w:firstLine="589"/>
        <w:spacing w:after="0" w:line="299" w:lineRule="auto"/>
        <w:rPr>
          <w:sz w:val="20"/>
          <w:szCs w:val="20"/>
          <w:color w:val="auto"/>
        </w:rPr>
      </w:pPr>
      <w:r>
        <w:rPr>
          <w:rFonts w:ascii="Arial" w:cs="Arial" w:eastAsia="Arial" w:hAnsi="Arial"/>
          <w:sz w:val="15"/>
          <w:szCs w:val="15"/>
          <w:b w:val="1"/>
          <w:bCs w:val="1"/>
          <w:i w:val="1"/>
          <w:iCs w:val="1"/>
          <w:color w:val="231F20"/>
        </w:rPr>
        <w:t xml:space="preserve">Onboarding: </w:t>
      </w:r>
      <w:r>
        <w:rPr>
          <w:rFonts w:ascii="Arial" w:cs="Arial" w:eastAsia="Arial" w:hAnsi="Arial"/>
          <w:sz w:val="15"/>
          <w:szCs w:val="15"/>
          <w:color w:val="231F20"/>
        </w:rPr>
        <w:t>We enable marketers to safely and securely onboard their first-party data to gain a view into their customers’ top attributes, create targeting</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segments and easily activate and measure these customer segments. Our simple interface allows marketers to upload audience data with ease and create a unique segment or build lookalike audiences without the need for a separate data management platform. Our data integrations provide marketers with high match rates, which provides scalable and meaningful audience insights for segmentation, targeting and measuring key outcomes both online and offline.</w:t>
      </w:r>
    </w:p>
    <w:p>
      <w:pPr>
        <w:spacing w:after="0" w:line="143" w:lineRule="exact"/>
        <w:rPr>
          <w:sz w:val="20"/>
          <w:szCs w:val="20"/>
          <w:color w:val="auto"/>
        </w:rPr>
      </w:pPr>
    </w:p>
    <w:p>
      <w:pPr>
        <w:ind w:right="220" w:firstLine="589"/>
        <w:spacing w:after="0" w:line="260" w:lineRule="auto"/>
        <w:rPr>
          <w:sz w:val="20"/>
          <w:szCs w:val="20"/>
          <w:color w:val="auto"/>
        </w:rPr>
      </w:pPr>
      <w:r>
        <w:rPr>
          <w:rFonts w:ascii="Arial" w:cs="Arial" w:eastAsia="Arial" w:hAnsi="Arial"/>
          <w:sz w:val="17"/>
          <w:szCs w:val="17"/>
          <w:b w:val="1"/>
          <w:bCs w:val="1"/>
          <w:i w:val="1"/>
          <w:iCs w:val="1"/>
          <w:color w:val="231F20"/>
        </w:rPr>
        <w:t>Flexible Customer Engagement Models</w:t>
      </w:r>
      <w:r>
        <w:rPr>
          <w:rFonts w:ascii="Arial" w:cs="Arial" w:eastAsia="Arial" w:hAnsi="Arial"/>
          <w:sz w:val="17"/>
          <w:szCs w:val="17"/>
          <w:b w:val="1"/>
          <w:bCs w:val="1"/>
          <w:color w:val="231F20"/>
        </w:rPr>
        <w: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Our software is available through several levels of best-in-class customer service, from a self-service interface,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providing customers with transparency and control over their advertising campaigns and underlying data infrastructure to a fully managed end-to-end solution, providing an experienced support team for audiences, execution and advanced reporting.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Strengths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We believe the following attributes and capabilities provide us with long-term competitive advantages:</w:t>
      </w:r>
    </w:p>
    <w:p>
      <w:pPr>
        <w:spacing w:after="0" w:line="207" w:lineRule="exact"/>
        <w:rPr>
          <w:sz w:val="20"/>
          <w:szCs w:val="20"/>
          <w:color w:val="auto"/>
        </w:rPr>
      </w:pPr>
    </w:p>
    <w:p>
      <w:pPr>
        <w:ind w:left="1160" w:hanging="581"/>
        <w:spacing w:after="0" w:line="258" w:lineRule="auto"/>
        <w:tabs>
          <w:tab w:leader="none" w:pos="1160" w:val="left"/>
        </w:tabs>
        <w:numPr>
          <w:ilvl w:val="0"/>
          <w:numId w:val="6"/>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Scalable Self-Service Platform: </w:t>
      </w:r>
      <w:r>
        <w:rPr>
          <w:rFonts w:ascii="Arial" w:cs="Arial" w:eastAsia="Arial" w:hAnsi="Arial"/>
          <w:sz w:val="17"/>
          <w:szCs w:val="17"/>
          <w:color w:val="231F20"/>
        </w:rPr>
        <w:t>We offer a self-service platform that enables customers to operate their ad campaigns without extensive involvement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of our staff. This dynamic allows us to add new customers and allows customers to scale their spend on our platform in a manner that grows our revenue faster than the growth of our personnel costs.</w:t>
      </w:r>
    </w:p>
    <w:p>
      <w:pPr>
        <w:spacing w:after="0" w:line="174" w:lineRule="exact"/>
        <w:rPr>
          <w:rFonts w:ascii="Arial" w:cs="Arial" w:eastAsia="Arial" w:hAnsi="Arial"/>
          <w:sz w:val="17"/>
          <w:szCs w:val="17"/>
          <w:color w:val="231F20"/>
        </w:rPr>
      </w:pPr>
    </w:p>
    <w:p>
      <w:pPr>
        <w:ind w:left="1160" w:right="40" w:hanging="581"/>
        <w:spacing w:after="0" w:line="299" w:lineRule="auto"/>
        <w:tabs>
          <w:tab w:leader="none" w:pos="1160" w:val="left"/>
        </w:tabs>
        <w:numPr>
          <w:ilvl w:val="0"/>
          <w:numId w:val="6"/>
        </w:numPr>
        <w:rPr>
          <w:rFonts w:ascii="Arial" w:cs="Arial" w:eastAsia="Arial" w:hAnsi="Arial"/>
          <w:sz w:val="15"/>
          <w:szCs w:val="15"/>
          <w:color w:val="231F20"/>
        </w:rPr>
      </w:pPr>
      <w:r>
        <w:rPr>
          <w:rFonts w:ascii="Arial" w:cs="Arial" w:eastAsia="Arial" w:hAnsi="Arial"/>
          <w:sz w:val="15"/>
          <w:szCs w:val="15"/>
          <w:b w:val="1"/>
          <w:bCs w:val="1"/>
          <w:i w:val="1"/>
          <w:iCs w:val="1"/>
          <w:color w:val="231F20"/>
        </w:rPr>
        <w:t xml:space="preserve">Centralized Platform: </w:t>
      </w:r>
      <w:r>
        <w:rPr>
          <w:rFonts w:ascii="Arial" w:cs="Arial" w:eastAsia="Arial" w:hAnsi="Arial"/>
          <w:sz w:val="15"/>
          <w:szCs w:val="15"/>
          <w:color w:val="231F20"/>
        </w:rPr>
        <w:t>We believe our software platform enables our customers to plan, buy and measure advertising across more channels than our</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competitors and to centralize the purchase of each type of programmatic media on a single platform. Our supply integrations provide customers with access to approximately 300 million unique desktop and mobile users, approximately 115 million connected TV households, 112 million linear TV households, over 200 million unique digital audio users, and approximately 158,000 unique digital billboards, in the United States.</w:t>
      </w:r>
    </w:p>
    <w:p>
      <w:pPr>
        <w:spacing w:after="0" w:line="146" w:lineRule="exact"/>
        <w:rPr>
          <w:rFonts w:ascii="Arial" w:cs="Arial" w:eastAsia="Arial" w:hAnsi="Arial"/>
          <w:sz w:val="15"/>
          <w:szCs w:val="15"/>
          <w:color w:val="231F20"/>
        </w:rPr>
      </w:pPr>
    </w:p>
    <w:p>
      <w:pPr>
        <w:ind w:left="1160" w:right="20" w:hanging="581"/>
        <w:spacing w:after="0" w:line="299" w:lineRule="auto"/>
        <w:tabs>
          <w:tab w:leader="none" w:pos="1160" w:val="left"/>
        </w:tabs>
        <w:numPr>
          <w:ilvl w:val="0"/>
          <w:numId w:val="6"/>
        </w:numPr>
        <w:rPr>
          <w:rFonts w:ascii="Arial" w:cs="Arial" w:eastAsia="Arial" w:hAnsi="Arial"/>
          <w:sz w:val="15"/>
          <w:szCs w:val="15"/>
          <w:color w:val="231F20"/>
        </w:rPr>
      </w:pPr>
      <w:r>
        <w:rPr>
          <w:rFonts w:ascii="Arial" w:cs="Arial" w:eastAsia="Arial" w:hAnsi="Arial"/>
          <w:sz w:val="15"/>
          <w:szCs w:val="15"/>
          <w:b w:val="1"/>
          <w:bCs w:val="1"/>
          <w:i w:val="1"/>
          <w:iCs w:val="1"/>
          <w:color w:val="231F20"/>
        </w:rPr>
        <w:t xml:space="preserve">Proprietary Technology: </w:t>
      </w:r>
      <w:r>
        <w:rPr>
          <w:rFonts w:ascii="Arial" w:cs="Arial" w:eastAsia="Arial" w:hAnsi="Arial"/>
          <w:sz w:val="15"/>
          <w:szCs w:val="15"/>
          <w:color w:val="231F20"/>
        </w:rPr>
        <w:t>We leverage a robust suite of proprietary tools and products in order to enable our customers to utilize our platform and</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services. We are constantly iterating and developing new tools and products while utilizing our patented technologies and processes. As of December 31, 2021, we held 28 issued patents and 13 additional pending patent applications, which cover many of our proprietary products. As new offerings are developed, we continue to file and obtain patents on the most valuable and innovative products developed at our company.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9" w:name="page10"/>
    <w:bookmarkEnd w:id="9"/>
    <w:p>
      <w:pPr>
        <w:ind w:left="1160" w:right="220" w:hanging="581"/>
        <w:spacing w:after="0" w:line="281" w:lineRule="auto"/>
        <w:tabs>
          <w:tab w:leader="none" w:pos="1160" w:val="left"/>
        </w:tabs>
        <w:numPr>
          <w:ilvl w:val="0"/>
          <w:numId w:val="7"/>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Machine Learning Capabilities: </w:t>
      </w:r>
      <w:r>
        <w:rPr>
          <w:rFonts w:ascii="Arial" w:cs="Arial" w:eastAsia="Arial" w:hAnsi="Arial"/>
          <w:sz w:val="16"/>
          <w:szCs w:val="16"/>
          <w:color w:val="231F20"/>
        </w:rPr>
        <w:t>We enable the use of machine learning, workflow automation, automated reporting and other functionalities that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allow our customers to update and make thousands of changes automatically to help achieve their desired business outcomes. We believe these capabilities make our customers’ lives easier and improve the performance of their campaigns.</w:t>
      </w:r>
    </w:p>
    <w:p>
      <w:pPr>
        <w:spacing w:after="0" w:line="158" w:lineRule="exact"/>
        <w:rPr>
          <w:rFonts w:ascii="Arial" w:cs="Arial" w:eastAsia="Arial" w:hAnsi="Arial"/>
          <w:sz w:val="16"/>
          <w:szCs w:val="16"/>
          <w:color w:val="231F20"/>
        </w:rPr>
      </w:pPr>
    </w:p>
    <w:p>
      <w:pPr>
        <w:ind w:left="1160" w:right="240" w:hanging="581"/>
        <w:spacing w:after="0" w:line="294" w:lineRule="auto"/>
        <w:tabs>
          <w:tab w:leader="none" w:pos="1160" w:val="left"/>
        </w:tabs>
        <w:numPr>
          <w:ilvl w:val="0"/>
          <w:numId w:val="7"/>
        </w:numPr>
        <w:rPr>
          <w:rFonts w:ascii="Arial" w:cs="Arial" w:eastAsia="Arial" w:hAnsi="Arial"/>
          <w:sz w:val="15"/>
          <w:szCs w:val="15"/>
          <w:color w:val="231F20"/>
        </w:rPr>
      </w:pPr>
      <w:r>
        <w:rPr>
          <w:rFonts w:ascii="Arial" w:cs="Arial" w:eastAsia="Arial" w:hAnsi="Arial"/>
          <w:sz w:val="15"/>
          <w:szCs w:val="15"/>
          <w:b w:val="1"/>
          <w:bCs w:val="1"/>
          <w:i w:val="1"/>
          <w:iCs w:val="1"/>
          <w:color w:val="231F20"/>
        </w:rPr>
        <w:t xml:space="preserve">Advanced Reporting and Measurement: </w:t>
      </w:r>
      <w:r>
        <w:rPr>
          <w:rFonts w:ascii="Arial" w:cs="Arial" w:eastAsia="Arial" w:hAnsi="Arial"/>
          <w:sz w:val="15"/>
          <w:szCs w:val="15"/>
          <w:color w:val="231F20"/>
        </w:rPr>
        <w:t>We invest heavily in our measurement capabilities, as we believe this will increase our customers’ usage of our</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software. Our platform measures ROAS across all channels and empowers our customers with real-time insights leveraging people-based data, including foot-traffic reports and multi-touch attribution analytics. Our advanced reporting functionality uses our identity graph that has linked approximately 115 million households to an estimated 1 billion connected devices and is combined with access to approximately 280,000 audience attributes in the United States to provide marketers with a holistic view of measurement across all channels.</w:t>
      </w:r>
    </w:p>
    <w:p>
      <w:pPr>
        <w:spacing w:after="0" w:line="151" w:lineRule="exact"/>
        <w:rPr>
          <w:rFonts w:ascii="Arial" w:cs="Arial" w:eastAsia="Arial" w:hAnsi="Arial"/>
          <w:sz w:val="15"/>
          <w:szCs w:val="15"/>
          <w:color w:val="231F20"/>
        </w:rPr>
      </w:pPr>
    </w:p>
    <w:p>
      <w:pPr>
        <w:jc w:val="both"/>
        <w:ind w:left="1160" w:hanging="581"/>
        <w:spacing w:after="0" w:line="308" w:lineRule="auto"/>
        <w:tabs>
          <w:tab w:leader="none" w:pos="1160" w:val="left"/>
        </w:tabs>
        <w:numPr>
          <w:ilvl w:val="0"/>
          <w:numId w:val="7"/>
        </w:numPr>
        <w:rPr>
          <w:rFonts w:ascii="Arial" w:cs="Arial" w:eastAsia="Arial" w:hAnsi="Arial"/>
          <w:sz w:val="15"/>
          <w:szCs w:val="15"/>
          <w:color w:val="231F20"/>
        </w:rPr>
      </w:pPr>
      <w:r>
        <w:rPr>
          <w:rFonts w:ascii="Arial" w:cs="Arial" w:eastAsia="Arial" w:hAnsi="Arial"/>
          <w:sz w:val="15"/>
          <w:szCs w:val="15"/>
          <w:b w:val="1"/>
          <w:bCs w:val="1"/>
          <w:i w:val="1"/>
          <w:iCs w:val="1"/>
          <w:color w:val="231F20"/>
        </w:rPr>
        <w:t xml:space="preserve">Differentiated People-Based Capabilities: </w:t>
      </w:r>
      <w:r>
        <w:rPr>
          <w:rFonts w:ascii="Arial" w:cs="Arial" w:eastAsia="Arial" w:hAnsi="Arial"/>
          <w:sz w:val="15"/>
          <w:szCs w:val="15"/>
          <w:color w:val="231F20"/>
        </w:rPr>
        <w:t>Our software is built on a people-based framework. We integrate with over 70 data partners using people-based identifiers. We believe this allows for a much more effective and privacy-friendly approach to advertising than using cookies for identification. Our platform is built on a foundation of user consent with advanced consumer opt-out capabilities to keep privacy and security on the forefront.</w:t>
      </w:r>
    </w:p>
    <w:p>
      <w:pPr>
        <w:spacing w:after="0" w:line="141" w:lineRule="exact"/>
        <w:rPr>
          <w:rFonts w:ascii="Arial" w:cs="Arial" w:eastAsia="Arial" w:hAnsi="Arial"/>
          <w:sz w:val="15"/>
          <w:szCs w:val="15"/>
          <w:color w:val="231F20"/>
        </w:rPr>
      </w:pPr>
    </w:p>
    <w:p>
      <w:pPr>
        <w:ind w:left="1160" w:right="120" w:hanging="581"/>
        <w:spacing w:after="0" w:line="258" w:lineRule="auto"/>
        <w:tabs>
          <w:tab w:leader="none" w:pos="116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Experienced Management Team: </w:t>
      </w:r>
      <w:r>
        <w:rPr>
          <w:rFonts w:ascii="Arial" w:cs="Arial" w:eastAsia="Arial" w:hAnsi="Arial"/>
          <w:sz w:val="17"/>
          <w:szCs w:val="17"/>
          <w:color w:val="231F20"/>
        </w:rPr>
        <w:t>Our management team has deep and extensive experience in the advertising technology sector, which we believe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provides us with a competitive advantage. This experience of our management team has allowed us to continue to be innovative in developing solutions for our customers.</w:t>
      </w:r>
    </w:p>
    <w:p>
      <w:pPr>
        <w:spacing w:after="0" w:line="174" w:lineRule="exact"/>
        <w:rPr>
          <w:rFonts w:ascii="Arial" w:cs="Arial" w:eastAsia="Arial" w:hAnsi="Arial"/>
          <w:sz w:val="17"/>
          <w:szCs w:val="17"/>
          <w:color w:val="231F20"/>
        </w:rPr>
      </w:pPr>
    </w:p>
    <w:p>
      <w:pPr>
        <w:ind w:left="1160" w:right="80" w:hanging="581"/>
        <w:spacing w:after="0" w:line="326" w:lineRule="auto"/>
        <w:tabs>
          <w:tab w:leader="none" w:pos="1160" w:val="left"/>
        </w:tabs>
        <w:numPr>
          <w:ilvl w:val="0"/>
          <w:numId w:val="7"/>
        </w:numPr>
        <w:rPr>
          <w:rFonts w:ascii="Arial" w:cs="Arial" w:eastAsia="Arial" w:hAnsi="Arial"/>
          <w:sz w:val="14"/>
          <w:szCs w:val="14"/>
          <w:color w:val="231F20"/>
        </w:rPr>
      </w:pPr>
      <w:r>
        <w:rPr>
          <w:rFonts w:ascii="Arial" w:cs="Arial" w:eastAsia="Arial" w:hAnsi="Arial"/>
          <w:sz w:val="14"/>
          <w:szCs w:val="14"/>
          <w:b w:val="1"/>
          <w:bCs w:val="1"/>
          <w:i w:val="1"/>
          <w:iCs w:val="1"/>
          <w:color w:val="231F20"/>
        </w:rPr>
        <w:t xml:space="preserve">Profitable Business Model: </w:t>
      </w:r>
      <w:r>
        <w:rPr>
          <w:rFonts w:ascii="Arial" w:cs="Arial" w:eastAsia="Arial" w:hAnsi="Arial"/>
          <w:sz w:val="14"/>
          <w:szCs w:val="14"/>
          <w:color w:val="231F20"/>
        </w:rPr>
        <w:t>Because we are a self-service platform, as we add new customers and as customers increase the use of our software, we are</w:t>
      </w:r>
      <w:r>
        <w:rPr>
          <w:rFonts w:ascii="Arial" w:cs="Arial" w:eastAsia="Arial" w:hAnsi="Arial"/>
          <w:sz w:val="14"/>
          <w:szCs w:val="14"/>
          <w:b w:val="1"/>
          <w:bCs w:val="1"/>
          <w:i w:val="1"/>
          <w:iCs w:val="1"/>
          <w:color w:val="231F20"/>
        </w:rPr>
        <w:t xml:space="preserve"> </w:t>
      </w:r>
      <w:r>
        <w:rPr>
          <w:rFonts w:ascii="Arial" w:cs="Arial" w:eastAsia="Arial" w:hAnsi="Arial"/>
          <w:sz w:val="14"/>
          <w:szCs w:val="14"/>
          <w:color w:val="231F20"/>
        </w:rPr>
        <w:t>able to demonstrate strong operating leverage. During the fiscal years ended December 31, 2021 and 2020, our revenue was $224.1 million and $165.3 million, respectively. Our net loss was $37.6 million and our net income was $20.6 million during the fiscal years ended December 31, 2021 and 2020, respectively. Our adjusted EBITDA was $37.1 million and $31.8 million during the fiscal years ended December 31,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Growth Strategy</w:t>
      </w:r>
    </w:p>
    <w:p>
      <w:pPr>
        <w:spacing w:after="0" w:line="211" w:lineRule="exact"/>
        <w:rPr>
          <w:sz w:val="20"/>
          <w:szCs w:val="20"/>
          <w:color w:val="auto"/>
        </w:rPr>
      </w:pPr>
    </w:p>
    <w:p>
      <w:pPr>
        <w:ind w:right="520" w:firstLine="589"/>
        <w:spacing w:after="0" w:line="269" w:lineRule="auto"/>
        <w:rPr>
          <w:sz w:val="20"/>
          <w:szCs w:val="20"/>
          <w:color w:val="auto"/>
        </w:rPr>
      </w:pPr>
      <w:r>
        <w:rPr>
          <w:rFonts w:ascii="Arial" w:cs="Arial" w:eastAsia="Arial" w:hAnsi="Arial"/>
          <w:sz w:val="17"/>
          <w:szCs w:val="17"/>
          <w:color w:val="231F20"/>
        </w:rPr>
        <w:t>We believe that the advertising market is in the early stages of a shift toward programmatic advertising. We intend to capitalize on this opportunity by pursuing the following strategies:</w:t>
      </w:r>
    </w:p>
    <w:p>
      <w:pPr>
        <w:spacing w:after="0" w:line="166" w:lineRule="exact"/>
        <w:rPr>
          <w:sz w:val="20"/>
          <w:szCs w:val="20"/>
          <w:color w:val="auto"/>
        </w:rPr>
      </w:pPr>
    </w:p>
    <w:p>
      <w:pPr>
        <w:jc w:val="both"/>
        <w:ind w:left="1160" w:right="20" w:hanging="581"/>
        <w:spacing w:after="0" w:line="258" w:lineRule="auto"/>
        <w:tabs>
          <w:tab w:leader="none" w:pos="1160" w:val="left"/>
        </w:tabs>
        <w:numPr>
          <w:ilvl w:val="0"/>
          <w:numId w:val="8"/>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Continue to invest in our customers’ success: </w:t>
      </w:r>
      <w:r>
        <w:rPr>
          <w:rFonts w:ascii="Arial" w:cs="Arial" w:eastAsia="Arial" w:hAnsi="Arial"/>
          <w:sz w:val="17"/>
          <w:szCs w:val="17"/>
          <w:color w:val="231F20"/>
        </w:rPr>
        <w:t>Our platform provides extensive functionality designed to provide our customers with a high level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control and enable them to run efficient ad campaigns. We continue to enhance new customer onboarding and support while investing in training and education for customers to maximize their success with the platform.</w:t>
      </w:r>
    </w:p>
    <w:p>
      <w:pPr>
        <w:spacing w:after="0" w:line="174" w:lineRule="exact"/>
        <w:rPr>
          <w:rFonts w:ascii="Arial" w:cs="Arial" w:eastAsia="Arial" w:hAnsi="Arial"/>
          <w:sz w:val="17"/>
          <w:szCs w:val="17"/>
          <w:color w:val="231F20"/>
        </w:rPr>
      </w:pPr>
    </w:p>
    <w:p>
      <w:pPr>
        <w:ind w:left="1160" w:right="100" w:hanging="581"/>
        <w:spacing w:after="0" w:line="326" w:lineRule="auto"/>
        <w:tabs>
          <w:tab w:leader="none" w:pos="1160" w:val="left"/>
        </w:tabs>
        <w:numPr>
          <w:ilvl w:val="0"/>
          <w:numId w:val="8"/>
        </w:numPr>
        <w:rPr>
          <w:rFonts w:ascii="Arial" w:cs="Arial" w:eastAsia="Arial" w:hAnsi="Arial"/>
          <w:sz w:val="14"/>
          <w:szCs w:val="14"/>
          <w:color w:val="231F20"/>
        </w:rPr>
      </w:pPr>
      <w:r>
        <w:rPr>
          <w:rFonts w:ascii="Arial" w:cs="Arial" w:eastAsia="Arial" w:hAnsi="Arial"/>
          <w:sz w:val="14"/>
          <w:szCs w:val="14"/>
          <w:b w:val="1"/>
          <w:bCs w:val="1"/>
          <w:i w:val="1"/>
          <w:iCs w:val="1"/>
          <w:color w:val="231F20"/>
        </w:rPr>
        <w:t xml:space="preserve">Add new customers and increase our customers’ usage of our platform: </w:t>
      </w:r>
      <w:r>
        <w:rPr>
          <w:rFonts w:ascii="Arial" w:cs="Arial" w:eastAsia="Arial" w:hAnsi="Arial"/>
          <w:sz w:val="14"/>
          <w:szCs w:val="14"/>
          <w:color w:val="231F20"/>
        </w:rPr>
        <w:t>We continue to add functionality to our platform to attract new customers</w:t>
      </w:r>
      <w:r>
        <w:rPr>
          <w:rFonts w:ascii="Arial" w:cs="Arial" w:eastAsia="Arial" w:hAnsi="Arial"/>
          <w:sz w:val="14"/>
          <w:szCs w:val="14"/>
          <w:b w:val="1"/>
          <w:bCs w:val="1"/>
          <w:i w:val="1"/>
          <w:iCs w:val="1"/>
          <w:color w:val="231F20"/>
        </w:rPr>
        <w:t xml:space="preserve"> </w:t>
      </w:r>
      <w:r>
        <w:rPr>
          <w:rFonts w:ascii="Arial" w:cs="Arial" w:eastAsia="Arial" w:hAnsi="Arial"/>
          <w:sz w:val="14"/>
          <w:szCs w:val="14"/>
          <w:color w:val="231F20"/>
        </w:rPr>
        <w:t>and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all channels, we believe we are well positioned to capture the increase in programmatic budgets from new and existing customers.</w:t>
      </w:r>
    </w:p>
    <w:p>
      <w:pPr>
        <w:spacing w:after="0" w:line="131" w:lineRule="exact"/>
        <w:rPr>
          <w:rFonts w:ascii="Arial" w:cs="Arial" w:eastAsia="Arial" w:hAnsi="Arial"/>
          <w:sz w:val="14"/>
          <w:szCs w:val="14"/>
          <w:color w:val="231F20"/>
        </w:rPr>
      </w:pPr>
    </w:p>
    <w:p>
      <w:pPr>
        <w:ind w:left="1160" w:right="240" w:hanging="581"/>
        <w:spacing w:after="0" w:line="258" w:lineRule="auto"/>
        <w:tabs>
          <w:tab w:leader="none" w:pos="1160" w:val="left"/>
        </w:tabs>
        <w:numPr>
          <w:ilvl w:val="0"/>
          <w:numId w:val="8"/>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Continue to strengthen our omnichannel partnerships: </w:t>
      </w:r>
      <w:r>
        <w:rPr>
          <w:rFonts w:ascii="Arial" w:cs="Arial" w:eastAsia="Arial" w:hAnsi="Arial"/>
          <w:sz w:val="17"/>
          <w:szCs w:val="17"/>
          <w:color w:val="231F20"/>
        </w:rPr>
        <w:t>We believe we have the largest breadth of advertising inventory across channels in our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industry landscape. We will continue to invest in the integration of new supply partners across all channels, further broadening and deepening our supply of advertising inventory.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0" w:name="page11"/>
    <w:bookmarkEnd w:id="10"/>
    <w:p>
      <w:pPr>
        <w:ind w:left="1160" w:hanging="581"/>
        <w:spacing w:after="0" w:line="300" w:lineRule="auto"/>
        <w:tabs>
          <w:tab w:leader="none" w:pos="1160" w:val="left"/>
        </w:tabs>
        <w:numPr>
          <w:ilvl w:val="0"/>
          <w:numId w:val="9"/>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Expand our sales and marketing investment: </w:t>
      </w:r>
      <w:r>
        <w:rPr>
          <w:rFonts w:ascii="Arial" w:cs="Arial" w:eastAsia="Arial" w:hAnsi="Arial"/>
          <w:sz w:val="16"/>
          <w:szCs w:val="16"/>
          <w:color w:val="231F20"/>
        </w:rPr>
        <w:t>We intend to continue to expand sales and marketing efforts to increase awareness and consideration of</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our platform and promote the advantages of our people-based framework as cookie-based options continue to decline.</w:t>
      </w:r>
    </w:p>
    <w:p>
      <w:pPr>
        <w:spacing w:after="0" w:line="143" w:lineRule="exact"/>
        <w:rPr>
          <w:rFonts w:ascii="Arial" w:cs="Arial" w:eastAsia="Arial" w:hAnsi="Arial"/>
          <w:sz w:val="16"/>
          <w:szCs w:val="16"/>
          <w:color w:val="231F20"/>
        </w:rPr>
      </w:pPr>
    </w:p>
    <w:p>
      <w:pPr>
        <w:ind w:left="1160" w:right="220" w:hanging="581"/>
        <w:spacing w:after="0" w:line="269" w:lineRule="auto"/>
        <w:tabs>
          <w:tab w:leader="none" w:pos="1160" w:val="left"/>
        </w:tabs>
        <w:numPr>
          <w:ilvl w:val="0"/>
          <w:numId w:val="9"/>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Extend our leadership position in people-based advertising: </w:t>
      </w:r>
      <w:r>
        <w:rPr>
          <w:rFonts w:ascii="Arial" w:cs="Arial" w:eastAsia="Arial" w:hAnsi="Arial"/>
          <w:sz w:val="17"/>
          <w:szCs w:val="17"/>
          <w:color w:val="231F20"/>
        </w:rPr>
        <w:t>We believe there is significant value in continuing to invest in enhancing our identity</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resolution capabilities through additional people-based data integrations.</w:t>
      </w:r>
    </w:p>
    <w:p>
      <w:pPr>
        <w:spacing w:after="0" w:line="165" w:lineRule="exact"/>
        <w:rPr>
          <w:rFonts w:ascii="Arial" w:cs="Arial" w:eastAsia="Arial" w:hAnsi="Arial"/>
          <w:sz w:val="17"/>
          <w:szCs w:val="17"/>
          <w:color w:val="231F20"/>
        </w:rPr>
      </w:pPr>
    </w:p>
    <w:p>
      <w:pPr>
        <w:ind w:left="1160" w:right="120" w:hanging="581"/>
        <w:spacing w:after="0" w:line="258" w:lineRule="auto"/>
        <w:tabs>
          <w:tab w:leader="none" w:pos="1160" w:val="left"/>
        </w:tabs>
        <w:numPr>
          <w:ilvl w:val="0"/>
          <w:numId w:val="9"/>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Invest in growth through acquisitions: </w:t>
      </w:r>
      <w:r>
        <w:rPr>
          <w:rFonts w:ascii="Arial" w:cs="Arial" w:eastAsia="Arial" w:hAnsi="Arial"/>
          <w:sz w:val="17"/>
          <w:szCs w:val="17"/>
          <w:color w:val="231F20"/>
        </w:rPr>
        <w:t>We also intend to invest in acquisitions that will allow us to offer new products and capitalize on our large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and growing market opportunity. To the extent we find attractive acquisition candidates and business opportunities in the future, we may continue to acquire complementary businesses, products and technologies.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4984750" cy="2524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475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589"/>
        <w:spacing w:after="0" w:line="308" w:lineRule="auto"/>
        <w:rPr>
          <w:sz w:val="20"/>
          <w:szCs w:val="20"/>
          <w:color w:val="auto"/>
        </w:rPr>
      </w:pPr>
      <w:r>
        <w:rPr>
          <w:rFonts w:ascii="Arial" w:cs="Arial" w:eastAsia="Arial" w:hAnsi="Arial"/>
          <w:sz w:val="15"/>
          <w:szCs w:val="15"/>
          <w:color w:val="auto"/>
        </w:rPr>
        <w:t>Viant’s DSP, Adelphic®, enables a marketer or their agency to programmatically buy an ad in linear television, a digital billboard on the side of the highway, a streaming ad on connected TVs, an ad in a mobile application, creatively within gameplay, during a podcast, or a dynamically personalized ad on any website, all within a single user interface. As illustrated by the graphic above, we believe that our software sits at the center of the digital advertising ecosystem.</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key components of our platform include:</w:t>
      </w:r>
    </w:p>
    <w:p>
      <w:pPr>
        <w:spacing w:after="0" w:line="207" w:lineRule="exact"/>
        <w:rPr>
          <w:sz w:val="20"/>
          <w:szCs w:val="20"/>
          <w:color w:val="auto"/>
        </w:rPr>
      </w:pPr>
    </w:p>
    <w:p>
      <w:pPr>
        <w:ind w:left="1160" w:right="320" w:hanging="581"/>
        <w:spacing w:after="0" w:line="25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Interoperable DSP: </w:t>
      </w:r>
      <w:r>
        <w:rPr>
          <w:rFonts w:ascii="Arial" w:cs="Arial" w:eastAsia="Arial" w:hAnsi="Arial"/>
          <w:sz w:val="17"/>
          <w:szCs w:val="17"/>
          <w:color w:val="auto"/>
        </w:rPr>
        <w:t>Our holistic, omnichannel DSP enables brands and agencies to seamlessly target and measure key audiences across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supply from premium publishers within CTV, digital out-of-home, mobile, audio, in-game, desktop and more without having to constantly switch between platforms.</w:t>
      </w:r>
    </w:p>
    <w:p>
      <w:pPr>
        <w:spacing w:after="0" w:line="174" w:lineRule="exact"/>
        <w:rPr>
          <w:rFonts w:ascii="Arial" w:cs="Arial" w:eastAsia="Arial" w:hAnsi="Arial"/>
          <w:sz w:val="17"/>
          <w:szCs w:val="17"/>
          <w:color w:val="auto"/>
        </w:rPr>
      </w:pPr>
    </w:p>
    <w:p>
      <w:pPr>
        <w:ind w:left="1160" w:hanging="581"/>
        <w:spacing w:after="0" w:line="25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Forecasting. </w:t>
      </w:r>
      <w:r>
        <w:rPr>
          <w:rFonts w:ascii="Arial" w:cs="Arial" w:eastAsia="Arial" w:hAnsi="Arial"/>
          <w:sz w:val="17"/>
          <w:szCs w:val="17"/>
          <w:color w:val="auto"/>
        </w:rPr>
        <w:t>Our platform allows customers to plan future marketing campaigns based on desired targeting tactics by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bid request data to project performance onto available inventory. Customers can easily apply multiple data segmentation filters and see what ad inventory is available and at what price.</w:t>
      </w:r>
    </w:p>
    <w:p>
      <w:pPr>
        <w:spacing w:after="0" w:line="174" w:lineRule="exact"/>
        <w:rPr>
          <w:rFonts w:ascii="Arial" w:cs="Arial" w:eastAsia="Arial" w:hAnsi="Arial"/>
          <w:sz w:val="17"/>
          <w:szCs w:val="17"/>
          <w:color w:val="auto"/>
        </w:rPr>
      </w:pPr>
    </w:p>
    <w:p>
      <w:pPr>
        <w:ind w:left="1160" w:right="540" w:hanging="581"/>
        <w:spacing w:after="0" w:line="26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Ease of Use. </w:t>
      </w:r>
      <w:r>
        <w:rPr>
          <w:rFonts w:ascii="Arial" w:cs="Arial" w:eastAsia="Arial" w:hAnsi="Arial"/>
          <w:sz w:val="17"/>
          <w:szCs w:val="17"/>
          <w:color w:val="auto"/>
        </w:rPr>
        <w:t>Our intuitive user interface enables marketers to seamlessly move from forecasting to launching live advertising campaigns. This</w:t>
      </w:r>
      <w:r>
        <w:rPr>
          <w:rFonts w:ascii="Arial" w:cs="Arial" w:eastAsia="Arial" w:hAnsi="Arial"/>
          <w:sz w:val="17"/>
          <w:szCs w:val="17"/>
          <w:i w:val="1"/>
          <w:iCs w:val="1"/>
          <w:color w:val="auto"/>
        </w:rPr>
        <w:t xml:space="preserve"> </w:t>
      </w:r>
      <w:r>
        <w:rPr>
          <w:rFonts w:ascii="Arial" w:cs="Arial" w:eastAsia="Arial" w:hAnsi="Arial"/>
          <w:sz w:val="17"/>
          <w:szCs w:val="17"/>
          <w:color w:val="auto"/>
        </w:rPr>
        <w:t>reduces the time from planning a campaign to execution,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ind w:left="1160" w:right="280"/>
        <w:spacing w:after="0" w:line="269" w:lineRule="auto"/>
        <w:rPr>
          <w:sz w:val="20"/>
          <w:szCs w:val="20"/>
          <w:color w:val="auto"/>
        </w:rPr>
      </w:pPr>
      <w:r>
        <w:rPr>
          <w:rFonts w:ascii="Arial" w:cs="Arial" w:eastAsia="Arial" w:hAnsi="Arial"/>
          <w:sz w:val="17"/>
          <w:szCs w:val="17"/>
          <w:color w:val="auto"/>
        </w:rPr>
        <w:t>helping marketers to fluidly execute deterministic cross-channel campaigns using a variety of quality data and supply partners to reach their target audience.</w:t>
      </w:r>
    </w:p>
    <w:p>
      <w:pPr>
        <w:spacing w:after="0" w:line="166" w:lineRule="exact"/>
        <w:rPr>
          <w:sz w:val="20"/>
          <w:szCs w:val="20"/>
          <w:color w:val="auto"/>
        </w:rPr>
      </w:pPr>
    </w:p>
    <w:p>
      <w:pPr>
        <w:jc w:val="both"/>
        <w:ind w:left="1160" w:right="140" w:hanging="581"/>
        <w:spacing w:after="0" w:line="28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Campaign Decisioning. </w:t>
      </w:r>
      <w:r>
        <w:rPr>
          <w:rFonts w:ascii="Arial" w:cs="Arial" w:eastAsia="Arial" w:hAnsi="Arial"/>
          <w:sz w:val="16"/>
          <w:szCs w:val="16"/>
          <w:color w:val="auto"/>
        </w:rPr>
        <w:t>We offer the ability to continuously measure and optimize campaigns by leveraging powerful KPIs directly within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reports. Marketers have the ability to optimize campaigns in-flight, even if they have already started. This granular decision-making ability provides customers more accurate and real-time understanding over </w:t>
      </w:r>
      <w:r>
        <w:rPr>
          <w:rFonts w:ascii="Arial" w:cs="Arial" w:eastAsia="Arial" w:hAnsi="Arial"/>
          <w:sz w:val="16"/>
          <w:szCs w:val="16"/>
          <w:color w:val="231F20"/>
        </w:rPr>
        <w:t>the performance of their live campaigns.</w:t>
      </w:r>
    </w:p>
    <w:p>
      <w:pPr>
        <w:spacing w:after="0" w:line="159" w:lineRule="exact"/>
        <w:rPr>
          <w:sz w:val="20"/>
          <w:szCs w:val="20"/>
          <w:color w:val="auto"/>
        </w:rPr>
      </w:pPr>
    </w:p>
    <w:p>
      <w:pPr>
        <w:jc w:val="both"/>
        <w:ind w:right="180" w:firstLine="589"/>
        <w:spacing w:after="0" w:line="308" w:lineRule="auto"/>
        <w:rPr>
          <w:sz w:val="20"/>
          <w:szCs w:val="20"/>
          <w:color w:val="auto"/>
        </w:rPr>
      </w:pPr>
      <w:r>
        <w:rPr>
          <w:rFonts w:ascii="Arial" w:cs="Arial" w:eastAsia="Arial" w:hAnsi="Arial"/>
          <w:sz w:val="15"/>
          <w:szCs w:val="15"/>
          <w:b w:val="1"/>
          <w:bCs w:val="1"/>
          <w:i w:val="1"/>
          <w:iCs w:val="1"/>
          <w:color w:val="231F20"/>
        </w:rPr>
        <w:t xml:space="preserve">Viant Household ID: </w:t>
      </w:r>
      <w:r>
        <w:rPr>
          <w:rFonts w:ascii="Arial" w:cs="Arial" w:eastAsia="Arial" w:hAnsi="Arial"/>
          <w:sz w:val="15"/>
          <w:szCs w:val="15"/>
          <w:color w:val="231F20"/>
        </w:rPr>
        <w:t>Adelphic software has exclusive access to the VHHID, making it a people-based DSP, already operating in cookieless environments</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including CTV and mobile apps. The VHHID powers data, channel and publisher interoperability providing simple and effective advertising</w:t>
      </w:r>
      <w:r>
        <w:rPr>
          <w:rFonts w:ascii="Arial" w:cs="Arial" w:eastAsia="Arial" w:hAnsi="Arial"/>
          <w:sz w:val="15"/>
          <w:szCs w:val="15"/>
          <w:b w:val="1"/>
          <w:bCs w:val="1"/>
          <w:i w:val="1"/>
          <w:iCs w:val="1"/>
          <w:color w:val="231F20"/>
        </w:rPr>
        <w:t>.</w:t>
      </w:r>
      <w:r>
        <w:rPr>
          <w:rFonts w:ascii="Arial" w:cs="Arial" w:eastAsia="Arial" w:hAnsi="Arial"/>
          <w:sz w:val="15"/>
          <w:szCs w:val="15"/>
          <w:color w:val="231F20"/>
        </w:rPr>
        <w:t xml:space="preserve"> Marketers can easily sync customer data, build custom audiences, extend target audiences and understand audience insights seamlessly within our software.</w:t>
      </w:r>
    </w:p>
    <w:p>
      <w:pPr>
        <w:spacing w:after="0" w:line="141" w:lineRule="exact"/>
        <w:rPr>
          <w:sz w:val="20"/>
          <w:szCs w:val="20"/>
          <w:color w:val="auto"/>
        </w:rPr>
      </w:pPr>
    </w:p>
    <w:p>
      <w:pPr>
        <w:ind w:left="1160" w:right="420" w:hanging="581"/>
        <w:spacing w:after="0" w:line="26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Cookieless Solution. </w:t>
      </w:r>
      <w:r>
        <w:rPr>
          <w:rFonts w:ascii="Arial" w:cs="Arial" w:eastAsia="Arial" w:hAnsi="Arial"/>
          <w:sz w:val="17"/>
          <w:szCs w:val="17"/>
          <w:color w:val="auto"/>
        </w:rPr>
        <w:t>The VHHID provides marketers the scalability, addressability, measurability and privacy compliance necessary for success</w:t>
      </w:r>
      <w:r>
        <w:rPr>
          <w:rFonts w:ascii="Arial" w:cs="Arial" w:eastAsia="Arial" w:hAnsi="Arial"/>
          <w:sz w:val="17"/>
          <w:szCs w:val="17"/>
          <w:i w:val="1"/>
          <w:iCs w:val="1"/>
          <w:color w:val="auto"/>
        </w:rPr>
        <w:t xml:space="preserve"> </w:t>
      </w:r>
      <w:r>
        <w:rPr>
          <w:rFonts w:ascii="Arial" w:cs="Arial" w:eastAsia="Arial" w:hAnsi="Arial"/>
          <w:sz w:val="17"/>
          <w:szCs w:val="17"/>
          <w:color w:val="auto"/>
        </w:rPr>
        <w:t>today. This patented technology unlocks many benefits such as:</w:t>
      </w:r>
    </w:p>
    <w:p>
      <w:pPr>
        <w:spacing w:after="0" w:line="65" w:lineRule="exact"/>
        <w:rPr>
          <w:rFonts w:ascii="Arial" w:cs="Arial" w:eastAsia="Arial" w:hAnsi="Arial"/>
          <w:sz w:val="17"/>
          <w:szCs w:val="17"/>
          <w:color w:val="auto"/>
        </w:rPr>
      </w:pPr>
    </w:p>
    <w:p>
      <w:pPr>
        <w:ind w:left="2160" w:hanging="436"/>
        <w:spacing w:after="0"/>
        <w:tabs>
          <w:tab w:leader="none" w:pos="2160" w:val="left"/>
        </w:tabs>
        <w:numPr>
          <w:ilvl w:val="1"/>
          <w:numId w:val="12"/>
        </w:numPr>
        <w:rPr>
          <w:rFonts w:ascii="Arial" w:cs="Arial" w:eastAsia="Arial" w:hAnsi="Arial"/>
          <w:sz w:val="16"/>
          <w:szCs w:val="16"/>
          <w:color w:val="auto"/>
        </w:rPr>
      </w:pPr>
      <w:r>
        <w:rPr>
          <w:rFonts w:ascii="Arial" w:cs="Arial" w:eastAsia="Arial" w:hAnsi="Arial"/>
          <w:sz w:val="16"/>
          <w:szCs w:val="16"/>
          <w:color w:val="1C2838"/>
        </w:rPr>
        <w:t>built-in cross-device conversion tracking, allowing marketers to target all eligible devices in a household to drive conversions;</w:t>
      </w:r>
    </w:p>
    <w:p>
      <w:pPr>
        <w:spacing w:after="0" w:line="231" w:lineRule="exact"/>
        <w:rPr>
          <w:rFonts w:ascii="Arial" w:cs="Arial" w:eastAsia="Arial" w:hAnsi="Arial"/>
          <w:sz w:val="16"/>
          <w:szCs w:val="16"/>
          <w:color w:val="auto"/>
        </w:rPr>
      </w:pPr>
    </w:p>
    <w:p>
      <w:pPr>
        <w:ind w:left="2160" w:hanging="436"/>
        <w:spacing w:after="0" w:line="269" w:lineRule="auto"/>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1C2838"/>
        </w:rPr>
        <w:t>universal frequency management at scale, eliminating the need to control frequency in silos based on channel and/or device limitations; and</w:t>
      </w:r>
    </w:p>
    <w:p>
      <w:pPr>
        <w:spacing w:after="0" w:line="153" w:lineRule="exact"/>
        <w:rPr>
          <w:rFonts w:ascii="Arial" w:cs="Arial" w:eastAsia="Arial" w:hAnsi="Arial"/>
          <w:sz w:val="17"/>
          <w:szCs w:val="17"/>
          <w:color w:val="auto"/>
        </w:rPr>
      </w:pPr>
    </w:p>
    <w:p>
      <w:pPr>
        <w:ind w:left="2160" w:hanging="436"/>
        <w:spacing w:after="0"/>
        <w:tabs>
          <w:tab w:leader="none" w:pos="2160" w:val="left"/>
        </w:tabs>
        <w:numPr>
          <w:ilvl w:val="1"/>
          <w:numId w:val="12"/>
        </w:numPr>
        <w:rPr>
          <w:rFonts w:ascii="Arial" w:cs="Arial" w:eastAsia="Arial" w:hAnsi="Arial"/>
          <w:sz w:val="16"/>
          <w:szCs w:val="16"/>
          <w:color w:val="auto"/>
        </w:rPr>
      </w:pPr>
      <w:r>
        <w:rPr>
          <w:rFonts w:ascii="Arial" w:cs="Arial" w:eastAsia="Arial" w:hAnsi="Arial"/>
          <w:sz w:val="16"/>
          <w:szCs w:val="16"/>
          <w:color w:val="1C2838"/>
        </w:rPr>
        <w:t>tracking uniformity and identity persistence across all browsers and tracking environments with otherwise fragmented identifiers.</w:t>
      </w:r>
    </w:p>
    <w:p>
      <w:pPr>
        <w:spacing w:after="0" w:line="331" w:lineRule="exact"/>
        <w:rPr>
          <w:rFonts w:ascii="Arial" w:cs="Arial" w:eastAsia="Arial" w:hAnsi="Arial"/>
          <w:sz w:val="16"/>
          <w:szCs w:val="16"/>
          <w:color w:val="auto"/>
        </w:rPr>
      </w:pPr>
    </w:p>
    <w:p>
      <w:pPr>
        <w:ind w:left="1160" w:right="160" w:hanging="581"/>
        <w:spacing w:after="0" w:line="25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Onboarding. </w:t>
      </w:r>
      <w:r>
        <w:rPr>
          <w:rFonts w:ascii="Arial" w:cs="Arial" w:eastAsia="Arial" w:hAnsi="Arial"/>
          <w:sz w:val="17"/>
          <w:szCs w:val="17"/>
          <w:color w:val="auto"/>
        </w:rPr>
        <w:t>Through our simple interface, marketers can safely and securely upload and leverage their first-party data using the VHHID. This</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marketers to onboard their first-party data and instantly gain a view into their customers’ top attributes, create targeting segments and easily activate and measure these customer segments across cookieless environments.</w:t>
      </w:r>
    </w:p>
    <w:p>
      <w:pPr>
        <w:spacing w:after="0" w:line="174" w:lineRule="exact"/>
        <w:rPr>
          <w:rFonts w:ascii="Arial" w:cs="Arial" w:eastAsia="Arial" w:hAnsi="Arial"/>
          <w:sz w:val="17"/>
          <w:szCs w:val="17"/>
          <w:color w:val="auto"/>
        </w:rPr>
      </w:pPr>
    </w:p>
    <w:p>
      <w:pPr>
        <w:ind w:left="1160" w:right="460" w:hanging="581"/>
        <w:spacing w:after="0" w:line="26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Lookalike Modeling. </w:t>
      </w:r>
      <w:r>
        <w:rPr>
          <w:rFonts w:ascii="Arial" w:cs="Arial" w:eastAsia="Arial" w:hAnsi="Arial"/>
          <w:sz w:val="17"/>
          <w:szCs w:val="17"/>
          <w:color w:val="auto"/>
        </w:rPr>
        <w:t>We help expand the reach of an existing audience segment or prospect list for new customers for extended scale of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audiences.</w:t>
      </w:r>
    </w:p>
    <w:p>
      <w:pPr>
        <w:spacing w:after="0" w:line="165" w:lineRule="exact"/>
        <w:rPr>
          <w:rFonts w:ascii="Arial" w:cs="Arial" w:eastAsia="Arial" w:hAnsi="Arial"/>
          <w:sz w:val="17"/>
          <w:szCs w:val="17"/>
          <w:color w:val="auto"/>
        </w:rPr>
      </w:pPr>
    </w:p>
    <w:p>
      <w:pPr>
        <w:ind w:left="1160" w:right="260" w:hanging="581"/>
        <w:spacing w:after="0" w:line="299" w:lineRule="auto"/>
        <w:tabs>
          <w:tab w:leader="none" w:pos="116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People-Based Targeting and Data Integrations. </w:t>
      </w:r>
      <w:r>
        <w:rPr>
          <w:rFonts w:ascii="Arial" w:cs="Arial" w:eastAsia="Arial" w:hAnsi="Arial"/>
          <w:sz w:val="15"/>
          <w:szCs w:val="15"/>
          <w:color w:val="auto"/>
        </w:rPr>
        <w:t>Viant’s people-based approach allows brands to connect with real households and individuals with</w:t>
      </w:r>
      <w:r>
        <w:rPr>
          <w:rFonts w:ascii="Arial" w:cs="Arial" w:eastAsia="Arial" w:hAnsi="Arial"/>
          <w:sz w:val="15"/>
          <w:szCs w:val="15"/>
          <w:i w:val="1"/>
          <w:iCs w:val="1"/>
          <w:color w:val="auto"/>
        </w:rPr>
        <w:t xml:space="preserve"> </w:t>
      </w:r>
      <w:r>
        <w:rPr>
          <w:rFonts w:ascii="Arial" w:cs="Arial" w:eastAsia="Arial" w:hAnsi="Arial"/>
          <w:sz w:val="15"/>
          <w:szCs w:val="15"/>
          <w:color w:val="auto"/>
        </w:rPr>
        <w:t>accurate reach and frequency. Our integrations with more than 70 data providers allow for extensive identity mapping, giving users the ability to target consumers based on purchase behaviors, location, TV viewership insights and much more. Superior integrations with TV viewership data providers present users with one of the most established, scalable and accurate CTV footprints in the market.</w:t>
      </w:r>
    </w:p>
    <w:p>
      <w:pPr>
        <w:spacing w:after="0" w:line="146" w:lineRule="exact"/>
        <w:rPr>
          <w:rFonts w:ascii="Arial" w:cs="Arial" w:eastAsia="Arial" w:hAnsi="Arial"/>
          <w:sz w:val="15"/>
          <w:szCs w:val="15"/>
          <w:color w:val="auto"/>
        </w:rPr>
      </w:pPr>
    </w:p>
    <w:p>
      <w:pPr>
        <w:ind w:left="1160" w:right="280" w:hanging="581"/>
        <w:spacing w:after="0" w:line="26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Privacy and Security. </w:t>
      </w:r>
      <w:r>
        <w:rPr>
          <w:rFonts w:ascii="Arial" w:cs="Arial" w:eastAsia="Arial" w:hAnsi="Arial"/>
          <w:sz w:val="17"/>
          <w:szCs w:val="17"/>
          <w:color w:val="auto"/>
        </w:rPr>
        <w:t>We believe in giving consumers more transparency, choice and control over how their data is used in digital advertising. We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most advanced hashing protocols and make data protection a top priority for consumers and customers.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 xml:space="preserve">Advanced Reporting: </w:t>
      </w:r>
      <w:r>
        <w:rPr>
          <w:rFonts w:ascii="Arial" w:cs="Arial" w:eastAsia="Arial" w:hAnsi="Arial"/>
          <w:sz w:val="17"/>
          <w:szCs w:val="17"/>
          <w:color w:val="231F20"/>
        </w:rPr>
        <w:t>We close the loop on digital and traditional media by linking advertising spend to online and offline sales.</w:t>
      </w:r>
    </w:p>
    <w:p>
      <w:pPr>
        <w:spacing w:after="0" w:line="207" w:lineRule="exact"/>
        <w:rPr>
          <w:sz w:val="20"/>
          <w:szCs w:val="20"/>
          <w:color w:val="auto"/>
        </w:rPr>
      </w:pPr>
    </w:p>
    <w:p>
      <w:pPr>
        <w:ind w:left="1160" w:right="60" w:hanging="581"/>
        <w:spacing w:after="0" w:line="269" w:lineRule="auto"/>
        <w:tabs>
          <w:tab w:leader="none" w:pos="1160" w:val="left"/>
        </w:tabs>
        <w:numPr>
          <w:ilvl w:val="0"/>
          <w:numId w:val="13"/>
        </w:numPr>
        <w:rPr>
          <w:rFonts w:ascii="Arial" w:cs="Arial" w:eastAsia="Arial" w:hAnsi="Arial"/>
          <w:sz w:val="17"/>
          <w:szCs w:val="17"/>
          <w:color w:val="231F20"/>
        </w:rPr>
      </w:pPr>
      <w:r>
        <w:rPr>
          <w:rFonts w:ascii="Arial" w:cs="Arial" w:eastAsia="Arial" w:hAnsi="Arial"/>
          <w:sz w:val="17"/>
          <w:szCs w:val="17"/>
          <w:i w:val="1"/>
          <w:iCs w:val="1"/>
          <w:color w:val="231F20"/>
        </w:rPr>
        <w:t xml:space="preserve">Reach and Frequency. </w:t>
      </w:r>
      <w:r>
        <w:rPr>
          <w:rFonts w:ascii="Arial" w:cs="Arial" w:eastAsia="Arial" w:hAnsi="Arial"/>
          <w:sz w:val="17"/>
          <w:szCs w:val="17"/>
          <w:color w:val="231F20"/>
        </w:rPr>
        <w:t>Our platform accurately measures how many households and unique users an advertising campaign reached and the frequency</w:t>
      </w:r>
      <w:r>
        <w:rPr>
          <w:rFonts w:ascii="Arial" w:cs="Arial" w:eastAsia="Arial" w:hAnsi="Arial"/>
          <w:sz w:val="17"/>
          <w:szCs w:val="17"/>
          <w:i w:val="1"/>
          <w:iCs w:val="1"/>
          <w:color w:val="231F20"/>
        </w:rPr>
        <w:t xml:space="preserve"> </w:t>
      </w:r>
      <w:r>
        <w:rPr>
          <w:rFonts w:ascii="Arial" w:cs="Arial" w:eastAsia="Arial" w:hAnsi="Arial"/>
          <w:sz w:val="17"/>
          <w:szCs w:val="17"/>
          <w:color w:val="231F20"/>
        </w:rPr>
        <w:t>of exposures.</w:t>
      </w:r>
    </w:p>
    <w:p>
      <w:pPr>
        <w:spacing w:after="0" w:line="165" w:lineRule="exact"/>
        <w:rPr>
          <w:rFonts w:ascii="Arial" w:cs="Arial" w:eastAsia="Arial" w:hAnsi="Arial"/>
          <w:sz w:val="17"/>
          <w:szCs w:val="17"/>
          <w:color w:val="231F20"/>
        </w:rPr>
      </w:pPr>
    </w:p>
    <w:p>
      <w:pPr>
        <w:ind w:left="1160" w:right="180" w:hanging="581"/>
        <w:spacing w:after="0" w:line="269" w:lineRule="auto"/>
        <w:tabs>
          <w:tab w:leader="none" w:pos="1160" w:val="left"/>
        </w:tabs>
        <w:numPr>
          <w:ilvl w:val="0"/>
          <w:numId w:val="13"/>
        </w:numPr>
        <w:rPr>
          <w:rFonts w:ascii="Arial" w:cs="Arial" w:eastAsia="Arial" w:hAnsi="Arial"/>
          <w:sz w:val="17"/>
          <w:szCs w:val="17"/>
          <w:color w:val="231F20"/>
        </w:rPr>
      </w:pPr>
      <w:r>
        <w:rPr>
          <w:rFonts w:ascii="Arial" w:cs="Arial" w:eastAsia="Arial" w:hAnsi="Arial"/>
          <w:sz w:val="17"/>
          <w:szCs w:val="17"/>
          <w:i w:val="1"/>
          <w:iCs w:val="1"/>
          <w:color w:val="231F20"/>
        </w:rPr>
        <w:t xml:space="preserve">Cross-Channel Reporting. </w:t>
      </w:r>
      <w:r>
        <w:rPr>
          <w:rFonts w:ascii="Arial" w:cs="Arial" w:eastAsia="Arial" w:hAnsi="Arial"/>
          <w:sz w:val="17"/>
          <w:szCs w:val="17"/>
          <w:color w:val="231F20"/>
        </w:rPr>
        <w:t>Our cross-channel reporting capabilities equip customers to analyze cross-device and cross-channel campaign impact on</w:t>
      </w:r>
      <w:r>
        <w:rPr>
          <w:rFonts w:ascii="Arial" w:cs="Arial" w:eastAsia="Arial" w:hAnsi="Arial"/>
          <w:sz w:val="17"/>
          <w:szCs w:val="17"/>
          <w:i w:val="1"/>
          <w:iCs w:val="1"/>
          <w:color w:val="231F20"/>
        </w:rPr>
        <w:t xml:space="preserve"> </w:t>
      </w:r>
      <w:r>
        <w:rPr>
          <w:rFonts w:ascii="Arial" w:cs="Arial" w:eastAsia="Arial" w:hAnsi="Arial"/>
          <w:sz w:val="17"/>
          <w:szCs w:val="17"/>
          <w:color w:val="231F20"/>
        </w:rPr>
        <w:t>sales and other KPIs.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ind w:left="1160" w:right="200" w:hanging="581"/>
        <w:spacing w:after="0" w:line="300" w:lineRule="auto"/>
        <w:tabs>
          <w:tab w:leader="none" w:pos="116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TV vs Digital reporting provides insights into the impact connected and linear television advertising has on driving digital engagement like website visits or conversions, as well as offline sales. These insights create better visibility into the true ROAS of TV ad campaigns.</w:t>
      </w:r>
    </w:p>
    <w:p>
      <w:pPr>
        <w:spacing w:after="0" w:line="143" w:lineRule="exact"/>
        <w:rPr>
          <w:rFonts w:ascii="Arial" w:cs="Arial" w:eastAsia="Arial" w:hAnsi="Arial"/>
          <w:sz w:val="16"/>
          <w:szCs w:val="16"/>
          <w:color w:val="231F20"/>
        </w:rPr>
      </w:pPr>
    </w:p>
    <w:p>
      <w:pPr>
        <w:ind w:left="1160" w:right="220" w:hanging="581"/>
        <w:spacing w:after="0" w:line="258" w:lineRule="auto"/>
        <w:tabs>
          <w:tab w:leader="none" w:pos="116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Multi-Touch Attribution gives customers the ability to receive insights into where target audiences are interacting with brands, the impact of touchpoints across channels and devices and the order of steps along the conversion journey. The resulting holistic view of ad performance enables customers to close the loop on measurement and better link spend to sales.</w:t>
      </w:r>
    </w:p>
    <w:p>
      <w:pPr>
        <w:spacing w:after="0" w:line="174" w:lineRule="exact"/>
        <w:rPr>
          <w:rFonts w:ascii="Arial" w:cs="Arial" w:eastAsia="Arial" w:hAnsi="Arial"/>
          <w:sz w:val="17"/>
          <w:szCs w:val="17"/>
          <w:color w:val="231F20"/>
        </w:rPr>
      </w:pPr>
    </w:p>
    <w:p>
      <w:pPr>
        <w:ind w:left="1160" w:hanging="581"/>
        <w:spacing w:after="0" w:line="252" w:lineRule="auto"/>
        <w:tabs>
          <w:tab w:leader="none" w:pos="116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Conversion Lift Reporting helps advertisers understand the impact of media in driving conversions. Ghost bids are a control group made up of consumers who were within the campaign targeting criteria and active on the programmatic network, on whom a bid request was placed to show them the campaign ad, but the bid was lost. Those impressions are then passively tracked and included in the control group. By leveraging ghost bids to create a control group, customers can see how much impact their media has in driving incremental conversions and use these insights to refine their optimization strategy for better results and investment impact.</w:t>
      </w:r>
    </w:p>
    <w:p>
      <w:pPr>
        <w:spacing w:after="0" w:line="181" w:lineRule="exact"/>
        <w:rPr>
          <w:rFonts w:ascii="Arial" w:cs="Arial" w:eastAsia="Arial" w:hAnsi="Arial"/>
          <w:sz w:val="17"/>
          <w:szCs w:val="17"/>
          <w:color w:val="231F20"/>
        </w:rPr>
      </w:pPr>
    </w:p>
    <w:p>
      <w:pPr>
        <w:ind w:left="1160" w:right="80" w:hanging="581"/>
        <w:spacing w:after="0" w:line="269" w:lineRule="auto"/>
        <w:tabs>
          <w:tab w:leader="none" w:pos="1160" w:val="left"/>
        </w:tabs>
        <w:numPr>
          <w:ilvl w:val="0"/>
          <w:numId w:val="14"/>
        </w:numPr>
        <w:rPr>
          <w:rFonts w:ascii="Arial" w:cs="Arial" w:eastAsia="Arial" w:hAnsi="Arial"/>
          <w:sz w:val="17"/>
          <w:szCs w:val="17"/>
          <w:color w:val="231F20"/>
        </w:rPr>
      </w:pPr>
      <w:r>
        <w:rPr>
          <w:rFonts w:ascii="Arial" w:cs="Arial" w:eastAsia="Arial" w:hAnsi="Arial"/>
          <w:sz w:val="17"/>
          <w:szCs w:val="17"/>
          <w:i w:val="1"/>
          <w:iCs w:val="1"/>
          <w:color w:val="231F20"/>
        </w:rPr>
        <w:t xml:space="preserve">Foot Traffic Attribution. </w:t>
      </w:r>
      <w:r>
        <w:rPr>
          <w:rFonts w:ascii="Arial" w:cs="Arial" w:eastAsia="Arial" w:hAnsi="Arial"/>
          <w:sz w:val="17"/>
          <w:szCs w:val="17"/>
          <w:color w:val="231F20"/>
        </w:rPr>
        <w:t>Our foot traffic data reporting capabilities allow customers to analyze the impact of their ad campaigns on driving visits to a</w:t>
      </w:r>
      <w:r>
        <w:rPr>
          <w:rFonts w:ascii="Arial" w:cs="Arial" w:eastAsia="Arial" w:hAnsi="Arial"/>
          <w:sz w:val="17"/>
          <w:szCs w:val="17"/>
          <w:i w:val="1"/>
          <w:iCs w:val="1"/>
          <w:color w:val="231F20"/>
        </w:rPr>
        <w:t xml:space="preserve"> </w:t>
      </w:r>
      <w:r>
        <w:rPr>
          <w:rFonts w:ascii="Arial" w:cs="Arial" w:eastAsia="Arial" w:hAnsi="Arial"/>
          <w:sz w:val="17"/>
          <w:szCs w:val="17"/>
          <w:color w:val="231F20"/>
        </w:rPr>
        <w:t>physical location.</w:t>
      </w:r>
    </w:p>
    <w:p>
      <w:pPr>
        <w:spacing w:after="0" w:line="165" w:lineRule="exact"/>
        <w:rPr>
          <w:rFonts w:ascii="Arial" w:cs="Arial" w:eastAsia="Arial" w:hAnsi="Arial"/>
          <w:sz w:val="17"/>
          <w:szCs w:val="17"/>
          <w:color w:val="231F20"/>
        </w:rPr>
      </w:pPr>
    </w:p>
    <w:p>
      <w:pPr>
        <w:ind w:left="1160" w:right="60" w:hanging="581"/>
        <w:spacing w:after="0" w:line="337" w:lineRule="auto"/>
        <w:tabs>
          <w:tab w:leader="none" w:pos="1160" w:val="left"/>
        </w:tabs>
        <w:numPr>
          <w:ilvl w:val="0"/>
          <w:numId w:val="14"/>
        </w:numPr>
        <w:rPr>
          <w:rFonts w:ascii="Arial" w:cs="Arial" w:eastAsia="Arial" w:hAnsi="Arial"/>
          <w:sz w:val="15"/>
          <w:szCs w:val="15"/>
          <w:color w:val="231F20"/>
        </w:rPr>
      </w:pPr>
      <w:r>
        <w:rPr>
          <w:rFonts w:ascii="Arial" w:cs="Arial" w:eastAsia="Arial" w:hAnsi="Arial"/>
          <w:sz w:val="15"/>
          <w:szCs w:val="15"/>
          <w:i w:val="1"/>
          <w:iCs w:val="1"/>
          <w:color w:val="231F20"/>
        </w:rPr>
        <w:t xml:space="preserve">Digital Billboard Reporting. </w:t>
      </w:r>
      <w:r>
        <w:rPr>
          <w:rFonts w:ascii="Arial" w:cs="Arial" w:eastAsia="Arial" w:hAnsi="Arial"/>
          <w:sz w:val="15"/>
          <w:szCs w:val="15"/>
          <w:color w:val="231F20"/>
        </w:rPr>
        <w:t>Our digital billboard reporting provides a holistic view of ad spend, giving customers real-time insights into their digital</w:t>
      </w:r>
      <w:r>
        <w:rPr>
          <w:rFonts w:ascii="Arial" w:cs="Arial" w:eastAsia="Arial" w:hAnsi="Arial"/>
          <w:sz w:val="15"/>
          <w:szCs w:val="15"/>
          <w:i w:val="1"/>
          <w:iCs w:val="1"/>
          <w:color w:val="231F20"/>
        </w:rPr>
        <w:t xml:space="preserve"> </w:t>
      </w:r>
      <w:r>
        <w:rPr>
          <w:rFonts w:ascii="Arial" w:cs="Arial" w:eastAsia="Arial" w:hAnsi="Arial"/>
          <w:sz w:val="15"/>
          <w:szCs w:val="15"/>
          <w:color w:val="231F20"/>
        </w:rPr>
        <w:t>billboard ad performance and helping customers optimize budgets by allocating ad spend on effective digital billboards and venue types.</w:t>
      </w:r>
    </w:p>
    <w:p>
      <w:pPr>
        <w:spacing w:after="0" w:line="119" w:lineRule="exact"/>
        <w:rPr>
          <w:sz w:val="20"/>
          <w:szCs w:val="20"/>
          <w:color w:val="auto"/>
        </w:rPr>
      </w:pPr>
    </w:p>
    <w:p>
      <w:pPr>
        <w:ind w:right="1860" w:firstLine="589"/>
        <w:spacing w:after="0" w:line="269" w:lineRule="auto"/>
        <w:rPr>
          <w:sz w:val="20"/>
          <w:szCs w:val="20"/>
          <w:color w:val="auto"/>
        </w:rPr>
      </w:pPr>
      <w:r>
        <w:rPr>
          <w:rFonts w:ascii="Arial" w:cs="Arial" w:eastAsia="Arial" w:hAnsi="Arial"/>
          <w:sz w:val="17"/>
          <w:szCs w:val="17"/>
          <w:color w:val="231F20"/>
        </w:rPr>
        <w:t>Our software is built with ad buyers in mind and offers many in-depth features that give buyers the highest levels of control, which helps ensure they are running the most efficient campaigns possible. This includes:</w:t>
      </w:r>
    </w:p>
    <w:p>
      <w:pPr>
        <w:spacing w:after="0" w:line="162" w:lineRule="exact"/>
        <w:rPr>
          <w:sz w:val="20"/>
          <w:szCs w:val="20"/>
          <w:color w:val="auto"/>
        </w:rPr>
      </w:pPr>
    </w:p>
    <w:p>
      <w:pPr>
        <w:jc w:val="both"/>
        <w:ind w:left="1160" w:right="980" w:hanging="581"/>
        <w:spacing w:after="0" w:line="291" w:lineRule="auto"/>
        <w:tabs>
          <w:tab w:leader="none" w:pos="1160" w:val="left"/>
        </w:tabs>
        <w:numPr>
          <w:ilvl w:val="0"/>
          <w:numId w:val="15"/>
        </w:numPr>
        <w:rPr>
          <w:rFonts w:ascii="Arial" w:cs="Arial" w:eastAsia="Arial" w:hAnsi="Arial"/>
          <w:sz w:val="15"/>
          <w:szCs w:val="15"/>
          <w:color w:val="231F20"/>
        </w:rPr>
      </w:pPr>
      <w:r>
        <w:rPr>
          <w:rFonts w:ascii="Arial" w:cs="Arial" w:eastAsia="Arial" w:hAnsi="Arial"/>
          <w:sz w:val="15"/>
          <w:szCs w:val="15"/>
          <w:b w:val="1"/>
          <w:bCs w:val="1"/>
          <w:i w:val="1"/>
          <w:iCs w:val="1"/>
          <w:color w:val="231F20"/>
        </w:rPr>
        <w:t>Bulk Functionality</w:t>
      </w:r>
      <w:r>
        <w:rPr>
          <w:rFonts w:ascii="Arial" w:cs="Arial" w:eastAsia="Arial" w:hAnsi="Arial"/>
          <w:sz w:val="15"/>
          <w:szCs w:val="15"/>
          <w:b w:val="1"/>
          <w:bCs w:val="1"/>
          <w:color w:val="231F20"/>
        </w:rPr>
        <w:t>:</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Our platform is built to ease the lives of programmatic traders. With Adelphic, traders can mass edit ad orders and</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campaigns, instead of making individual changes one at a time, saving significant time. For example, if a trader wants to change the bid</w:t>
      </w:r>
    </w:p>
    <w:p>
      <w:pPr>
        <w:ind w:left="1160"/>
        <w:spacing w:after="0"/>
        <w:rPr>
          <w:rFonts w:ascii="Arial" w:cs="Arial" w:eastAsia="Arial" w:hAnsi="Arial"/>
          <w:sz w:val="15"/>
          <w:szCs w:val="15"/>
          <w:color w:val="231F20"/>
        </w:rPr>
      </w:pPr>
      <w:r>
        <w:rPr>
          <w:rFonts w:ascii="Arial" w:cs="Arial" w:eastAsia="Arial" w:hAnsi="Arial"/>
          <w:sz w:val="15"/>
          <w:szCs w:val="15"/>
          <w:color w:val="231F20"/>
        </w:rPr>
        <w:t>price for all 1,000 of their ad orders, they could simply download a form and upload it, rather than wasting time by editing each ad order one by one.</w:t>
      </w:r>
    </w:p>
    <w:p>
      <w:pPr>
        <w:spacing w:after="0" w:line="213" w:lineRule="exact"/>
        <w:rPr>
          <w:rFonts w:ascii="Arial" w:cs="Arial" w:eastAsia="Arial" w:hAnsi="Arial"/>
          <w:sz w:val="15"/>
          <w:szCs w:val="15"/>
          <w:color w:val="231F20"/>
        </w:rPr>
      </w:pPr>
    </w:p>
    <w:p>
      <w:pPr>
        <w:ind w:left="1160" w:right="760" w:hanging="581"/>
        <w:spacing w:after="0" w:line="273" w:lineRule="auto"/>
        <w:tabs>
          <w:tab w:leader="none" w:pos="1160" w:val="left"/>
        </w:tabs>
        <w:numPr>
          <w:ilvl w:val="0"/>
          <w:numId w:val="15"/>
        </w:numPr>
        <w:rPr>
          <w:rFonts w:ascii="Arial" w:cs="Arial" w:eastAsia="Arial" w:hAnsi="Arial"/>
          <w:sz w:val="16"/>
          <w:szCs w:val="16"/>
          <w:color w:val="231F20"/>
        </w:rPr>
      </w:pPr>
      <w:r>
        <w:rPr>
          <w:rFonts w:ascii="Arial" w:cs="Arial" w:eastAsia="Arial" w:hAnsi="Arial"/>
          <w:sz w:val="16"/>
          <w:szCs w:val="16"/>
          <w:b w:val="1"/>
          <w:bCs w:val="1"/>
          <w:i w:val="1"/>
          <w:iCs w:val="1"/>
          <w:color w:val="231F20"/>
        </w:rPr>
        <w:t>Application Integration Interfaces (“API”) Capabilities</w:t>
      </w:r>
      <w:r>
        <w:rPr>
          <w:rFonts w:ascii="Arial" w:cs="Arial" w:eastAsia="Arial" w:hAnsi="Arial"/>
          <w:sz w:val="16"/>
          <w:szCs w:val="16"/>
          <w:b w:val="1"/>
          <w:bCs w:val="1"/>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Adelphic provides ease of integration using APIs and tools. The API capabilities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provide bilateral data syndication into or out of the platform for trafficking and reporting in formats easily accepted by</w:t>
      </w:r>
    </w:p>
    <w:p>
      <w:pPr>
        <w:ind w:left="1160"/>
        <w:spacing w:after="0"/>
        <w:rPr>
          <w:rFonts w:ascii="Arial" w:cs="Arial" w:eastAsia="Arial" w:hAnsi="Arial"/>
          <w:sz w:val="16"/>
          <w:szCs w:val="16"/>
          <w:color w:val="231F20"/>
        </w:rPr>
      </w:pPr>
      <w:r>
        <w:rPr>
          <w:rFonts w:ascii="Arial" w:cs="Arial" w:eastAsia="Arial" w:hAnsi="Arial"/>
          <w:sz w:val="17"/>
          <w:szCs w:val="17"/>
          <w:color w:val="231F20"/>
        </w:rPr>
        <w:t>business intelligence teams for programmatic traders. With these, traders can maintain customer identities with a</w:t>
      </w:r>
    </w:p>
    <w:p>
      <w:pPr>
        <w:spacing w:after="0" w:line="5" w:lineRule="exact"/>
        <w:rPr>
          <w:rFonts w:ascii="Arial" w:cs="Arial" w:eastAsia="Arial" w:hAnsi="Arial"/>
          <w:sz w:val="16"/>
          <w:szCs w:val="16"/>
          <w:color w:val="231F20"/>
        </w:rPr>
      </w:pPr>
    </w:p>
    <w:p>
      <w:pPr>
        <w:ind w:left="1160"/>
        <w:spacing w:after="0"/>
        <w:rPr>
          <w:rFonts w:ascii="Arial" w:cs="Arial" w:eastAsia="Arial" w:hAnsi="Arial"/>
          <w:sz w:val="16"/>
          <w:szCs w:val="16"/>
          <w:color w:val="231F20"/>
        </w:rPr>
      </w:pPr>
      <w:r>
        <w:rPr>
          <w:rFonts w:ascii="Arial" w:cs="Arial" w:eastAsia="Arial" w:hAnsi="Arial"/>
          <w:sz w:val="17"/>
          <w:szCs w:val="17"/>
          <w:color w:val="231F20"/>
        </w:rPr>
        <w:t>fully integrated platform that links devices and offline activities to real people and seamlessly execute and measure campaigns.</w:t>
      </w:r>
    </w:p>
    <w:p>
      <w:pPr>
        <w:spacing w:after="0" w:line="194" w:lineRule="exact"/>
        <w:rPr>
          <w:rFonts w:ascii="Arial" w:cs="Arial" w:eastAsia="Arial" w:hAnsi="Arial"/>
          <w:sz w:val="16"/>
          <w:szCs w:val="16"/>
          <w:color w:val="231F20"/>
        </w:rPr>
      </w:pPr>
    </w:p>
    <w:p>
      <w:pPr>
        <w:ind w:left="1160" w:hanging="581"/>
        <w:spacing w:after="0"/>
        <w:tabs>
          <w:tab w:leader="none" w:pos="1160" w:val="left"/>
        </w:tabs>
        <w:numPr>
          <w:ilvl w:val="0"/>
          <w:numId w:val="1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Machine Learning Algorithms: </w:t>
      </w:r>
      <w:r>
        <w:rPr>
          <w:rFonts w:ascii="Arial" w:cs="Arial" w:eastAsia="Arial" w:hAnsi="Arial"/>
          <w:sz w:val="17"/>
          <w:szCs w:val="17"/>
          <w:color w:val="231F20"/>
        </w:rPr>
        <w:t>Our built-in advanced machine learning technology analyzes millions of impressions and</w:t>
      </w:r>
    </w:p>
    <w:p>
      <w:pPr>
        <w:spacing w:after="0" w:line="17" w:lineRule="exact"/>
        <w:rPr>
          <w:rFonts w:ascii="Arial" w:cs="Arial" w:eastAsia="Arial" w:hAnsi="Arial"/>
          <w:sz w:val="17"/>
          <w:szCs w:val="17"/>
          <w:color w:val="231F20"/>
        </w:rPr>
      </w:pPr>
    </w:p>
    <w:p>
      <w:pPr>
        <w:ind w:left="1160" w:right="720"/>
        <w:spacing w:after="0" w:line="285" w:lineRule="auto"/>
        <w:rPr>
          <w:rFonts w:ascii="Arial" w:cs="Arial" w:eastAsia="Arial" w:hAnsi="Arial"/>
          <w:sz w:val="17"/>
          <w:szCs w:val="17"/>
          <w:color w:val="231F20"/>
        </w:rPr>
      </w:pPr>
      <w:r>
        <w:rPr>
          <w:rFonts w:ascii="Arial" w:cs="Arial" w:eastAsia="Arial" w:hAnsi="Arial"/>
          <w:sz w:val="16"/>
          <w:szCs w:val="16"/>
          <w:color w:val="231F20"/>
        </w:rPr>
        <w:t>data points every second. Our algorithms find optimal bid prices for maximizing performance and scale across all major KPIs, allowing our customers to strengthen their campaign efforts and build confidence in programmatic campaign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Technology and Development</w:t>
      </w:r>
    </w:p>
    <w:p>
      <w:pPr>
        <w:spacing w:after="0" w:line="21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6"/>
          <w:szCs w:val="16"/>
          <w:color w:val="231F20"/>
        </w:rPr>
        <w:t>Rapid and continuing innovation is a core driver of our business success and our corporate culture. Our product and engineering team is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 of our user interface and automation functions, and to increase the number of advertising and data inventory integrations in various channels.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ind w:right="320" w:firstLine="865"/>
        <w:spacing w:after="0" w:line="300" w:lineRule="auto"/>
        <w:rPr>
          <w:sz w:val="20"/>
          <w:szCs w:val="20"/>
          <w:color w:val="auto"/>
        </w:rPr>
      </w:pPr>
      <w:r>
        <w:rPr>
          <w:rFonts w:ascii="Arial" w:cs="Arial" w:eastAsia="Arial" w:hAnsi="Arial"/>
          <w:sz w:val="16"/>
          <w:szCs w:val="16"/>
          <w:color w:val="231F20"/>
        </w:rPr>
        <w:t>The technical infrastructure for our platform is currently managed through third-party web hosting services providers and to a limited extent, our own servers which are located at a third-party data center facility. We generally enter into one- to two-year agreements with our web hosting providers.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Customers</w:t>
      </w:r>
    </w:p>
    <w:p>
      <w:pPr>
        <w:spacing w:after="0" w:line="211" w:lineRule="exact"/>
        <w:rPr>
          <w:sz w:val="20"/>
          <w:szCs w:val="20"/>
          <w:color w:val="auto"/>
        </w:rPr>
      </w:pPr>
    </w:p>
    <w:p>
      <w:pPr>
        <w:ind w:right="20" w:firstLine="589"/>
        <w:spacing w:after="0" w:line="267" w:lineRule="auto"/>
        <w:rPr>
          <w:sz w:val="20"/>
          <w:szCs w:val="20"/>
          <w:color w:val="auto"/>
        </w:rPr>
      </w:pPr>
      <w:r>
        <w:rPr>
          <w:rFonts w:ascii="Arial" w:cs="Arial" w:eastAsia="Arial" w:hAnsi="Arial"/>
          <w:sz w:val="16"/>
          <w:szCs w:val="16"/>
          <w:color w:val="231F20"/>
        </w:rPr>
        <w:t>Our customers consist of purchasers of programmatic advertising inventory. We define an active customer as a customer that had total aggregate contribution ex-TAC of at least $5,000 through our platform during the previous twelve months. We had 309 and 264 active customers for the years ended December 31, 2021 and 2020, respectively, in each case consisting of advertising buyers, including large advertising holding companies, independent advertising agencies, mid-market advertising service organizations as well as marketers relying on our self-service software platform for their programmatic ad buying needs. For a detailed discussion of active customers, see “Management’s Discussion and Analysis of Financial Condition and Results of Operation—Key Operating and Financial Performance Measures—Active Customers and Average Contribution ex-TAC per Active Customer.” Contribution ex-TAC is a non-GAAP financial measure. For a detailed discussion of our key operating and financial performance measures and a reconciliation of contribution ex-TAC to the most directly comparable financial measure calculated in accordance with GAAP, see “Management’s Discussion and Analysis of Financial Condition and Results of Operation—Key Operating and Financial Performance Measures—Use of Non-GAAP Financial Measures.”</w:t>
      </w:r>
    </w:p>
    <w:p>
      <w:pPr>
        <w:spacing w:after="0" w:line="171" w:lineRule="exact"/>
        <w:rPr>
          <w:sz w:val="20"/>
          <w:szCs w:val="20"/>
          <w:color w:val="auto"/>
        </w:rPr>
      </w:pPr>
    </w:p>
    <w:p>
      <w:pPr>
        <w:ind w:right="20" w:firstLine="589"/>
        <w:spacing w:after="0" w:line="267" w:lineRule="auto"/>
        <w:rPr>
          <w:sz w:val="20"/>
          <w:szCs w:val="20"/>
          <w:color w:val="auto"/>
        </w:rPr>
      </w:pPr>
      <w:r>
        <w:rPr>
          <w:rFonts w:ascii="Arial" w:cs="Arial" w:eastAsia="Arial" w:hAnsi="Arial"/>
          <w:sz w:val="16"/>
          <w:szCs w:val="16"/>
          <w:color w:val="231F20"/>
        </w:rPr>
        <w:t>Many of the advertising agencies that we work with are owned by holding companies, where decision-making is generally highly decentralized such that purchasing decisions are made, and relationships with advertisers are located, at the agency, local branch or division level. Our customer count includes only those parties with which we have a billing relationship. We contract with our customers either through master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Insertion orders are generally limited in scope and can be reduced or canceled by a buyer without penalty. See “</w:t>
      </w:r>
      <w:r>
        <w:rPr>
          <w:rFonts w:ascii="Arial" w:cs="Arial" w:eastAsia="Arial" w:hAnsi="Arial"/>
          <w:sz w:val="16"/>
          <w:szCs w:val="16"/>
          <w:i w:val="1"/>
          <w:iCs w:val="1"/>
          <w:color w:val="231F20"/>
        </w:rPr>
        <w:t>Risk Factors—</w:t>
      </w:r>
      <w:r>
        <w:rPr>
          <w:rFonts w:ascii="Arial" w:cs="Arial" w:eastAsia="Arial" w:hAnsi="Arial"/>
          <w:sz w:val="16"/>
          <w:szCs w:val="16"/>
          <w:i w:val="1"/>
          <w:iCs w:val="1"/>
          <w:color w:val="000000"/>
        </w:rPr>
        <w:t>Risks Related to Our Business and Operations</w:t>
      </w:r>
      <w:r>
        <w:rPr>
          <w:rFonts w:ascii="Arial" w:cs="Arial" w:eastAsia="Arial" w:hAnsi="Arial"/>
          <w:sz w:val="16"/>
          <w:szCs w:val="16"/>
          <w:i w:val="1"/>
          <w:iCs w:val="1"/>
          <w:color w:val="231F20"/>
        </w:rPr>
        <w:t>—</w:t>
      </w:r>
      <w:r>
        <w:rPr>
          <w:rFonts w:ascii="Arial" w:cs="Arial" w:eastAsia="Arial" w:hAnsi="Arial"/>
          <w:sz w:val="16"/>
          <w:szCs w:val="16"/>
          <w:color w:val="231F20"/>
        </w:rPr>
        <w:t xml:space="preserve"> </w:t>
      </w:r>
      <w:r>
        <w:rPr>
          <w:rFonts w:ascii="Arial" w:cs="Arial" w:eastAsia="Arial" w:hAnsi="Arial"/>
          <w:sz w:val="16"/>
          <w:szCs w:val="16"/>
          <w:i w:val="1"/>
          <w:iCs w:val="1"/>
          <w:color w:val="231F20"/>
        </w:rPr>
        <w:t>We receive a significant amount of revenue from a select number of advertising agency holding companies, owning various advertising agencies, and the loss of advertising agencies as customers could harm our business, operating results and financial condition.</w:t>
      </w:r>
      <w:r>
        <w:rPr>
          <w:rFonts w:ascii="Arial" w:cs="Arial" w:eastAsia="Arial" w:hAnsi="Arial"/>
          <w:sz w:val="16"/>
          <w:szCs w:val="16"/>
          <w:color w:val="231F20"/>
        </w:rPr>
        <w:t>” for additional discussion of our customer relationships with</w:t>
      </w:r>
      <w:r>
        <w:rPr>
          <w:rFonts w:ascii="Arial" w:cs="Arial" w:eastAsia="Arial" w:hAnsi="Arial"/>
          <w:sz w:val="16"/>
          <w:szCs w:val="16"/>
          <w:i w:val="1"/>
          <w:iCs w:val="1"/>
          <w:color w:val="231F20"/>
        </w:rPr>
        <w:t xml:space="preserve"> </w:t>
      </w:r>
      <w:r>
        <w:rPr>
          <w:rFonts w:ascii="Arial" w:cs="Arial" w:eastAsia="Arial" w:hAnsi="Arial"/>
          <w:sz w:val="16"/>
          <w:szCs w:val="16"/>
          <w:color w:val="231F20"/>
        </w:rPr>
        <w:t>advertising agencies.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Advertising and Data Supply</w:t>
      </w:r>
    </w:p>
    <w:p>
      <w:pPr>
        <w:spacing w:after="0" w:line="211" w:lineRule="exact"/>
        <w:rPr>
          <w:sz w:val="20"/>
          <w:szCs w:val="20"/>
          <w:color w:val="auto"/>
        </w:rPr>
      </w:pPr>
    </w:p>
    <w:p>
      <w:pPr>
        <w:jc w:val="both"/>
        <w:ind w:right="160" w:firstLine="589"/>
        <w:spacing w:after="0" w:line="281" w:lineRule="auto"/>
        <w:rPr>
          <w:sz w:val="20"/>
          <w:szCs w:val="20"/>
          <w:color w:val="auto"/>
        </w:rPr>
      </w:pPr>
      <w:r>
        <w:rPr>
          <w:rFonts w:ascii="Arial" w:cs="Arial" w:eastAsia="Arial" w:hAnsi="Arial"/>
          <w:sz w:val="16"/>
          <w:szCs w:val="16"/>
          <w:color w:val="231F20"/>
        </w:rPr>
        <w:t>We obtain digital advertising inventory primarily through our integrations with supply side platforms (“SSPs”) and directly with publishers. We believe that our integrations across every channel give us the most robust omnichannel integrations of any single platform. These suppliers provide us with access to a breadth of programmatic advertising inventory across desktop, mobile, connected TV, linear TV, in-game, streaming audio and digital billboards.</w:t>
      </w:r>
    </w:p>
    <w:p>
      <w:pPr>
        <w:spacing w:after="0" w:line="159" w:lineRule="exact"/>
        <w:rPr>
          <w:sz w:val="20"/>
          <w:szCs w:val="20"/>
          <w:color w:val="auto"/>
        </w:rPr>
      </w:pPr>
    </w:p>
    <w:p>
      <w:pPr>
        <w:ind w:right="40" w:firstLine="589"/>
        <w:spacing w:after="0" w:line="254" w:lineRule="auto"/>
        <w:rPr>
          <w:sz w:val="20"/>
          <w:szCs w:val="20"/>
          <w:color w:val="auto"/>
        </w:rPr>
      </w:pPr>
      <w:r>
        <w:rPr>
          <w:rFonts w:ascii="Arial" w:cs="Arial" w:eastAsia="Arial" w:hAnsi="Arial"/>
          <w:sz w:val="17"/>
          <w:szCs w:val="17"/>
          <w:color w:val="231F20"/>
        </w:rPr>
        <w:t>We enable deep data access through our integrations with over 70 leading data companies, giving our customers access to data across key industry verticals, including auto, retail, consumer packaged goods, travel and health. Customers onboard their own first-party data onto our platform, without the need of a separate data management platform. Our operation of Myspace.com provides certain data assets and intellectual property that we may leverage to continue to offer innovative products and services to our clients.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Sales and Marketing</w:t>
      </w:r>
    </w:p>
    <w:p>
      <w:pPr>
        <w:spacing w:after="0" w:line="211"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231F20"/>
        </w:rPr>
        <w:t>We sell our platform through a direct sales team focused on business development across all markets, including sales to new customers and revenue growth within existing customers. We have an experienced sales team focused on selling access to our platform in our target markets,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Adelphic Certification, which covers programmatic industry trends, technology capabilities and time-saving workflows and have an online knowledge base with robust documentation. We provide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right="400"/>
        <w:spacing w:after="0" w:line="269" w:lineRule="auto"/>
        <w:rPr>
          <w:sz w:val="20"/>
          <w:szCs w:val="20"/>
          <w:color w:val="auto"/>
        </w:rPr>
      </w:pPr>
      <w:r>
        <w:rPr>
          <w:rFonts w:ascii="Arial" w:cs="Arial" w:eastAsia="Arial" w:hAnsi="Arial"/>
          <w:sz w:val="17"/>
          <w:szCs w:val="17"/>
          <w:color w:val="231F20"/>
        </w:rPr>
        <w:t>dedicated customer support and work with customers as they set up and optimize their campaigns, assist with delivery against KPIs and goals, and provide post-campaign support and recommendations.</w:t>
      </w:r>
    </w:p>
    <w:p>
      <w:pPr>
        <w:spacing w:after="0" w:line="166" w:lineRule="exact"/>
        <w:rPr>
          <w:sz w:val="20"/>
          <w:szCs w:val="20"/>
          <w:color w:val="auto"/>
        </w:rPr>
      </w:pPr>
    </w:p>
    <w:p>
      <w:pPr>
        <w:ind w:right="80" w:firstLine="865"/>
        <w:spacing w:after="0" w:line="258" w:lineRule="auto"/>
        <w:rPr>
          <w:sz w:val="20"/>
          <w:szCs w:val="20"/>
          <w:color w:val="auto"/>
        </w:rPr>
      </w:pPr>
      <w:r>
        <w:rPr>
          <w:rFonts w:ascii="Arial" w:cs="Arial" w:eastAsia="Arial" w:hAnsi="Arial"/>
          <w:sz w:val="17"/>
          <w:szCs w:val="17"/>
          <w:color w:val="231F20"/>
        </w:rPr>
        <w:t>We tailor our contracts and terms to the needs of our customers, including by offering our three different pricing options: a percentage of spend option, a subscription option and a fixed cost per mille (“CPM”) option. Customers can use our platform on a self-service basis or can enlist our services to execute their campaigns.</w:t>
      </w:r>
    </w:p>
    <w:p>
      <w:pPr>
        <w:spacing w:after="0" w:line="175" w:lineRule="exact"/>
        <w:rPr>
          <w:sz w:val="20"/>
          <w:szCs w:val="20"/>
          <w:color w:val="auto"/>
        </w:rPr>
      </w:pPr>
    </w:p>
    <w:p>
      <w:pPr>
        <w:ind w:right="60" w:firstLine="865"/>
        <w:spacing w:after="0" w:line="308" w:lineRule="auto"/>
        <w:rPr>
          <w:sz w:val="20"/>
          <w:szCs w:val="20"/>
          <w:color w:val="auto"/>
        </w:rPr>
      </w:pPr>
      <w:r>
        <w:rPr>
          <w:rFonts w:ascii="Arial" w:cs="Arial" w:eastAsia="Arial" w:hAnsi="Arial"/>
          <w:sz w:val="15"/>
          <w:szCs w:val="15"/>
          <w:color w:val="231F20"/>
        </w:rPr>
        <w:t>Our marketing efforts are focused on increasing awareness and consideration for our brands, executing thought-leadership initiatives, participating in industry events, creating comprehensive sales support materials and generating new customer leads. We seek to accomplish these objectives by presenting at industry conferences, hosting customer conferences, publishing white papers and research, public relations activities, advertising campaigns and social media presence.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Privacy and Data Protection</w:t>
      </w:r>
    </w:p>
    <w:p>
      <w:pPr>
        <w:spacing w:after="0" w:line="211" w:lineRule="exact"/>
        <w:rPr>
          <w:sz w:val="20"/>
          <w:szCs w:val="20"/>
          <w:color w:val="auto"/>
        </w:rPr>
      </w:pPr>
    </w:p>
    <w:p>
      <w:pPr>
        <w:ind w:firstLine="865"/>
        <w:spacing w:after="0" w:line="288" w:lineRule="auto"/>
        <w:rPr>
          <w:sz w:val="20"/>
          <w:szCs w:val="20"/>
          <w:color w:val="auto"/>
        </w:rPr>
      </w:pPr>
      <w:r>
        <w:rPr>
          <w:rFonts w:ascii="Arial" w:cs="Arial" w:eastAsia="Arial" w:hAnsi="Arial"/>
          <w:sz w:val="15"/>
          <w:szCs w:val="15"/>
          <w:color w:val="231F20"/>
        </w:rPr>
        <w:t>In the ordinary course of our business, we may collect, receive, compile, use, store, process, share, dispose of, disclose, retain, transfer, and destroy (“Process”) personal information. Accordingly, we are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Telephone Consumer Protection Act of 1991, the Children’s Online Privacy Protection Act of 1998, the Controlling the Assault of Non-Solicited Pornography And Marketing Act of 2003, the California Consumer Privacy Act of 2018 (“CCPA”), the European Union’s General Data Protection Regulation 2016/679 (“EU GDPR”), the EU GDPR as it forms part of United Kingdom (“UK”) law by virtue of section 3 of the European Union (Withdrawal) Act 2018 (“UK GDPR”), the ePrivacy Directive, and the Payment Card Industry Data Security Standard (“PCI DSS”). In addition, many U.S. states have enacted or proposed data privacy laws. For example, Virginia passed the Consumer Data Protection Act, and Colorado passed the Colorado Privacy Act.</w:t>
      </w:r>
    </w:p>
    <w:p>
      <w:pPr>
        <w:spacing w:after="0" w:line="156" w:lineRule="exact"/>
        <w:rPr>
          <w:sz w:val="20"/>
          <w:szCs w:val="20"/>
          <w:color w:val="auto"/>
        </w:rPr>
      </w:pPr>
    </w:p>
    <w:p>
      <w:pPr>
        <w:ind w:right="40" w:firstLine="865"/>
        <w:spacing w:after="0" w:line="286" w:lineRule="auto"/>
        <w:rPr>
          <w:sz w:val="20"/>
          <w:szCs w:val="20"/>
          <w:color w:val="auto"/>
        </w:rPr>
      </w:pPr>
      <w:r>
        <w:rPr>
          <w:rFonts w:ascii="Arial" w:cs="Arial" w:eastAsia="Arial" w:hAnsi="Arial"/>
          <w:sz w:val="15"/>
          <w:szCs w:val="15"/>
          <w:color w:val="231F20"/>
        </w:rPr>
        <w:t>The CCPA and EU GDPR are examples of the increasingly stringent and evolving regulatory frameworks related to personal information Processing that may increase our compliance obligations and exposure for any noncompliance. For example, the CCPA imposes obligations on covered businesses to provide specific disclosures related to a business’s Processing of personal information and to respond to certain requests from California residents related to their personal information (for example, requests to know of the business’s personal information Processing activities, to delete the individual’s personal information, and to opt out of certain personal information disclosures). Also, the CCPA provides for civil penalties and a private right of action for data breaches which may include an award of statutory damages. In addition, it is anticipated that the California Privacy Rights Act of 2020 (“CPRA”), effective January 1, 2023, will expand the CCPA. The CPRA will, among other things, give California residents the ability to limit use of certain sensitive personal information, establish restrictions on personal information retention, expand the types of data breaches that are subject to the CCPA’s private right of action, and establish a new California Privacy Protection Agency to implement and enforce the new law. U.S. federal and state consumer protection laws may also require us to publish statements that accurately and fairly describe how we handle personal information and choices individuals may have about the way we handle their personal information.</w:t>
      </w:r>
    </w:p>
    <w:p>
      <w:pPr>
        <w:spacing w:after="0" w:line="159" w:lineRule="exact"/>
        <w:rPr>
          <w:sz w:val="20"/>
          <w:szCs w:val="20"/>
          <w:color w:val="auto"/>
        </w:rPr>
      </w:pPr>
    </w:p>
    <w:p>
      <w:pPr>
        <w:ind w:firstLine="865"/>
        <w:spacing w:after="0" w:line="287" w:lineRule="auto"/>
        <w:rPr>
          <w:sz w:val="20"/>
          <w:szCs w:val="20"/>
          <w:color w:val="auto"/>
        </w:rPr>
      </w:pPr>
      <w:r>
        <w:rPr>
          <w:rFonts w:ascii="Arial" w:cs="Arial" w:eastAsia="Arial" w:hAnsi="Arial"/>
          <w:sz w:val="15"/>
          <w:szCs w:val="15"/>
          <w:color w:val="231F20"/>
        </w:rPr>
        <w:t>Foreign data privacy and security laws impose significant and complex compliance obligations on entities that are subject to those laws. For example, the EU GDPR applies to any company established in the European Economic Area (“EEA”) and to companies established outside the EEA that Process personal information in connection with the offering of goods or services to data subjects in the EEA or the monitoring of the behavior of data subjects in the EEA. These obligations may include limiting personal information Processing to only what is necessary for specified, explicit, and legitimate purposes; requiring a legal basis for personal information Processing; requiring the appointment of a data protection officer in certain circumstances; increasing transparency obligations to data subjects; requiring data protection impact assessments in certain circumstances; limiting the collection and retention of personal information; increasing rights for data subjects; formalizing a heightened and codified standard of data subject consents; requiring the implementation and maintenance of technical and organizational safeguards for personal information; mandating notice of certain personal information breaches to the relevant supervisory authority(ies) and affected individuals; and mandating the appointment of representatives in the UK and/or the EU in certain circumstances.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5" w:name="page16"/>
    <w:bookmarkEnd w:id="15"/>
    <w:p>
      <w:pPr>
        <w:ind w:right="60" w:firstLine="865"/>
        <w:spacing w:after="0" w:line="252" w:lineRule="auto"/>
        <w:rPr>
          <w:sz w:val="20"/>
          <w:szCs w:val="20"/>
          <w:color w:val="auto"/>
        </w:rPr>
      </w:pPr>
      <w:r>
        <w:rPr>
          <w:rFonts w:ascii="Arial" w:cs="Arial" w:eastAsia="Arial" w:hAnsi="Arial"/>
          <w:sz w:val="17"/>
          <w:szCs w:val="17"/>
          <w:color w:val="231F20"/>
        </w:rPr>
        <w:t>See “</w:t>
      </w:r>
      <w:r>
        <w:rPr>
          <w:rFonts w:ascii="Arial" w:cs="Arial" w:eastAsia="Arial" w:hAnsi="Arial"/>
          <w:sz w:val="17"/>
          <w:szCs w:val="17"/>
          <w:i w:val="1"/>
          <w:iCs w:val="1"/>
          <w:color w:val="231F20"/>
        </w:rPr>
        <w:t>Risk Factors—</w:t>
      </w:r>
      <w:r>
        <w:rPr>
          <w:rFonts w:ascii="Arial" w:cs="Arial" w:eastAsia="Arial" w:hAnsi="Arial"/>
          <w:sz w:val="17"/>
          <w:szCs w:val="17"/>
          <w:i w:val="1"/>
          <w:iCs w:val="1"/>
          <w:color w:val="000000"/>
        </w:rPr>
        <w:t>Risks Related to Data Privacy</w:t>
      </w:r>
      <w:r>
        <w:rPr>
          <w:rFonts w:ascii="Arial" w:cs="Arial" w:eastAsia="Arial" w:hAnsi="Arial"/>
          <w:sz w:val="17"/>
          <w:szCs w:val="17"/>
          <w:i w:val="1"/>
          <w:iCs w:val="1"/>
          <w:color w:val="231F20"/>
        </w:rPr>
        <w:t>—We are subject to stringent and changing obligations related to data privacy and security. Our actual</w:t>
      </w:r>
      <w:r>
        <w:rPr>
          <w:rFonts w:ascii="Arial" w:cs="Arial" w:eastAsia="Arial" w:hAnsi="Arial"/>
          <w:sz w:val="17"/>
          <w:szCs w:val="17"/>
          <w:color w:val="231F20"/>
        </w:rPr>
        <w:t xml:space="preserve"> </w:t>
      </w:r>
      <w:r>
        <w:rPr>
          <w:rFonts w:ascii="Arial" w:cs="Arial" w:eastAsia="Arial" w:hAnsi="Arial"/>
          <w:sz w:val="17"/>
          <w:szCs w:val="17"/>
          <w:i w:val="1"/>
          <w:iCs w:val="1"/>
          <w:color w:val="231F20"/>
        </w:rPr>
        <w:t>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adversely affect the demand for our products and services, or other adverse business consequences.</w:t>
      </w:r>
      <w:r>
        <w:rPr>
          <w:rFonts w:ascii="Arial" w:cs="Arial" w:eastAsia="Arial" w:hAnsi="Arial"/>
          <w:sz w:val="17"/>
          <w:szCs w:val="17"/>
          <w:color w:val="231F20"/>
        </w:rPr>
        <w:t>” for additional information about the laws and regulations to which we are subject and about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risks to our business associated with such laws and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Competition</w:t>
      </w:r>
    </w:p>
    <w:p>
      <w:pPr>
        <w:spacing w:after="0" w:line="211"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231F20"/>
        </w:rPr>
        <w:t>Our industry is highly competitive and fragmented. We compete with smaller, privately-held companies, along with public companies such as the Trade Desk, and with divisions of large, well-established companies such as Google and Amazon. The competitive landscape in recent years has been affected by consolidation and limited investment in new startups in our industry and there are few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capabilities of our platform, our identity resolution capabilities, our omnichannel capabilities and our advance reporting capabilities. We believe that we are differentiated from our competitors in the following areas:</w:t>
      </w:r>
    </w:p>
    <w:p>
      <w:pPr>
        <w:spacing w:after="0" w:line="154" w:lineRule="exact"/>
        <w:rPr>
          <w:sz w:val="20"/>
          <w:szCs w:val="20"/>
          <w:color w:val="auto"/>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we are an independent technology company focused on serving advertising agencies and marketers on the buy-side of our industry;</w:t>
      </w:r>
    </w:p>
    <w:p>
      <w:pPr>
        <w:spacing w:after="0" w:line="207" w:lineRule="exact"/>
        <w:rPr>
          <w:rFonts w:ascii="Arial" w:cs="Arial" w:eastAsia="Arial" w:hAnsi="Arial"/>
          <w:sz w:val="17"/>
          <w:szCs w:val="17"/>
          <w:color w:val="231F20"/>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our platform is self-service and easy to use;</w:t>
      </w:r>
    </w:p>
    <w:p>
      <w:pPr>
        <w:spacing w:after="0" w:line="207" w:lineRule="exact"/>
        <w:rPr>
          <w:rFonts w:ascii="Arial" w:cs="Arial" w:eastAsia="Arial" w:hAnsi="Arial"/>
          <w:sz w:val="17"/>
          <w:szCs w:val="17"/>
          <w:color w:val="231F20"/>
        </w:rPr>
      </w:pPr>
    </w:p>
    <w:p>
      <w:pPr>
        <w:ind w:left="1160" w:right="400" w:hanging="581"/>
        <w:spacing w:after="0" w:line="269" w:lineRule="auto"/>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we offer our DSP in an integrated manner with our people-based capabilities, so customers do not need to use separate providers for onboarding client information and ad and data purchasing services;</w:t>
      </w:r>
    </w:p>
    <w:p>
      <w:pPr>
        <w:spacing w:after="0" w:line="165" w:lineRule="exact"/>
        <w:rPr>
          <w:rFonts w:ascii="Arial" w:cs="Arial" w:eastAsia="Arial" w:hAnsi="Arial"/>
          <w:sz w:val="17"/>
          <w:szCs w:val="17"/>
          <w:color w:val="231F20"/>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our platform provides comprehensive access to a wide range of inventory types across a broad range of channels;</w:t>
      </w:r>
    </w:p>
    <w:p>
      <w:pPr>
        <w:spacing w:after="0" w:line="207" w:lineRule="exact"/>
        <w:rPr>
          <w:rFonts w:ascii="Arial" w:cs="Arial" w:eastAsia="Arial" w:hAnsi="Arial"/>
          <w:sz w:val="17"/>
          <w:szCs w:val="17"/>
          <w:color w:val="231F20"/>
        </w:rPr>
      </w:pPr>
    </w:p>
    <w:p>
      <w:pPr>
        <w:ind w:left="1160" w:right="40" w:hanging="581"/>
        <w:spacing w:after="0" w:line="269" w:lineRule="auto"/>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our platform provides comprehensive access to a wide range of data partners across a broad range of industry verticals and channels to enable precise audience targeting and measurement;</w:t>
      </w:r>
    </w:p>
    <w:p>
      <w:pPr>
        <w:spacing w:after="0" w:line="165" w:lineRule="exact"/>
        <w:rPr>
          <w:rFonts w:ascii="Arial" w:cs="Arial" w:eastAsia="Arial" w:hAnsi="Arial"/>
          <w:sz w:val="17"/>
          <w:szCs w:val="17"/>
          <w:color w:val="231F20"/>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our identity resolution capabilities help marketers plan, buy and measure their campaigns more effectively;</w:t>
      </w:r>
    </w:p>
    <w:p>
      <w:pPr>
        <w:spacing w:after="0" w:line="207" w:lineRule="exact"/>
        <w:rPr>
          <w:rFonts w:ascii="Arial" w:cs="Arial" w:eastAsia="Arial" w:hAnsi="Arial"/>
          <w:sz w:val="17"/>
          <w:szCs w:val="17"/>
          <w:color w:val="231F20"/>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we provide extensive customer service and satisfaction; and</w:t>
      </w:r>
    </w:p>
    <w:p>
      <w:pPr>
        <w:spacing w:after="0" w:line="207" w:lineRule="exact"/>
        <w:rPr>
          <w:rFonts w:ascii="Arial" w:cs="Arial" w:eastAsia="Arial" w:hAnsi="Arial"/>
          <w:sz w:val="17"/>
          <w:szCs w:val="17"/>
          <w:color w:val="231F20"/>
        </w:rPr>
      </w:pPr>
    </w:p>
    <w:p>
      <w:pPr>
        <w:ind w:left="1160" w:hanging="581"/>
        <w:spacing w:after="0"/>
        <w:tabs>
          <w:tab w:leader="none" w:pos="11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we provide flexible pricing options to support our customer’s needs.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Our Human Capital</w:t>
      </w:r>
    </w:p>
    <w:p>
      <w:pPr>
        <w:spacing w:after="0" w:line="21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7"/>
          <w:szCs w:val="17"/>
          <w:color w:val="231F20"/>
        </w:rPr>
        <w:t>We are a founder-led business and believe our employees and culture are key to our success. Our business and our culture are anchored on four core values that embody our resourceful mentality: “Live,” “Lead,” “Create” and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179" w:lineRule="exact"/>
        <w:rPr>
          <w:sz w:val="20"/>
          <w:szCs w:val="20"/>
          <w:color w:val="auto"/>
        </w:rPr>
      </w:pPr>
    </w:p>
    <w:p>
      <w:pPr>
        <w:ind w:right="880" w:firstLine="589"/>
        <w:spacing w:after="0" w:line="269" w:lineRule="auto"/>
        <w:rPr>
          <w:sz w:val="20"/>
          <w:szCs w:val="20"/>
          <w:color w:val="auto"/>
        </w:rPr>
      </w:pPr>
      <w:r>
        <w:rPr>
          <w:rFonts w:ascii="Arial" w:cs="Arial" w:eastAsia="Arial" w:hAnsi="Arial"/>
          <w:sz w:val="17"/>
          <w:szCs w:val="17"/>
          <w:color w:val="231F20"/>
        </w:rPr>
        <w:t>As of December 31, 2021, we had approximately 350 employees in 10 offices across the United States. Our team draws from a broad spectrum of backgrounds and experiences across technology and advertising industries.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Diversity and Inclusion</w:t>
      </w:r>
    </w:p>
    <w:p>
      <w:pPr>
        <w:spacing w:after="0" w:line="207" w:lineRule="exact"/>
        <w:rPr>
          <w:sz w:val="20"/>
          <w:szCs w:val="20"/>
          <w:color w:val="auto"/>
        </w:rPr>
      </w:pPr>
    </w:p>
    <w:p>
      <w:pPr>
        <w:ind w:right="180" w:firstLine="589"/>
        <w:spacing w:after="0" w:line="269" w:lineRule="auto"/>
        <w:rPr>
          <w:sz w:val="20"/>
          <w:szCs w:val="20"/>
          <w:color w:val="auto"/>
        </w:rPr>
      </w:pPr>
      <w:r>
        <w:rPr>
          <w:rFonts w:ascii="Arial" w:cs="Arial" w:eastAsia="Arial" w:hAnsi="Arial"/>
          <w:sz w:val="17"/>
          <w:szCs w:val="17"/>
          <w:color w:val="231F20"/>
        </w:rPr>
        <w:t>We are committed to fostering a culture of inclusion where all employees feel valued and included. We believe our greatest asset is the people who work for us, and as part of our investment in our people, we prioritize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right="60"/>
        <w:spacing w:after="0" w:line="308" w:lineRule="auto"/>
        <w:rPr>
          <w:sz w:val="20"/>
          <w:szCs w:val="20"/>
          <w:color w:val="auto"/>
        </w:rPr>
      </w:pPr>
      <w:r>
        <w:rPr>
          <w:rFonts w:ascii="Arial" w:cs="Arial" w:eastAsia="Arial" w:hAnsi="Arial"/>
          <w:sz w:val="15"/>
          <w:szCs w:val="15"/>
          <w:color w:val="231F20"/>
        </w:rPr>
        <w:t>diversity and inclusion. Our goal is to create a culture where we value, respect, and provide fair treatment and opportunities for all employees. Each year,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w:t>
      </w:r>
    </w:p>
    <w:p>
      <w:pPr>
        <w:spacing w:after="0" w:line="14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231F20"/>
        </w:rPr>
        <w:t>We are committed to developing a diverse environment through recruiting, development programs, community involvement and fostering conversations about differences.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Talent Development</w:t>
      </w:r>
    </w:p>
    <w:p>
      <w:pPr>
        <w:spacing w:after="0" w:line="207" w:lineRule="exact"/>
        <w:rPr>
          <w:sz w:val="20"/>
          <w:szCs w:val="20"/>
          <w:color w:val="auto"/>
        </w:rPr>
      </w:pPr>
    </w:p>
    <w:p>
      <w:pPr>
        <w:ind w:right="260" w:firstLine="589"/>
        <w:spacing w:after="0" w:line="275" w:lineRule="auto"/>
        <w:rPr>
          <w:sz w:val="20"/>
          <w:szCs w:val="20"/>
          <w:color w:val="auto"/>
        </w:rPr>
      </w:pPr>
      <w:r>
        <w:rPr>
          <w:rFonts w:ascii="Arial" w:cs="Arial" w:eastAsia="Arial" w:hAnsi="Arial"/>
          <w:sz w:val="16"/>
          <w:szCs w:val="16"/>
          <w:color w:val="231F20"/>
        </w:rPr>
        <w:t>Even though we have been around for over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Compensation and Benefits</w:t>
      </w:r>
    </w:p>
    <w:p>
      <w:pPr>
        <w:spacing w:after="0" w:line="207" w:lineRule="exact"/>
        <w:rPr>
          <w:sz w:val="20"/>
          <w:szCs w:val="20"/>
          <w:color w:val="auto"/>
        </w:rPr>
      </w:pPr>
    </w:p>
    <w:p>
      <w:pPr>
        <w:ind w:right="400" w:firstLine="589"/>
        <w:spacing w:after="0" w:line="258" w:lineRule="auto"/>
        <w:rPr>
          <w:sz w:val="20"/>
          <w:szCs w:val="20"/>
          <w:color w:val="auto"/>
        </w:rPr>
      </w:pPr>
      <w:r>
        <w:rPr>
          <w:rFonts w:ascii="Arial" w:cs="Arial" w:eastAsia="Arial" w:hAnsi="Arial"/>
          <w:sz w:val="17"/>
          <w:szCs w:val="17"/>
          <w:color w:val="231F20"/>
        </w:rPr>
        <w:t>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w:t>
      </w:r>
    </w:p>
    <w:p>
      <w:pPr>
        <w:spacing w:after="0" w:line="175" w:lineRule="exact"/>
        <w:rPr>
          <w:sz w:val="20"/>
          <w:szCs w:val="20"/>
          <w:color w:val="auto"/>
        </w:rPr>
      </w:pPr>
    </w:p>
    <w:p>
      <w:pPr>
        <w:ind w:right="120" w:firstLine="589"/>
        <w:spacing w:after="0" w:line="258" w:lineRule="auto"/>
        <w:rPr>
          <w:sz w:val="20"/>
          <w:szCs w:val="20"/>
          <w:color w:val="auto"/>
        </w:rPr>
      </w:pPr>
      <w:r>
        <w:rPr>
          <w:rFonts w:ascii="Arial" w:cs="Arial" w:eastAsia="Arial" w:hAnsi="Arial"/>
          <w:sz w:val="17"/>
          <w:szCs w:val="17"/>
          <w:color w:val="231F20"/>
        </w:rPr>
        <w:t>In addition to salaries, we provide competitive compensation programs that are in line with our peers and industry. These programs may include bonuses, equity awards, 401(k) plan, healthcare and insurance benefits, flexible spending accounts, paid time off, family leave and employee assistance programs among many others.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Health, Safety and Wellness</w:t>
      </w:r>
    </w:p>
    <w:p>
      <w:pPr>
        <w:spacing w:after="0" w:line="20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7"/>
          <w:szCs w:val="17"/>
          <w:color w:val="231F20"/>
        </w:rPr>
        <w:t>We strive to provide a work environment where our employees feel safe and are comfortable working. In response to the COVID-19 pandemic, we immediately implemented a teleworking program that complied with all applicable government regulations and protected our employees while allowing them to continue to be effective in their jobs. We continue to stay updated on changes in government regulations and implement them to meet our employees’ changing health and wellness needs.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Intellectual Property</w:t>
      </w:r>
    </w:p>
    <w:p>
      <w:pPr>
        <w:spacing w:after="0" w:line="211" w:lineRule="exact"/>
        <w:rPr>
          <w:sz w:val="20"/>
          <w:szCs w:val="20"/>
          <w:color w:val="auto"/>
        </w:rPr>
      </w:pPr>
    </w:p>
    <w:p>
      <w:pPr>
        <w:ind w:right="260" w:firstLine="589"/>
        <w:spacing w:after="0" w:line="281" w:lineRule="auto"/>
        <w:rPr>
          <w:sz w:val="20"/>
          <w:szCs w:val="20"/>
          <w:color w:val="auto"/>
        </w:rPr>
      </w:pPr>
      <w:r>
        <w:rPr>
          <w:rFonts w:ascii="Arial" w:cs="Arial" w:eastAsia="Arial" w:hAnsi="Arial"/>
          <w:sz w:val="16"/>
          <w:szCs w:val="16"/>
          <w:color w:val="231F20"/>
        </w:rPr>
        <w:t>The protection of our technology and intellectual property is an important component of our success. We rely on intellectual property laws, including trade secret, copyright, patent and trademark laws in the United States and abroad, and use contracts, confidentiality procedures, non-disclosure agreements, employee disclosure and invention assignment agreements and other contractual rights to protect our intellectual property.</w:t>
      </w:r>
    </w:p>
    <w:p>
      <w:pPr>
        <w:spacing w:after="0" w:line="159" w:lineRule="exact"/>
        <w:rPr>
          <w:sz w:val="20"/>
          <w:szCs w:val="20"/>
          <w:color w:val="auto"/>
        </w:rPr>
      </w:pPr>
    </w:p>
    <w:p>
      <w:pPr>
        <w:ind w:right="140" w:firstLine="589"/>
        <w:spacing w:after="0" w:line="275" w:lineRule="auto"/>
        <w:rPr>
          <w:sz w:val="20"/>
          <w:szCs w:val="20"/>
          <w:color w:val="auto"/>
        </w:rPr>
      </w:pPr>
      <w:r>
        <w:rPr>
          <w:rFonts w:ascii="Arial" w:cs="Arial" w:eastAsia="Arial" w:hAnsi="Arial"/>
          <w:sz w:val="16"/>
          <w:szCs w:val="16"/>
          <w:color w:val="231F20"/>
        </w:rPr>
        <w:t>As of December 31, 2021, we held 28 issued patents, 13 pending patent applications and 323 issued trademarks. Our issued patents are scheduled to expire between 2025 and 2038. We continually review our development efforts to assess the existence and patentability of new intellectual property. In addition to the intellectual property relating to the operation of Adelphic and our people-based framework, we own intellectual property related to our owned site, Myspace.com. Of our issued patents, 13 relate to our platform and our people-based framework, and 15 relate to Myspace.com.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11" w:lineRule="exact"/>
        <w:rPr>
          <w:sz w:val="20"/>
          <w:szCs w:val="20"/>
          <w:color w:val="auto"/>
        </w:rPr>
      </w:pPr>
    </w:p>
    <w:p>
      <w:pPr>
        <w:ind w:firstLine="865"/>
        <w:spacing w:after="0" w:line="294" w:lineRule="auto"/>
        <w:rPr>
          <w:sz w:val="20"/>
          <w:szCs w:val="20"/>
          <w:color w:val="auto"/>
        </w:rPr>
      </w:pPr>
      <w:r>
        <w:rPr>
          <w:rFonts w:ascii="Arial" w:cs="Arial" w:eastAsia="Arial" w:hAnsi="Arial"/>
          <w:sz w:val="15"/>
          <w:szCs w:val="15"/>
          <w:color w:val="auto"/>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 started Xumo, a connected TV streaming service, which was acquired by Comcast Corp. in 2020. In 2015, we completed our first people-based integration. We remained independent until 2016, when Time Inc. acquired a 60% interest in our company through our subsidiary, Viant Technology Holding Inc. (the “Former Holdco”). That interest was later acquired by Meredith Corporation when 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line="286" w:lineRule="auto"/>
        <w:rPr>
          <w:sz w:val="20"/>
          <w:szCs w:val="20"/>
          <w:color w:val="auto"/>
        </w:rPr>
      </w:pPr>
      <w:r>
        <w:rPr>
          <w:rFonts w:ascii="Arial" w:cs="Arial" w:eastAsia="Arial" w:hAnsi="Arial"/>
          <w:sz w:val="15"/>
          <w:szCs w:val="15"/>
          <w:color w:val="auto"/>
        </w:rPr>
        <w:t xml:space="preserve">acquired Time Inc. in 2018. In 2017, we purchased Adelphic, a DSP. Since the Adelphic acquisition, we have materially transformed from a full-service provider of digital advertising solutions into a leading DSP that enables marketers and their advertising agencies to centralize the planning, buying and measurement of their media investments using a people-based framework. We have grown from a business operating from a home office to a company with approximately 350 employees in 10 offices throughout the United States at the end of 2021. In 2019, we entered into an agreement that resulted in the retirement of the Former Holdco’s interest in our company and </w:t>
      </w:r>
      <w:r>
        <w:rPr>
          <w:rFonts w:ascii="Arial" w:cs="Arial" w:eastAsia="Arial" w:hAnsi="Arial"/>
          <w:sz w:val="15"/>
          <w:szCs w:val="15"/>
          <w:color w:val="231F20"/>
        </w:rPr>
        <w:t>Tim Vanderhook, Chris Vanderhook and Four Brothers 2 LLC (the “Vanderhook Parties”)</w:t>
      </w:r>
      <w:r>
        <w:rPr>
          <w:rFonts w:ascii="Arial" w:cs="Arial" w:eastAsia="Arial" w:hAnsi="Arial"/>
          <w:sz w:val="15"/>
          <w:szCs w:val="15"/>
          <w:color w:val="auto"/>
        </w:rPr>
        <w:t xml:space="preserve"> acquired that 60% interest in our company (the “2019 Former Holdco transaction”), allowing it to once again become an independent company. Viant Technology Inc. was incorporated in Delaware on October 9, 2020. In connection with the consummation of our initial public offering (the “IPO”), we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 Our design logo, “Viant,” and our other registered and common law trade names, trademarks and service marks are the property of Viant Technology Inc.</w:t>
      </w:r>
    </w:p>
    <w:p>
      <w:pPr>
        <w:spacing w:after="0" w:line="159" w:lineRule="exact"/>
        <w:rPr>
          <w:sz w:val="20"/>
          <w:szCs w:val="20"/>
          <w:color w:val="auto"/>
        </w:rPr>
      </w:pPr>
    </w:p>
    <w:p>
      <w:pPr>
        <w:ind w:right="40" w:firstLine="865"/>
        <w:spacing w:after="0" w:line="250" w:lineRule="auto"/>
        <w:rPr>
          <w:sz w:val="20"/>
          <w:szCs w:val="20"/>
          <w:color w:val="auto"/>
        </w:rPr>
      </w:pPr>
      <w:r>
        <w:rPr>
          <w:rFonts w:ascii="Arial" w:cs="Arial" w:eastAsia="Arial" w:hAnsi="Arial"/>
          <w:sz w:val="17"/>
          <w:szCs w:val="17"/>
          <w:color w:val="auto"/>
        </w:rPr>
        <w:t xml:space="preserve">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consolidated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pursuant to Section 13(a) or 15(d) of the Exchange Act, available, free of charge, through our website, </w:t>
      </w:r>
      <w:r>
        <w:rPr>
          <w:rFonts w:ascii="Arial" w:cs="Arial" w:eastAsia="Arial" w:hAnsi="Arial"/>
          <w:sz w:val="17"/>
          <w:szCs w:val="17"/>
          <w:u w:val="single" w:color="auto"/>
          <w:color w:val="auto"/>
        </w:rPr>
        <w:t>www.viantinc.com</w:t>
      </w:r>
      <w:r>
        <w:rPr>
          <w:rFonts w:ascii="Arial" w:cs="Arial" w:eastAsia="Arial" w:hAnsi="Arial"/>
          <w:sz w:val="17"/>
          <w:szCs w:val="17"/>
          <w:color w:val="auto"/>
        </w:rPr>
        <w:t>,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w:t>
      </w:r>
    </w:p>
    <w:p>
      <w:pPr>
        <w:spacing w:after="0" w:line="211" w:lineRule="exact"/>
        <w:rPr>
          <w:sz w:val="20"/>
          <w:szCs w:val="20"/>
          <w:color w:val="auto"/>
        </w:rPr>
      </w:pPr>
    </w:p>
    <w:p>
      <w:pPr>
        <w:ind w:right="140" w:firstLine="865"/>
        <w:spacing w:after="0" w:line="268"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2026 or until we are no longer an “emerging growth company,” whichever is earlier. We will cease to be an emerging growth company prior to the end of such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168" w:lineRule="exact"/>
        <w:rPr>
          <w:sz w:val="20"/>
          <w:szCs w:val="20"/>
          <w:color w:val="auto"/>
        </w:rPr>
      </w:pPr>
    </w:p>
    <w:p>
      <w:pPr>
        <w:ind w:right="60" w:firstLine="865"/>
        <w:spacing w:after="0" w:line="270" w:lineRule="auto"/>
        <w:rPr>
          <w:sz w:val="20"/>
          <w:szCs w:val="20"/>
          <w:color w:val="auto"/>
        </w:rPr>
      </w:pPr>
      <w:r>
        <w:rPr>
          <w:rFonts w:ascii="Arial" w:cs="Arial" w:eastAsia="Arial" w:hAnsi="Arial"/>
          <w:sz w:val="16"/>
          <w:szCs w:val="16"/>
          <w:color w:val="auto"/>
        </w:rPr>
        <w:t>In addition, the JOBS Act provides that an emerging growth company may take advantage of an extended transition period for complying with new or revised accounting standards. This provision allows an emerging growth company to delay the adoption of accounting standards until those standards would otherwise apply to private companies. We have elected to take advantage of this extended transition period, and as a result, we will comply with new or revised accounting standards on the relevant dates on which adoption is required for private companies. As part of this election, we are delaying the adoption of accounting guidance related to leases and implementation costs incurred in cloud computing arrangements that currently applies to public companies. See Note 2 to our consolidated financial statements included elsewhere in this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1A. Risk Factors.</w:t>
      </w:r>
    </w:p>
    <w:p>
      <w:pPr>
        <w:spacing w:after="0" w:line="21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6"/>
          <w:szCs w:val="16"/>
          <w:i w:val="1"/>
          <w:iCs w:val="1"/>
          <w:color w:val="231F20"/>
        </w:rPr>
        <w:t>Investing in our Class A common stock involves a high degree of risk. You should carefully consider the following risks and uncertainties described below, together with all other information contained in this Annual Report and in our other public filings, including our consolidated financial statements and the related notes appearing at the end of this Annual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Our Business and Operations</w:t>
      </w:r>
    </w:p>
    <w:p>
      <w:pPr>
        <w:spacing w:after="0" w:line="211"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i w:val="1"/>
          <w:iCs w:val="1"/>
          <w:color w:val="231F20"/>
        </w:rPr>
        <w:t>Our success and revenue growth are dependent on adding new customers, effectively educating and training our existing customers on how to make full use of our platform and increasing usage of our platform by our customers.</w:t>
      </w:r>
    </w:p>
    <w:p>
      <w:pPr>
        <w:spacing w:after="0" w:line="166" w:lineRule="exact"/>
        <w:rPr>
          <w:sz w:val="20"/>
          <w:szCs w:val="20"/>
          <w:color w:val="auto"/>
        </w:rPr>
      </w:pPr>
    </w:p>
    <w:p>
      <w:pPr>
        <w:ind w:firstLine="865"/>
        <w:spacing w:after="0" w:line="265" w:lineRule="auto"/>
        <w:rPr>
          <w:sz w:val="20"/>
          <w:szCs w:val="20"/>
          <w:color w:val="auto"/>
        </w:rPr>
      </w:pPr>
      <w:r>
        <w:rPr>
          <w:rFonts w:ascii="Arial" w:cs="Arial" w:eastAsia="Arial" w:hAnsi="Arial"/>
          <w:sz w:val="16"/>
          <w:szCs w:val="16"/>
          <w:color w:val="231F20"/>
        </w:rPr>
        <w:t>Our success is dependent on regularly adding new customers and increasing our customers’ usage of our platform.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ROAS.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We cannot assure you that our customers will continue to use and increase their spend on our platform or that we will be able to attract a sufficient number of new customers to continue to grow our business and revenue.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75"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b w:val="1"/>
          <w:bCs w:val="1"/>
          <w:i w:val="1"/>
          <w:iCs w:val="1"/>
          <w:color w:val="231F20"/>
        </w:rPr>
        <w:t>We may not realize the expected benefits of an industry shift away from cookie-based consumer tracking as such shift may not occur as rapidly as we expect or may not be realized at all.</w:t>
      </w:r>
    </w:p>
    <w:p>
      <w:pPr>
        <w:spacing w:after="0" w:line="166" w:lineRule="exact"/>
        <w:rPr>
          <w:sz w:val="20"/>
          <w:szCs w:val="20"/>
          <w:color w:val="auto"/>
        </w:rPr>
      </w:pPr>
    </w:p>
    <w:p>
      <w:pPr>
        <w:ind w:right="40" w:firstLine="589"/>
        <w:spacing w:after="0" w:line="291" w:lineRule="auto"/>
        <w:rPr>
          <w:sz w:val="20"/>
          <w:szCs w:val="20"/>
          <w:color w:val="auto"/>
        </w:rPr>
      </w:pPr>
      <w:r>
        <w:rPr>
          <w:rFonts w:ascii="Arial" w:cs="Arial" w:eastAsia="Arial" w:hAnsi="Arial"/>
          <w:sz w:val="15"/>
          <w:szCs w:val="15"/>
          <w:color w:val="auto"/>
        </w:rPr>
        <w:t>We expect to benefit as compared to others in our industry from marketers reducing their reliance on vendors and software platforms that utilize third-party cookies for tracking. However, we cannot assure you that the shift away from cookie-based consumer tracking will happen as rapidly as we expect or that such shift will occur at all. For example, in June 2021, Google announced that its previously announced timeline of blocking third-party cookies by 2022 would be delayed until 2023.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54"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b w:val="1"/>
          <w:bCs w:val="1"/>
          <w:i w:val="1"/>
          <w:iCs w:val="1"/>
          <w:color w:val="231F20"/>
        </w:rPr>
        <w:t>The effects of the ongoing COVID-19 pandemic and other adverse market events have had, and could in the future have, an adverse impact on our business, operating results and financial condition.</w:t>
      </w:r>
    </w:p>
    <w:p>
      <w:pPr>
        <w:spacing w:after="0" w:line="166" w:lineRule="exact"/>
        <w:rPr>
          <w:sz w:val="20"/>
          <w:szCs w:val="20"/>
          <w:color w:val="auto"/>
        </w:rPr>
      </w:pPr>
    </w:p>
    <w:p>
      <w:pPr>
        <w:ind w:right="20" w:firstLine="589"/>
        <w:spacing w:after="0" w:line="281" w:lineRule="auto"/>
        <w:rPr>
          <w:sz w:val="20"/>
          <w:szCs w:val="20"/>
          <w:color w:val="auto"/>
        </w:rPr>
      </w:pPr>
      <w:r>
        <w:rPr>
          <w:rFonts w:ascii="Arial" w:cs="Arial" w:eastAsia="Arial" w:hAnsi="Arial"/>
          <w:sz w:val="16"/>
          <w:szCs w:val="16"/>
          <w:color w:val="231F20"/>
        </w:rPr>
        <w:t>Our business and operations have been and could in the future be adversely affected by health epidemics, such as the global COVID-19 pandemic. The COVID-19 pandemic and efforts to control its spread have curtailed the movement of people, goods and services worldwide, including in the regions in which we and our customers and partners operate, and are significantly impacting economic activity and financial markets. Many marketers,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9" w:name="page20"/>
    <w:bookmarkEnd w:id="19"/>
    <w:p>
      <w:pPr>
        <w:ind w:right="40"/>
        <w:spacing w:after="0" w:line="252" w:lineRule="auto"/>
        <w:rPr>
          <w:sz w:val="20"/>
          <w:szCs w:val="20"/>
          <w:color w:val="auto"/>
        </w:rPr>
      </w:pPr>
      <w:r>
        <w:rPr>
          <w:rFonts w:ascii="Arial" w:cs="Arial" w:eastAsia="Arial" w:hAnsi="Arial"/>
          <w:sz w:val="17"/>
          <w:szCs w:val="17"/>
          <w:color w:val="231F20"/>
        </w:rPr>
        <w:t>particularly those in the travel, retail and automotive industries, have decreased or paused their advertising spending as a response to the economic uncertainty, decline in business activity, and other COVID-19-related impacts, which has negatively impacted, and may continue to negatively impact, our revenue and results of operations, the extent and duration of which we may not be able to accurately predict. The spread of an infectious disease may also result in, and, in the case of the COVID-19 pandemic has resulted in, regional quarantines, labor shortages or stoppages, changes in consumer purchasing patterns, disruptions to service providers’ ability to deliver data on a timely basis, or at all, and overall economic instability.</w:t>
      </w:r>
    </w:p>
    <w:p>
      <w:pPr>
        <w:spacing w:after="0" w:line="181" w:lineRule="exact"/>
        <w:rPr>
          <w:sz w:val="20"/>
          <w:szCs w:val="20"/>
          <w:color w:val="auto"/>
        </w:rPr>
      </w:pPr>
    </w:p>
    <w:p>
      <w:pPr>
        <w:ind w:firstLine="589"/>
        <w:spacing w:after="0" w:line="288" w:lineRule="auto"/>
        <w:rPr>
          <w:sz w:val="20"/>
          <w:szCs w:val="20"/>
          <w:color w:val="auto"/>
        </w:rPr>
      </w:pPr>
      <w:r>
        <w:rPr>
          <w:rFonts w:ascii="Arial" w:cs="Arial" w:eastAsia="Arial" w:hAnsi="Arial"/>
          <w:sz w:val="15"/>
          <w:szCs w:val="15"/>
          <w:color w:val="231F20"/>
        </w:rPr>
        <w:t>A recession, depression or other adverse market events resulting from the spread of COVID-19 could materially and adversely affect our business and that of our customers or potential customers. Our customers’ and potential customers’ businesses or cash flows have been and may continue to be negatively impacted by the COVID-19 pandemic,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the pandemic.</w:t>
      </w:r>
    </w:p>
    <w:p>
      <w:pPr>
        <w:spacing w:after="0" w:line="156" w:lineRule="exact"/>
        <w:rPr>
          <w:sz w:val="20"/>
          <w:szCs w:val="20"/>
          <w:color w:val="auto"/>
        </w:rPr>
      </w:pPr>
    </w:p>
    <w:p>
      <w:pPr>
        <w:ind w:right="20" w:firstLine="865"/>
        <w:spacing w:after="0" w:line="272" w:lineRule="auto"/>
        <w:rPr>
          <w:sz w:val="20"/>
          <w:szCs w:val="20"/>
          <w:color w:val="auto"/>
        </w:rPr>
      </w:pPr>
      <w:r>
        <w:rPr>
          <w:rFonts w:ascii="Arial" w:cs="Arial" w:eastAsia="Arial" w:hAnsi="Arial"/>
          <w:sz w:val="16"/>
          <w:szCs w:val="16"/>
          <w:color w:val="231F20"/>
        </w:rPr>
        <w:t>Our operations are subject to a range of external factors related to the COVID-19 pandemic that are not within our control. We have taken precautionary measures intended to minimize the risk of the spread of the virus to our employees, partners and customers, and the communities in which we operate. There can be no assurance that precautionary measures, whether adopted by us or imposed by others, will be effective, and such measures could negatively affect our sales, marketing, and customer service efforts, delay and lengthen our sales cycles, decrease our employees’ or customers’ or partners’ productivity, or create operational or other challenges, any of which could harm our business, operating results and financial condition.</w:t>
      </w:r>
    </w:p>
    <w:p>
      <w:pPr>
        <w:spacing w:after="0" w:line="165"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231F20"/>
        </w:rPr>
        <w:t xml:space="preserve">The economic uncertainty caused by the COVID-19 pandemic, including the recent surge caused by variants of the virus, has made and may continue to make it difficult for us to forecast revenue and operating results and to make decisions regarding operational cost structures and investments. 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We have committed, and we plan to continue to commit, resources to grow our business, including to expand our employee base and further develop our platform and systems, and such investments may not yield anticipated returns, particularly if worldwide business activity continues to be impacted by the COVID-19 pandemic. The duration and extent of the impact from the COVID-19 pandemic depend on future developments that cannot be accurately predicted at this time, and if we are not able to respond to and manage the impact of such events effectively, our business may be harmed. Such future developments may include, among others, the duration and spread of the outbreak, emerging variant strains </w:t>
      </w:r>
      <w:r>
        <w:rPr>
          <w:rFonts w:ascii="Arial" w:cs="Arial" w:eastAsia="Arial" w:hAnsi="Arial"/>
          <w:sz w:val="16"/>
          <w:szCs w:val="16"/>
          <w:color w:val="000000"/>
        </w:rPr>
        <w:t>of the virus with varying degrees of vaccine resistance</w:t>
      </w:r>
      <w:r>
        <w:rPr>
          <w:rFonts w:ascii="Arial" w:cs="Arial" w:eastAsia="Arial" w:hAnsi="Arial"/>
          <w:sz w:val="16"/>
          <w:szCs w:val="16"/>
          <w:color w:val="231F20"/>
        </w:rPr>
        <w:t>, new information that may emerge concerning the severity of COVID-19 and government actions to contain COVID-19 or treat its impact, the level of relief efforts designed to help businesses and consumers, including any declines in such levels, impact on our customers and our sales cycles, impact on our customer, industry or employee events, and effect on our advertising inventory partners.</w:t>
      </w:r>
    </w:p>
    <w:p>
      <w:pPr>
        <w:spacing w:after="0" w:line="170" w:lineRule="exact"/>
        <w:rPr>
          <w:sz w:val="20"/>
          <w:szCs w:val="20"/>
          <w:color w:val="auto"/>
        </w:rPr>
      </w:pPr>
    </w:p>
    <w:p>
      <w:pPr>
        <w:jc w:val="both"/>
        <w:ind w:right="80" w:firstLine="589"/>
        <w:spacing w:after="0" w:line="258" w:lineRule="auto"/>
        <w:rPr>
          <w:sz w:val="20"/>
          <w:szCs w:val="20"/>
          <w:color w:val="auto"/>
        </w:rPr>
      </w:pPr>
      <w:r>
        <w:rPr>
          <w:rFonts w:ascii="Arial" w:cs="Arial" w:eastAsia="Arial" w:hAnsi="Arial"/>
          <w:sz w:val="17"/>
          <w:szCs w:val="17"/>
          <w:color w:val="231F20"/>
        </w:rPr>
        <w:t>Our results may also fluctuate unpredictably as and to the extent there is a recovery from the pandemic and a return to non-pandemic business conditions. We cannot predict the impact of a post-pandemic recovery on the economy, our customers or consumer media consumption patterns or the degree to which certain trends, such as the growth in demand for our connected TV offering, will continue.</w:t>
      </w:r>
    </w:p>
    <w:p>
      <w:pPr>
        <w:spacing w:after="0" w:line="175"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b w:val="1"/>
          <w:bCs w:val="1"/>
          <w:i w:val="1"/>
          <w:iCs w:val="1"/>
          <w:color w:val="231F20"/>
        </w:rPr>
        <w:t>If we fail to innovate and make the right investment decisions in our offerings and platform, we may not attract and retain customers and our revenue and results of operations may decline.</w:t>
      </w:r>
    </w:p>
    <w:p>
      <w:pPr>
        <w:spacing w:after="0" w:line="166" w:lineRule="exact"/>
        <w:rPr>
          <w:sz w:val="20"/>
          <w:szCs w:val="20"/>
          <w:color w:val="auto"/>
        </w:rPr>
      </w:pPr>
    </w:p>
    <w:p>
      <w:pPr>
        <w:ind w:right="200" w:firstLine="589"/>
        <w:spacing w:after="0" w:line="308" w:lineRule="auto"/>
        <w:rPr>
          <w:sz w:val="20"/>
          <w:szCs w:val="20"/>
          <w:color w:val="auto"/>
        </w:rPr>
      </w:pPr>
      <w:r>
        <w:rPr>
          <w:rFonts w:ascii="Arial" w:cs="Arial" w:eastAsia="Arial" w:hAnsi="Arial"/>
          <w:sz w:val="15"/>
          <w:szCs w:val="15"/>
          <w:color w:val="231F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20"/>
        <w:spacing w:after="0" w:line="270" w:lineRule="auto"/>
        <w:rPr>
          <w:sz w:val="20"/>
          <w:szCs w:val="20"/>
          <w:color w:val="auto"/>
        </w:rPr>
      </w:pPr>
      <w:r>
        <w:rPr>
          <w:rFonts w:ascii="Arial" w:cs="Arial" w:eastAsia="Arial" w:hAnsi="Arial"/>
          <w:sz w:val="16"/>
          <w:szCs w:val="16"/>
          <w:color w:val="231F20"/>
        </w:rPr>
        <w:t>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our offerings could become technologically or commercially obsolete over time, in which case our revenue and operating results would suffer.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spacing w:after="0" w:line="167" w:lineRule="exact"/>
        <w:rPr>
          <w:sz w:val="20"/>
          <w:szCs w:val="20"/>
          <w:color w:val="auto"/>
        </w:rPr>
      </w:pPr>
    </w:p>
    <w:p>
      <w:pPr>
        <w:ind w:right="400" w:firstLine="589"/>
        <w:spacing w:after="0" w:line="300" w:lineRule="auto"/>
        <w:rPr>
          <w:sz w:val="20"/>
          <w:szCs w:val="20"/>
          <w:color w:val="auto"/>
        </w:rPr>
      </w:pPr>
      <w:r>
        <w:rPr>
          <w:rFonts w:ascii="Arial" w:cs="Arial" w:eastAsia="Arial" w:hAnsi="Arial"/>
          <w:sz w:val="16"/>
          <w:szCs w:val="16"/>
          <w:color w:val="231F20"/>
        </w:rPr>
        <w:t>If we fail to enhance our current products and services or fail to develop new products to adapt to our rapidly changing industry or to evolving customer needs, demand for our platform could decrease and our business, operating results and financial condition may be adversely affected.</w:t>
      </w:r>
    </w:p>
    <w:p>
      <w:pPr>
        <w:spacing w:after="0" w:line="144"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i w:val="1"/>
          <w:iCs w:val="1"/>
          <w:color w:val="231F20"/>
        </w:rPr>
        <w:t>The market for programmatic advertising is evolving. If this market develops slower or differently than we expect, our business, operating results and financial condition would be adversely affected.</w:t>
      </w:r>
    </w:p>
    <w:p>
      <w:pPr>
        <w:spacing w:after="0" w:line="166" w:lineRule="exact"/>
        <w:rPr>
          <w:sz w:val="20"/>
          <w:szCs w:val="20"/>
          <w:color w:val="auto"/>
        </w:rPr>
      </w:pPr>
    </w:p>
    <w:p>
      <w:pPr>
        <w:ind w:firstLine="589"/>
        <w:spacing w:after="0" w:line="251" w:lineRule="auto"/>
        <w:rPr>
          <w:sz w:val="20"/>
          <w:szCs w:val="20"/>
          <w:color w:val="auto"/>
        </w:rPr>
      </w:pPr>
      <w:r>
        <w:rPr>
          <w:rFonts w:ascii="Arial" w:cs="Arial" w:eastAsia="Arial" w:hAnsi="Arial"/>
          <w:sz w:val="17"/>
          <w:szCs w:val="17"/>
          <w:color w:val="231F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display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182" w:lineRule="exact"/>
        <w:rPr>
          <w:sz w:val="20"/>
          <w:szCs w:val="20"/>
          <w:color w:val="auto"/>
        </w:rPr>
      </w:pPr>
    </w:p>
    <w:p>
      <w:pPr>
        <w:ind w:right="40" w:firstLine="589"/>
        <w:spacing w:after="0" w:line="268" w:lineRule="auto"/>
        <w:rPr>
          <w:sz w:val="20"/>
          <w:szCs w:val="20"/>
          <w:color w:val="auto"/>
        </w:rPr>
      </w:pPr>
      <w:r>
        <w:rPr>
          <w:rFonts w:ascii="Arial" w:cs="Arial" w:eastAsia="Arial" w:hAnsi="Arial"/>
          <w:sz w:val="16"/>
          <w:szCs w:val="16"/>
          <w:color w:val="231F20"/>
        </w:rPr>
        <w:t>In particular, the market for programmatic advertising across multiple advertising channels, including connected TV, linear TV, in-game, streaming audio and digital billboard channels is an emerging market. Our ability to provide capabilities across multiple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we cannot predict whether the growth in demand for our connected TV offering will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6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231F20"/>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166" w:lineRule="exact"/>
        <w:rPr>
          <w:sz w:val="20"/>
          <w:szCs w:val="20"/>
          <w:color w:val="auto"/>
        </w:rPr>
      </w:pPr>
    </w:p>
    <w:p>
      <w:pPr>
        <w:ind w:right="200" w:firstLine="589"/>
        <w:spacing w:after="0" w:line="291" w:lineRule="auto"/>
        <w:rPr>
          <w:sz w:val="20"/>
          <w:szCs w:val="20"/>
          <w:color w:val="auto"/>
        </w:rPr>
      </w:pPr>
      <w:r>
        <w:rPr>
          <w:rFonts w:ascii="Arial" w:cs="Arial" w:eastAsia="Arial" w:hAnsi="Arial"/>
          <w:sz w:val="15"/>
          <w:szCs w:val="15"/>
          <w:color w:val="231F20"/>
        </w:rPr>
        <w:t>A significant amount of our revenue comes from advertising agencies. We had 309 active customers for the year ended December 31, 2021,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If all of our individual customer contractual relationships were aggregated at the holding company level, two advertising agency holding companies would represent 15.5% and 14.2%, respectively, of our revenue for 2021. Due to the highly decentralized operations and decision-making at the agencies owned by each of these advertising agency holding companies, we consider the individual agencies rather than the holding company to be our customers.</w:t>
      </w:r>
    </w:p>
    <w:p>
      <w:pPr>
        <w:spacing w:after="0" w:line="154" w:lineRule="exact"/>
        <w:rPr>
          <w:sz w:val="20"/>
          <w:szCs w:val="20"/>
          <w:color w:val="auto"/>
        </w:rPr>
      </w:pPr>
    </w:p>
    <w:p>
      <w:pPr>
        <w:ind w:right="340" w:firstLine="589"/>
        <w:spacing w:after="0" w:line="254" w:lineRule="auto"/>
        <w:rPr>
          <w:sz w:val="20"/>
          <w:szCs w:val="20"/>
          <w:color w:val="auto"/>
        </w:rPr>
      </w:pPr>
      <w:r>
        <w:rPr>
          <w:rFonts w:ascii="Arial" w:cs="Arial" w:eastAsia="Arial" w:hAnsi="Arial"/>
          <w:sz w:val="17"/>
          <w:szCs w:val="17"/>
          <w:color w:val="231F20"/>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1" w:name="page22"/>
    <w:bookmarkEnd w:id="21"/>
    <w:p>
      <w:pPr>
        <w:ind w:right="80" w:firstLine="589"/>
        <w:spacing w:after="0" w:line="258" w:lineRule="auto"/>
        <w:rPr>
          <w:sz w:val="20"/>
          <w:szCs w:val="20"/>
          <w:color w:val="auto"/>
        </w:rPr>
      </w:pPr>
      <w:r>
        <w:rPr>
          <w:rFonts w:ascii="Arial" w:cs="Arial" w:eastAsia="Arial" w:hAnsi="Arial"/>
          <w:sz w:val="17"/>
          <w:szCs w:val="17"/>
          <w:color w:val="231F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spacing w:after="0" w:line="175" w:lineRule="exact"/>
        <w:rPr>
          <w:sz w:val="20"/>
          <w:szCs w:val="20"/>
          <w:color w:val="auto"/>
        </w:rPr>
      </w:pPr>
    </w:p>
    <w:p>
      <w:pPr>
        <w:ind w:right="40" w:firstLine="589"/>
        <w:spacing w:after="0" w:line="254" w:lineRule="auto"/>
        <w:rPr>
          <w:sz w:val="20"/>
          <w:szCs w:val="20"/>
          <w:color w:val="auto"/>
        </w:rPr>
      </w:pPr>
      <w:r>
        <w:rPr>
          <w:rFonts w:ascii="Arial" w:cs="Arial" w:eastAsia="Arial" w:hAnsi="Arial"/>
          <w:sz w:val="17"/>
          <w:szCs w:val="17"/>
          <w:color w:val="231F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If a significant number of marketers and their agencies begin to utilize competing platforms for the administration of their advertising campaigns, our business, financial condition and results of operations could be adversely affected.</w:t>
      </w:r>
    </w:p>
    <w:p>
      <w:pPr>
        <w:spacing w:after="0" w:line="179"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b w:val="1"/>
          <w:bCs w:val="1"/>
          <w:i w:val="1"/>
          <w:iCs w:val="1"/>
          <w:color w:val="231F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44" w:lineRule="exact"/>
        <w:rPr>
          <w:sz w:val="20"/>
          <w:szCs w:val="20"/>
          <w:color w:val="auto"/>
        </w:rPr>
      </w:pPr>
    </w:p>
    <w:p>
      <w:pPr>
        <w:ind w:firstLine="589"/>
        <w:spacing w:after="0" w:line="267" w:lineRule="auto"/>
        <w:rPr>
          <w:sz w:val="20"/>
          <w:szCs w:val="20"/>
          <w:color w:val="auto"/>
        </w:rPr>
      </w:pPr>
      <w:r>
        <w:rPr>
          <w:rFonts w:ascii="Arial" w:cs="Arial" w:eastAsia="Arial" w:hAnsi="Arial"/>
          <w:sz w:val="16"/>
          <w:szCs w:val="16"/>
          <w:color w:val="231F20"/>
        </w:rPr>
        <w:t>Our sales cycle, from initial contact to contract execution and implementation, can take significant time. As part of our sales cycle, we may incur significant expenses before we generate any revenue from a prospective customer. We have no assurance that the substantial time and money spent on our sales efforts will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Some of our customers undertake an evaluation process that frequently involves not only our platform but also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231F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175" w:lineRule="exact"/>
        <w:rPr>
          <w:sz w:val="20"/>
          <w:szCs w:val="20"/>
          <w:color w:val="auto"/>
        </w:rPr>
      </w:pPr>
    </w:p>
    <w:p>
      <w:pPr>
        <w:ind w:right="60" w:firstLine="589"/>
        <w:spacing w:after="0" w:line="270" w:lineRule="auto"/>
        <w:rPr>
          <w:sz w:val="20"/>
          <w:szCs w:val="20"/>
          <w:color w:val="auto"/>
        </w:rPr>
      </w:pPr>
      <w:r>
        <w:rPr>
          <w:rFonts w:ascii="Arial" w:cs="Arial" w:eastAsia="Arial" w:hAnsi="Arial"/>
          <w:sz w:val="16"/>
          <w:szCs w:val="16"/>
          <w:color w:val="231F20"/>
        </w:rPr>
        <w:t>Because we operate a platform that has many powerful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167" w:lineRule="exact"/>
        <w:rPr>
          <w:sz w:val="20"/>
          <w:szCs w:val="20"/>
          <w:color w:val="auto"/>
        </w:rPr>
      </w:pPr>
    </w:p>
    <w:p>
      <w:pPr>
        <w:ind w:firstLine="589"/>
        <w:spacing w:after="0" w:line="252" w:lineRule="auto"/>
        <w:rPr>
          <w:sz w:val="20"/>
          <w:szCs w:val="20"/>
          <w:color w:val="auto"/>
        </w:rPr>
      </w:pPr>
      <w:r>
        <w:rPr>
          <w:rFonts w:ascii="Arial" w:cs="Arial" w:eastAsia="Arial" w:hAnsi="Arial"/>
          <w:sz w:val="17"/>
          <w:szCs w:val="17"/>
          <w:color w:val="231F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ind w:right="180"/>
        <w:spacing w:after="0" w:line="269" w:lineRule="auto"/>
        <w:rPr>
          <w:sz w:val="20"/>
          <w:szCs w:val="20"/>
          <w:color w:val="auto"/>
        </w:rPr>
      </w:pPr>
      <w:r>
        <w:rPr>
          <w:rFonts w:ascii="Arial" w:cs="Arial" w:eastAsia="Arial" w:hAnsi="Arial"/>
          <w:sz w:val="17"/>
          <w:szCs w:val="17"/>
          <w:b w:val="1"/>
          <w:bCs w:val="1"/>
          <w:i w:val="1"/>
          <w:iCs w:val="1"/>
          <w:color w:val="231F20"/>
        </w:rPr>
        <w:t>We are subject to payment-related risks and if our customers do not pay, or dispute their invoices, our business, operating results and financial condition may be adversely affected.</w:t>
      </w:r>
    </w:p>
    <w:p>
      <w:pPr>
        <w:spacing w:after="0" w:line="166" w:lineRule="exact"/>
        <w:rPr>
          <w:sz w:val="20"/>
          <w:szCs w:val="20"/>
          <w:color w:val="auto"/>
        </w:rPr>
      </w:pPr>
    </w:p>
    <w:p>
      <w:pPr>
        <w:ind w:firstLine="589"/>
        <w:spacing w:after="0" w:line="268" w:lineRule="auto"/>
        <w:rPr>
          <w:sz w:val="20"/>
          <w:szCs w:val="20"/>
          <w:color w:val="auto"/>
        </w:rPr>
      </w:pPr>
      <w:r>
        <w:rPr>
          <w:rFonts w:ascii="Arial" w:cs="Arial" w:eastAsia="Arial" w:hAnsi="Arial"/>
          <w:sz w:val="16"/>
          <w:szCs w:val="16"/>
          <w:color w:val="231F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72" w:lineRule="exact"/>
        <w:rPr>
          <w:sz w:val="20"/>
          <w:szCs w:val="20"/>
          <w:color w:val="auto"/>
        </w:rPr>
      </w:pPr>
    </w:p>
    <w:p>
      <w:pPr>
        <w:ind w:right="20" w:firstLine="589"/>
        <w:spacing w:after="0" w:line="254" w:lineRule="auto"/>
        <w:rPr>
          <w:sz w:val="20"/>
          <w:szCs w:val="20"/>
          <w:color w:val="auto"/>
        </w:rPr>
      </w:pPr>
      <w:r>
        <w:rPr>
          <w:rFonts w:ascii="Arial" w:cs="Arial" w:eastAsia="Arial" w:hAnsi="Arial"/>
          <w:sz w:val="17"/>
          <w:szCs w:val="17"/>
          <w:color w:val="231F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179" w:lineRule="exact"/>
        <w:rPr>
          <w:sz w:val="20"/>
          <w:szCs w:val="20"/>
          <w:color w:val="auto"/>
        </w:rPr>
      </w:pPr>
    </w:p>
    <w:p>
      <w:pPr>
        <w:ind w:right="20" w:firstLine="589"/>
        <w:spacing w:after="0" w:line="250" w:lineRule="auto"/>
        <w:rPr>
          <w:sz w:val="20"/>
          <w:szCs w:val="20"/>
          <w:color w:val="auto"/>
        </w:rPr>
      </w:pPr>
      <w:r>
        <w:rPr>
          <w:rFonts w:ascii="Arial" w:cs="Arial" w:eastAsia="Arial" w:hAnsi="Arial"/>
          <w:sz w:val="17"/>
          <w:szCs w:val="17"/>
          <w:color w:val="231F20"/>
        </w:rPr>
        <w:t>Due to this potential imbalance in our collections and payments, we may rely on our credit facility to partially or completely fund our working capital requirements. We cannot assure you that as we continue to grow, our business will generate sufficient cash flow from operations or that future borrowings will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cannot assure you that we would be able to access additional financing or increase our borrowing or borrowing capacity under our current or any future credit facility on commercially reasonable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If our access to advertising inventory is diminished or fails to grow, our revenue could decline and our growth could be impeded.</w:t>
      </w:r>
    </w:p>
    <w:p>
      <w:pPr>
        <w:spacing w:after="0" w:line="207" w:lineRule="exact"/>
        <w:rPr>
          <w:sz w:val="20"/>
          <w:szCs w:val="20"/>
          <w:color w:val="auto"/>
        </w:rPr>
      </w:pPr>
    </w:p>
    <w:p>
      <w:pPr>
        <w:ind w:right="140" w:firstLine="589"/>
        <w:spacing w:after="0" w:line="291" w:lineRule="auto"/>
        <w:rPr>
          <w:sz w:val="20"/>
          <w:szCs w:val="20"/>
          <w:color w:val="auto"/>
        </w:rPr>
      </w:pPr>
      <w:r>
        <w:rPr>
          <w:rFonts w:ascii="Arial" w:cs="Arial" w:eastAsia="Arial" w:hAnsi="Arial"/>
          <w:sz w:val="15"/>
          <w:szCs w:val="15"/>
          <w:color w:val="231F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As a result, there is no guarantee that we will have access to a consistent supply of inventory on favorable terms or at all.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spacing w:after="0" w:line="154" w:lineRule="exact"/>
        <w:rPr>
          <w:sz w:val="20"/>
          <w:szCs w:val="20"/>
          <w:color w:val="auto"/>
        </w:rPr>
      </w:pPr>
    </w:p>
    <w:p>
      <w:pPr>
        <w:ind w:right="20" w:firstLine="589"/>
        <w:spacing w:after="0" w:line="252" w:lineRule="auto"/>
        <w:rPr>
          <w:sz w:val="20"/>
          <w:szCs w:val="20"/>
          <w:color w:val="auto"/>
        </w:rPr>
      </w:pPr>
      <w:r>
        <w:rPr>
          <w:rFonts w:ascii="Arial" w:cs="Arial" w:eastAsia="Arial" w:hAnsi="Arial"/>
          <w:sz w:val="17"/>
          <w:szCs w:val="17"/>
          <w:color w:val="231F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increasing our workforce and by adding new features, functions and integrations to our platform. If the digital television advertising market does not grow as we anticipate or we fail to successfully serve such a market, our growth prospects could be harmed.</w:t>
      </w:r>
    </w:p>
    <w:p>
      <w:pPr>
        <w:spacing w:after="0" w:line="181"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231F20"/>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ind w:right="420"/>
        <w:spacing w:after="0" w:line="269" w:lineRule="auto"/>
        <w:rPr>
          <w:sz w:val="20"/>
          <w:szCs w:val="20"/>
          <w:color w:val="auto"/>
        </w:rPr>
      </w:pPr>
      <w:r>
        <w:rPr>
          <w:rFonts w:ascii="Arial" w:cs="Arial" w:eastAsia="Arial" w:hAnsi="Arial"/>
          <w:sz w:val="17"/>
          <w:szCs w:val="17"/>
          <w:b w:val="1"/>
          <w:bCs w:val="1"/>
          <w:i w:val="1"/>
          <w:iCs w:val="1"/>
          <w:color w:val="231F20"/>
        </w:rPr>
        <w:t>If our access to people-based data is diminished, the effectiveness of our platform would be decreased, which could harm our operating results and financial condition.</w:t>
      </w:r>
    </w:p>
    <w:p>
      <w:pPr>
        <w:spacing w:after="0" w:line="166" w:lineRule="exact"/>
        <w:rPr>
          <w:sz w:val="20"/>
          <w:szCs w:val="20"/>
          <w:color w:val="auto"/>
        </w:rPr>
      </w:pPr>
    </w:p>
    <w:p>
      <w:pPr>
        <w:ind w:right="120" w:firstLine="589"/>
        <w:spacing w:after="0" w:line="270" w:lineRule="auto"/>
        <w:rPr>
          <w:sz w:val="20"/>
          <w:szCs w:val="20"/>
          <w:color w:val="auto"/>
        </w:rPr>
      </w:pPr>
      <w:r>
        <w:rPr>
          <w:rFonts w:ascii="Arial" w:cs="Arial" w:eastAsia="Arial" w:hAnsi="Arial"/>
          <w:sz w:val="16"/>
          <w:szCs w:val="16"/>
          <w:color w:val="231F20"/>
        </w:rPr>
        <w:t>Much of the data that we use is obtained through integrations with third-party data suppliers. We are dependent upon our ability to obtain necessary data licenses on commercially reasonable terms. We could suffer material adverse consequences if we were unable to obtain data through our integrations with data suppliers. Our ability to serve particular customers is also enhanced when such customers upload their own first-party data. Our operation of our platform and access to data could be negatively affected if, due to legal, contractual, privacy, market optics, competition or other economic concerns, third parties cease entering into data integration agreements with us or customers cease uploading their data to our platform. Additionally, we could terminate relationships with our data suppliers if they fail to adhere to our data quality and privacy standards.</w:t>
      </w:r>
    </w:p>
    <w:p>
      <w:pPr>
        <w:spacing w:after="0" w:line="167" w:lineRule="exact"/>
        <w:rPr>
          <w:sz w:val="20"/>
          <w:szCs w:val="20"/>
          <w:color w:val="auto"/>
        </w:rPr>
      </w:pPr>
    </w:p>
    <w:p>
      <w:pPr>
        <w:ind w:right="40" w:firstLine="589"/>
        <w:spacing w:after="0" w:line="288" w:lineRule="auto"/>
        <w:rPr>
          <w:sz w:val="20"/>
          <w:szCs w:val="20"/>
          <w:color w:val="auto"/>
        </w:rPr>
      </w:pPr>
      <w:r>
        <w:rPr>
          <w:rFonts w:ascii="Arial" w:cs="Arial" w:eastAsia="Arial" w:hAnsi="Arial"/>
          <w:sz w:val="15"/>
          <w:szCs w:val="15"/>
          <w:color w:val="231F20"/>
        </w:rPr>
        <w:t>Furthermore, digital advertising and in-app advertising are largely dependent on established technology companies and their operation of the most commonly used internet browsers (Chrome, Firefox, Internet Explorer and Safari), devices and operating systems (Android and iOS).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156" w:lineRule="exact"/>
        <w:rPr>
          <w:sz w:val="20"/>
          <w:szCs w:val="20"/>
          <w:color w:val="auto"/>
        </w:rPr>
      </w:pPr>
    </w:p>
    <w:p>
      <w:pPr>
        <w:ind w:right="420" w:firstLine="589"/>
        <w:spacing w:after="0" w:line="337" w:lineRule="auto"/>
        <w:rPr>
          <w:sz w:val="20"/>
          <w:szCs w:val="20"/>
          <w:color w:val="auto"/>
        </w:rPr>
      </w:pPr>
      <w:r>
        <w:rPr>
          <w:rFonts w:ascii="Arial" w:cs="Arial" w:eastAsia="Arial" w:hAnsi="Arial"/>
          <w:sz w:val="15"/>
          <w:szCs w:val="15"/>
          <w:color w:val="231F20"/>
        </w:rPr>
        <w:t>If we were to lose access to significant amounts of the data that enables our people-based framework, our ability to provide products and services to our customers could be materially and adversely impacted, which could be materially adverse to our business, operating results and financial condition.</w:t>
      </w:r>
    </w:p>
    <w:p>
      <w:pPr>
        <w:spacing w:after="0" w:line="119"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b w:val="1"/>
          <w:bCs w:val="1"/>
          <w:i w:val="1"/>
          <w:iCs w:val="1"/>
          <w:color w:val="231F20"/>
        </w:rPr>
        <w:t>If we do not effectively grow and train our sales and support teams, we may be unable to add new customers or increase usage of our platform by our existing customers and our business will be adversely affected.</w:t>
      </w:r>
    </w:p>
    <w:p>
      <w:pPr>
        <w:spacing w:after="0" w:line="166" w:lineRule="exact"/>
        <w:rPr>
          <w:sz w:val="20"/>
          <w:szCs w:val="20"/>
          <w:color w:val="auto"/>
        </w:rPr>
      </w:pPr>
    </w:p>
    <w:p>
      <w:pPr>
        <w:ind w:right="60" w:firstLine="589"/>
        <w:spacing w:after="0" w:line="289" w:lineRule="auto"/>
        <w:rPr>
          <w:sz w:val="20"/>
          <w:szCs w:val="20"/>
          <w:color w:val="auto"/>
        </w:rPr>
      </w:pPr>
      <w:r>
        <w:rPr>
          <w:rFonts w:ascii="Arial" w:cs="Arial" w:eastAsia="Arial" w:hAnsi="Arial"/>
          <w:sz w:val="15"/>
          <w:szCs w:val="15"/>
          <w:color w:val="231F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56"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i w:val="1"/>
          <w:iCs w:val="1"/>
          <w:color w:val="231F20"/>
        </w:rPr>
        <w:t>We allow our customers and suppliers to utilize APIs, with our platform, which could result in outages or security breaches and negatively impact our business, operating results and financial condition.</w:t>
      </w:r>
    </w:p>
    <w:p>
      <w:pPr>
        <w:spacing w:after="0" w:line="166"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231F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intrusion attacks, data theft, or denial of service attacks.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we cannot guarantee that such measures will be successful. Our failure to prevent outages or security breaches resulting from API use could result in government enforcement actions against us, claims for damages by consumers and other affected individuals, costs associated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4" w:name="page25"/>
    <w:bookmarkEnd w:id="24"/>
    <w:p>
      <w:pPr>
        <w:ind w:right="80"/>
        <w:spacing w:after="0" w:line="269" w:lineRule="auto"/>
        <w:rPr>
          <w:sz w:val="20"/>
          <w:szCs w:val="20"/>
          <w:color w:val="auto"/>
        </w:rPr>
      </w:pPr>
      <w:r>
        <w:rPr>
          <w:rFonts w:ascii="Arial" w:cs="Arial" w:eastAsia="Arial" w:hAnsi="Arial"/>
          <w:sz w:val="17"/>
          <w:szCs w:val="17"/>
          <w:color w:val="231F20"/>
        </w:rPr>
        <w:t>with investigation, notification, mitigation, and remediation, damage to our reputation and loss of goodwill, any of which could have a material adverse impact on our business, operating results and financial condition.</w:t>
      </w:r>
    </w:p>
    <w:p>
      <w:pPr>
        <w:spacing w:after="0" w:line="166"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b w:val="1"/>
          <w:bCs w:val="1"/>
          <w:i w:val="1"/>
          <w:iCs w:val="1"/>
          <w:color w:val="231F20"/>
        </w:rPr>
        <w:t>Operational and performance issues with our platform, whether real or perceived, including a failure to respond to technological changes or to upgrade our technology systems, may adversely affect our business, operating results and financial condition.</w:t>
      </w:r>
    </w:p>
    <w:p>
      <w:pPr>
        <w:spacing w:after="0" w:line="166" w:lineRule="exact"/>
        <w:rPr>
          <w:sz w:val="20"/>
          <w:szCs w:val="20"/>
          <w:color w:val="auto"/>
        </w:rPr>
      </w:pPr>
    </w:p>
    <w:p>
      <w:pPr>
        <w:ind w:right="140" w:firstLine="589"/>
        <w:spacing w:after="0" w:line="308" w:lineRule="auto"/>
        <w:rPr>
          <w:sz w:val="20"/>
          <w:szCs w:val="20"/>
          <w:color w:val="auto"/>
        </w:rPr>
      </w:pPr>
      <w:r>
        <w:rPr>
          <w:rFonts w:ascii="Arial" w:cs="Arial" w:eastAsia="Arial" w:hAnsi="Arial"/>
          <w:sz w:val="15"/>
          <w:szCs w:val="15"/>
          <w:color w:val="231F20"/>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spacing w:after="0" w:line="141" w:lineRule="exact"/>
        <w:rPr>
          <w:sz w:val="20"/>
          <w:szCs w:val="20"/>
          <w:color w:val="auto"/>
        </w:rPr>
      </w:pPr>
    </w:p>
    <w:p>
      <w:pPr>
        <w:ind w:right="20" w:firstLine="589"/>
        <w:spacing w:after="0" w:line="267" w:lineRule="auto"/>
        <w:rPr>
          <w:sz w:val="20"/>
          <w:szCs w:val="20"/>
          <w:color w:val="auto"/>
        </w:rPr>
      </w:pPr>
      <w:r>
        <w:rPr>
          <w:rFonts w:ascii="Arial" w:cs="Arial" w:eastAsia="Arial" w:hAnsi="Arial"/>
          <w:sz w:val="16"/>
          <w:szCs w:val="16"/>
          <w:color w:val="231F20"/>
        </w:rPr>
        <w:t>Our platform is complex and multifaceted, and operational and performance issues could arise both from the platform itself or from outside factors, such as cyberattacks or other third-party attacks. Errors, failures, vulnerabilities or bugs have been found in the past, and may be found in the future.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171" w:lineRule="exact"/>
        <w:rPr>
          <w:sz w:val="20"/>
          <w:szCs w:val="20"/>
          <w:color w:val="auto"/>
        </w:rPr>
      </w:pPr>
    </w:p>
    <w:p>
      <w:pPr>
        <w:ind w:right="20" w:firstLine="589"/>
        <w:spacing w:after="0" w:line="251" w:lineRule="auto"/>
        <w:rPr>
          <w:sz w:val="20"/>
          <w:szCs w:val="20"/>
          <w:color w:val="auto"/>
        </w:rPr>
      </w:pPr>
      <w:r>
        <w:rPr>
          <w:rFonts w:ascii="Arial" w:cs="Arial" w:eastAsia="Arial" w:hAnsi="Arial"/>
          <w:sz w:val="17"/>
          <w:szCs w:val="17"/>
          <w:color w:val="231F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182" w:lineRule="exact"/>
        <w:rPr>
          <w:sz w:val="20"/>
          <w:szCs w:val="20"/>
          <w:color w:val="auto"/>
        </w:rPr>
      </w:pPr>
    </w:p>
    <w:p>
      <w:pPr>
        <w:jc w:val="both"/>
        <w:ind w:right="60" w:firstLine="589"/>
        <w:spacing w:after="0" w:line="275" w:lineRule="auto"/>
        <w:rPr>
          <w:sz w:val="20"/>
          <w:szCs w:val="20"/>
          <w:color w:val="auto"/>
        </w:rPr>
      </w:pPr>
      <w:r>
        <w:rPr>
          <w:rFonts w:ascii="Arial" w:cs="Arial" w:eastAsia="Arial" w:hAnsi="Arial"/>
          <w:sz w:val="16"/>
          <w:szCs w:val="16"/>
          <w:color w:val="231F20"/>
        </w:rPr>
        <w:t>Operational and performance issues with our platform could also result in negative publicity, damage to our brand and reputation, loss of or delay in market acceptance of our platform, increased costs or loss of revenue,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6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231F20"/>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166" w:lineRule="exact"/>
        <w:rPr>
          <w:sz w:val="20"/>
          <w:szCs w:val="20"/>
          <w:color w:val="auto"/>
        </w:rPr>
      </w:pPr>
    </w:p>
    <w:p>
      <w:pPr>
        <w:ind w:firstLine="589"/>
        <w:spacing w:after="0" w:line="270" w:lineRule="auto"/>
        <w:rPr>
          <w:sz w:val="20"/>
          <w:szCs w:val="20"/>
          <w:color w:val="auto"/>
        </w:rPr>
      </w:pPr>
      <w:r>
        <w:rPr>
          <w:rFonts w:ascii="Arial" w:cs="Arial" w:eastAsia="Arial" w:hAnsi="Arial"/>
          <w:sz w:val="16"/>
          <w:szCs w:val="16"/>
          <w:color w:val="231F20"/>
        </w:rPr>
        <w:t>We currently serve the majority of our platform functions from third-party data center hosting facilities operated by Google Cloud Platform and Amazon Web Services, and we primarily use shared servers in such facilities. We are dependent on these third parties to provide continuous power, cooling,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ind w:right="60" w:firstLine="589"/>
        <w:spacing w:after="0" w:line="270" w:lineRule="auto"/>
        <w:rPr>
          <w:sz w:val="20"/>
          <w:szCs w:val="20"/>
          <w:color w:val="auto"/>
        </w:rPr>
      </w:pPr>
      <w:r>
        <w:rPr>
          <w:rFonts w:ascii="Arial" w:cs="Arial" w:eastAsia="Arial" w:hAnsi="Arial"/>
          <w:sz w:val="16"/>
          <w:szCs w:val="16"/>
          <w:color w:val="231F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167" w:lineRule="exact"/>
        <w:rPr>
          <w:sz w:val="20"/>
          <w:szCs w:val="20"/>
          <w:color w:val="auto"/>
        </w:rPr>
      </w:pPr>
    </w:p>
    <w:p>
      <w:pPr>
        <w:ind w:right="200" w:firstLine="589"/>
        <w:spacing w:after="0" w:line="258" w:lineRule="auto"/>
        <w:rPr>
          <w:sz w:val="20"/>
          <w:szCs w:val="20"/>
          <w:color w:val="auto"/>
        </w:rPr>
      </w:pPr>
      <w:r>
        <w:rPr>
          <w:rFonts w:ascii="Arial" w:cs="Arial" w:eastAsia="Arial" w:hAnsi="Arial"/>
          <w:sz w:val="17"/>
          <w:szCs w:val="17"/>
          <w:color w:val="231F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5"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b w:val="1"/>
          <w:bCs w:val="1"/>
          <w:i w:val="1"/>
          <w:iCs w:val="1"/>
          <w:color w:val="231F20"/>
        </w:rPr>
        <w:t>If the non-proprietary technology, software, products and services that we use are unavailable, have future terms we cannot agree to, or do not perform as we expect, our business, operating results and financial condition could be harmed.</w:t>
      </w:r>
    </w:p>
    <w:p>
      <w:pPr>
        <w:spacing w:after="0" w:line="166"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231F20"/>
        </w:rPr>
        <w:t>We depend on various technology, software, products and services from third parties or available as open source,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5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231F20"/>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166" w:lineRule="exact"/>
        <w:rPr>
          <w:sz w:val="20"/>
          <w:szCs w:val="20"/>
          <w:color w:val="auto"/>
        </w:rPr>
      </w:pPr>
    </w:p>
    <w:p>
      <w:pPr>
        <w:ind w:firstLine="589"/>
        <w:spacing w:after="0" w:line="284" w:lineRule="auto"/>
        <w:rPr>
          <w:sz w:val="20"/>
          <w:szCs w:val="20"/>
          <w:color w:val="auto"/>
        </w:rPr>
      </w:pPr>
      <w:r>
        <w:rPr>
          <w:rFonts w:ascii="Arial" w:cs="Arial" w:eastAsia="Arial" w:hAnsi="Arial"/>
          <w:sz w:val="15"/>
          <w:szCs w:val="15"/>
          <w:color w:val="231F20"/>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cannot guarantee that we will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or otherwise negatively impact our business, operating results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231F20"/>
        </w:rPr>
        <w:t>We face potential liability and harm to our business based on the human factor of inputting information into our platform.</w:t>
      </w:r>
    </w:p>
    <w:p>
      <w:pPr>
        <w:spacing w:after="0" w:line="207" w:lineRule="exact"/>
        <w:rPr>
          <w:sz w:val="20"/>
          <w:szCs w:val="20"/>
          <w:color w:val="auto"/>
        </w:rPr>
      </w:pPr>
    </w:p>
    <w:p>
      <w:pPr>
        <w:ind w:right="140" w:firstLine="589"/>
        <w:spacing w:after="0" w:line="289" w:lineRule="auto"/>
        <w:rPr>
          <w:sz w:val="20"/>
          <w:szCs w:val="20"/>
          <w:color w:val="auto"/>
        </w:rPr>
      </w:pPr>
      <w:r>
        <w:rPr>
          <w:rFonts w:ascii="Arial" w:cs="Arial" w:eastAsia="Arial" w:hAnsi="Arial"/>
          <w:sz w:val="15"/>
          <w:szCs w:val="15"/>
          <w:color w:val="231F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Future acquisitions, strategic investments or alliances could disrupt our business and harm our business, operating results and financial condition.</w:t>
      </w:r>
    </w:p>
    <w:p>
      <w:pPr>
        <w:spacing w:after="0" w:line="230" w:lineRule="exact"/>
        <w:rPr>
          <w:sz w:val="20"/>
          <w:szCs w:val="20"/>
          <w:color w:val="auto"/>
        </w:rPr>
      </w:pPr>
    </w:p>
    <w:p>
      <w:pPr>
        <w:ind w:firstLine="865"/>
        <w:spacing w:after="0" w:line="266" w:lineRule="auto"/>
        <w:rPr>
          <w:sz w:val="20"/>
          <w:szCs w:val="20"/>
          <w:color w:val="auto"/>
        </w:rPr>
      </w:pPr>
      <w:r>
        <w:rPr>
          <w:rFonts w:ascii="Arial" w:cs="Arial" w:eastAsia="Arial" w:hAnsi="Arial"/>
          <w:sz w:val="16"/>
          <w:szCs w:val="16"/>
          <w:color w:val="231F20"/>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privacy or cybersecurity issues or employee or customer issues. There is no certainty that we will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175" w:lineRule="exact"/>
        <w:rPr>
          <w:sz w:val="20"/>
          <w:szCs w:val="20"/>
          <w:color w:val="auto"/>
        </w:rPr>
      </w:pPr>
    </w:p>
    <w:p>
      <w:pPr>
        <w:ind w:left="1160" w:hanging="581"/>
        <w:spacing w:after="0"/>
        <w:tabs>
          <w:tab w:leader="none" w:pos="116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regulatory hurdles;</w:t>
      </w:r>
    </w:p>
    <w:p>
      <w:pPr>
        <w:spacing w:after="0" w:line="200" w:lineRule="exact"/>
        <w:rPr>
          <w:rFonts w:ascii="Arial" w:cs="Arial" w:eastAsia="Arial" w:hAnsi="Arial"/>
          <w:sz w:val="17"/>
          <w:szCs w:val="17"/>
          <w:color w:val="231F20"/>
        </w:rPr>
      </w:pPr>
    </w:p>
    <w:p>
      <w:pPr>
        <w:spacing w:after="0" w:line="208" w:lineRule="exact"/>
        <w:rPr>
          <w:rFonts w:ascii="Arial" w:cs="Arial" w:eastAsia="Arial" w:hAnsi="Arial"/>
          <w:sz w:val="17"/>
          <w:szCs w:val="17"/>
          <w:color w:val="231F20"/>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failure of anticipated benefits to materialize;</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diversion of management time and focus from operating our business to addressing acquisition integration challenges;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retention of employees from the acquired company;</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cultural challenges associated with integrating employees from the acquired company into our organization;</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integration of the acquired company’s accounting, management information, human resources and other administrative systems;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right="380" w:hanging="581"/>
        <w:spacing w:after="0" w:line="269"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the need to implement or improve controls, procedures and policies at a business that prior to the acquisition may have lacked effective controls, procedures and policies;</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coordination of product development and sales and marketing functions;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liability for activities of the acquired company before the acquisition, including known and unknown liabilities;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ind w:left="1160" w:right="80" w:hanging="581"/>
        <w:spacing w:after="0" w:line="269"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litigation or other claims in connection with the acquired company, including claims from terminated employees, users, former stockholders or other third parties.</w:t>
      </w:r>
    </w:p>
    <w:p>
      <w:pPr>
        <w:spacing w:after="0" w:line="367" w:lineRule="exact"/>
        <w:rPr>
          <w:sz w:val="20"/>
          <w:szCs w:val="20"/>
          <w:color w:val="auto"/>
        </w:rPr>
      </w:pPr>
    </w:p>
    <w:p>
      <w:pPr>
        <w:ind w:firstLine="865"/>
        <w:spacing w:after="0" w:line="254" w:lineRule="auto"/>
        <w:rPr>
          <w:sz w:val="20"/>
          <w:szCs w:val="20"/>
          <w:color w:val="auto"/>
        </w:rPr>
      </w:pPr>
      <w:r>
        <w:rPr>
          <w:rFonts w:ascii="Arial" w:cs="Arial" w:eastAsia="Arial" w:hAnsi="Arial"/>
          <w:sz w:val="17"/>
          <w:szCs w:val="17"/>
          <w:color w:val="231F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79"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b w:val="1"/>
          <w:bCs w:val="1"/>
          <w:i w:val="1"/>
          <w:iCs w:val="1"/>
          <w:color w:val="231F20"/>
        </w:rPr>
        <w:t>Our future success depends on the continuing efforts of our key employees, including Tim Vanderhook and Chris Vanderhook, and our ability to attract, hire, retain and motivate highly skilled employees in the future.</w:t>
      </w:r>
    </w:p>
    <w:p>
      <w:pPr>
        <w:spacing w:after="0" w:line="166" w:lineRule="exact"/>
        <w:rPr>
          <w:sz w:val="20"/>
          <w:szCs w:val="20"/>
          <w:color w:val="auto"/>
        </w:rPr>
      </w:pPr>
    </w:p>
    <w:p>
      <w:pPr>
        <w:ind w:right="80" w:firstLine="865"/>
        <w:spacing w:after="0" w:line="275" w:lineRule="auto"/>
        <w:rPr>
          <w:sz w:val="20"/>
          <w:szCs w:val="20"/>
          <w:color w:val="auto"/>
        </w:rPr>
      </w:pPr>
      <w:r>
        <w:rPr>
          <w:rFonts w:ascii="Arial" w:cs="Arial" w:eastAsia="Arial" w:hAnsi="Arial"/>
          <w:sz w:val="16"/>
          <w:szCs w:val="16"/>
          <w:color w:val="231F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163" w:lineRule="exact"/>
        <w:rPr>
          <w:sz w:val="20"/>
          <w:szCs w:val="20"/>
          <w:color w:val="auto"/>
        </w:rPr>
      </w:pPr>
    </w:p>
    <w:p>
      <w:pPr>
        <w:ind w:right="40" w:firstLine="865"/>
        <w:spacing w:after="0" w:line="270" w:lineRule="auto"/>
        <w:rPr>
          <w:sz w:val="20"/>
          <w:szCs w:val="20"/>
          <w:color w:val="auto"/>
        </w:rPr>
      </w:pPr>
      <w:r>
        <w:rPr>
          <w:rFonts w:ascii="Arial" w:cs="Arial" w:eastAsia="Arial" w:hAnsi="Arial"/>
          <w:sz w:val="16"/>
          <w:szCs w:val="16"/>
          <w:color w:val="231F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167" w:lineRule="exact"/>
        <w:rPr>
          <w:sz w:val="20"/>
          <w:szCs w:val="20"/>
          <w:color w:val="auto"/>
        </w:rPr>
      </w:pPr>
    </w:p>
    <w:p>
      <w:pPr>
        <w:ind w:right="180" w:firstLine="865"/>
        <w:spacing w:after="0" w:line="254" w:lineRule="auto"/>
        <w:rPr>
          <w:sz w:val="20"/>
          <w:szCs w:val="20"/>
          <w:color w:val="auto"/>
        </w:rPr>
      </w:pPr>
      <w:r>
        <w:rPr>
          <w:rFonts w:ascii="Arial" w:cs="Arial" w:eastAsia="Arial" w:hAnsi="Arial"/>
          <w:sz w:val="17"/>
          <w:szCs w:val="17"/>
          <w:color w:val="231F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our two founders, or our inability to attract and retain highly skilled employees could have an adverse effect on our business, operating results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face liabilities arising out of our ownership and operation of Myspace.com.</w:t>
      </w:r>
    </w:p>
    <w:p>
      <w:pPr>
        <w:spacing w:after="0" w:line="207" w:lineRule="exact"/>
        <w:rPr>
          <w:sz w:val="20"/>
          <w:szCs w:val="20"/>
          <w:color w:val="auto"/>
        </w:rPr>
      </w:pPr>
    </w:p>
    <w:p>
      <w:pPr>
        <w:ind w:firstLine="865"/>
        <w:spacing w:after="0" w:line="266" w:lineRule="auto"/>
        <w:rPr>
          <w:sz w:val="20"/>
          <w:szCs w:val="20"/>
          <w:color w:val="auto"/>
        </w:rPr>
      </w:pPr>
      <w:r>
        <w:rPr>
          <w:rFonts w:ascii="Arial" w:cs="Arial" w:eastAsia="Arial" w:hAnsi="Arial"/>
          <w:sz w:val="16"/>
          <w:szCs w:val="16"/>
          <w:color w:val="231F20"/>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We could incur significant costs investigating and defending claims related to content published or made available on Myspace.com and, if we are found liable, could face significant damages.</w:t>
      </w:r>
    </w:p>
    <w:p>
      <w:pPr>
        <w:spacing w:after="0" w:line="172" w:lineRule="exact"/>
        <w:rPr>
          <w:sz w:val="20"/>
          <w:szCs w:val="20"/>
          <w:color w:val="auto"/>
        </w:rPr>
      </w:pPr>
    </w:p>
    <w:p>
      <w:pPr>
        <w:ind w:right="80" w:firstLine="865"/>
        <w:spacing w:after="0" w:line="269" w:lineRule="auto"/>
        <w:rPr>
          <w:sz w:val="20"/>
          <w:szCs w:val="20"/>
          <w:color w:val="auto"/>
        </w:rPr>
      </w:pPr>
      <w:r>
        <w:rPr>
          <w:rFonts w:ascii="Arial" w:cs="Arial" w:eastAsia="Arial" w:hAnsi="Arial"/>
          <w:sz w:val="17"/>
          <w:szCs w:val="17"/>
          <w:color w:val="231F20"/>
        </w:rPr>
        <w:t>In late 2011, shortly after we acquired Myspace LLC, the Federal Trade Commission (“FTC”) initiated an investigation of the entity relating to certain of its historical privacy practices in place between 2008 and 2010. 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ind w:right="100"/>
        <w:spacing w:after="0" w:line="254" w:lineRule="auto"/>
        <w:rPr>
          <w:sz w:val="20"/>
          <w:szCs w:val="20"/>
          <w:color w:val="auto"/>
        </w:rPr>
      </w:pPr>
      <w:r>
        <w:rPr>
          <w:rFonts w:ascii="Arial" w:cs="Arial" w:eastAsia="Arial" w:hAnsi="Arial"/>
          <w:sz w:val="17"/>
          <w:szCs w:val="17"/>
          <w:color w:val="231F20"/>
        </w:rPr>
        <w:t>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179" w:lineRule="exact"/>
        <w:rPr>
          <w:sz w:val="20"/>
          <w:szCs w:val="20"/>
          <w:color w:val="auto"/>
        </w:rPr>
      </w:pPr>
    </w:p>
    <w:p>
      <w:pPr>
        <w:ind w:right="460" w:firstLine="865"/>
        <w:spacing w:after="0" w:line="258" w:lineRule="auto"/>
        <w:rPr>
          <w:sz w:val="20"/>
          <w:szCs w:val="20"/>
          <w:color w:val="auto"/>
        </w:rPr>
      </w:pPr>
      <w:r>
        <w:rPr>
          <w:rFonts w:ascii="Arial" w:cs="Arial" w:eastAsia="Arial" w:hAnsi="Arial"/>
          <w:sz w:val="17"/>
          <w:szCs w:val="17"/>
          <w:color w:val="231F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175" w:lineRule="exact"/>
        <w:rPr>
          <w:sz w:val="20"/>
          <w:szCs w:val="20"/>
          <w:color w:val="auto"/>
        </w:rPr>
      </w:pPr>
    </w:p>
    <w:p>
      <w:pPr>
        <w:ind w:firstLine="865"/>
        <w:spacing w:after="0" w:line="250" w:lineRule="auto"/>
        <w:rPr>
          <w:sz w:val="20"/>
          <w:szCs w:val="20"/>
          <w:color w:val="auto"/>
        </w:rPr>
      </w:pPr>
      <w:r>
        <w:rPr>
          <w:rFonts w:ascii="Arial" w:cs="Arial" w:eastAsia="Arial" w:hAnsi="Arial"/>
          <w:sz w:val="17"/>
          <w:szCs w:val="17"/>
          <w:color w:val="231F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including notifying and invalidating the passwords of known affected users, any present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185" w:lineRule="exact"/>
        <w:rPr>
          <w:sz w:val="20"/>
          <w:szCs w:val="20"/>
          <w:color w:val="auto"/>
        </w:rPr>
      </w:pPr>
    </w:p>
    <w:p>
      <w:pPr>
        <w:ind w:right="40" w:firstLine="865"/>
        <w:spacing w:after="0" w:line="252" w:lineRule="auto"/>
        <w:rPr>
          <w:sz w:val="20"/>
          <w:szCs w:val="20"/>
          <w:color w:val="auto"/>
        </w:rPr>
      </w:pPr>
      <w:r>
        <w:rPr>
          <w:rFonts w:ascii="Arial" w:cs="Arial" w:eastAsia="Arial" w:hAnsi="Arial"/>
          <w:sz w:val="17"/>
          <w:szCs w:val="17"/>
          <w:color w:val="231F20"/>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market in which we participate is intensely competitive, and we may not be able to compete successfully with our current or future competitors.</w:t>
      </w:r>
    </w:p>
    <w:p>
      <w:pPr>
        <w:spacing w:after="0" w:line="230" w:lineRule="exact"/>
        <w:rPr>
          <w:sz w:val="20"/>
          <w:szCs w:val="20"/>
          <w:color w:val="auto"/>
        </w:rPr>
      </w:pPr>
    </w:p>
    <w:p>
      <w:pPr>
        <w:jc w:val="both"/>
        <w:ind w:right="60" w:firstLine="865"/>
        <w:spacing w:after="0" w:line="299" w:lineRule="auto"/>
        <w:rPr>
          <w:sz w:val="20"/>
          <w:szCs w:val="20"/>
          <w:color w:val="auto"/>
        </w:rPr>
      </w:pPr>
      <w:r>
        <w:rPr>
          <w:rFonts w:ascii="Arial" w:cs="Arial" w:eastAsia="Arial" w:hAnsi="Arial"/>
          <w:sz w:val="15"/>
          <w:szCs w:val="15"/>
          <w:color w:val="231F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New technologies and methods of buying advertising present a dynamic competitive challenge, as market participants offer multiple new products and services aimed at capturing advertising spend.</w:t>
      </w:r>
    </w:p>
    <w:p>
      <w:pPr>
        <w:spacing w:after="0" w:line="147" w:lineRule="exact"/>
        <w:rPr>
          <w:sz w:val="20"/>
          <w:szCs w:val="20"/>
          <w:color w:val="auto"/>
        </w:rPr>
      </w:pPr>
    </w:p>
    <w:p>
      <w:pPr>
        <w:ind w:right="40" w:firstLine="865"/>
        <w:spacing w:after="0" w:line="285" w:lineRule="auto"/>
        <w:rPr>
          <w:sz w:val="20"/>
          <w:szCs w:val="20"/>
          <w:color w:val="auto"/>
        </w:rPr>
      </w:pPr>
      <w:r>
        <w:rPr>
          <w:rFonts w:ascii="Arial" w:cs="Arial" w:eastAsia="Arial" w:hAnsi="Arial"/>
          <w:sz w:val="15"/>
          <w:szCs w:val="15"/>
          <w:color w:val="231F20"/>
        </w:rPr>
        <w:t>We compete with smaller, privately-held companies, with public companies such as The Trade Desk, and with divisions of large, well-established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9" w:name="page30"/>
    <w:bookmarkEnd w:id="29"/>
    <w:p>
      <w:pPr>
        <w:ind w:right="160"/>
        <w:spacing w:after="0" w:line="337" w:lineRule="auto"/>
        <w:rPr>
          <w:sz w:val="20"/>
          <w:szCs w:val="20"/>
          <w:color w:val="auto"/>
        </w:rPr>
      </w:pPr>
      <w:r>
        <w:rPr>
          <w:rFonts w:ascii="Arial" w:cs="Arial" w:eastAsia="Arial" w:hAnsi="Arial"/>
          <w:sz w:val="15"/>
          <w:szCs w:val="15"/>
          <w:color w:val="231F20"/>
        </w:rPr>
        <w:t>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119" w:lineRule="exact"/>
        <w:rPr>
          <w:sz w:val="20"/>
          <w:szCs w:val="20"/>
          <w:color w:val="auto"/>
        </w:rPr>
      </w:pPr>
    </w:p>
    <w:p>
      <w:pPr>
        <w:ind w:right="20" w:firstLine="865"/>
        <w:spacing w:after="0" w:line="254" w:lineRule="auto"/>
        <w:rPr>
          <w:sz w:val="20"/>
          <w:szCs w:val="20"/>
          <w:color w:val="auto"/>
        </w:rPr>
      </w:pPr>
      <w:r>
        <w:rPr>
          <w:rFonts w:ascii="Arial" w:cs="Arial" w:eastAsia="Arial" w:hAnsi="Arial"/>
          <w:sz w:val="17"/>
          <w:szCs w:val="17"/>
          <w:color w:val="231F20"/>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231F20"/>
        </w:rPr>
        <w:t>Our corporate culture has contributed to our success and, if we are unable to maintain it as we grow, our business, operating results and financial condition could be harmed.</w:t>
      </w:r>
    </w:p>
    <w:p>
      <w:pPr>
        <w:spacing w:after="0" w:line="166" w:lineRule="exact"/>
        <w:rPr>
          <w:sz w:val="20"/>
          <w:szCs w:val="20"/>
          <w:color w:val="auto"/>
        </w:rPr>
      </w:pPr>
    </w:p>
    <w:p>
      <w:pPr>
        <w:ind w:firstLine="589"/>
        <w:spacing w:after="0" w:line="268" w:lineRule="auto"/>
        <w:rPr>
          <w:sz w:val="20"/>
          <w:szCs w:val="20"/>
          <w:color w:val="auto"/>
        </w:rPr>
      </w:pPr>
      <w:r>
        <w:rPr>
          <w:rFonts w:ascii="Arial" w:cs="Arial" w:eastAsia="Arial" w:hAnsi="Arial"/>
          <w:sz w:val="16"/>
          <w:szCs w:val="16"/>
          <w:color w:val="231F20"/>
        </w:rPr>
        <w:t>We have experienced and may continue to experience rapid expansion of our employee ranks. We had approximately 350 employees in the United States as of December 31, 2021. We believe our corporate culture has been critical to our success and we have invested substantial time and resources in building our team within our company culture. However, as our organization grows, it may be difficult to maintain our culture, which could reduce our ability to innovate and operate effectively and proactively focus on and pursue our corporate objectives. The failure to maintain the key aspects of our culture as our organization grows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as we grow to scale, our business, operating results and financial condition could be harmed.</w:t>
      </w:r>
    </w:p>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231F20"/>
        </w:rPr>
        <w:t>The market growth forecasts included in this Annual Report may prove to be inaccurate and, even if the market in which we compete achieves forecasted growth, we cannot assure you our business will grow at similar rates, if at all.</w:t>
      </w:r>
    </w:p>
    <w:p>
      <w:pPr>
        <w:spacing w:after="0" w:line="166" w:lineRule="exact"/>
        <w:rPr>
          <w:sz w:val="20"/>
          <w:szCs w:val="20"/>
          <w:color w:val="auto"/>
        </w:rPr>
      </w:pPr>
    </w:p>
    <w:p>
      <w:pPr>
        <w:ind w:right="20" w:firstLine="589"/>
        <w:spacing w:after="0" w:line="254" w:lineRule="auto"/>
        <w:rPr>
          <w:sz w:val="20"/>
          <w:szCs w:val="20"/>
          <w:color w:val="auto"/>
        </w:rPr>
      </w:pPr>
      <w:r>
        <w:rPr>
          <w:rFonts w:ascii="Arial" w:cs="Arial" w:eastAsia="Arial" w:hAnsi="Arial"/>
          <w:sz w:val="17"/>
          <w:szCs w:val="17"/>
          <w:color w:val="231F20"/>
        </w:rPr>
        <w:t>Market growth forecasts are subject to significant uncertainty and are based on assumptions and estimates which may not prove to be accurate. The forecasts in this Annual Report relating to expected growth in the digital advertising and programmatic ad markets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Data Privacy</w:t>
      </w:r>
    </w:p>
    <w:p>
      <w:pPr>
        <w:spacing w:after="0" w:line="211" w:lineRule="exact"/>
        <w:rPr>
          <w:sz w:val="20"/>
          <w:szCs w:val="20"/>
          <w:color w:val="auto"/>
        </w:rPr>
      </w:pPr>
    </w:p>
    <w:p>
      <w:pPr>
        <w:jc w:val="both"/>
        <w:ind w:right="260"/>
        <w:spacing w:after="0" w:line="254" w:lineRule="auto"/>
        <w:rPr>
          <w:sz w:val="20"/>
          <w:szCs w:val="20"/>
          <w:color w:val="auto"/>
        </w:rPr>
      </w:pPr>
      <w:r>
        <w:rPr>
          <w:rFonts w:ascii="Arial" w:cs="Arial" w:eastAsia="Arial" w:hAnsi="Arial"/>
          <w:sz w:val="17"/>
          <w:szCs w:val="17"/>
          <w:b w:val="1"/>
          <w:bCs w:val="1"/>
          <w:i w:val="1"/>
          <w:iCs w:val="1"/>
          <w:color w:val="231F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adversely affect the demand for our products and services, or other adverse business consequences.</w:t>
      </w:r>
    </w:p>
    <w:p>
      <w:pPr>
        <w:spacing w:after="0" w:line="179" w:lineRule="exact"/>
        <w:rPr>
          <w:sz w:val="20"/>
          <w:szCs w:val="20"/>
          <w:color w:val="auto"/>
        </w:rPr>
      </w:pPr>
    </w:p>
    <w:p>
      <w:pPr>
        <w:ind w:right="220" w:firstLine="865"/>
        <w:spacing w:after="0" w:line="254" w:lineRule="auto"/>
        <w:rPr>
          <w:sz w:val="20"/>
          <w:szCs w:val="20"/>
          <w:color w:val="auto"/>
        </w:rPr>
      </w:pPr>
      <w:r>
        <w:rPr>
          <w:rFonts w:ascii="Arial" w:cs="Arial" w:eastAsia="Arial" w:hAnsi="Arial"/>
          <w:sz w:val="17"/>
          <w:szCs w:val="17"/>
          <w:color w:val="231F20"/>
        </w:rPr>
        <w:t>We Process personal information and other sensitive data such as confidential business data, trade secrets, and intellectual property, from and about our customers, employees, service providers, and other third parties. Our handling of this data is subject to a wide variety of federal, state, local, and foreign laws regulations, guidance, industry standards, external and internal privacy and security policies, contracts, and other obligations that govern the Processing of personal information by us and on our behalf.</w:t>
      </w:r>
    </w:p>
    <w:p>
      <w:pPr>
        <w:spacing w:after="0" w:line="179" w:lineRule="exact"/>
        <w:rPr>
          <w:sz w:val="20"/>
          <w:szCs w:val="20"/>
          <w:color w:val="auto"/>
        </w:rPr>
      </w:pPr>
    </w:p>
    <w:p>
      <w:pPr>
        <w:ind w:right="40" w:firstLine="865"/>
        <w:spacing w:after="0" w:line="254" w:lineRule="auto"/>
        <w:rPr>
          <w:sz w:val="20"/>
          <w:szCs w:val="20"/>
          <w:color w:val="auto"/>
        </w:rPr>
      </w:pPr>
      <w:r>
        <w:rPr>
          <w:rFonts w:ascii="Arial" w:cs="Arial" w:eastAsia="Arial" w:hAnsi="Arial"/>
          <w:sz w:val="17"/>
          <w:szCs w:val="17"/>
          <w:color w:val="231F20"/>
        </w:rPr>
        <w:t>U.S. federal, state, and local governments, and foreign governments, have adopted or proposed numerous laws relating to the Processing of personal information relating to individuals and households, including contact information and other data for marketing, advertising and other communications with individuals and businesses. The legal landscape for data privacy issues worldwide is complex, continually evolving and often conflicting, and is likely to remain uncertain for the foreseeable future.</w:t>
      </w:r>
    </w:p>
    <w:p>
      <w:pPr>
        <w:spacing w:after="0" w:line="179" w:lineRule="exact"/>
        <w:rPr>
          <w:sz w:val="20"/>
          <w:szCs w:val="20"/>
          <w:color w:val="auto"/>
        </w:rPr>
      </w:pPr>
    </w:p>
    <w:p>
      <w:pPr>
        <w:ind w:right="100" w:firstLine="865"/>
        <w:spacing w:after="0" w:line="269" w:lineRule="auto"/>
        <w:rPr>
          <w:sz w:val="20"/>
          <w:szCs w:val="20"/>
          <w:color w:val="auto"/>
        </w:rPr>
      </w:pPr>
      <w:r>
        <w:rPr>
          <w:rFonts w:ascii="Arial" w:cs="Arial" w:eastAsia="Arial" w:hAnsi="Arial"/>
          <w:sz w:val="17"/>
          <w:szCs w:val="17"/>
          <w:color w:val="231F20"/>
        </w:rPr>
        <w:t>In the United States, various laws and regulations apply to the Processing of personal information. For example, U.S. federal and state legislatures, along with regulatory authorities, have recently increased their focus 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right="40"/>
        <w:spacing w:after="0" w:line="250" w:lineRule="auto"/>
        <w:rPr>
          <w:sz w:val="20"/>
          <w:szCs w:val="20"/>
          <w:color w:val="auto"/>
        </w:rPr>
      </w:pPr>
      <w:r>
        <w:rPr>
          <w:rFonts w:ascii="Arial" w:cs="Arial" w:eastAsia="Arial" w:hAnsi="Arial"/>
          <w:sz w:val="17"/>
          <w:szCs w:val="17"/>
          <w:color w:val="231F20"/>
        </w:rPr>
        <w:t>the collection and use of personal information, including relating to “interest-based” or “targeted” advertising. As an example, California enacted the California Consumer Privacy Act of 2018 (“CCPA”), which requires covered companies to, among other things, provide new disclosures to California consumers and grant California consumers a right to opt-out of “sales” of personal information, a concept that is broadly defined. In addition, it is anticipated that the California Privacy Rights and Enforcement Act (“CPRA”), which comes into effect on January 1, 2023, will expand the CCPA and, among other things, require additional protections for sensitive personal information, create new data subject rights, create a new state rulemaking and enforcement agency for the CPRA, expand potential liability for violations and give consumers rights to opt out of additional forms of data sharing with third parties. Other states have enacted data privacy laws, such as Virginia and Colorado. In addition, data privacy and security laws have been proposed at the federal, state, and local levels in recent years, which could further complicate compliance efforts.</w:t>
      </w:r>
    </w:p>
    <w:p>
      <w:pPr>
        <w:spacing w:after="0" w:line="183" w:lineRule="exact"/>
        <w:rPr>
          <w:sz w:val="20"/>
          <w:szCs w:val="20"/>
          <w:color w:val="auto"/>
        </w:rPr>
      </w:pPr>
    </w:p>
    <w:p>
      <w:pPr>
        <w:ind w:firstLine="865"/>
        <w:spacing w:after="0" w:line="268" w:lineRule="auto"/>
        <w:rPr>
          <w:sz w:val="20"/>
          <w:szCs w:val="20"/>
          <w:color w:val="auto"/>
        </w:rPr>
      </w:pPr>
      <w:r>
        <w:rPr>
          <w:rFonts w:ascii="Arial" w:cs="Arial" w:eastAsia="Arial" w:hAnsi="Arial"/>
          <w:sz w:val="16"/>
          <w:szCs w:val="16"/>
          <w:color w:val="231F20"/>
        </w:rPr>
        <w:t>Outside the United States, an increasing number of laws, regulations, and industry standards may apply to our data privacy and security practices. For example, the European Union’s General Data Protection Regulation (“EU GDPR”) and the United Kingdom’s GDPR (“UK GDPR”) imposes strict requirements applicable to the Processing of individuals’ personal information, respectively, in the European Economic Area (“EEA”) and the United Kingdom (“UK”). For example, the EU GDPR imposes strict requirements for Processing the personal information of individuals and includes significant penalties for noncompliance of up to the greater of €20 million or 4% of an enterprise’s global turnover (or revenue) for the preceding fiscal year. Additionally, Member States may assess other penalties for noncompliance. Additionally, several European legislative proposals could significantly affect our business. For example, the ePrivacy Regulation, which would repeal that European Union Directive 2002/58/EC (ePrivacy Directive), could impose new obligations or limitations in areas affecting our business, notably with respect to the use of cookies.</w:t>
      </w:r>
    </w:p>
    <w:p>
      <w:pPr>
        <w:spacing w:after="0" w:line="168" w:lineRule="exact"/>
        <w:rPr>
          <w:sz w:val="20"/>
          <w:szCs w:val="20"/>
          <w:color w:val="auto"/>
        </w:rPr>
      </w:pPr>
    </w:p>
    <w:p>
      <w:pPr>
        <w:ind w:right="80" w:firstLine="865"/>
        <w:spacing w:after="0" w:line="284" w:lineRule="auto"/>
        <w:rPr>
          <w:sz w:val="20"/>
          <w:szCs w:val="20"/>
          <w:color w:val="auto"/>
        </w:rPr>
      </w:pPr>
      <w:r>
        <w:rPr>
          <w:rFonts w:ascii="Arial" w:cs="Arial" w:eastAsia="Arial" w:hAnsi="Arial"/>
          <w:sz w:val="15"/>
          <w:szCs w:val="15"/>
          <w:color w:val="231F20"/>
        </w:rPr>
        <w:t>Furthermore, we are subject to evolving laws and regulations regarding our, or the third parties upon which we rely, cross border transfers of personal information, which could make it more difficult for us to transfer personal information across jurisdictions (such as transferring or receiving personal information that originates in the EU). For example, absent appropriate safeguards or other circumstances, the EU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valid mechanism by which entities can transfer personal information out of the EEA to jurisdictions that the European Commission has not found to provide an adequate level of protection. Currently, these Standard Contractual Clauses are a valid mechanism to transfer personal information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Existing mechanisms, such as the Standard Contractual Clauses, that may facilitate cross-border personal information transfers may change or be invalidated. In addition, laws in Switzerland and the UK similarly restrict transfers of personal information outside of those jurisdictions to countries such as the United States that do not provide an adequate level of personal information protection and certain countries outside Europe (e.g., Russia, China) have also passed or are considering laws requiring local data residency or otherwise impeding the transfer of personal information across borders.</w:t>
      </w:r>
    </w:p>
    <w:p>
      <w:pPr>
        <w:spacing w:after="0" w:line="162" w:lineRule="exact"/>
        <w:rPr>
          <w:sz w:val="20"/>
          <w:szCs w:val="20"/>
          <w:color w:val="auto"/>
        </w:rPr>
      </w:pPr>
    </w:p>
    <w:p>
      <w:pPr>
        <w:ind w:right="20" w:firstLine="865"/>
        <w:spacing w:after="0" w:line="252" w:lineRule="auto"/>
        <w:rPr>
          <w:sz w:val="20"/>
          <w:szCs w:val="20"/>
          <w:color w:val="auto"/>
        </w:rPr>
      </w:pPr>
      <w:r>
        <w:rPr>
          <w:rFonts w:ascii="Arial" w:cs="Arial" w:eastAsia="Arial" w:hAnsi="Arial"/>
          <w:sz w:val="17"/>
          <w:szCs w:val="17"/>
          <w:color w:val="231F20"/>
        </w:rPr>
        <w:t>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or requiring us to increase our personal information processing capabilities and infrastructure in Europe and/or elsewhere at significant expense.</w:t>
      </w:r>
    </w:p>
    <w:p>
      <w:pPr>
        <w:spacing w:after="0" w:line="181" w:lineRule="exact"/>
        <w:rPr>
          <w:sz w:val="20"/>
          <w:szCs w:val="20"/>
          <w:color w:val="auto"/>
        </w:rPr>
      </w:pPr>
    </w:p>
    <w:p>
      <w:pPr>
        <w:ind w:right="80" w:firstLine="865"/>
        <w:spacing w:after="0" w:line="254" w:lineRule="auto"/>
        <w:rPr>
          <w:sz w:val="20"/>
          <w:szCs w:val="20"/>
          <w:color w:val="auto"/>
        </w:rPr>
      </w:pPr>
      <w:r>
        <w:rPr>
          <w:rFonts w:ascii="Arial" w:cs="Arial" w:eastAsia="Arial" w:hAnsi="Arial"/>
          <w:sz w:val="17"/>
          <w:szCs w:val="17"/>
          <w:color w:val="231F20"/>
        </w:rPr>
        <w:t>In addition, privacy advocates and industry groups have proposed, and may propose in the future, standards with which we are legally or contractually bound to comply. Additionally, we may make statements about our data Processing practices and our compliance with, or our ability to facilitate our customers’ compliance with, these standards. For example, we have committed to comply, and generally require our customers and the third parties upon which we rely to comply, with applicable self-regulatory principles, such as the Network Advertising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ind w:right="20"/>
        <w:spacing w:after="0" w:line="268" w:lineRule="auto"/>
        <w:rPr>
          <w:sz w:val="20"/>
          <w:szCs w:val="20"/>
          <w:color w:val="auto"/>
        </w:rPr>
      </w:pPr>
      <w:r>
        <w:rPr>
          <w:rFonts w:ascii="Arial" w:cs="Arial" w:eastAsia="Arial" w:hAnsi="Arial"/>
          <w:sz w:val="16"/>
          <w:szCs w:val="16"/>
          <w:color w:val="231F20"/>
        </w:rPr>
        <w:t>Initiative’s Code of Conduct and the Digital Advertising Alliance’s Self-Regulatory Principles for Online Behavioral Advertising in the United States, and similar self-regulatory principles in Europe and Canada adopted by the local Digital Advertising Alliance. These self-regulatory bodies impose additional requirements related to the Processing of personal information, such as providing notice about our use of cookies and other technologies.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Arial" w:cs="Arial" w:eastAsia="Arial" w:hAnsi="Arial"/>
          <w:sz w:val="16"/>
          <w:szCs w:val="16"/>
          <w:i w:val="1"/>
          <w:iCs w:val="1"/>
          <w:color w:val="231F20"/>
        </w:rPr>
        <w:t>Our business or ability to operate our platform could be impacted by changes in the technology industry by</w:t>
      </w:r>
      <w:r>
        <w:rPr>
          <w:rFonts w:ascii="Arial" w:cs="Arial" w:eastAsia="Arial" w:hAnsi="Arial"/>
          <w:sz w:val="16"/>
          <w:szCs w:val="16"/>
          <w:color w:val="231F20"/>
        </w:rPr>
        <w:t xml:space="preserve"> </w:t>
      </w:r>
      <w:r>
        <w:rPr>
          <w:rFonts w:ascii="Arial" w:cs="Arial" w:eastAsia="Arial" w:hAnsi="Arial"/>
          <w:sz w:val="16"/>
          <w:szCs w:val="16"/>
          <w:i w:val="1"/>
          <w:iCs w:val="1"/>
          <w:color w:val="231F20"/>
        </w:rPr>
        <w:t>technology companies, end users, or government regulation. Such developments, including the restriction of “third-party cookies,” could cause instability in the advertising technology industry</w:t>
      </w:r>
      <w:r>
        <w:rPr>
          <w:rFonts w:ascii="Arial" w:cs="Arial" w:eastAsia="Arial" w:hAnsi="Arial"/>
          <w:sz w:val="16"/>
          <w:szCs w:val="16"/>
          <w:color w:val="231F20"/>
        </w:rPr>
        <w:t>.”</w:t>
      </w:r>
    </w:p>
    <w:p>
      <w:pPr>
        <w:spacing w:after="0" w:line="172" w:lineRule="exact"/>
        <w:rPr>
          <w:sz w:val="20"/>
          <w:szCs w:val="20"/>
          <w:color w:val="auto"/>
        </w:rPr>
      </w:pPr>
    </w:p>
    <w:p>
      <w:pPr>
        <w:ind w:right="200" w:firstLine="589"/>
        <w:spacing w:after="0" w:line="254" w:lineRule="auto"/>
        <w:rPr>
          <w:sz w:val="20"/>
          <w:szCs w:val="20"/>
          <w:color w:val="auto"/>
        </w:rPr>
      </w:pPr>
      <w:r>
        <w:rPr>
          <w:rFonts w:ascii="Arial" w:cs="Arial" w:eastAsia="Arial" w:hAnsi="Arial"/>
          <w:sz w:val="17"/>
          <w:szCs w:val="17"/>
          <w:color w:val="231F20"/>
        </w:rPr>
        <w:t>Similarly, there has been increasing global scrutiny over online political advertising, and online political advertising laws are rapidly evolving. For example, publishers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179" w:lineRule="exact"/>
        <w:rPr>
          <w:sz w:val="20"/>
          <w:szCs w:val="20"/>
          <w:color w:val="auto"/>
        </w:rPr>
      </w:pPr>
    </w:p>
    <w:p>
      <w:pPr>
        <w:ind w:right="20" w:firstLine="589"/>
        <w:spacing w:after="0" w:line="268" w:lineRule="auto"/>
        <w:rPr>
          <w:sz w:val="20"/>
          <w:szCs w:val="20"/>
          <w:color w:val="auto"/>
        </w:rPr>
      </w:pPr>
      <w:r>
        <w:rPr>
          <w:rFonts w:ascii="Arial" w:cs="Arial" w:eastAsia="Arial" w:hAnsi="Arial"/>
          <w:sz w:val="16"/>
          <w:szCs w:val="16"/>
          <w:color w:val="231F20"/>
        </w:rPr>
        <w:t>Because the interpretation and application of privacy and data protection laws, regulations and standards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172" w:lineRule="exact"/>
        <w:rPr>
          <w:sz w:val="20"/>
          <w:szCs w:val="20"/>
          <w:color w:val="auto"/>
        </w:rPr>
      </w:pPr>
    </w:p>
    <w:p>
      <w:pPr>
        <w:ind w:right="40" w:firstLine="589"/>
        <w:spacing w:after="0" w:line="267" w:lineRule="auto"/>
        <w:rPr>
          <w:sz w:val="20"/>
          <w:szCs w:val="20"/>
          <w:color w:val="auto"/>
        </w:rPr>
      </w:pPr>
      <w:r>
        <w:rPr>
          <w:rFonts w:ascii="Arial" w:cs="Arial" w:eastAsia="Arial" w:hAnsi="Arial"/>
          <w:sz w:val="16"/>
          <w:szCs w:val="16"/>
          <w:color w:val="231F20"/>
        </w:rPr>
        <w:t>Although we endeavor to comply with all applicable data privacy and security obligations, we may at times fail or be perceived to have failed to do so.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171" w:lineRule="exact"/>
        <w:rPr>
          <w:sz w:val="20"/>
          <w:szCs w:val="20"/>
          <w:color w:val="auto"/>
        </w:rPr>
      </w:pPr>
    </w:p>
    <w:p>
      <w:pPr>
        <w:ind w:right="20" w:firstLine="589"/>
        <w:spacing w:after="0" w:line="272" w:lineRule="auto"/>
        <w:rPr>
          <w:sz w:val="20"/>
          <w:szCs w:val="20"/>
          <w:color w:val="auto"/>
        </w:rPr>
      </w:pPr>
      <w:r>
        <w:rPr>
          <w:rFonts w:ascii="Arial" w:cs="Arial" w:eastAsia="Arial" w:hAnsi="Arial"/>
          <w:sz w:val="16"/>
          <w:szCs w:val="16"/>
          <w:color w:val="231F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Arial" w:cs="Arial" w:eastAsia="Arial" w:hAnsi="Arial"/>
          <w:sz w:val="16"/>
          <w:szCs w:val="16"/>
          <w:i w:val="1"/>
          <w:iCs w:val="1"/>
          <w:color w:val="231F20"/>
        </w:rPr>
        <w:t>We face liabilities arising out of our ownership and operation of Myspace.com</w:t>
      </w:r>
      <w:r>
        <w:rPr>
          <w:rFonts w:ascii="Arial" w:cs="Arial" w:eastAsia="Arial" w:hAnsi="Arial"/>
          <w:sz w:val="16"/>
          <w:szCs w:val="16"/>
          <w:color w:val="231F20"/>
        </w:rPr>
        <w:t>.” Additionally, advocacy organizations have also filed complaints with data protection authorities against advertising technology companies, arguing that certain of these companies’ practices do not comply with the EU GDPR and/or the UK GDPR. It is possible that investigations or enforcement actions will involve our practices or practices similar to ours.</w:t>
      </w:r>
    </w:p>
    <w:p>
      <w:pPr>
        <w:spacing w:after="0" w:line="165" w:lineRule="exact"/>
        <w:rPr>
          <w:sz w:val="20"/>
          <w:szCs w:val="20"/>
          <w:color w:val="auto"/>
        </w:rPr>
      </w:pPr>
    </w:p>
    <w:p>
      <w:pPr>
        <w:ind w:right="460"/>
        <w:spacing w:after="0" w:line="375" w:lineRule="auto"/>
        <w:rPr>
          <w:sz w:val="20"/>
          <w:szCs w:val="20"/>
          <w:color w:val="auto"/>
        </w:rPr>
      </w:pPr>
      <w:r>
        <w:rPr>
          <w:rFonts w:ascii="Arial" w:cs="Arial" w:eastAsia="Arial" w:hAnsi="Arial"/>
          <w:sz w:val="14"/>
          <w:szCs w:val="14"/>
          <w:b w:val="1"/>
          <w:bCs w:val="1"/>
          <w:i w:val="1"/>
          <w:iCs w:val="1"/>
          <w:color w:val="231F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ind w:firstLine="668"/>
        <w:spacing w:after="0" w:line="258" w:lineRule="auto"/>
        <w:rPr>
          <w:sz w:val="20"/>
          <w:szCs w:val="20"/>
          <w:color w:val="auto"/>
        </w:rPr>
      </w:pPr>
      <w:r>
        <w:rPr>
          <w:rFonts w:ascii="Arial" w:cs="Arial" w:eastAsia="Arial" w:hAnsi="Arial"/>
          <w:sz w:val="17"/>
          <w:szCs w:val="17"/>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ind w:right="40"/>
        <w:spacing w:after="0" w:line="270" w:lineRule="auto"/>
        <w:rPr>
          <w:sz w:val="20"/>
          <w:szCs w:val="20"/>
          <w:color w:val="auto"/>
        </w:rPr>
      </w:pPr>
      <w:r>
        <w:rPr>
          <w:rFonts w:ascii="Arial" w:cs="Arial" w:eastAsia="Arial" w:hAnsi="Arial"/>
          <w:sz w:val="16"/>
          <w:szCs w:val="16"/>
          <w:color w:val="auto"/>
        </w:rPr>
        <w:t>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66" w:lineRule="exact"/>
        <w:rPr>
          <w:sz w:val="20"/>
          <w:szCs w:val="20"/>
          <w:color w:val="auto"/>
        </w:rPr>
      </w:pPr>
    </w:p>
    <w:p>
      <w:pPr>
        <w:ind w:right="40" w:firstLine="668"/>
        <w:spacing w:after="0" w:line="284" w:lineRule="auto"/>
        <w:rPr>
          <w:sz w:val="20"/>
          <w:szCs w:val="20"/>
          <w:color w:val="auto"/>
        </w:rPr>
      </w:pPr>
      <w:r>
        <w:rPr>
          <w:rFonts w:ascii="Arial" w:cs="Arial" w:eastAsia="Arial" w:hAnsi="Arial"/>
          <w:sz w:val="15"/>
          <w:szCs w:val="15"/>
          <w:color w:val="auto"/>
        </w:rPr>
        <w:t>For example, browser providers have recently enacted changes restricting the use of third-party cookies in their browsers, which may cause instability in the digital advertising market. Execution of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In January 2020, Google publicly stated it intends for Chrome to block third-party cookies at some point in the following 24 months.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w:t>
      </w:r>
    </w:p>
    <w:p>
      <w:pPr>
        <w:spacing w:after="0" w:line="64" w:lineRule="exact"/>
        <w:rPr>
          <w:sz w:val="20"/>
          <w:szCs w:val="20"/>
          <w:color w:val="auto"/>
        </w:rPr>
      </w:pPr>
    </w:p>
    <w:p>
      <w:pPr>
        <w:ind w:firstLine="668"/>
        <w:spacing w:after="0" w:line="294" w:lineRule="auto"/>
        <w:rPr>
          <w:sz w:val="20"/>
          <w:szCs w:val="20"/>
          <w:color w:val="auto"/>
        </w:rPr>
      </w:pPr>
      <w:r>
        <w:rPr>
          <w:rFonts w:ascii="Arial" w:cs="Arial" w:eastAsia="Arial" w:hAnsi="Arial"/>
          <w:sz w:val="15"/>
          <w:szCs w:val="15"/>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51" w:lineRule="exact"/>
        <w:rPr>
          <w:sz w:val="20"/>
          <w:szCs w:val="20"/>
          <w:color w:val="auto"/>
        </w:rPr>
      </w:pPr>
    </w:p>
    <w:p>
      <w:pPr>
        <w:ind w:right="60" w:firstLine="668"/>
        <w:spacing w:after="0" w:line="251" w:lineRule="auto"/>
        <w:rPr>
          <w:sz w:val="20"/>
          <w:szCs w:val="20"/>
          <w:color w:val="auto"/>
        </w:rPr>
      </w:pPr>
      <w:r>
        <w:rPr>
          <w:rFonts w:ascii="Arial" w:cs="Arial" w:eastAsia="Arial" w:hAnsi="Arial"/>
          <w:sz w:val="17"/>
          <w:szCs w:val="17"/>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However, the potential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Limitations on our or our customers’ ability to collect and use data for advertising, whether imposed by established technology companies or U.S.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legislation, or otherwise, may impact the performance of our platform.</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231F20"/>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166" w:lineRule="exact"/>
        <w:rPr>
          <w:sz w:val="20"/>
          <w:szCs w:val="20"/>
          <w:color w:val="auto"/>
        </w:rPr>
      </w:pPr>
    </w:p>
    <w:p>
      <w:pPr>
        <w:ind w:right="80" w:firstLine="770"/>
        <w:spacing w:after="0" w:line="254" w:lineRule="auto"/>
        <w:rPr>
          <w:sz w:val="20"/>
          <w:szCs w:val="20"/>
          <w:color w:val="auto"/>
        </w:rPr>
      </w:pPr>
      <w:r>
        <w:rPr>
          <w:rFonts w:ascii="Arial" w:cs="Arial" w:eastAsia="Arial" w:hAnsi="Arial"/>
          <w:sz w:val="17"/>
          <w:szCs w:val="17"/>
          <w:color w:val="auto"/>
        </w:rPr>
        <w:t>Our business requires the processing of proprietary, confidential, and sensitive data, including personal information, intellectual property and trade secrets. We rely upon third party service providers and technologies to operate critical business systems to process such data, including, without limitation, third-party providers of cloud-based infrastructure such as Google Cloud Platform and Amazon Web Services, employee email, and other functions. We may share or receive sensitive data with or from third parties. Our ability to monitor these third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parties’ security practices is limited, and these parties may not have adequate information security measures in place.</w:t>
      </w: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231F20"/>
        </w:rPr>
        <w:t>Our data processing activities have made, and may in the future make, us and the third parties upon which we rely a target of cyber-attacks by</w:t>
      </w:r>
    </w:p>
    <w:p>
      <w:pPr>
        <w:spacing w:after="0" w:line="18"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231F20"/>
        </w:rPr>
        <w:t>third parties seeking unauthorized access to sensitive data. We and the third parties upon which we rely face a variety of evolving threats, which could cause security breaches. In recent years, the frequency, severity and sophistication of cyber-attacks, computer malware, viruses, social engineering, and</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231F20"/>
        </w:rPr>
        <w:t>other intentional misconduct has significantly increased, and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55" w:lineRule="exact"/>
        <w:rPr>
          <w:sz w:val="20"/>
          <w:szCs w:val="20"/>
          <w:color w:val="auto"/>
        </w:rPr>
      </w:pPr>
    </w:p>
    <w:p>
      <w:pPr>
        <w:ind w:right="40" w:firstLine="770"/>
        <w:spacing w:after="0" w:line="270" w:lineRule="auto"/>
        <w:rPr>
          <w:sz w:val="20"/>
          <w:szCs w:val="20"/>
          <w:color w:val="auto"/>
        </w:rPr>
      </w:pPr>
      <w:r>
        <w:rPr>
          <w:rFonts w:ascii="Arial" w:cs="Arial" w:eastAsia="Arial" w:hAnsi="Arial"/>
          <w:sz w:val="16"/>
          <w:szCs w:val="16"/>
          <w:color w:val="231F20"/>
        </w:rPr>
        <w:t>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products/services) or the third-party information technology systems that support us and our services.</w:t>
      </w:r>
    </w:p>
    <w:p>
      <w:pPr>
        <w:spacing w:after="0" w:line="167" w:lineRule="exact"/>
        <w:rPr>
          <w:sz w:val="20"/>
          <w:szCs w:val="20"/>
          <w:color w:val="auto"/>
        </w:rPr>
      </w:pPr>
    </w:p>
    <w:p>
      <w:pPr>
        <w:ind w:right="100" w:firstLine="770"/>
        <w:spacing w:after="0" w:line="269" w:lineRule="auto"/>
        <w:rPr>
          <w:sz w:val="20"/>
          <w:szCs w:val="20"/>
          <w:color w:val="auto"/>
        </w:rPr>
      </w:pPr>
      <w:r>
        <w:rPr>
          <w:rFonts w:ascii="Arial" w:cs="Arial" w:eastAsia="Arial" w:hAnsi="Arial"/>
          <w:sz w:val="17"/>
          <w:szCs w:val="17"/>
          <w:color w:val="231F20"/>
        </w:rPr>
        <w:t>Any of the previously identified or similar threats could cause a security breach or other interruption, resulting in the unauthorized, unlawful, or accidental acquisition, disclosure, modification, misuse, destruction, disclosure of, encryption of, or loss of data.</w:t>
      </w:r>
    </w:p>
    <w:p>
      <w:pPr>
        <w:spacing w:after="0" w:line="166" w:lineRule="exact"/>
        <w:rPr>
          <w:sz w:val="20"/>
          <w:szCs w:val="20"/>
          <w:color w:val="auto"/>
        </w:rPr>
      </w:pPr>
    </w:p>
    <w:p>
      <w:pPr>
        <w:ind w:firstLine="770"/>
        <w:spacing w:after="0" w:line="270" w:lineRule="auto"/>
        <w:rPr>
          <w:sz w:val="20"/>
          <w:szCs w:val="20"/>
          <w:color w:val="auto"/>
        </w:rPr>
      </w:pPr>
      <w:r>
        <w:rPr>
          <w:rFonts w:ascii="Arial" w:cs="Arial" w:eastAsia="Arial" w:hAnsi="Arial"/>
          <w:sz w:val="16"/>
          <w:szCs w:val="16"/>
          <w:color w:val="231F20"/>
        </w:rPr>
        <w:t>We may incur significant costs in protecting against such security breaches. Furthermore, certain data privacy and security obligations may require us to implement and maintain specific security measures. Although we have taken measures to protect our systems from such threats, we cannot be certain that these measures will be effective. For example, in 2016, we discovered a breach of information from our Myspace databases resulting in the unauthorized access and offer for sale of approximately 360 million Myspace user account email addresses, usernames, and hashed passwords. See “—</w:t>
      </w:r>
      <w:r>
        <w:rPr>
          <w:rFonts w:ascii="Arial" w:cs="Arial" w:eastAsia="Arial" w:hAnsi="Arial"/>
          <w:sz w:val="16"/>
          <w:szCs w:val="16"/>
          <w:i w:val="1"/>
          <w:iCs w:val="1"/>
          <w:color w:val="231F20"/>
        </w:rPr>
        <w:t>We face liabilities arising out of our ownership</w:t>
      </w:r>
      <w:r>
        <w:rPr>
          <w:rFonts w:ascii="Arial" w:cs="Arial" w:eastAsia="Arial" w:hAnsi="Arial"/>
          <w:sz w:val="16"/>
          <w:szCs w:val="16"/>
          <w:color w:val="231F20"/>
        </w:rPr>
        <w:t xml:space="preserve"> </w:t>
      </w:r>
      <w:r>
        <w:rPr>
          <w:rFonts w:ascii="Arial" w:cs="Arial" w:eastAsia="Arial" w:hAnsi="Arial"/>
          <w:sz w:val="16"/>
          <w:szCs w:val="16"/>
          <w:i w:val="1"/>
          <w:iCs w:val="1"/>
          <w:color w:val="231F20"/>
        </w:rPr>
        <w:t>and operation of Myspace.com.</w:t>
      </w:r>
      <w:r>
        <w:rPr>
          <w:rFonts w:ascii="Arial" w:cs="Arial" w:eastAsia="Arial" w:hAnsi="Arial"/>
          <w:sz w:val="16"/>
          <w:szCs w:val="16"/>
          <w:color w:val="231F20"/>
        </w:rPr>
        <w:t>” Additionally, we may be unable to detect vulnerabilities in our information technology systems because such threats and techniques</w:t>
      </w:r>
      <w:r>
        <w:rPr>
          <w:rFonts w:ascii="Arial" w:cs="Arial" w:eastAsia="Arial" w:hAnsi="Arial"/>
          <w:sz w:val="16"/>
          <w:szCs w:val="16"/>
          <w:i w:val="1"/>
          <w:iCs w:val="1"/>
          <w:color w:val="231F20"/>
        </w:rPr>
        <w:t xml:space="preserve"> </w:t>
      </w:r>
      <w:r>
        <w:rPr>
          <w:rFonts w:ascii="Arial" w:cs="Arial" w:eastAsia="Arial" w:hAnsi="Arial"/>
          <w:sz w:val="16"/>
          <w:szCs w:val="16"/>
          <w:color w:val="231F20"/>
        </w:rPr>
        <w:t>change frequently, are often sophisticated in nature, and may not be detected until after a security breach has occurred.</w:t>
      </w:r>
    </w:p>
    <w:p>
      <w:pPr>
        <w:spacing w:after="0" w:line="167" w:lineRule="exact"/>
        <w:rPr>
          <w:sz w:val="20"/>
          <w:szCs w:val="20"/>
          <w:color w:val="auto"/>
        </w:rPr>
      </w:pPr>
    </w:p>
    <w:p>
      <w:pPr>
        <w:ind w:right="40" w:firstLine="770"/>
        <w:spacing w:after="0" w:line="252" w:lineRule="auto"/>
        <w:rPr>
          <w:sz w:val="20"/>
          <w:szCs w:val="20"/>
          <w:color w:val="auto"/>
        </w:rPr>
      </w:pPr>
      <w:r>
        <w:rPr>
          <w:rFonts w:ascii="Arial" w:cs="Arial" w:eastAsia="Arial" w:hAnsi="Arial"/>
          <w:sz w:val="17"/>
          <w:szCs w:val="17"/>
          <w:color w:val="231F20"/>
        </w:rPr>
        <w:t>Any security breach of our or the third parties’ upon which we rely information technology systems or data could result in adverse consequences, including but not limited to litigation,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181" w:lineRule="exact"/>
        <w:rPr>
          <w:sz w:val="20"/>
          <w:szCs w:val="20"/>
          <w:color w:val="auto"/>
        </w:rPr>
      </w:pPr>
    </w:p>
    <w:p>
      <w:pPr>
        <w:ind w:right="220" w:firstLine="589"/>
        <w:spacing w:after="0" w:line="275" w:lineRule="auto"/>
        <w:rPr>
          <w:sz w:val="20"/>
          <w:szCs w:val="20"/>
          <w:color w:val="auto"/>
        </w:rPr>
      </w:pPr>
      <w:r>
        <w:rPr>
          <w:rFonts w:ascii="Arial" w:cs="Arial" w:eastAsia="Arial" w:hAnsi="Arial"/>
          <w:sz w:val="16"/>
          <w:szCs w:val="16"/>
          <w:color w:val="231F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231F20"/>
        </w:rPr>
        <w:t>Risks Related to Our Intellectual Property</w:t>
      </w:r>
    </w:p>
    <w:p>
      <w:pPr>
        <w:spacing w:after="0" w:line="211"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i w:val="1"/>
          <w:iCs w:val="1"/>
          <w:color w:val="231F20"/>
        </w:rPr>
        <w:t>Our proprietary rights may be difficult to enforce, which could enable others to copy or use aspects of our technology without compensating us, thereby eroding our competitive advantages and harming our business.</w:t>
      </w:r>
    </w:p>
    <w:p>
      <w:pPr>
        <w:spacing w:after="0" w:line="166" w:lineRule="exact"/>
        <w:rPr>
          <w:sz w:val="20"/>
          <w:szCs w:val="20"/>
          <w:color w:val="auto"/>
        </w:rPr>
      </w:pPr>
    </w:p>
    <w:p>
      <w:pPr>
        <w:ind w:right="20" w:firstLine="589"/>
        <w:spacing w:after="0" w:line="287" w:lineRule="auto"/>
        <w:rPr>
          <w:sz w:val="20"/>
          <w:szCs w:val="20"/>
          <w:color w:val="auto"/>
        </w:rPr>
      </w:pPr>
      <w:r>
        <w:rPr>
          <w:rFonts w:ascii="Arial" w:cs="Arial" w:eastAsia="Arial" w:hAnsi="Arial"/>
          <w:sz w:val="15"/>
          <w:szCs w:val="15"/>
          <w:color w:val="231F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156" w:lineRule="exact"/>
        <w:rPr>
          <w:sz w:val="20"/>
          <w:szCs w:val="20"/>
          <w:color w:val="auto"/>
        </w:rPr>
      </w:pPr>
    </w:p>
    <w:p>
      <w:pPr>
        <w:ind w:right="20" w:firstLine="589"/>
        <w:spacing w:after="0" w:line="270" w:lineRule="auto"/>
        <w:rPr>
          <w:sz w:val="20"/>
          <w:szCs w:val="20"/>
          <w:color w:val="auto"/>
        </w:rPr>
      </w:pPr>
      <w:r>
        <w:rPr>
          <w:rFonts w:ascii="Arial" w:cs="Arial" w:eastAsia="Arial" w:hAnsi="Arial"/>
          <w:sz w:val="16"/>
          <w:szCs w:val="16"/>
          <w:color w:val="231F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167" w:lineRule="exact"/>
        <w:rPr>
          <w:sz w:val="20"/>
          <w:szCs w:val="20"/>
          <w:color w:val="auto"/>
        </w:rPr>
      </w:pPr>
    </w:p>
    <w:p>
      <w:pPr>
        <w:ind w:right="40" w:firstLine="589"/>
        <w:spacing w:after="0" w:line="254" w:lineRule="auto"/>
        <w:rPr>
          <w:sz w:val="20"/>
          <w:szCs w:val="20"/>
          <w:color w:val="auto"/>
        </w:rPr>
      </w:pPr>
      <w:r>
        <w:rPr>
          <w:rFonts w:ascii="Arial" w:cs="Arial" w:eastAsia="Arial" w:hAnsi="Arial"/>
          <w:sz w:val="17"/>
          <w:szCs w:val="17"/>
          <w:color w:val="231F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are subject to third party claims for alleged infringement of their proprietary rights, which would result in additional expense and potential damages.</w:t>
      </w:r>
    </w:p>
    <w:p>
      <w:pPr>
        <w:spacing w:after="0" w:line="230"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231F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The cost of defending against such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231F20"/>
        </w:rPr>
        <w:t>We face potential liability and harm to our business based on the nature of our business and the content on our platform.</w:t>
      </w:r>
    </w:p>
    <w:p>
      <w:pPr>
        <w:spacing w:after="0" w:line="207" w:lineRule="exact"/>
        <w:rPr>
          <w:sz w:val="20"/>
          <w:szCs w:val="20"/>
          <w:color w:val="auto"/>
        </w:rPr>
      </w:pPr>
    </w:p>
    <w:p>
      <w:pPr>
        <w:ind w:right="80" w:firstLine="589"/>
        <w:spacing w:after="0" w:line="251" w:lineRule="auto"/>
        <w:rPr>
          <w:sz w:val="20"/>
          <w:szCs w:val="20"/>
          <w:color w:val="auto"/>
        </w:rPr>
      </w:pPr>
      <w:r>
        <w:rPr>
          <w:rFonts w:ascii="Arial" w:cs="Arial" w:eastAsia="Arial" w:hAnsi="Arial"/>
          <w:sz w:val="17"/>
          <w:szCs w:val="17"/>
          <w:color w:val="231F20"/>
        </w:rPr>
        <w:t>Advertising often results in litigation relating to copyright or trademark infringement, public performance royalties or other claims based on the nature and content of advertising that is distributed through our platform. Though we contractually require agencies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Governmental Regulation and Tax Matters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231F20"/>
        </w:rPr>
        <w:t>Our business is subject to a wide range of laws and regulations, many of which are evolving, and failure to comply with such laws and regulations could harm our business, financial condition, and results of operations.</w:t>
      </w:r>
    </w:p>
    <w:p>
      <w:pPr>
        <w:spacing w:after="0" w:line="166" w:lineRule="exact"/>
        <w:rPr>
          <w:sz w:val="20"/>
          <w:szCs w:val="20"/>
          <w:color w:val="auto"/>
        </w:rPr>
      </w:pPr>
    </w:p>
    <w:p>
      <w:pPr>
        <w:ind w:right="160" w:firstLine="589"/>
        <w:spacing w:after="0" w:line="294" w:lineRule="auto"/>
        <w:rPr>
          <w:sz w:val="20"/>
          <w:szCs w:val="20"/>
          <w:color w:val="auto"/>
        </w:rPr>
      </w:pPr>
      <w:r>
        <w:rPr>
          <w:rFonts w:ascii="Arial" w:cs="Arial" w:eastAsia="Arial" w:hAnsi="Arial"/>
          <w:sz w:val="15"/>
          <w:szCs w:val="15"/>
          <w:color w:val="231F20"/>
        </w:rPr>
        <w:t>Our business is subject to regulation by various federal, state, local and foreign governmental agencies, including agencies responsible for monitoring and enforcing employment and labor laws, consumer protection laws, anti-bribery laws, import and export controls, federal securities laws, and tax laws and regulations. These laws and regulations impose added costs on our business and could require us to make changes to our business or platform.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5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231F20"/>
        </w:rPr>
        <w:t>We depend on distributions from Viant Technology LLC to pay any dividends, if declared, taxes and other expenses, including payments under the Tax Receivable Agreement.</w:t>
      </w:r>
    </w:p>
    <w:p>
      <w:pPr>
        <w:spacing w:after="0" w:line="166" w:lineRule="exact"/>
        <w:rPr>
          <w:sz w:val="20"/>
          <w:szCs w:val="20"/>
          <w:color w:val="auto"/>
        </w:rPr>
      </w:pPr>
    </w:p>
    <w:p>
      <w:pPr>
        <w:ind w:right="20" w:firstLine="589"/>
        <w:spacing w:after="0" w:line="284" w:lineRule="auto"/>
        <w:rPr>
          <w:sz w:val="20"/>
          <w:szCs w:val="20"/>
          <w:color w:val="auto"/>
        </w:rPr>
      </w:pPr>
      <w:r>
        <w:rPr>
          <w:rFonts w:ascii="Arial" w:cs="Arial" w:eastAsia="Arial" w:hAnsi="Arial"/>
          <w:sz w:val="15"/>
          <w:szCs w:val="15"/>
          <w:color w:val="231F20"/>
        </w:rPr>
        <w:t>Viant Technology Inc. is a holding company and its only business is to act as the managing member of Viant Technology LLC, and its only material assets are Class A units representing approximately 22.5% of the membership interests of Viant Technology LLC.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spacing w:after="0" w:line="165" w:lineRule="exact"/>
        <w:rPr>
          <w:sz w:val="20"/>
          <w:szCs w:val="20"/>
          <w:color w:val="auto"/>
        </w:rPr>
      </w:pPr>
    </w:p>
    <w:p>
      <w:pPr>
        <w:ind w:right="500"/>
        <w:spacing w:after="0" w:line="269" w:lineRule="auto"/>
        <w:rPr>
          <w:sz w:val="20"/>
          <w:szCs w:val="20"/>
          <w:color w:val="auto"/>
        </w:rPr>
      </w:pPr>
      <w:r>
        <w:rPr>
          <w:rFonts w:ascii="Arial" w:cs="Arial" w:eastAsia="Arial" w:hAnsi="Arial"/>
          <w:sz w:val="17"/>
          <w:szCs w:val="17"/>
          <w:b w:val="1"/>
          <w:bCs w:val="1"/>
          <w:i w:val="1"/>
          <w:iCs w:val="1"/>
          <w:color w:val="231F20"/>
        </w:rPr>
        <w:t>The Internal Revenue Service (“IRS”) might challenge the tax basis step-ups and other tax benefits we received in connection with our IPO and the related transactions and in connection with future acquisitions of Viant Technology LLC units.</w:t>
      </w:r>
    </w:p>
    <w:p>
      <w:pPr>
        <w:spacing w:after="0" w:line="166" w:lineRule="exact"/>
        <w:rPr>
          <w:sz w:val="20"/>
          <w:szCs w:val="20"/>
          <w:color w:val="auto"/>
        </w:rPr>
      </w:pPr>
    </w:p>
    <w:p>
      <w:pPr>
        <w:ind w:firstLine="589"/>
        <w:spacing w:after="0" w:line="254" w:lineRule="auto"/>
        <w:rPr>
          <w:sz w:val="20"/>
          <w:szCs w:val="20"/>
          <w:color w:val="auto"/>
        </w:rPr>
      </w:pPr>
      <w:r>
        <w:rPr>
          <w:rFonts w:ascii="Arial" w:cs="Arial" w:eastAsia="Arial" w:hAnsi="Arial"/>
          <w:sz w:val="17"/>
          <w:szCs w:val="17"/>
          <w:color w:val="231F20"/>
        </w:rPr>
        <w:t>The Viant Technology LLC units held directly by the members of Viant Technology LLC other than Viant Technology Inc., including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6" w:name="page37"/>
    <w:bookmarkEnd w:id="36"/>
    <w:p>
      <w:pPr>
        <w:ind w:right="300"/>
        <w:spacing w:after="0" w:line="308" w:lineRule="auto"/>
        <w:rPr>
          <w:sz w:val="20"/>
          <w:szCs w:val="20"/>
          <w:color w:val="auto"/>
        </w:rPr>
      </w:pPr>
      <w:r>
        <w:rPr>
          <w:rFonts w:ascii="Arial" w:cs="Arial" w:eastAsia="Arial" w:hAnsi="Arial"/>
          <w:sz w:val="15"/>
          <w:szCs w:val="15"/>
          <w:color w:val="231F20"/>
        </w:rPr>
        <w:t>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spacing w:after="0" w:line="141" w:lineRule="exact"/>
        <w:rPr>
          <w:sz w:val="20"/>
          <w:szCs w:val="20"/>
          <w:color w:val="auto"/>
        </w:rPr>
      </w:pPr>
    </w:p>
    <w:p>
      <w:pPr>
        <w:jc w:val="both"/>
        <w:ind w:firstLine="589"/>
        <w:spacing w:after="0" w:line="258" w:lineRule="auto"/>
        <w:rPr>
          <w:sz w:val="20"/>
          <w:szCs w:val="20"/>
          <w:color w:val="auto"/>
        </w:rPr>
      </w:pPr>
      <w:r>
        <w:rPr>
          <w:rFonts w:ascii="Arial" w:cs="Arial" w:eastAsia="Arial" w:hAnsi="Arial"/>
          <w:sz w:val="17"/>
          <w:szCs w:val="17"/>
          <w:color w:val="231F20"/>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175" w:lineRule="exact"/>
        <w:rPr>
          <w:sz w:val="20"/>
          <w:szCs w:val="20"/>
          <w:color w:val="auto"/>
        </w:rPr>
      </w:pPr>
    </w:p>
    <w:p>
      <w:pPr>
        <w:ind w:right="300"/>
        <w:spacing w:after="0" w:line="337" w:lineRule="auto"/>
        <w:rPr>
          <w:sz w:val="20"/>
          <w:szCs w:val="20"/>
          <w:color w:val="auto"/>
        </w:rPr>
      </w:pPr>
      <w:r>
        <w:rPr>
          <w:rFonts w:ascii="Arial" w:cs="Arial" w:eastAsia="Arial" w:hAnsi="Arial"/>
          <w:sz w:val="15"/>
          <w:szCs w:val="15"/>
          <w:b w:val="1"/>
          <w:bCs w:val="1"/>
          <w:i w:val="1"/>
          <w:iCs w:val="1"/>
          <w:color w:val="231F20"/>
        </w:rPr>
        <w:t>We are required to pay over to continuing members of Viant Technology LLC most of the tax benefits we receive from tax basis step-ups (and certain other tax benefits) attributable to its acquisition of units of Viant Technology LLC, and the amount of those payments are expected to be substantial.</w:t>
      </w:r>
    </w:p>
    <w:p>
      <w:pPr>
        <w:spacing w:after="0" w:line="119"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231F20"/>
        </w:rPr>
        <w:t>Viant Technology Inc. has entered into a Tax Receivable Agreement with Viant Technology LLC, continuing members of Viant Technology LLC (not including Viant Technology Inc.) and the representative of such continuing members of Viant Technology LLC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spacing w:after="0" w:line="156" w:lineRule="exact"/>
        <w:rPr>
          <w:sz w:val="20"/>
          <w:szCs w:val="20"/>
          <w:color w:val="auto"/>
        </w:rPr>
      </w:pPr>
    </w:p>
    <w:p>
      <w:pPr>
        <w:ind w:right="20" w:firstLine="589"/>
        <w:spacing w:after="0" w:line="287" w:lineRule="auto"/>
        <w:rPr>
          <w:sz w:val="20"/>
          <w:szCs w:val="20"/>
          <w:color w:val="auto"/>
        </w:rPr>
      </w:pPr>
      <w:r>
        <w:rPr>
          <w:rFonts w:ascii="Arial" w:cs="Arial" w:eastAsia="Arial" w:hAnsi="Arial"/>
          <w:sz w:val="15"/>
          <w:szCs w:val="15"/>
          <w:color w:val="231F20"/>
        </w:rPr>
        <w:t>The term of the Tax Receivable Agreement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The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156"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231F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7" w:name="page38"/>
    <w:bookmarkEnd w:id="37"/>
    <w:p>
      <w:pPr>
        <w:ind w:right="120"/>
        <w:spacing w:after="0" w:line="269" w:lineRule="auto"/>
        <w:rPr>
          <w:sz w:val="20"/>
          <w:szCs w:val="20"/>
          <w:color w:val="auto"/>
        </w:rPr>
      </w:pPr>
      <w:r>
        <w:rPr>
          <w:rFonts w:ascii="Arial" w:cs="Arial" w:eastAsia="Arial" w:hAnsi="Arial"/>
          <w:sz w:val="17"/>
          <w:szCs w:val="17"/>
          <w:b w:val="1"/>
          <w:bCs w:val="1"/>
          <w:i w:val="1"/>
          <w:iCs w:val="1"/>
          <w:color w:val="231F20"/>
        </w:rPr>
        <w:t>In certain circumstances, payments under the Tax Receivable Agreement may be accelerated and/or significantly exceed the actual tax benefits, if any, that Viant Technology Inc. actually realizes.</w:t>
      </w:r>
    </w:p>
    <w:p>
      <w:pPr>
        <w:spacing w:after="0" w:line="166" w:lineRule="exact"/>
        <w:rPr>
          <w:sz w:val="20"/>
          <w:szCs w:val="20"/>
          <w:color w:val="auto"/>
        </w:rPr>
      </w:pPr>
    </w:p>
    <w:p>
      <w:pPr>
        <w:ind w:firstLine="589"/>
        <w:spacing w:after="0" w:line="264" w:lineRule="auto"/>
        <w:rPr>
          <w:sz w:val="20"/>
          <w:szCs w:val="20"/>
          <w:color w:val="auto"/>
        </w:rPr>
      </w:pPr>
      <w:r>
        <w:rPr>
          <w:rFonts w:ascii="Arial" w:cs="Arial" w:eastAsia="Arial" w:hAnsi="Arial"/>
          <w:sz w:val="16"/>
          <w:szCs w:val="16"/>
          <w:color w:val="231F20"/>
        </w:rPr>
        <w:t>The Tax Receivable Agreement provides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(“SOFR”) plus 400 basis points.</w:t>
      </w:r>
    </w:p>
    <w:p>
      <w:pPr>
        <w:spacing w:after="0" w:line="180" w:lineRule="exact"/>
        <w:rPr>
          <w:sz w:val="20"/>
          <w:szCs w:val="20"/>
          <w:color w:val="auto"/>
        </w:rPr>
      </w:pPr>
    </w:p>
    <w:p>
      <w:pPr>
        <w:ind w:right="20" w:firstLine="589"/>
        <w:spacing w:after="0" w:line="268" w:lineRule="auto"/>
        <w:rPr>
          <w:sz w:val="20"/>
          <w:szCs w:val="20"/>
          <w:color w:val="auto"/>
        </w:rPr>
      </w:pPr>
      <w:r>
        <w:rPr>
          <w:rFonts w:ascii="Arial" w:cs="Arial" w:eastAsia="Arial" w:hAnsi="Arial"/>
          <w:sz w:val="16"/>
          <w:szCs w:val="16"/>
          <w:color w:val="231F20"/>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72"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231F20"/>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right="680"/>
        <w:spacing w:after="0" w:line="269" w:lineRule="auto"/>
        <w:rPr>
          <w:sz w:val="20"/>
          <w:szCs w:val="20"/>
          <w:color w:val="auto"/>
        </w:rPr>
      </w:pPr>
      <w:r>
        <w:rPr>
          <w:rFonts w:ascii="Arial" w:cs="Arial" w:eastAsia="Arial" w:hAnsi="Arial"/>
          <w:sz w:val="17"/>
          <w:szCs w:val="17"/>
          <w:b w:val="1"/>
          <w:bCs w:val="1"/>
          <w:i w:val="1"/>
          <w:iCs w:val="1"/>
          <w:color w:val="231F20"/>
        </w:rPr>
        <w:t>In certain circumstances, Viant Technology LLC will be required to make distributions to us and the existing members of Viant Technology LLC, and the distributions that Viant Technology LLC will be required to make may be substantial.</w:t>
      </w:r>
    </w:p>
    <w:p>
      <w:pPr>
        <w:spacing w:after="0" w:line="166" w:lineRule="exact"/>
        <w:rPr>
          <w:sz w:val="20"/>
          <w:szCs w:val="20"/>
          <w:color w:val="auto"/>
        </w:rPr>
      </w:pPr>
    </w:p>
    <w:p>
      <w:pPr>
        <w:ind w:right="200" w:firstLine="589"/>
        <w:spacing w:after="0" w:line="267" w:lineRule="auto"/>
        <w:rPr>
          <w:sz w:val="20"/>
          <w:szCs w:val="20"/>
          <w:color w:val="auto"/>
        </w:rPr>
      </w:pPr>
      <w:r>
        <w:rPr>
          <w:rFonts w:ascii="Arial" w:cs="Arial" w:eastAsia="Arial" w:hAnsi="Arial"/>
          <w:sz w:val="16"/>
          <w:szCs w:val="16"/>
          <w:color w:val="231F20"/>
        </w:rPr>
        <w:t>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171" w:lineRule="exact"/>
        <w:rPr>
          <w:sz w:val="20"/>
          <w:szCs w:val="20"/>
          <w:color w:val="auto"/>
        </w:rPr>
      </w:pPr>
    </w:p>
    <w:p>
      <w:pPr>
        <w:ind w:right="40" w:firstLine="589"/>
        <w:spacing w:after="0" w:line="252" w:lineRule="auto"/>
        <w:rPr>
          <w:sz w:val="20"/>
          <w:szCs w:val="20"/>
          <w:color w:val="auto"/>
        </w:rPr>
      </w:pPr>
      <w:r>
        <w:rPr>
          <w:rFonts w:ascii="Arial" w:cs="Arial" w:eastAsia="Arial" w:hAnsi="Arial"/>
          <w:sz w:val="17"/>
          <w:szCs w:val="17"/>
          <w:color w:val="231F20"/>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181" w:lineRule="exact"/>
        <w:rPr>
          <w:sz w:val="20"/>
          <w:szCs w:val="20"/>
          <w:color w:val="auto"/>
        </w:rPr>
      </w:pPr>
    </w:p>
    <w:p>
      <w:pPr>
        <w:ind w:firstLine="589"/>
        <w:spacing w:after="0" w:line="254" w:lineRule="auto"/>
        <w:rPr>
          <w:sz w:val="20"/>
          <w:szCs w:val="20"/>
          <w:color w:val="auto"/>
        </w:rPr>
      </w:pPr>
      <w:r>
        <w:rPr>
          <w:rFonts w:ascii="Arial" w:cs="Arial" w:eastAsia="Arial" w:hAnsi="Arial"/>
          <w:sz w:val="17"/>
          <w:szCs w:val="17"/>
          <w:color w:val="231F20"/>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spacing w:after="0" w:line="17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b w:val="1"/>
          <w:bCs w:val="1"/>
          <w:i w:val="1"/>
          <w:iCs w:val="1"/>
          <w:color w:val="231F20"/>
        </w:rPr>
        <w:t>Pursuant to recent regulations issued under Section 162(m) of the Internal Revenue Code of 1986, as amended (the “Code”), Viant Technology Inc. may not be permitted to deduct its distributive share of compensation expense to the extent that the compensation was paid by Viant Technology LLC to certain of Viant Technology Inc.’s covered employees, potentially resulting in additional U.S. federal income tax liability for Viant Technology Inc. and reducing cash available for distribution to Viant Technology Inc.’s stockholders and/or for the payment of other expenses and obligations of Viant Technology Inc.</w:t>
      </w:r>
    </w:p>
    <w:p>
      <w:pPr>
        <w:spacing w:after="0" w:line="147" w:lineRule="exact"/>
        <w:rPr>
          <w:sz w:val="20"/>
          <w:szCs w:val="20"/>
          <w:color w:val="auto"/>
        </w:rPr>
      </w:pPr>
    </w:p>
    <w:p>
      <w:pPr>
        <w:ind w:right="20" w:firstLine="865"/>
        <w:spacing w:after="0" w:line="284" w:lineRule="auto"/>
        <w:rPr>
          <w:sz w:val="20"/>
          <w:szCs w:val="20"/>
          <w:color w:val="auto"/>
        </w:rPr>
      </w:pPr>
      <w:r>
        <w:rPr>
          <w:rFonts w:ascii="Arial" w:cs="Arial" w:eastAsia="Arial" w:hAnsi="Arial"/>
          <w:sz w:val="15"/>
          <w:szCs w:val="15"/>
          <w:color w:val="231F20"/>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executive officers for the taxable year (other than the PEO or PFO or an individual acting in such capacity), or (c) was a covered employee of the taxpayer (or any predecessor) for any preceding taxable year beginning after December 31, 2016. Pursuant to final regulations released for publication in the Federal Register by the IRS and the United States Department of the Treasury on December 30, 2020 (the “162(m) Regulations”), Viant Technology Inc. will not be permitted to claim a deduction for the distributive share of compensation expense of Viant Technology LLC allocated to it to the extent that such distributive share, plus the amount of any compensation paid directly by Viant Technology Inc., exceeds $1,000,000 with respect to a covered employee, even if Viant Technology LLC, rather than Viant Technology Inc., pays the compensation. The 162(m) Regulations were effective upon publication of final regulations in the Federal Register but apply to any deduction for compensation that is otherwise allowable for a taxable year ending on or after December 20, 2019. However, the 162(m) Regulations do not apply to compensation paid pursuant to a written binding contract in effect on December 20, 2019 that is not materially modified after that date. Accordingly, to the extent that Viant Technology Inc. is disallowed a deduction for its distributive share of compensation expense under Section 162(m) of the Code, it may result in additional U.S. federal income tax liability for Viant Technology Inc. and/or reduce cash available for distribution to Viant Technology Inc.’s stockholders or for the payment of other expenses and obligations of Viant Technology Inc.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231F20"/>
        </w:rPr>
        <w:t>Future changes to tax laws or our effective tax rate could materially and adversely affect our company and reduce net returns to our stockholders.</w:t>
      </w:r>
    </w:p>
    <w:p>
      <w:pPr>
        <w:spacing w:after="0" w:line="219"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231F20"/>
        </w:rPr>
        <w:t>Our tax treatment is subject to the enactment of, or changes in, tax laws, regulations and treaties, or the interpretation thereof, tax policy initiatives and reforms under consideration and the practices of tax authorities in various jurisdictions,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in jurisdictions which we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70" w:lineRule="exact"/>
        <w:rPr>
          <w:sz w:val="20"/>
          <w:szCs w:val="20"/>
          <w:color w:val="auto"/>
        </w:rPr>
      </w:pPr>
    </w:p>
    <w:p>
      <w:pPr>
        <w:ind w:right="140" w:firstLine="589"/>
        <w:spacing w:after="0" w:line="254" w:lineRule="auto"/>
        <w:rPr>
          <w:sz w:val="20"/>
          <w:szCs w:val="20"/>
          <w:color w:val="auto"/>
        </w:rPr>
      </w:pPr>
      <w:r>
        <w:rPr>
          <w:rFonts w:ascii="Arial" w:cs="Arial" w:eastAsia="Arial" w:hAnsi="Arial"/>
          <w:sz w:val="17"/>
          <w:szCs w:val="17"/>
          <w:color w:val="231F20"/>
        </w:rPr>
        <w:t>Our businesses are subject to income taxation in the United States. Tax rates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 required to pay additional taxes because of the U.S. federal partnership audit rules and potentially also state and local tax rules.</w:t>
      </w:r>
    </w:p>
    <w:p>
      <w:pPr>
        <w:spacing w:after="0" w:line="219" w:lineRule="exact"/>
        <w:rPr>
          <w:sz w:val="20"/>
          <w:szCs w:val="20"/>
          <w:color w:val="auto"/>
        </w:rPr>
      </w:pPr>
    </w:p>
    <w:p>
      <w:pPr>
        <w:ind w:right="40" w:firstLine="865"/>
        <w:spacing w:after="0" w:line="288" w:lineRule="auto"/>
        <w:rPr>
          <w:sz w:val="20"/>
          <w:szCs w:val="20"/>
          <w:color w:val="auto"/>
        </w:rPr>
      </w:pPr>
      <w:r>
        <w:rPr>
          <w:rFonts w:ascii="Arial" w:cs="Arial" w:eastAsia="Arial" w:hAnsi="Arial"/>
          <w:sz w:val="15"/>
          <w:szCs w:val="15"/>
          <w:color w:val="231F20"/>
        </w:rPr>
        <w:t>Under the U.S. federal partnership audit rules, subject to certain exceptions, audit adjustments to items of income, gain, loss, deduction, or credit of an entity (and any holder’s share thereof) are determined, and taxes, interest, and penalties attributable thereto, are assessed and collected, at the entity level. Viant Technology LLC (or any of its applicable subsidiaries or other entities in which Viant Technology LLC directly or indirectly invests that are treated as partnerships for U.S. federal income tax purposes) may be required to pay additional taxes, interest and penalties as a result of an audit adjustment, and Viant Technology Inc., as a member of Viant Technology LLC (or such other entities), could be required to indirectly bear the economic burden of those taxes, interest, and penalties even though we may not otherwise have been required to pay additional corporate-level taxes as a result of the related audit adjustment. Audit adjustments for state or local tax purposes could similarly result in Viant Technology LLC (or any of its applicable subsidiaries or other entities in which Viant Technology LLC directly or indirectly invests) being required to pay or indirectly bear the economic burden of state or local taxes and associated interest, and penalties.</w:t>
      </w:r>
    </w:p>
    <w:p>
      <w:pPr>
        <w:spacing w:after="0" w:line="156" w:lineRule="exact"/>
        <w:rPr>
          <w:sz w:val="20"/>
          <w:szCs w:val="20"/>
          <w:color w:val="auto"/>
        </w:rPr>
      </w:pPr>
    </w:p>
    <w:p>
      <w:pPr>
        <w:ind w:firstLine="865"/>
        <w:spacing w:after="0" w:line="250" w:lineRule="auto"/>
        <w:rPr>
          <w:sz w:val="20"/>
          <w:szCs w:val="20"/>
          <w:color w:val="auto"/>
        </w:rPr>
      </w:pPr>
      <w:r>
        <w:rPr>
          <w:rFonts w:ascii="Arial" w:cs="Arial" w:eastAsia="Arial" w:hAnsi="Arial"/>
          <w:sz w:val="17"/>
          <w:szCs w:val="17"/>
          <w:color w:val="231F20"/>
        </w:rPr>
        <w:t>Under certain circumstances, Viant Technology LLC or an entity in which Viant Technology LLC directly or indirectly invests may be eligible to make an election to cause members of Viant Technology LLC (or such other entity) to take into account the amount of any understatement, including any interest and penalties, in accordance with such member’s share in Viant Technology LLC in the year under audit. We will decide whether or not to cause Viant Technology LLC to make this election; however, there are circumstances in which the election may not be available and, in the case of an entity in which Viant Technology LLC directly or indirectly invests, such decision may be outside of our control. If Viant Technology LLC or an entity in which Viant Technology LLC directly or indirectly invests does not make this election, the then-current members of Viant Technology LLC (including Viant Technology Inc.) could economically bear the burden of the understatement.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tax liabilities may be greater than anticipated.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0" w:name="page41"/>
    <w:bookmarkEnd w:id="40"/>
    <w:p>
      <w:pPr>
        <w:ind w:firstLine="589"/>
        <w:spacing w:after="0" w:line="266" w:lineRule="auto"/>
        <w:rPr>
          <w:sz w:val="20"/>
          <w:szCs w:val="20"/>
          <w:color w:val="auto"/>
        </w:rPr>
      </w:pPr>
      <w:r>
        <w:rPr>
          <w:rFonts w:ascii="Arial" w:cs="Arial" w:eastAsia="Arial" w:hAnsi="Arial"/>
          <w:sz w:val="16"/>
          <w:szCs w:val="16"/>
          <w:color w:val="auto"/>
        </w:rPr>
        <w:t>The U.S. and non-U.S. tax laws applicable to our business activities are subject to interpretation. We are subject to audit by the Internal Revenue Service and by taxing authorities of the state, local and foreign jurisdictions in which we operate. Our tax obligations are based in part on our corporate operating structure, including the manner in which we develop, value, and use our intellectual property, the jurisdictions in which we operate, and how tax authorities assess revenue-based taxes such as sales and use taxes. Taxing authorities may challenge our tax positions and methodologies for valuing developed technology, as well as our positions regarding the collection of sales and use taxes and the jurisdictions in which we are subject to taxes, which could expose us to additional taxes. Any adverse outcomes of such challenges to our tax positions (or other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An increase in our tax expense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will make reasonable estimates and judgments, the ultimate outcome of any particular issue may differ from the amounts previously recorded in our consolidated financial statements and any such occurrence could materially affect our financial position and results of operations.</w:t>
      </w:r>
    </w:p>
    <w:p>
      <w:pPr>
        <w:spacing w:after="0" w:line="170" w:lineRule="exact"/>
        <w:rPr>
          <w:sz w:val="20"/>
          <w:szCs w:val="20"/>
          <w:color w:val="auto"/>
        </w:rPr>
      </w:pPr>
    </w:p>
    <w:p>
      <w:pPr>
        <w:ind w:right="40"/>
        <w:spacing w:after="0" w:line="339" w:lineRule="auto"/>
        <w:rPr>
          <w:sz w:val="20"/>
          <w:szCs w:val="20"/>
          <w:color w:val="auto"/>
        </w:rPr>
      </w:pPr>
      <w:r>
        <w:rPr>
          <w:rFonts w:ascii="Arial" w:cs="Arial" w:eastAsia="Arial" w:hAnsi="Arial"/>
          <w:sz w:val="14"/>
          <w:szCs w:val="14"/>
          <w:b w:val="1"/>
          <w:bCs w:val="1"/>
          <w:i w:val="1"/>
          <w:iCs w:val="1"/>
          <w:color w:val="231F20"/>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spacing w:after="0" w:line="123" w:lineRule="exact"/>
        <w:rPr>
          <w:sz w:val="20"/>
          <w:szCs w:val="20"/>
          <w:color w:val="auto"/>
        </w:rPr>
      </w:pPr>
    </w:p>
    <w:p>
      <w:pPr>
        <w:ind w:right="80" w:firstLine="865"/>
        <w:spacing w:after="0" w:line="291" w:lineRule="auto"/>
        <w:rPr>
          <w:sz w:val="20"/>
          <w:szCs w:val="20"/>
          <w:color w:val="auto"/>
        </w:rPr>
      </w:pPr>
      <w:r>
        <w:rPr>
          <w:rFonts w:ascii="Arial" w:cs="Arial" w:eastAsia="Arial" w:hAnsi="Arial"/>
          <w:sz w:val="15"/>
          <w:szCs w:val="15"/>
          <w:color w:val="231F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54" w:lineRule="exact"/>
        <w:rPr>
          <w:sz w:val="20"/>
          <w:szCs w:val="20"/>
          <w:color w:val="auto"/>
        </w:rPr>
      </w:pPr>
    </w:p>
    <w:p>
      <w:pPr>
        <w:ind w:right="160" w:firstLine="865"/>
        <w:spacing w:after="0" w:line="294" w:lineRule="auto"/>
        <w:rPr>
          <w:sz w:val="20"/>
          <w:szCs w:val="20"/>
          <w:color w:val="auto"/>
        </w:rPr>
      </w:pPr>
      <w:r>
        <w:rPr>
          <w:rFonts w:ascii="Arial" w:cs="Arial" w:eastAsia="Arial" w:hAnsi="Arial"/>
          <w:sz w:val="15"/>
          <w:szCs w:val="15"/>
          <w:color w:val="231F20"/>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211"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b w:val="1"/>
          <w:bCs w:val="1"/>
          <w:i w:val="1"/>
          <w:iCs w:val="1"/>
          <w:color w:val="231F20"/>
        </w:rPr>
        <w:t>We may experience fluctuations in our operating results, which could make our future operating results difficult to predict or cause our operating results to fall below securities analysts’ and investors’ expectations.</w:t>
      </w:r>
    </w:p>
    <w:p>
      <w:pPr>
        <w:spacing w:after="0" w:line="166" w:lineRule="exact"/>
        <w:rPr>
          <w:sz w:val="20"/>
          <w:szCs w:val="20"/>
          <w:color w:val="auto"/>
        </w:rPr>
      </w:pPr>
    </w:p>
    <w:p>
      <w:pPr>
        <w:ind w:right="20" w:firstLine="865"/>
        <w:spacing w:after="0" w:line="250" w:lineRule="auto"/>
        <w:rPr>
          <w:sz w:val="20"/>
          <w:szCs w:val="20"/>
          <w:color w:val="auto"/>
        </w:rPr>
      </w:pPr>
      <w:r>
        <w:rPr>
          <w:rFonts w:ascii="Arial" w:cs="Arial" w:eastAsia="Arial" w:hAnsi="Arial"/>
          <w:sz w:val="17"/>
          <w:szCs w:val="17"/>
          <w:color w:val="231F20"/>
        </w:rPr>
        <w:t>Our quarterly and annual operating results have fluctuated in the past and we expect our future operating results to fluctuate due to a variety of factors, many of which are beyond our control. In particular, we offer our customers a choice of three different pricing options: a percentage of spend option, a subscription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1" w:name="page42"/>
    <w:bookmarkEnd w:id="41"/>
    <w:p>
      <w:pPr>
        <w:ind w:right="140"/>
        <w:spacing w:after="0" w:line="272" w:lineRule="auto"/>
        <w:rPr>
          <w:sz w:val="20"/>
          <w:szCs w:val="20"/>
          <w:color w:val="auto"/>
        </w:rPr>
      </w:pPr>
      <w:r>
        <w:rPr>
          <w:rFonts w:ascii="Arial" w:cs="Arial" w:eastAsia="Arial" w:hAnsi="Arial"/>
          <w:sz w:val="16"/>
          <w:szCs w:val="16"/>
          <w:color w:val="231F20"/>
        </w:rPr>
        <w:t>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environment continues to evolve as a result of the COVID-19 pandemic, our historical operating results may not be necessarily indicative of our future operating results. It is also difficult to predict the impact of a post-pandemic recovery on our business and operating results. In addition to changes in terms of mix of our different pricing options, factors that may cause our operating results to fluctuate include the following:</w:t>
      </w:r>
    </w:p>
    <w:p>
      <w:pPr>
        <w:spacing w:after="0" w:line="165" w:lineRule="exact"/>
        <w:rPr>
          <w:sz w:val="20"/>
          <w:szCs w:val="20"/>
          <w:color w:val="auto"/>
        </w:rPr>
      </w:pPr>
    </w:p>
    <w:p>
      <w:pPr>
        <w:ind w:left="1160" w:hanging="581"/>
        <w:spacing w:after="0"/>
        <w:tabs>
          <w:tab w:leader="none" w:pos="1160" w:val="left"/>
        </w:tabs>
        <w:numPr>
          <w:ilvl w:val="0"/>
          <w:numId w:val="19"/>
        </w:numPr>
        <w:rPr>
          <w:rFonts w:ascii="Arial" w:cs="Arial" w:eastAsia="Arial" w:hAnsi="Arial"/>
          <w:sz w:val="15"/>
          <w:szCs w:val="15"/>
          <w:color w:val="auto"/>
        </w:rPr>
      </w:pPr>
      <w:r>
        <w:rPr>
          <w:rFonts w:ascii="Arial" w:cs="Arial" w:eastAsia="Arial" w:hAnsi="Arial"/>
          <w:sz w:val="15"/>
          <w:szCs w:val="15"/>
          <w:color w:val="231F20"/>
        </w:rPr>
        <w:t>changes in demand for our platform, including those related to the seasonal nature of our customers’ spending on digital advertising campaigns;</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160" w:hanging="581"/>
        <w:spacing w:after="0"/>
        <w:tabs>
          <w:tab w:leader="none" w:pos="1160" w:val="left"/>
        </w:tabs>
        <w:numPr>
          <w:ilvl w:val="0"/>
          <w:numId w:val="19"/>
        </w:numPr>
        <w:rPr>
          <w:rFonts w:ascii="Arial" w:cs="Arial" w:eastAsia="Arial" w:hAnsi="Arial"/>
          <w:sz w:val="15"/>
          <w:szCs w:val="15"/>
          <w:color w:val="231F20"/>
        </w:rPr>
      </w:pPr>
      <w:r>
        <w:rPr>
          <w:rFonts w:ascii="Arial" w:cs="Arial" w:eastAsia="Arial" w:hAnsi="Arial"/>
          <w:sz w:val="15"/>
          <w:szCs w:val="15"/>
          <w:color w:val="231F20"/>
        </w:rPr>
        <w:t>changes in our pricing policies, the pricing policies of our competitors and the pricing or availability of inventory, data or other third-party services;</w:t>
      </w:r>
    </w:p>
    <w:p>
      <w:pPr>
        <w:spacing w:after="0" w:line="200" w:lineRule="exact"/>
        <w:rPr>
          <w:rFonts w:ascii="Arial" w:cs="Arial" w:eastAsia="Arial" w:hAnsi="Arial"/>
          <w:sz w:val="15"/>
          <w:szCs w:val="15"/>
          <w:color w:val="231F20"/>
        </w:rPr>
      </w:pPr>
    </w:p>
    <w:p>
      <w:pPr>
        <w:spacing w:after="0" w:line="231" w:lineRule="exact"/>
        <w:rPr>
          <w:rFonts w:ascii="Arial" w:cs="Arial" w:eastAsia="Arial" w:hAnsi="Arial"/>
          <w:sz w:val="15"/>
          <w:szCs w:val="15"/>
          <w:color w:val="231F20"/>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in our customer base and platform offerings;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the addition or loss of advertising agencies and marketers as customers;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in advertising budget allocations, agency affiliations or marketing strategies;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to our channel mix (including, for example, changes in demand for connected TV);</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line="269" w:lineRule="auto"/>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and uncertainty in the regulatory and business environment for us or customers (for example, when Apple or Google change policies for their browsers and operating systems);</w:t>
      </w:r>
    </w:p>
    <w:p>
      <w:pPr>
        <w:spacing w:after="0" w:line="366" w:lineRule="exact"/>
        <w:rPr>
          <w:rFonts w:ascii="Arial" w:cs="Arial" w:eastAsia="Arial" w:hAnsi="Arial"/>
          <w:sz w:val="17"/>
          <w:szCs w:val="17"/>
          <w:color w:val="auto"/>
        </w:rPr>
      </w:pPr>
    </w:p>
    <w:p>
      <w:pPr>
        <w:ind w:left="1160" w:right="180" w:hanging="581"/>
        <w:spacing w:after="0" w:line="269" w:lineRule="auto"/>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in the economic prospects of marketers or the economy generally (due to COVID-19, or otherwise), which could alter marketers’ spending priorities, or could increase the time or costs required to complete advertising inventory sales;</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in the availability of advertising inventory or in the cost of reaching end consumers through digital advertising;</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disruptions or outages on our platform;</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the introduction of new technologies or offerings by our competitors;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changes in our capital expenditures as we acquire the hardware, equipment and other assets required to support our business;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timing differences between our payments for advertising inventory and our collection of related advertising revenue;</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the length and unpredictability of our sales cycle;</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costs related to acquisitions of businesses or technologies, or employee recruiting; and</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shifting views and behaviors of consumers concerning use of data.</w:t>
      </w:r>
    </w:p>
    <w:p>
      <w:pPr>
        <w:spacing w:after="0" w:line="200" w:lineRule="exact"/>
        <w:rPr>
          <w:sz w:val="20"/>
          <w:szCs w:val="20"/>
          <w:color w:val="auto"/>
        </w:rPr>
      </w:pPr>
    </w:p>
    <w:p>
      <w:pPr>
        <w:spacing w:after="0" w:line="208"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231F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231F20"/>
        </w:rPr>
        <w:t>We may not be able to secure additional financing on favorable terms, or at all, to meet our future capital needs, which may in turn impair our growth.</w:t>
      </w:r>
    </w:p>
    <w:p>
      <w:pPr>
        <w:spacing w:after="0" w:line="230" w:lineRule="exact"/>
        <w:rPr>
          <w:sz w:val="20"/>
          <w:szCs w:val="20"/>
          <w:color w:val="auto"/>
        </w:rPr>
      </w:pPr>
    </w:p>
    <w:p>
      <w:pPr>
        <w:ind w:firstLine="865"/>
        <w:spacing w:after="0" w:line="250" w:lineRule="auto"/>
        <w:rPr>
          <w:sz w:val="20"/>
          <w:szCs w:val="20"/>
          <w:color w:val="auto"/>
        </w:rPr>
      </w:pPr>
      <w:r>
        <w:rPr>
          <w:rFonts w:ascii="Arial" w:cs="Arial" w:eastAsia="Arial" w:hAnsi="Arial"/>
          <w:sz w:val="17"/>
          <w:szCs w:val="17"/>
          <w:color w:val="231F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As our costs increase, we may not be able to generate sufficient revenue to sustain profitability.</w:t>
      </w:r>
    </w:p>
    <w:p>
      <w:pPr>
        <w:spacing w:after="0" w:line="207" w:lineRule="exact"/>
        <w:rPr>
          <w:sz w:val="20"/>
          <w:szCs w:val="20"/>
          <w:color w:val="auto"/>
        </w:rPr>
      </w:pPr>
    </w:p>
    <w:p>
      <w:pPr>
        <w:ind w:right="200" w:firstLine="865"/>
        <w:spacing w:after="0" w:line="258" w:lineRule="auto"/>
        <w:rPr>
          <w:sz w:val="20"/>
          <w:szCs w:val="20"/>
          <w:color w:val="auto"/>
        </w:rPr>
      </w:pPr>
      <w:r>
        <w:rPr>
          <w:rFonts w:ascii="Arial" w:cs="Arial" w:eastAsia="Arial" w:hAnsi="Arial"/>
          <w:sz w:val="17"/>
          <w:szCs w:val="17"/>
          <w:color w:val="231F20"/>
        </w:rPr>
        <w:t>We have expended significant resources to grow our business in recent years by increasing the offerings of our platform and growing our number of employees and expanding our number of offices in the United States. We anticipate continued growth that could require substantial financial and other resources to, among other things:</w:t>
      </w:r>
    </w:p>
    <w:p>
      <w:pPr>
        <w:spacing w:after="0" w:line="175" w:lineRule="exact"/>
        <w:rPr>
          <w:sz w:val="20"/>
          <w:szCs w:val="20"/>
          <w:color w:val="auto"/>
        </w:rPr>
      </w:pPr>
    </w:p>
    <w:p>
      <w:pPr>
        <w:ind w:left="1160" w:right="220" w:hanging="581"/>
        <w:spacing w:after="0" w:line="269"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231F20"/>
        </w:rPr>
        <w:t>develop our platform, including by investing in our engineering team, creating, acquiring or licensing new products or features, and improving the functionality, availability and security of our platform;</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231F20"/>
        </w:rPr>
        <w:t>improve our technology infrastructure, including investing in internal technology development and acquiring outside technologies;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231F20"/>
        </w:rPr>
        <w:t>cover general and administrative expenses, including legal, accounting and other expenses necessary to support a larger organization;</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1160" w:hanging="581"/>
        <w:spacing w:after="0"/>
        <w:tabs>
          <w:tab w:leader="none" w:pos="116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cover sales and marketing expenses, including a significant expansion of our direct sales organization;</w:t>
      </w:r>
    </w:p>
    <w:p>
      <w:pPr>
        <w:spacing w:after="0" w:line="200" w:lineRule="exact"/>
        <w:rPr>
          <w:rFonts w:ascii="Arial" w:cs="Arial" w:eastAsia="Arial" w:hAnsi="Arial"/>
          <w:sz w:val="17"/>
          <w:szCs w:val="17"/>
          <w:color w:val="231F20"/>
        </w:rPr>
      </w:pPr>
    </w:p>
    <w:p>
      <w:pPr>
        <w:spacing w:after="0" w:line="208" w:lineRule="exact"/>
        <w:rPr>
          <w:rFonts w:ascii="Arial" w:cs="Arial" w:eastAsia="Arial" w:hAnsi="Arial"/>
          <w:sz w:val="17"/>
          <w:szCs w:val="17"/>
          <w:color w:val="231F20"/>
        </w:rPr>
      </w:pPr>
    </w:p>
    <w:p>
      <w:pPr>
        <w:ind w:left="1160" w:hanging="581"/>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231F20"/>
        </w:rPr>
        <w:t>cover expenses relating to data collection and consumer privacy compliance, including additional infrastructure, automation and personnel; and</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160" w:hanging="581"/>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231F20"/>
        </w:rPr>
        <w:t>explore strategic acquisitions.</w:t>
      </w:r>
    </w:p>
    <w:p>
      <w:pPr>
        <w:spacing w:after="0" w:line="200" w:lineRule="exact"/>
        <w:rPr>
          <w:sz w:val="20"/>
          <w:szCs w:val="20"/>
          <w:color w:val="auto"/>
        </w:rPr>
      </w:pPr>
    </w:p>
    <w:p>
      <w:pPr>
        <w:spacing w:after="0" w:line="208" w:lineRule="exact"/>
        <w:rPr>
          <w:sz w:val="20"/>
          <w:szCs w:val="20"/>
          <w:color w:val="auto"/>
        </w:rPr>
      </w:pPr>
    </w:p>
    <w:p>
      <w:pPr>
        <w:ind w:right="340" w:firstLine="865"/>
        <w:spacing w:after="0" w:line="269" w:lineRule="auto"/>
        <w:rPr>
          <w:sz w:val="20"/>
          <w:szCs w:val="20"/>
          <w:color w:val="auto"/>
        </w:rPr>
      </w:pPr>
      <w:r>
        <w:rPr>
          <w:rFonts w:ascii="Arial" w:cs="Arial" w:eastAsia="Arial" w:hAnsi="Arial"/>
          <w:sz w:val="17"/>
          <w:szCs w:val="17"/>
          <w:color w:val="231F20"/>
        </w:rPr>
        <w:t>Investing in the foregoing, however, may not yield anticipated returns. Consequently, as our costs increase, we may not be able to generate sufficient revenue to achieve or sustain profitability.</w:t>
      </w:r>
    </w:p>
    <w:p>
      <w:pPr>
        <w:spacing w:after="0" w:line="166"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b w:val="1"/>
          <w:bCs w:val="1"/>
          <w:i w:val="1"/>
          <w:iCs w:val="1"/>
          <w:color w:val="231F20"/>
        </w:rPr>
        <w:t>We are a party to a revolving credit agreement, which contains a number of covenants that may restrict our current and future operations and could adversely affect our ability to execute business needs.</w:t>
      </w:r>
    </w:p>
    <w:p>
      <w:pPr>
        <w:spacing w:after="0" w:line="166" w:lineRule="exact"/>
        <w:rPr>
          <w:sz w:val="20"/>
          <w:szCs w:val="20"/>
          <w:color w:val="auto"/>
        </w:rPr>
      </w:pPr>
    </w:p>
    <w:p>
      <w:pPr>
        <w:ind w:firstLine="865"/>
        <w:spacing w:after="0" w:line="268" w:lineRule="auto"/>
        <w:rPr>
          <w:sz w:val="20"/>
          <w:szCs w:val="20"/>
          <w:color w:val="auto"/>
        </w:rPr>
      </w:pPr>
      <w:r>
        <w:rPr>
          <w:rFonts w:ascii="Arial" w:cs="Arial" w:eastAsia="Arial" w:hAnsi="Arial"/>
          <w:sz w:val="16"/>
          <w:szCs w:val="16"/>
          <w:color w:val="231F20"/>
        </w:rPr>
        <w:t>Our revolving credit and security agreement and guaranty (the “Loan Agreement”) with PNC Bank, National Association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Loan Agreement also contains a financial covenant that requires us to maintain a minimum fixed charge coverage ratio of 1.40 to 1 when undrawn availability under the Loan Agreement is less than 25%. We may not be able to generate sufficient cash flow or sales to meet the financial covenant or pay the principal or interest under the Loan Agreement.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3" w:name="page44"/>
    <w:bookmarkEnd w:id="43"/>
    <w:p>
      <w:pPr>
        <w:ind w:right="40" w:firstLine="865"/>
        <w:spacing w:after="0" w:line="252" w:lineRule="auto"/>
        <w:rPr>
          <w:sz w:val="20"/>
          <w:szCs w:val="20"/>
          <w:color w:val="auto"/>
        </w:rPr>
      </w:pPr>
      <w:r>
        <w:rPr>
          <w:rFonts w:ascii="Arial" w:cs="Arial" w:eastAsia="Arial" w:hAnsi="Arial"/>
          <w:sz w:val="17"/>
          <w:szCs w:val="17"/>
          <w:color w:val="231F20"/>
        </w:rPr>
        <w:t>If we are unable to comply with our payment requirements, our lender may accelerate our obligations under our Loan Agreement and foreclose upon the collateral, or we may be forced to sell assets, restructure our indebtedness or seek additional equity capital, which would dilute our stockholders’ interests. If we fail to comply with our covenants under the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phase out of the London Interbank Offered Rate (“LIBOR”), or the replacement of LIBOR with a different reference rate, may adversely affect interest rates.</w:t>
      </w:r>
    </w:p>
    <w:p>
      <w:pPr>
        <w:spacing w:after="0" w:line="242" w:lineRule="exact"/>
        <w:rPr>
          <w:sz w:val="20"/>
          <w:szCs w:val="20"/>
          <w:color w:val="auto"/>
        </w:rPr>
      </w:pPr>
    </w:p>
    <w:p>
      <w:pPr>
        <w:ind w:right="80" w:firstLine="865"/>
        <w:spacing w:after="0" w:line="268" w:lineRule="auto"/>
        <w:rPr>
          <w:sz w:val="20"/>
          <w:szCs w:val="20"/>
          <w:color w:val="auto"/>
        </w:rPr>
      </w:pPr>
      <w:r>
        <w:rPr>
          <w:rFonts w:ascii="Arial" w:cs="Arial" w:eastAsia="Arial" w:hAnsi="Arial"/>
          <w:sz w:val="16"/>
          <w:szCs w:val="16"/>
          <w:color w:val="231F20"/>
        </w:rPr>
        <w:t>Interest rates under our Loan Agreement are based partly on LIBOR, the London interbank offered rate, which is the basic rate of interest used in lending between banks on the London interbank market and is widely used as a reference for setting the interest rate on loans globally. ICE Benchmark Administration, the administrator of LIBOR, has ceased the publication of certain tenors of U.S. dollar LIBOR after December 31, 2021, and plans to cease the publication of all other tenors of U.S. dollar LIBOR after June 30, 2023. It is unclear if new methods of calculating LIBOR will be established such that it continues to exist after 2023. The U.S. Federal Reserve has begun publishing a Secured Overnight Funding Rate which is currently intended to serve as an alternative reference rate to LIBOR. If the method for calculation of LIBOR changes, if LIBOR is no longer available, or if lenders have increased costs due to changes in LIBOR, we may suffer from potential increases in interest rates on our borrowings. Further, we may need to renegotiate our Loan Agreement or any other borrowings that utilize LIBOR as a factor in determining the interest rate to replace LIBOR with the new standard that is established.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Failure to manage our growth effectively could cause our business to suffer and have an adverse effect on our business, operating results and financial condition.</w:t>
      </w:r>
    </w:p>
    <w:p>
      <w:pPr>
        <w:spacing w:after="0" w:line="242" w:lineRule="exact"/>
        <w:rPr>
          <w:sz w:val="20"/>
          <w:szCs w:val="20"/>
          <w:color w:val="auto"/>
        </w:rPr>
      </w:pPr>
    </w:p>
    <w:p>
      <w:pPr>
        <w:ind w:right="100" w:firstLine="865"/>
        <w:spacing w:after="0" w:line="268" w:lineRule="auto"/>
        <w:rPr>
          <w:sz w:val="20"/>
          <w:szCs w:val="20"/>
          <w:color w:val="auto"/>
        </w:rPr>
      </w:pPr>
      <w:r>
        <w:rPr>
          <w:rFonts w:ascii="Arial" w:cs="Arial" w:eastAsia="Arial" w:hAnsi="Arial"/>
          <w:sz w:val="16"/>
          <w:szCs w:val="16"/>
          <w:color w:val="231F20"/>
        </w:rPr>
        <w:t>We have experienced significant growth in a short period of time. To manage our growth effectively, we must continually evaluate and evolve our organization. We must also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our rapid growth may place a strain on our resources, infrastructure and ability to maintain the quality of our platform. You should not consider our revenue growth and levels of profitability in recent periods as indicative of future performance. In future periods, our revenue or profitability could decline or grow more slowly than we expect. Failure to manage our growth effectively could cause our business to suffer and have an adverse effect on our operating results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Seasonal fluctuations in advertising activity could have a material impact on our revenue, cash flow and operating results.</w:t>
      </w:r>
    </w:p>
    <w:p>
      <w:pPr>
        <w:spacing w:after="0" w:line="207" w:lineRule="exact"/>
        <w:rPr>
          <w:sz w:val="20"/>
          <w:szCs w:val="20"/>
          <w:color w:val="auto"/>
        </w:rPr>
      </w:pPr>
    </w:p>
    <w:p>
      <w:pPr>
        <w:spacing w:after="0" w:line="294" w:lineRule="auto"/>
        <w:rPr>
          <w:sz w:val="20"/>
          <w:szCs w:val="20"/>
          <w:color w:val="auto"/>
        </w:rPr>
      </w:pPr>
      <w:r>
        <w:rPr>
          <w:rFonts w:ascii="Arial" w:cs="Arial" w:eastAsia="Arial" w:hAnsi="Arial"/>
          <w:sz w:val="15"/>
          <w:szCs w:val="15"/>
          <w:color w:val="231F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slowest in terms of advertising spend. These patterns may or may not hold true during the COVID-19 pandemic.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Ownership of Our Class A Common Stock</w:t>
      </w:r>
    </w:p>
    <w:p>
      <w:pPr>
        <w:spacing w:after="0" w:line="21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i w:val="1"/>
          <w:iCs w:val="1"/>
          <w:color w:val="231F20"/>
        </w:rPr>
        <w:t>The market price of our Class A common stock has been and may continue to be volatile or may decline regardless of our operating performance, and you could lose all or part of your investment.</w:t>
      </w:r>
    </w:p>
    <w:p>
      <w:pPr>
        <w:spacing w:after="0" w:line="166" w:lineRule="exact"/>
        <w:rPr>
          <w:sz w:val="20"/>
          <w:szCs w:val="20"/>
          <w:color w:val="auto"/>
        </w:rPr>
      </w:pPr>
    </w:p>
    <w:p>
      <w:pPr>
        <w:ind w:right="420" w:firstLine="865"/>
        <w:spacing w:after="0" w:line="269" w:lineRule="auto"/>
        <w:rPr>
          <w:sz w:val="20"/>
          <w:szCs w:val="20"/>
          <w:color w:val="auto"/>
        </w:rPr>
      </w:pPr>
      <w:r>
        <w:rPr>
          <w:rFonts w:ascii="Arial" w:cs="Arial" w:eastAsia="Arial" w:hAnsi="Arial"/>
          <w:sz w:val="17"/>
          <w:szCs w:val="17"/>
          <w:color w:val="231F20"/>
        </w:rPr>
        <w:t>The market price of equity securities of technology companies has historically experienced high levels of volatility. The market price of our Class A common stock has been and may continue to fluctuate significantly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ind w:right="80"/>
        <w:spacing w:after="0" w:line="258" w:lineRule="auto"/>
        <w:rPr>
          <w:sz w:val="20"/>
          <w:szCs w:val="20"/>
          <w:color w:val="auto"/>
        </w:rPr>
      </w:pPr>
      <w:r>
        <w:rPr>
          <w:rFonts w:ascii="Arial" w:cs="Arial" w:eastAsia="Arial" w:hAnsi="Arial"/>
          <w:sz w:val="17"/>
          <w:szCs w:val="17"/>
          <w:color w:val="231F20"/>
        </w:rPr>
        <w:t xml:space="preserve">response to numerous factors, some of which are beyond our control and may not be related to our operating performance. </w:t>
      </w:r>
      <w:r>
        <w:rPr>
          <w:rFonts w:ascii="Arial" w:cs="Arial" w:eastAsia="Arial" w:hAnsi="Arial"/>
          <w:sz w:val="17"/>
          <w:szCs w:val="17"/>
          <w:color w:val="000000"/>
        </w:rPr>
        <w:t>For example, the closing price of our Class</w:t>
      </w:r>
      <w:r>
        <w:rPr>
          <w:rFonts w:ascii="Arial" w:cs="Arial" w:eastAsia="Arial" w:hAnsi="Arial"/>
          <w:sz w:val="17"/>
          <w:szCs w:val="17"/>
          <w:color w:val="231F20"/>
        </w:rPr>
        <w:t xml:space="preserve"> </w:t>
      </w:r>
      <w:r>
        <w:rPr>
          <w:rFonts w:ascii="Arial" w:cs="Arial" w:eastAsia="Arial" w:hAnsi="Arial"/>
          <w:sz w:val="17"/>
          <w:szCs w:val="17"/>
          <w:color w:val="000000"/>
        </w:rPr>
        <w:t>A common stock since first trading on February 10, 2021 through March 8, 2022 has ranged from a low of $6.62 to a high of $68.31. In addition to the factors discussed in this “</w:t>
      </w:r>
      <w:r>
        <w:rPr>
          <w:rFonts w:ascii="Arial" w:cs="Arial" w:eastAsia="Arial" w:hAnsi="Arial"/>
          <w:sz w:val="17"/>
          <w:szCs w:val="17"/>
          <w:i w:val="1"/>
          <w:iCs w:val="1"/>
          <w:color w:val="000000"/>
        </w:rPr>
        <w:t>Risk Factors</w:t>
      </w:r>
      <w:r>
        <w:rPr>
          <w:rFonts w:ascii="Arial" w:cs="Arial" w:eastAsia="Arial" w:hAnsi="Arial"/>
          <w:sz w:val="17"/>
          <w:szCs w:val="17"/>
          <w:color w:val="000000"/>
        </w:rPr>
        <w:t>” section, these factors include:</w:t>
      </w:r>
    </w:p>
    <w:p>
      <w:pPr>
        <w:spacing w:after="0" w:line="175" w:lineRule="exact"/>
        <w:rPr>
          <w:sz w:val="20"/>
          <w:szCs w:val="20"/>
          <w:color w:val="auto"/>
        </w:rPr>
      </w:pPr>
    </w:p>
    <w:p>
      <w:pPr>
        <w:ind w:left="1160" w:hanging="581"/>
        <w:spacing w:after="0"/>
        <w:tabs>
          <w:tab w:leader="none" w:pos="1160" w:val="left"/>
        </w:tabs>
        <w:numPr>
          <w:ilvl w:val="0"/>
          <w:numId w:val="21"/>
        </w:numPr>
        <w:rPr>
          <w:rFonts w:ascii="Arial" w:cs="Arial" w:eastAsia="Arial" w:hAnsi="Arial"/>
          <w:sz w:val="15"/>
          <w:szCs w:val="15"/>
          <w:color w:val="auto"/>
        </w:rPr>
      </w:pPr>
      <w:r>
        <w:rPr>
          <w:rFonts w:ascii="Arial" w:cs="Arial" w:eastAsia="Arial" w:hAnsi="Arial"/>
          <w:sz w:val="15"/>
          <w:szCs w:val="15"/>
          <w:color w:val="231F20"/>
        </w:rPr>
        <w:t>announcements of new offerings, products, services or technologies, commercial relationships, acquisitions or other events by us or our competitors;</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price and volume fluctuations in the overall stock market from time to time;</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right="120" w:hanging="581"/>
        <w:spacing w:after="0" w:line="269"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significant volatility in the market price and trading volume of technology companies in general and of companies in the digital advertising industry in particular;</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fluctuations in the trading volume of our Class A common stock or the size of our public float;</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actual or anticipated changes or fluctuations in our operating results;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whether our operating results meet the expectations of securities analysts or investors;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actual or anticipated changes in the expectations of investors or securities analysts;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litigation involving us, our industry, or both;</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regulatory developments in the United States, foreign countries, or both;</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general political, health and economic conditions and trends, including the COVID-19 pandemic;</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major catastrophic events;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lockup releases or sales of large blocks of our Class A common stock;</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departures of key employees; or</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an adverse impact on our company from any of the other risks cited in this Annual Report.</w:t>
      </w:r>
    </w:p>
    <w:p>
      <w:pPr>
        <w:spacing w:after="0" w:line="200" w:lineRule="exact"/>
        <w:rPr>
          <w:sz w:val="20"/>
          <w:szCs w:val="20"/>
          <w:color w:val="auto"/>
        </w:rPr>
      </w:pPr>
    </w:p>
    <w:p>
      <w:pPr>
        <w:spacing w:after="0" w:line="208" w:lineRule="exact"/>
        <w:rPr>
          <w:sz w:val="20"/>
          <w:szCs w:val="20"/>
          <w:color w:val="auto"/>
        </w:rPr>
      </w:pPr>
    </w:p>
    <w:p>
      <w:pPr>
        <w:ind w:firstLine="865"/>
        <w:spacing w:after="0" w:line="270" w:lineRule="auto"/>
        <w:rPr>
          <w:sz w:val="20"/>
          <w:szCs w:val="20"/>
          <w:color w:val="auto"/>
        </w:rPr>
      </w:pPr>
      <w:r>
        <w:rPr>
          <w:rFonts w:ascii="Arial" w:cs="Arial" w:eastAsia="Arial" w:hAnsi="Arial"/>
          <w:sz w:val="16"/>
          <w:szCs w:val="16"/>
          <w:color w:val="231F20"/>
        </w:rPr>
        <w:t>In addition, if the stock market for technology companies, or the stock market generally, experiences a loss of investor confidence, the trading price of our Class A common stock could decline for reasons unrelated to our business, operating results or financial condition. Stock prices of many technology companies have fluctuated in a manner unrelated or disproportionate to the operating performance of those companies.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231F20"/>
        </w:rPr>
        <w:t>Sales of substantial blocks of our Class A common stock into the public market, or the perception that such sales might occur, could cause the market price of our Class A common stock to decline.</w:t>
      </w:r>
    </w:p>
    <w:p>
      <w:pPr>
        <w:spacing w:after="0" w:line="166" w:lineRule="exact"/>
        <w:rPr>
          <w:sz w:val="20"/>
          <w:szCs w:val="20"/>
          <w:color w:val="auto"/>
        </w:rPr>
      </w:pPr>
    </w:p>
    <w:p>
      <w:pPr>
        <w:ind w:right="40" w:firstLine="865"/>
        <w:spacing w:after="0" w:line="299" w:lineRule="auto"/>
        <w:rPr>
          <w:sz w:val="20"/>
          <w:szCs w:val="20"/>
          <w:color w:val="auto"/>
        </w:rPr>
      </w:pPr>
      <w:r>
        <w:rPr>
          <w:rFonts w:ascii="Arial" w:cs="Arial" w:eastAsia="Arial" w:hAnsi="Arial"/>
          <w:sz w:val="15"/>
          <w:szCs w:val="15"/>
          <w:color w:val="231F20"/>
        </w:rPr>
        <w:t>Sales of substantial blocks of our Class A common stock into the public market, or the perception that such sales might occur, could cause the market price of our Class A common stock to decline and may make it more difficult for you to sell your Class A common stock at a time and price that you deem appropriate. As of March 8, 2022, there were 13,741,508 shares of our Class A common stock outstanding. All of the shares of Class A common stock sold in the IPO are freely tradable without restrictions or further registration under the, except for any shares held by our “affiliates” as defined in Rule 144 under the Securities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right="60" w:firstLine="865"/>
        <w:spacing w:after="0" w:line="254" w:lineRule="auto"/>
        <w:rPr>
          <w:sz w:val="20"/>
          <w:szCs w:val="20"/>
          <w:color w:val="auto"/>
        </w:rPr>
      </w:pPr>
      <w:r>
        <w:rPr>
          <w:rFonts w:ascii="Arial" w:cs="Arial" w:eastAsia="Arial" w:hAnsi="Arial"/>
          <w:sz w:val="17"/>
          <w:szCs w:val="17"/>
          <w:color w:val="231F20"/>
        </w:rPr>
        <w:t>Pursuant to the Registration Rights Agreement, holders of our Class B common stock have rights to require us to file registration statements covering the sale of shares of Class A common stock issuable upon exchange of Class B common stock or to include such shares in registration statements that we may file for ourselves or other stockholders. We also intend to register the offer and sale of all shares of Class A common stock issuable under our equity compensation plan adopted in connection with our IPO.</w:t>
      </w:r>
    </w:p>
    <w:p>
      <w:pPr>
        <w:spacing w:after="0" w:line="179" w:lineRule="exact"/>
        <w:rPr>
          <w:sz w:val="20"/>
          <w:szCs w:val="20"/>
          <w:color w:val="auto"/>
        </w:rPr>
      </w:pPr>
    </w:p>
    <w:p>
      <w:pPr>
        <w:ind w:right="300" w:firstLine="865"/>
        <w:spacing w:after="0" w:line="269" w:lineRule="auto"/>
        <w:rPr>
          <w:sz w:val="20"/>
          <w:szCs w:val="20"/>
          <w:color w:val="auto"/>
        </w:rPr>
      </w:pPr>
      <w:r>
        <w:rPr>
          <w:rFonts w:ascii="Arial" w:cs="Arial" w:eastAsia="Arial" w:hAnsi="Arial"/>
          <w:sz w:val="17"/>
          <w:szCs w:val="17"/>
          <w:color w:val="231F20"/>
        </w:rPr>
        <w:t>The market price of our Class A common stock could decline as a result of the sale of substantial blocks of our Class A common stock into the public market, or the perception that such sales might occur.</w:t>
      </w:r>
    </w:p>
    <w:p>
      <w:pPr>
        <w:spacing w:after="0" w:line="166" w:lineRule="exact"/>
        <w:rPr>
          <w:sz w:val="20"/>
          <w:szCs w:val="20"/>
          <w:color w:val="auto"/>
        </w:rPr>
      </w:pPr>
    </w:p>
    <w:p>
      <w:pPr>
        <w:jc w:val="both"/>
        <w:ind w:right="100"/>
        <w:spacing w:after="0" w:line="258" w:lineRule="auto"/>
        <w:rPr>
          <w:sz w:val="20"/>
          <w:szCs w:val="20"/>
          <w:color w:val="auto"/>
        </w:rPr>
      </w:pPr>
      <w:r>
        <w:rPr>
          <w:rFonts w:ascii="Arial" w:cs="Arial" w:eastAsia="Arial" w:hAnsi="Arial"/>
          <w:sz w:val="17"/>
          <w:szCs w:val="17"/>
          <w:b w:val="1"/>
          <w:bCs w:val="1"/>
          <w:i w:val="1"/>
          <w:iCs w:val="1"/>
          <w:color w:val="231F20"/>
        </w:rPr>
        <w:t>We are a “controlled company” within the meaning of the listing standards of the Nasdaq Global Select Market (“Nasdaq”) and, as a result, qualify for, and rely on, exemptions from certain corporate governance requirements. You do not have the same protections afforded to stockholders of companies that are subject to such requirements.</w:t>
      </w:r>
    </w:p>
    <w:p>
      <w:pPr>
        <w:spacing w:after="0" w:line="175" w:lineRule="exact"/>
        <w:rPr>
          <w:sz w:val="20"/>
          <w:szCs w:val="20"/>
          <w:color w:val="auto"/>
        </w:rPr>
      </w:pPr>
    </w:p>
    <w:p>
      <w:pPr>
        <w:ind w:right="60" w:firstLine="865"/>
        <w:spacing w:after="0" w:line="251" w:lineRule="auto"/>
        <w:rPr>
          <w:sz w:val="20"/>
          <w:szCs w:val="20"/>
          <w:color w:val="auto"/>
        </w:rPr>
      </w:pPr>
      <w:r>
        <w:rPr>
          <w:rFonts w:ascii="Arial" w:cs="Arial" w:eastAsia="Arial" w:hAnsi="Arial"/>
          <w:sz w:val="17"/>
          <w:szCs w:val="17"/>
          <w:color w:val="231F20"/>
        </w:rPr>
        <w:t>The Vanderhook Parties hold a majority of the voting power of our outstanding common stock through their ownership of our Class B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w:t>
      </w:r>
    </w:p>
    <w:p>
      <w:pPr>
        <w:spacing w:after="0" w:line="182" w:lineRule="exact"/>
        <w:rPr>
          <w:sz w:val="20"/>
          <w:szCs w:val="20"/>
          <w:color w:val="auto"/>
        </w:rPr>
      </w:pPr>
    </w:p>
    <w:p>
      <w:pPr>
        <w:jc w:val="both"/>
        <w:ind w:right="200" w:firstLine="865"/>
        <w:spacing w:after="0" w:line="281" w:lineRule="auto"/>
        <w:rPr>
          <w:sz w:val="20"/>
          <w:szCs w:val="20"/>
          <w:color w:val="auto"/>
        </w:rPr>
      </w:pPr>
      <w:r>
        <w:rPr>
          <w:rFonts w:ascii="Arial" w:cs="Arial" w:eastAsia="Arial" w:hAnsi="Arial"/>
          <w:sz w:val="16"/>
          <w:szCs w:val="16"/>
          <w:color w:val="231F20"/>
        </w:rPr>
        <w:t>We rely on certain exemptions and transition periods provided under applicable Nasdaq listing rules. As a result,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Insiders have substantial control over our company, which could limit your ability to influence the outcome of key decisions, including a change of control.</w:t>
      </w:r>
    </w:p>
    <w:p>
      <w:pPr>
        <w:spacing w:after="0" w:line="230" w:lineRule="exact"/>
        <w:rPr>
          <w:sz w:val="20"/>
          <w:szCs w:val="20"/>
          <w:color w:val="auto"/>
        </w:rPr>
      </w:pPr>
    </w:p>
    <w:p>
      <w:pPr>
        <w:ind w:firstLine="589"/>
        <w:spacing w:after="0" w:line="251" w:lineRule="auto"/>
        <w:rPr>
          <w:sz w:val="20"/>
          <w:szCs w:val="20"/>
          <w:color w:val="auto"/>
        </w:rPr>
      </w:pPr>
      <w:r>
        <w:rPr>
          <w:rFonts w:ascii="Arial" w:cs="Arial" w:eastAsia="Arial" w:hAnsi="Arial"/>
          <w:sz w:val="17"/>
          <w:szCs w:val="17"/>
          <w:color w:val="231F20"/>
        </w:rPr>
        <w:t>Through their ownership of Class B common stock, the Vanderhook Parties control 74.9% of the voting power of our common stock in the election of directors.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231F20"/>
        </w:rPr>
        <w:t>We cannot assure you that an active trading market for our Class A common stock will be sustained, and we cannot predict the market price at which our Class A common stock will trade in the future.</w:t>
      </w:r>
    </w:p>
    <w:p>
      <w:pPr>
        <w:spacing w:after="0" w:line="166" w:lineRule="exact"/>
        <w:rPr>
          <w:sz w:val="20"/>
          <w:szCs w:val="20"/>
          <w:color w:val="auto"/>
        </w:rPr>
      </w:pPr>
    </w:p>
    <w:p>
      <w:pPr>
        <w:ind w:right="100" w:firstLine="865"/>
        <w:spacing w:after="0" w:line="252" w:lineRule="auto"/>
        <w:rPr>
          <w:sz w:val="20"/>
          <w:szCs w:val="20"/>
          <w:color w:val="auto"/>
        </w:rPr>
      </w:pPr>
      <w:r>
        <w:rPr>
          <w:rFonts w:ascii="Arial" w:cs="Arial" w:eastAsia="Arial" w:hAnsi="Arial"/>
          <w:sz w:val="17"/>
          <w:szCs w:val="17"/>
          <w:color w:val="231F20"/>
        </w:rPr>
        <w:t>Our common stock is currently listed on Nasdaq under the symbol “DSP.” We cannot assure you that an active trading market for our Class A common stock will be sustained. We cannot predict the market price at which our Class A common stock will trade in the future. The lack of an active market may impair the value of your shares, your ability to sell your shares at the time you wish to sell them and the prices that you may obtain for your shares. An inactive market may also impair our ability to raise capital by selling our Class A common stock and our ability to acquire other companies, products or technologies by using our Class A common stock as consideration.</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231F20"/>
        </w:rPr>
        <w:t>We do not intend to pay dividends for the foreseeable future and, as a result, your ability to achieve a return on your investment will depend on appreciation in the price of our Class A common stock.</w:t>
      </w:r>
    </w:p>
    <w:p>
      <w:pPr>
        <w:spacing w:after="0" w:line="166" w:lineRule="exact"/>
        <w:rPr>
          <w:sz w:val="20"/>
          <w:szCs w:val="20"/>
          <w:color w:val="auto"/>
        </w:rPr>
      </w:pPr>
    </w:p>
    <w:p>
      <w:pPr>
        <w:ind w:right="880" w:firstLine="865"/>
        <w:spacing w:after="0" w:line="269" w:lineRule="auto"/>
        <w:rPr>
          <w:sz w:val="20"/>
          <w:szCs w:val="20"/>
          <w:color w:val="auto"/>
        </w:rPr>
      </w:pPr>
      <w:r>
        <w:rPr>
          <w:rFonts w:ascii="Arial" w:cs="Arial" w:eastAsia="Arial" w:hAnsi="Arial"/>
          <w:sz w:val="17"/>
          <w:szCs w:val="17"/>
          <w:color w:val="231F20"/>
        </w:rPr>
        <w:t>We do not intend to pay any cash dividends in the foreseeable future. We anticipate that we will retain all of our future earnings for use in the development of our business and for general corporate purposes.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6" w:name="page47"/>
    <w:bookmarkEnd w:id="46"/>
    <w:p>
      <w:pPr>
        <w:jc w:val="both"/>
        <w:ind w:right="180"/>
        <w:spacing w:after="0" w:line="281" w:lineRule="auto"/>
        <w:rPr>
          <w:sz w:val="20"/>
          <w:szCs w:val="20"/>
          <w:color w:val="auto"/>
        </w:rPr>
      </w:pPr>
      <w:r>
        <w:rPr>
          <w:rFonts w:ascii="Arial" w:cs="Arial" w:eastAsia="Arial" w:hAnsi="Arial"/>
          <w:sz w:val="16"/>
          <w:szCs w:val="16"/>
          <w:color w:val="231F20"/>
        </w:rPr>
        <w:t>determination to pay dividends in the future will be at the discretion of our board of directors and the terms of our current and future debt arrangements. In addition, the Loan Agreement (as defined below) contains certain negative covenants that limit our ability to pay dividends. Accordingly, investors must rely on sales of their Class A common stock after price appreciation, which may never occur, as the only way to realize any future gains on their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charter documents and Delaware law could discourage takeover attempts and other corporate governance changes.</w:t>
      </w:r>
    </w:p>
    <w:p>
      <w:pPr>
        <w:spacing w:after="0" w:line="207" w:lineRule="exact"/>
        <w:rPr>
          <w:sz w:val="20"/>
          <w:szCs w:val="20"/>
          <w:color w:val="auto"/>
        </w:rPr>
      </w:pPr>
    </w:p>
    <w:p>
      <w:pPr>
        <w:ind w:firstLine="865"/>
        <w:spacing w:after="0" w:line="281" w:lineRule="auto"/>
        <w:rPr>
          <w:sz w:val="20"/>
          <w:szCs w:val="20"/>
          <w:color w:val="auto"/>
        </w:rPr>
      </w:pPr>
      <w:r>
        <w:rPr>
          <w:rFonts w:ascii="Arial" w:cs="Arial" w:eastAsia="Arial" w:hAnsi="Arial"/>
          <w:sz w:val="16"/>
          <w:szCs w:val="16"/>
          <w:color w:val="231F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159" w:lineRule="exact"/>
        <w:rPr>
          <w:sz w:val="20"/>
          <w:szCs w:val="20"/>
          <w:color w:val="auto"/>
        </w:rPr>
      </w:pPr>
    </w:p>
    <w:p>
      <w:pPr>
        <w:jc w:val="both"/>
        <w:ind w:left="1160" w:right="220" w:hanging="581"/>
        <w:spacing w:after="0" w:line="258"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 xml:space="preserve">provide that our board of directors will be classified into three classes with staggered, three-year terms and that directors may only be removed for cause after </w:t>
      </w:r>
      <w:r>
        <w:rPr>
          <w:rFonts w:ascii="Arial" w:cs="Arial" w:eastAsia="Arial" w:hAnsi="Arial"/>
          <w:sz w:val="17"/>
          <w:szCs w:val="17"/>
          <w:color w:val="000000"/>
        </w:rPr>
        <w:t>Tim Vanderhook, Chris Vanderhook and Four Brothers 2 LLC collectively cease to beneficially own a majority of the combined voting</w:t>
      </w:r>
      <w:r>
        <w:rPr>
          <w:rFonts w:ascii="Arial" w:cs="Arial" w:eastAsia="Arial" w:hAnsi="Arial"/>
          <w:sz w:val="17"/>
          <w:szCs w:val="17"/>
          <w:color w:val="231F20"/>
        </w:rPr>
        <w:t xml:space="preserve"> </w:t>
      </w:r>
      <w:r>
        <w:rPr>
          <w:rFonts w:ascii="Arial" w:cs="Arial" w:eastAsia="Arial" w:hAnsi="Arial"/>
          <w:sz w:val="17"/>
          <w:szCs w:val="17"/>
          <w:color w:val="000000"/>
        </w:rPr>
        <w:t xml:space="preserve">power of our Class A and Class B Common Stock (the </w:t>
      </w:r>
      <w:r>
        <w:rPr>
          <w:rFonts w:ascii="Arial" w:cs="Arial" w:eastAsia="Arial" w:hAnsi="Arial"/>
          <w:sz w:val="17"/>
          <w:szCs w:val="17"/>
          <w:color w:val="231F20"/>
        </w:rPr>
        <w:t>“Triggering Event”);</w:t>
      </w:r>
    </w:p>
    <w:p>
      <w:pPr>
        <w:spacing w:after="0" w:line="376"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permit the board of directors to establish the number of directors and fill any vacancies and newly created directorships;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right="100" w:hanging="581"/>
        <w:spacing w:after="0" w:line="269"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provide that, after the Triggering Event, vacancies on our board of directors may be filled only by a majority of directors then in office, even though less than a quorum;</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prohibit cumulative voting in the election of directors;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require super-majority voting to amend our certificate of incorporation and bylaws;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authorize the issuance of “blank check” preferred stock that our board of directors could use to implement a stockholder rights plan;</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eliminate the ability of our stockholders to call special meetings of stockholders;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right="300" w:hanging="581"/>
        <w:spacing w:after="0" w:line="269"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specify that special meetings of our stockholders can be called only by our board of directors, the chairman of our board of directors, or our chief executive officer with the concurrence of a majority of our board of directors;</w:t>
      </w:r>
    </w:p>
    <w:p>
      <w:pPr>
        <w:spacing w:after="0" w:line="366" w:lineRule="exact"/>
        <w:rPr>
          <w:rFonts w:ascii="Arial" w:cs="Arial" w:eastAsia="Arial" w:hAnsi="Arial"/>
          <w:sz w:val="17"/>
          <w:szCs w:val="17"/>
          <w:color w:val="auto"/>
        </w:rPr>
      </w:pPr>
    </w:p>
    <w:p>
      <w:pPr>
        <w:ind w:left="1160" w:right="440" w:hanging="581"/>
        <w:spacing w:after="0" w:line="269"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prohibit stockholder action by written consent after the Triggering Event, which requires all stockholder actions to be taken at a meeting of our stockholders;</w:t>
      </w:r>
    </w:p>
    <w:p>
      <w:pPr>
        <w:spacing w:after="0" w:line="366"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restrict the forum for certain litigation against us to Delaware or federal courts;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permit our board of directors to alter our bylaws without obtaining stockholder approval;</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hanging="581"/>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reflect the dual class structure of our common stock, as discussed above; and</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1160" w:right="480" w:hanging="581"/>
        <w:spacing w:after="0" w:line="269"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231F20"/>
        </w:rPr>
        <w:t>establish advance notice requirements for nominations for election to our board of directors or for proposing matters that can be acted upon by stockholders at annual stockholder meetings.</w:t>
      </w:r>
    </w:p>
    <w:p>
      <w:pPr>
        <w:spacing w:after="0" w:line="367" w:lineRule="exact"/>
        <w:rPr>
          <w:sz w:val="20"/>
          <w:szCs w:val="20"/>
          <w:color w:val="auto"/>
        </w:rPr>
      </w:pPr>
    </w:p>
    <w:p>
      <w:pPr>
        <w:ind w:right="80" w:firstLine="865"/>
        <w:spacing w:after="0" w:line="258" w:lineRule="auto"/>
        <w:rPr>
          <w:sz w:val="20"/>
          <w:szCs w:val="20"/>
          <w:color w:val="auto"/>
        </w:rPr>
      </w:pPr>
      <w:r>
        <w:rPr>
          <w:rFonts w:ascii="Arial" w:cs="Arial" w:eastAsia="Arial" w:hAnsi="Arial"/>
          <w:sz w:val="17"/>
          <w:szCs w:val="17"/>
          <w:color w:val="231F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7" w:name="page48"/>
    <w:bookmarkEnd w:id="47"/>
    <w:p>
      <w:pPr>
        <w:ind w:right="520"/>
        <w:spacing w:after="0" w:line="337" w:lineRule="auto"/>
        <w:rPr>
          <w:sz w:val="20"/>
          <w:szCs w:val="20"/>
          <w:color w:val="auto"/>
        </w:rPr>
      </w:pPr>
      <w:r>
        <w:rPr>
          <w:rFonts w:ascii="Arial" w:cs="Arial" w:eastAsia="Arial" w:hAnsi="Arial"/>
          <w:sz w:val="15"/>
          <w:szCs w:val="15"/>
          <w:color w:val="231F20"/>
        </w:rPr>
        <w:t>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19" w:lineRule="exact"/>
        <w:rPr>
          <w:sz w:val="20"/>
          <w:szCs w:val="20"/>
          <w:color w:val="auto"/>
        </w:rPr>
      </w:pPr>
    </w:p>
    <w:p>
      <w:pPr>
        <w:ind w:right="560"/>
        <w:spacing w:after="0" w:line="269" w:lineRule="auto"/>
        <w:rPr>
          <w:sz w:val="20"/>
          <w:szCs w:val="20"/>
          <w:color w:val="auto"/>
        </w:rPr>
      </w:pPr>
      <w:r>
        <w:rPr>
          <w:rFonts w:ascii="Arial" w:cs="Arial" w:eastAsia="Arial" w:hAnsi="Arial"/>
          <w:sz w:val="17"/>
          <w:szCs w:val="17"/>
          <w:b w:val="1"/>
          <w:bCs w:val="1"/>
          <w:i w:val="1"/>
          <w:iCs w:val="1"/>
          <w:color w:val="231F20"/>
        </w:rPr>
        <w:t>Our amended and restated certificate of incorporation includes an exclusive forum clause, which could limit our stockholders’ ability to obtain a favorable judicial forum for disputes with us.</w:t>
      </w:r>
    </w:p>
    <w:p>
      <w:pPr>
        <w:spacing w:after="0" w:line="166" w:lineRule="exact"/>
        <w:rPr>
          <w:sz w:val="20"/>
          <w:szCs w:val="20"/>
          <w:color w:val="auto"/>
        </w:rPr>
      </w:pPr>
    </w:p>
    <w:p>
      <w:pPr>
        <w:ind w:right="40" w:firstLine="865"/>
        <w:spacing w:after="0" w:line="288" w:lineRule="auto"/>
        <w:rPr>
          <w:sz w:val="20"/>
          <w:szCs w:val="20"/>
          <w:color w:val="auto"/>
        </w:rPr>
      </w:pPr>
      <w:r>
        <w:rPr>
          <w:rFonts w:ascii="Arial" w:cs="Arial" w:eastAsia="Arial" w:hAnsi="Arial"/>
          <w:sz w:val="15"/>
          <w:szCs w:val="15"/>
          <w:color w:val="231F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156" w:lineRule="exact"/>
        <w:rPr>
          <w:sz w:val="20"/>
          <w:szCs w:val="20"/>
          <w:color w:val="auto"/>
        </w:rPr>
      </w:pPr>
    </w:p>
    <w:p>
      <w:pPr>
        <w:ind w:firstLine="865"/>
        <w:spacing w:after="0" w:line="272" w:lineRule="auto"/>
        <w:rPr>
          <w:sz w:val="20"/>
          <w:szCs w:val="20"/>
          <w:color w:val="auto"/>
        </w:rPr>
      </w:pPr>
      <w:r>
        <w:rPr>
          <w:rFonts w:ascii="Arial" w:cs="Arial" w:eastAsia="Arial" w:hAnsi="Arial"/>
          <w:sz w:val="16"/>
          <w:szCs w:val="16"/>
          <w:color w:val="231F20"/>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65" w:lineRule="exact"/>
        <w:rPr>
          <w:sz w:val="20"/>
          <w:szCs w:val="20"/>
          <w:color w:val="auto"/>
        </w:rPr>
      </w:pPr>
    </w:p>
    <w:p>
      <w:pPr>
        <w:ind w:right="580" w:firstLine="865"/>
        <w:spacing w:after="0" w:line="337" w:lineRule="auto"/>
        <w:rPr>
          <w:sz w:val="20"/>
          <w:szCs w:val="20"/>
          <w:color w:val="auto"/>
        </w:rPr>
      </w:pPr>
      <w:r>
        <w:rPr>
          <w:rFonts w:ascii="Arial" w:cs="Arial" w:eastAsia="Arial" w:hAnsi="Arial"/>
          <w:sz w:val="15"/>
          <w:szCs w:val="15"/>
          <w:color w:val="231F20"/>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General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management team has limited experience managing a public company.</w:t>
      </w:r>
    </w:p>
    <w:p>
      <w:pPr>
        <w:spacing w:after="0" w:line="207" w:lineRule="exact"/>
        <w:rPr>
          <w:sz w:val="20"/>
          <w:szCs w:val="20"/>
          <w:color w:val="auto"/>
        </w:rPr>
      </w:pPr>
    </w:p>
    <w:p>
      <w:pPr>
        <w:ind w:right="140" w:firstLine="865"/>
        <w:spacing w:after="0" w:line="272" w:lineRule="auto"/>
        <w:rPr>
          <w:sz w:val="20"/>
          <w:szCs w:val="20"/>
          <w:color w:val="auto"/>
        </w:rPr>
      </w:pPr>
      <w:r>
        <w:rPr>
          <w:rFonts w:ascii="Arial" w:cs="Arial" w:eastAsia="Arial" w:hAnsi="Arial"/>
          <w:sz w:val="16"/>
          <w:szCs w:val="16"/>
          <w:color w:val="231F20"/>
        </w:rPr>
        <w:t>Most members of our management team have limited or no experience managing a publicly-traded company, interacting with public company investors, and complying with the increasingly complex laws, rules and regulations that govern public companies. There are significant obligations we are subject to relating to reporting, procedures and internal controls, and our management team may not successfully or efficiently manage our transition to being a public company. These obligations and added scrutiny require significant attention from our management and could divert their attention away from the day-to-day management of our business, which could adversely affect our business, operating results and financial condition.</w:t>
      </w:r>
    </w:p>
    <w:p>
      <w:pPr>
        <w:spacing w:after="0" w:line="165" w:lineRule="exact"/>
        <w:rPr>
          <w:sz w:val="20"/>
          <w:szCs w:val="20"/>
          <w:color w:val="auto"/>
        </w:rPr>
      </w:pPr>
    </w:p>
    <w:p>
      <w:pPr>
        <w:ind w:right="660"/>
        <w:spacing w:after="0" w:line="269" w:lineRule="auto"/>
        <w:rPr>
          <w:sz w:val="20"/>
          <w:szCs w:val="20"/>
          <w:color w:val="auto"/>
        </w:rPr>
      </w:pPr>
      <w:r>
        <w:rPr>
          <w:rFonts w:ascii="Arial" w:cs="Arial" w:eastAsia="Arial" w:hAnsi="Arial"/>
          <w:sz w:val="17"/>
          <w:szCs w:val="17"/>
          <w:b w:val="1"/>
          <w:bCs w:val="1"/>
          <w:i w:val="1"/>
          <w:iCs w:val="1"/>
          <w:color w:val="231F20"/>
        </w:rPr>
        <w:t>Reduced reporting and disclosure requirements applicable to us as an emerging growth company could make our Class A common stock less attractive to investors.</w:t>
      </w:r>
    </w:p>
    <w:p>
      <w:pPr>
        <w:spacing w:after="0" w:line="166" w:lineRule="exact"/>
        <w:rPr>
          <w:sz w:val="20"/>
          <w:szCs w:val="20"/>
          <w:color w:val="auto"/>
        </w:rPr>
      </w:pPr>
    </w:p>
    <w:p>
      <w:pPr>
        <w:ind w:right="80" w:firstLine="865"/>
        <w:spacing w:after="0" w:line="268" w:lineRule="auto"/>
        <w:rPr>
          <w:sz w:val="20"/>
          <w:szCs w:val="20"/>
          <w:color w:val="auto"/>
        </w:rPr>
      </w:pPr>
      <w:r>
        <w:rPr>
          <w:rFonts w:ascii="Arial" w:cs="Arial" w:eastAsia="Arial" w:hAnsi="Arial"/>
          <w:sz w:val="16"/>
          <w:szCs w:val="16"/>
          <w:color w:val="231F20"/>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6"/>
          <w:szCs w:val="16"/>
          <w:color w:val="231F20"/>
        </w:rPr>
        <w:t>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$1.07 billion or more, (iii) the date on which we have, during the previous three-year period, issued more than $1 billion in nonconvertible debt securities or (iv) the end of any fiscal year in which the market value of our Class A common stock held by non-affiliates exceeded $700 million as of the end of the second quarter of that fiscal year. We cannot predict whether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168"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b w:val="1"/>
          <w:bCs w:val="1"/>
          <w:i w:val="1"/>
          <w:iCs w:val="1"/>
          <w:color w:val="231F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144" w:lineRule="exact"/>
        <w:rPr>
          <w:sz w:val="20"/>
          <w:szCs w:val="20"/>
          <w:color w:val="auto"/>
        </w:rPr>
      </w:pPr>
    </w:p>
    <w:p>
      <w:pPr>
        <w:ind w:firstLine="865"/>
        <w:spacing w:after="0" w:line="294" w:lineRule="auto"/>
        <w:rPr>
          <w:sz w:val="20"/>
          <w:szCs w:val="20"/>
          <w:color w:val="auto"/>
        </w:rPr>
      </w:pPr>
      <w:r>
        <w:rPr>
          <w:rFonts w:ascii="Arial" w:cs="Arial" w:eastAsia="Arial" w:hAnsi="Arial"/>
          <w:sz w:val="15"/>
          <w:szCs w:val="15"/>
          <w:color w:val="231F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1" w:lineRule="exact"/>
        <w:rPr>
          <w:sz w:val="20"/>
          <w:szCs w:val="20"/>
          <w:color w:val="auto"/>
        </w:rPr>
      </w:pPr>
    </w:p>
    <w:p>
      <w:pPr>
        <w:ind w:firstLine="865"/>
        <w:spacing w:after="0" w:line="284" w:lineRule="auto"/>
        <w:rPr>
          <w:sz w:val="20"/>
          <w:szCs w:val="20"/>
          <w:color w:val="auto"/>
        </w:rPr>
      </w:pPr>
      <w:r>
        <w:rPr>
          <w:rFonts w:ascii="Arial" w:cs="Arial" w:eastAsia="Arial" w:hAnsi="Arial"/>
          <w:sz w:val="15"/>
          <w:szCs w:val="15"/>
          <w:color w:val="231F20"/>
        </w:rPr>
        <w:t>Our current controls and any new controls that we develop may become inadequate because of changes in conditions in our business. Further, weaknesses in our disclosure controls or our internal control over financial reporting may be discovered in the future. In connection with the audit of our 2018 and 2019 consolidated financial statements, we identified a material weakness in our internal controls caused by the misapplication of accounting principles related to the timing of depreciation of software development costs capitalized and unrecorded disposals of decommissioned software projects. We have remediated this material weakness, which we believe has addressed the underlying causes of this issue. We implemented additional controls around identifying and determining the appropriate timing for which capitalized software development costs should be reclassified from work-in-process to placed-in-service and begin depreciation and ultimately decommissioned, if applicable.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165" w:lineRule="exact"/>
        <w:rPr>
          <w:sz w:val="20"/>
          <w:szCs w:val="20"/>
          <w:color w:val="auto"/>
        </w:rPr>
      </w:pPr>
    </w:p>
    <w:p>
      <w:pPr>
        <w:jc w:val="both"/>
        <w:ind w:right="140" w:firstLine="865"/>
        <w:spacing w:after="0" w:line="308" w:lineRule="auto"/>
        <w:rPr>
          <w:sz w:val="20"/>
          <w:szCs w:val="20"/>
          <w:color w:val="auto"/>
        </w:rPr>
      </w:pPr>
      <w:r>
        <w:rPr>
          <w:rFonts w:ascii="Arial" w:cs="Arial" w:eastAsia="Arial" w:hAnsi="Arial"/>
          <w:sz w:val="15"/>
          <w:szCs w:val="15"/>
          <w:color w:val="231F20"/>
        </w:rPr>
        <w:t>Our independent registered public accounting firm is not required to audit the effectiveness of our internal control over financial reporting until after we are no longer an EGC.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141" w:lineRule="exact"/>
        <w:rPr>
          <w:sz w:val="20"/>
          <w:szCs w:val="20"/>
          <w:color w:val="auto"/>
        </w:rPr>
      </w:pPr>
    </w:p>
    <w:p>
      <w:pPr>
        <w:ind w:right="40" w:firstLine="865"/>
        <w:spacing w:after="0" w:line="269" w:lineRule="auto"/>
        <w:rPr>
          <w:sz w:val="20"/>
          <w:szCs w:val="20"/>
          <w:color w:val="auto"/>
        </w:rPr>
      </w:pPr>
      <w:r>
        <w:rPr>
          <w:rFonts w:ascii="Arial" w:cs="Arial" w:eastAsia="Arial" w:hAnsi="Arial"/>
          <w:sz w:val="17"/>
          <w:szCs w:val="17"/>
          <w:color w:val="231F20"/>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ind w:right="340"/>
        <w:spacing w:after="0" w:line="269" w:lineRule="auto"/>
        <w:rPr>
          <w:sz w:val="20"/>
          <w:szCs w:val="20"/>
          <w:color w:val="auto"/>
        </w:rPr>
      </w:pPr>
      <w:r>
        <w:rPr>
          <w:rFonts w:ascii="Arial" w:cs="Arial" w:eastAsia="Arial" w:hAnsi="Arial"/>
          <w:sz w:val="17"/>
          <w:szCs w:val="17"/>
          <w:b w:val="1"/>
          <w:bCs w:val="1"/>
          <w:i w:val="1"/>
          <w:iCs w:val="1"/>
          <w:color w:val="231F20"/>
        </w:rPr>
        <w:t>The requirements of being a public company may strain our resources, divert our management’s attention and affect our ability to attract and retain qualified board members.</w:t>
      </w:r>
    </w:p>
    <w:p>
      <w:pPr>
        <w:spacing w:after="0" w:line="166" w:lineRule="exact"/>
        <w:rPr>
          <w:sz w:val="20"/>
          <w:szCs w:val="20"/>
          <w:color w:val="auto"/>
        </w:rPr>
      </w:pPr>
    </w:p>
    <w:p>
      <w:pPr>
        <w:ind w:right="180" w:firstLine="865"/>
        <w:spacing w:after="0" w:line="267" w:lineRule="auto"/>
        <w:rPr>
          <w:sz w:val="20"/>
          <w:szCs w:val="20"/>
          <w:color w:val="auto"/>
        </w:rPr>
      </w:pPr>
      <w:r>
        <w:rPr>
          <w:rFonts w:ascii="Arial" w:cs="Arial" w:eastAsia="Arial" w:hAnsi="Arial"/>
          <w:sz w:val="16"/>
          <w:szCs w:val="16"/>
          <w:color w:val="231F20"/>
        </w:rPr>
        <w:t>As a public company, we are subject to the reporting requirements of the Exchange Act, and are required to comply with the applicable requirements of the Sarbanes-Oxley Act and the Dodd-Frank Wall Street Reform and Consumer Protection Act, the listing requirements of Nasdaq, and other applicable securities rules and regulations. Compliance with these rules and regulations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operating results and maintain effective disclosure controls and procedures and internal controls over financial reporting. Significant resources and management oversight are required to maintain and, if required, improve our disclosure controls and procedures and internal controls over financial reporting to meet this standard.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71" w:lineRule="exact"/>
        <w:rPr>
          <w:sz w:val="20"/>
          <w:szCs w:val="20"/>
          <w:color w:val="auto"/>
        </w:rPr>
      </w:pPr>
    </w:p>
    <w:p>
      <w:pPr>
        <w:ind w:right="120" w:firstLine="865"/>
        <w:spacing w:after="0" w:line="281" w:lineRule="auto"/>
        <w:rPr>
          <w:sz w:val="20"/>
          <w:szCs w:val="20"/>
          <w:color w:val="auto"/>
        </w:rPr>
      </w:pPr>
      <w:r>
        <w:rPr>
          <w:rFonts w:ascii="Arial" w:cs="Arial" w:eastAsia="Arial" w:hAnsi="Arial"/>
          <w:sz w:val="16"/>
          <w:szCs w:val="16"/>
          <w:color w:val="231F20"/>
        </w:rPr>
        <w:t>Being a public company and these new rules and regulations also make it more expensive for us to obtain director and officer liability insurance, and we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5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231F20"/>
        </w:rPr>
        <w:t>If securities or industry analysts do not publish research or reports about our business, or publish inaccurate or unfavorable research reports about our business, our share price and trading volume could decline.</w:t>
      </w:r>
    </w:p>
    <w:p>
      <w:pPr>
        <w:spacing w:after="0" w:line="166" w:lineRule="exact"/>
        <w:rPr>
          <w:sz w:val="20"/>
          <w:szCs w:val="20"/>
          <w:color w:val="auto"/>
        </w:rPr>
      </w:pPr>
    </w:p>
    <w:p>
      <w:pPr>
        <w:ind w:firstLine="865"/>
        <w:spacing w:after="0" w:line="269" w:lineRule="auto"/>
        <w:rPr>
          <w:sz w:val="20"/>
          <w:szCs w:val="20"/>
          <w:color w:val="auto"/>
        </w:rPr>
      </w:pPr>
      <w:r>
        <w:rPr>
          <w:rFonts w:ascii="Arial" w:cs="Arial" w:eastAsia="Arial" w:hAnsi="Arial"/>
          <w:sz w:val="17"/>
          <w:szCs w:val="17"/>
          <w:color w:val="231F20"/>
        </w:rPr>
        <w:t>The trading market for our Class A common stock partially depends on the research and reports that securities or industry analysts publish about us or our business. We do not have any control over these analysts.</w:t>
      </w:r>
    </w:p>
    <w:p>
      <w:pPr>
        <w:spacing w:after="0" w:line="166" w:lineRule="exact"/>
        <w:rPr>
          <w:sz w:val="20"/>
          <w:szCs w:val="20"/>
          <w:color w:val="auto"/>
        </w:rPr>
      </w:pPr>
    </w:p>
    <w:p>
      <w:pPr>
        <w:jc w:val="both"/>
        <w:ind w:right="140" w:firstLine="865"/>
        <w:spacing w:after="0" w:line="258" w:lineRule="auto"/>
        <w:rPr>
          <w:sz w:val="20"/>
          <w:szCs w:val="20"/>
          <w:color w:val="auto"/>
        </w:rPr>
      </w:pPr>
      <w:r>
        <w:rPr>
          <w:rFonts w:ascii="Arial" w:cs="Arial" w:eastAsia="Arial" w:hAnsi="Arial"/>
          <w:sz w:val="17"/>
          <w:szCs w:val="17"/>
          <w:color w:val="231F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1" w:lineRule="exact"/>
        <w:rPr>
          <w:sz w:val="20"/>
          <w:szCs w:val="20"/>
          <w:color w:val="auto"/>
        </w:rPr>
      </w:pPr>
    </w:p>
    <w:p>
      <w:pPr>
        <w:ind w:right="180" w:firstLine="589"/>
        <w:spacing w:after="0" w:line="258" w:lineRule="auto"/>
        <w:rPr>
          <w:sz w:val="20"/>
          <w:szCs w:val="20"/>
          <w:color w:val="auto"/>
        </w:rPr>
      </w:pPr>
      <w:r>
        <w:rPr>
          <w:rFonts w:ascii="Arial" w:cs="Arial" w:eastAsia="Arial" w:hAnsi="Arial"/>
          <w:sz w:val="17"/>
          <w:szCs w:val="17"/>
          <w:color w:val="231F20"/>
        </w:rPr>
        <w:t>Our headquarters are located in Irvine, California, where we occupy facilities totaling approximately 47,000 square feet under a lease that expires in May 2031. We currently lease nine other office spaces across the United States and we do not own any real property. We believe that our current facilities are adequate to meet our current needs.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1" w:lineRule="exact"/>
        <w:rPr>
          <w:sz w:val="20"/>
          <w:szCs w:val="20"/>
          <w:color w:val="auto"/>
        </w:rPr>
      </w:pPr>
    </w:p>
    <w:p>
      <w:pPr>
        <w:ind w:firstLine="865"/>
        <w:spacing w:after="0" w:line="252" w:lineRule="auto"/>
        <w:rPr>
          <w:sz w:val="20"/>
          <w:szCs w:val="20"/>
          <w:color w:val="auto"/>
        </w:rPr>
      </w:pPr>
      <w:r>
        <w:rPr>
          <w:rFonts w:ascii="Arial" w:cs="Arial" w:eastAsia="Arial" w:hAnsi="Arial"/>
          <w:sz w:val="17"/>
          <w:szCs w:val="17"/>
          <w:color w:val="231F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PART II</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11" w:lineRule="exact"/>
        <w:rPr>
          <w:sz w:val="20"/>
          <w:szCs w:val="20"/>
          <w:color w:val="auto"/>
        </w:rPr>
      </w:pPr>
    </w:p>
    <w:p>
      <w:pPr>
        <w:ind w:right="340" w:firstLine="865"/>
        <w:spacing w:after="0" w:line="337" w:lineRule="auto"/>
        <w:rPr>
          <w:sz w:val="20"/>
          <w:szCs w:val="20"/>
          <w:color w:val="auto"/>
        </w:rPr>
      </w:pPr>
      <w:r>
        <w:rPr>
          <w:rFonts w:ascii="Arial" w:cs="Arial" w:eastAsia="Arial" w:hAnsi="Arial"/>
          <w:sz w:val="15"/>
          <w:szCs w:val="15"/>
          <w:color w:val="auto"/>
        </w:rPr>
        <w:t>Our Class A common stock has been listed on Nasdaq under the symbol “DSP” since February 10, 2021. There is no market for our Class B common stock. Each share of Class B common stock has no economic rights but entitles its holders to one vote on all matters to be voted on by the shareholders generally.</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11" w:lineRule="exact"/>
        <w:rPr>
          <w:sz w:val="20"/>
          <w:szCs w:val="20"/>
          <w:color w:val="auto"/>
        </w:rPr>
      </w:pPr>
    </w:p>
    <w:p>
      <w:pPr>
        <w:ind w:firstLine="865"/>
        <w:spacing w:after="0" w:line="258" w:lineRule="auto"/>
        <w:rPr>
          <w:sz w:val="20"/>
          <w:szCs w:val="20"/>
          <w:color w:val="auto"/>
        </w:rPr>
      </w:pPr>
      <w:r>
        <w:rPr>
          <w:rFonts w:ascii="Arial" w:cs="Arial" w:eastAsia="Arial" w:hAnsi="Arial"/>
          <w:sz w:val="17"/>
          <w:szCs w:val="17"/>
          <w:color w:val="auto"/>
        </w:rPr>
        <w:t>As of March 8, 2022, there was one stockholder of record of our Class A common stock and four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1" w:lineRule="exact"/>
        <w:rPr>
          <w:sz w:val="20"/>
          <w:szCs w:val="20"/>
          <w:color w:val="auto"/>
        </w:rPr>
      </w:pPr>
    </w:p>
    <w:p>
      <w:pPr>
        <w:ind w:right="140" w:firstLine="865"/>
        <w:spacing w:after="0" w:line="254" w:lineRule="auto"/>
        <w:rPr>
          <w:sz w:val="20"/>
          <w:szCs w:val="20"/>
          <w:color w:val="auto"/>
        </w:rPr>
      </w:pPr>
      <w:r>
        <w:rPr>
          <w:rFonts w:ascii="Arial" w:cs="Arial" w:eastAsia="Arial" w:hAnsi="Arial"/>
          <w:sz w:val="17"/>
          <w:szCs w:val="17"/>
          <w:color w:val="auto"/>
        </w:rPr>
        <w:t>We have not paid any cash dividends on our capital stock and have no present intention to pay cash dividends on our capital stock. Any determination to pay dividends to holders of our capital stock will be at the discretion of our board of directors and will depend upon many factors, including our financial condition, results of operations, projections, liquidity, earnings, legal requirements, restrictions in our existing and any future debt, including pursuant to the Loan Agreement with PNC Bank, and other factors that our board of directors deems relevant.</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our Initial Public Offering</w:t>
      </w:r>
    </w:p>
    <w:p>
      <w:pPr>
        <w:spacing w:after="0" w:line="211" w:lineRule="exact"/>
        <w:rPr>
          <w:sz w:val="20"/>
          <w:szCs w:val="20"/>
          <w:color w:val="auto"/>
        </w:rPr>
      </w:pPr>
    </w:p>
    <w:p>
      <w:pPr>
        <w:ind w:right="20" w:firstLine="865"/>
        <w:spacing w:after="0" w:line="272" w:lineRule="auto"/>
        <w:rPr>
          <w:sz w:val="20"/>
          <w:szCs w:val="20"/>
          <w:color w:val="auto"/>
        </w:rPr>
      </w:pPr>
      <w:r>
        <w:rPr>
          <w:rFonts w:ascii="Arial" w:cs="Arial" w:eastAsia="Arial" w:hAnsi="Arial"/>
          <w:sz w:val="16"/>
          <w:szCs w:val="16"/>
          <w:color w:val="auto"/>
        </w:rPr>
        <w:t>On February 12, 2021, we completed our IPO, pursuant to which we issued and sold an aggregate of 11,500,000 shares of our Class A common stock (inclusive of 1,500,000 shares pursuant to the underwriters’ option to purchase additional shares) at the IPO price of $25.00 per share. The offer and sale of the shares of Class A common stock in the IPO were registered pursuant to registration statements on Form S-1 (File Nos. 333-252117 and 333-252907), which the SEC declared effective on February 9, 2021. There has been no material change in the intended use of proceeds from our IPO as described in our final prospectus, dated February 9, 2021 and filed with the SEC pursuant to Rule 424(b)(4) on February 11, 2021.</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312" w:lineRule="exact"/>
        <w:rPr>
          <w:sz w:val="20"/>
          <w:szCs w:val="20"/>
          <w:color w:val="auto"/>
        </w:rPr>
      </w:pPr>
    </w:p>
    <w:p>
      <w:pPr>
        <w:ind w:right="60" w:firstLine="865"/>
        <w:spacing w:after="0" w:line="275" w:lineRule="auto"/>
        <w:rPr>
          <w:sz w:val="20"/>
          <w:szCs w:val="20"/>
          <w:color w:val="auto"/>
        </w:rPr>
      </w:pPr>
      <w:r>
        <w:rPr>
          <w:rFonts w:ascii="Arial" w:cs="Arial" w:eastAsia="Arial" w:hAnsi="Arial"/>
          <w:sz w:val="16"/>
          <w:szCs w:val="16"/>
          <w:color w:val="auto"/>
        </w:rPr>
        <w:t>Under the Viant Technology Inc. 2021 Long-Term Incentive Plan (the “LTIP”), we are permitted to satisfy any national, state, local or other tax withholding obligation due upon the vesting of an award granted under the LTIP by repurchasing an amount of shares otherwise deliverable on the vesting date having a fair market value equal to the withholding obligation. All of the shares repurchased by us during the fourth quarter of 2021 were in connection with this tax withholding obligation. During the three months ended December 31, 2021, we repurchased the following shares of our Class A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Number of Shares</w:t>
            </w:r>
          </w:p>
        </w:tc>
        <w:tc>
          <w:tcPr>
            <w:tcW w:w="2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Average Price Paid Per Share</w:t>
            </w:r>
          </w:p>
        </w:tc>
        <w:tc>
          <w:tcPr>
            <w:tcW w:w="1840" w:type="dxa"/>
            <w:vAlign w:val="bottom"/>
          </w:tcPr>
          <w:p>
            <w:pPr>
              <w:spacing w:after="0"/>
              <w:rPr>
                <w:sz w:val="20"/>
                <w:szCs w:val="20"/>
                <w:color w:val="auto"/>
              </w:rPr>
            </w:pPr>
            <w:r>
              <w:rPr>
                <w:rFonts w:ascii="Arial" w:cs="Arial" w:eastAsia="Arial" w:hAnsi="Arial"/>
                <w:sz w:val="13"/>
                <w:szCs w:val="13"/>
                <w:b w:val="1"/>
                <w:bCs w:val="1"/>
                <w:color w:val="auto"/>
              </w:rPr>
              <w:t>Total Number of Shares</w:t>
            </w:r>
          </w:p>
        </w:tc>
        <w:tc>
          <w:tcPr>
            <w:tcW w:w="0" w:type="dxa"/>
            <w:vAlign w:val="bottom"/>
          </w:tcPr>
          <w:p>
            <w:pPr>
              <w:spacing w:after="0"/>
              <w:rPr>
                <w:sz w:val="1"/>
                <w:szCs w:val="1"/>
                <w:color w:val="auto"/>
              </w:rPr>
            </w:pPr>
          </w:p>
        </w:tc>
      </w:tr>
      <w:tr>
        <w:trPr>
          <w:trHeight w:val="138"/>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0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40" w:type="dxa"/>
            <w:vAlign w:val="bottom"/>
          </w:tcPr>
          <w:p>
            <w:pPr>
              <w:spacing w:after="0" w:line="139" w:lineRule="exact"/>
              <w:rPr>
                <w:sz w:val="20"/>
                <w:szCs w:val="20"/>
                <w:color w:val="auto"/>
              </w:rPr>
            </w:pPr>
            <w:r>
              <w:rPr>
                <w:rFonts w:ascii="Arial" w:cs="Arial" w:eastAsia="Arial" w:hAnsi="Arial"/>
                <w:sz w:val="13"/>
                <w:szCs w:val="13"/>
                <w:b w:val="1"/>
                <w:bCs w:val="1"/>
                <w:color w:val="auto"/>
                <w:w w:val="99"/>
              </w:rPr>
              <w:t>Purchased as Part of Publicly</w:t>
            </w:r>
          </w:p>
        </w:tc>
        <w:tc>
          <w:tcPr>
            <w:tcW w:w="0" w:type="dxa"/>
            <w:vAlign w:val="bottom"/>
          </w:tcPr>
          <w:p>
            <w:pPr>
              <w:spacing w:after="0"/>
              <w:rPr>
                <w:sz w:val="1"/>
                <w:szCs w:val="1"/>
                <w:color w:val="auto"/>
              </w:rPr>
            </w:pPr>
          </w:p>
        </w:tc>
      </w:tr>
      <w:tr>
        <w:trPr>
          <w:trHeight w:val="159"/>
        </w:trPr>
        <w:tc>
          <w:tcPr>
            <w:tcW w:w="19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Purchased (1)</w:t>
            </w:r>
          </w:p>
        </w:tc>
        <w:tc>
          <w:tcPr>
            <w:tcW w:w="200" w:type="dxa"/>
            <w:vAlign w:val="bottom"/>
          </w:tcPr>
          <w:p>
            <w:pPr>
              <w:spacing w:after="0"/>
              <w:rPr>
                <w:sz w:val="13"/>
                <w:szCs w:val="13"/>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w:t>
            </w:r>
          </w:p>
        </w:tc>
        <w:tc>
          <w:tcPr>
            <w:tcW w:w="200" w:type="dxa"/>
            <w:vAlign w:val="bottom"/>
          </w:tcPr>
          <w:p>
            <w:pPr>
              <w:spacing w:after="0"/>
              <w:rPr>
                <w:sz w:val="13"/>
                <w:szCs w:val="13"/>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Announced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780"/>
        <w:spacing w:after="0" w:line="228" w:lineRule="auto"/>
        <w:rPr>
          <w:sz w:val="20"/>
          <w:szCs w:val="20"/>
          <w:color w:val="auto"/>
        </w:rPr>
      </w:pPr>
      <w:r>
        <w:rPr>
          <w:rFonts w:ascii="Arial" w:cs="Arial" w:eastAsia="Arial" w:hAnsi="Arial"/>
          <w:sz w:val="13"/>
          <w:szCs w:val="13"/>
          <w:b w:val="1"/>
          <w:bCs w:val="1"/>
          <w:color w:val="auto"/>
        </w:rPr>
        <w:t>Maximum Number (or Approximate Dollar Value) of Shares that May Yet Be Purchased Under the Plans or Programs</w:t>
      </w:r>
    </w:p>
    <w:p>
      <w:pPr>
        <w:spacing w:after="0" w:line="15" w:lineRule="exact"/>
        <w:rPr>
          <w:sz w:val="20"/>
          <w:szCs w:val="20"/>
          <w:color w:val="auto"/>
        </w:rPr>
      </w:pPr>
    </w:p>
    <w:p>
      <w:pPr>
        <w:sectPr>
          <w:pgSz w:w="11900" w:h="16838" w:orient="portrait"/>
          <w:cols w:equalWidth="0" w:num="2">
            <w:col w:w="8540" w:space="200"/>
            <w:col w:w="2500"/>
          </w:cols>
          <w:pgMar w:left="320" w:top="132" w:right="339" w:bottom="1440" w:gutter="0" w:footer="0" w:header="0"/>
        </w:sectPr>
      </w:pPr>
    </w:p>
    <w:tbl>
      <w:tblPr>
        <w:tblLayout w:type="fixed"/>
        <w:tblInd w:w="560" w:type="dxa"/>
        <w:tblCellMar>
          <w:top w:w="0" w:type="dxa"/>
          <w:left w:w="0" w:type="dxa"/>
          <w:bottom w:w="0" w:type="dxa"/>
          <w:right w:w="0" w:type="dxa"/>
        </w:tblCellMar>
      </w:tblPr>
      <w:tr>
        <w:trPr>
          <w:trHeight w:val="194"/>
        </w:trPr>
        <w:tc>
          <w:tcPr>
            <w:tcW w:w="2060" w:type="dxa"/>
            <w:vAlign w:val="bottom"/>
          </w:tcPr>
          <w:p>
            <w:pPr>
              <w:jc w:val="right"/>
              <w:ind w:right="36"/>
              <w:spacing w:after="0" w:line="194" w:lineRule="exact"/>
              <w:rPr>
                <w:sz w:val="20"/>
                <w:szCs w:val="20"/>
                <w:color w:val="auto"/>
              </w:rPr>
            </w:pPr>
            <w:r>
              <w:rPr>
                <w:rFonts w:ascii="Arial" w:cs="Arial" w:eastAsia="Arial" w:hAnsi="Arial"/>
                <w:sz w:val="17"/>
                <w:szCs w:val="17"/>
                <w:color w:val="auto"/>
              </w:rPr>
              <w:t>10/1/21 to 10/31/21</w:t>
            </w:r>
          </w:p>
        </w:tc>
        <w:tc>
          <w:tcPr>
            <w:tcW w:w="20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2"/>
          </w:tcPr>
          <w:p>
            <w:pPr>
              <w:ind w:left="780"/>
              <w:spacing w:after="0" w:line="194"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80"/>
              <w:spacing w:after="0" w:line="194" w:lineRule="exact"/>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6"/>
                <w:szCs w:val="16"/>
                <w:color w:val="auto"/>
              </w:rPr>
            </w:pPr>
          </w:p>
        </w:tc>
      </w:tr>
      <w:tr>
        <w:trPr>
          <w:trHeight w:val="214"/>
        </w:trPr>
        <w:tc>
          <w:tcPr>
            <w:tcW w:w="2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11/1/21 to 11/30/21</w:t>
            </w: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r>
      <w:tr>
        <w:trPr>
          <w:trHeight w:val="214"/>
        </w:trPr>
        <w:tc>
          <w:tcPr>
            <w:tcW w:w="2060" w:type="dxa"/>
            <w:vAlign w:val="bottom"/>
            <w:tcBorders>
              <w:bottom w:val="single" w:sz="8" w:color="CFF0FC"/>
            </w:tcBorders>
          </w:tcPr>
          <w:p>
            <w:pPr>
              <w:jc w:val="right"/>
              <w:ind w:right="36"/>
              <w:spacing w:after="0"/>
              <w:rPr>
                <w:sz w:val="20"/>
                <w:szCs w:val="20"/>
                <w:color w:val="auto"/>
              </w:rPr>
            </w:pPr>
            <w:r>
              <w:rPr>
                <w:rFonts w:ascii="Arial" w:cs="Arial" w:eastAsia="Arial" w:hAnsi="Arial"/>
                <w:sz w:val="17"/>
                <w:szCs w:val="17"/>
                <w:color w:val="auto"/>
              </w:rPr>
              <w:t>12/1/21 to 12/31/21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142,445</w:t>
            </w: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8"/>
                <w:szCs w:val="18"/>
                <w:color w:val="auto"/>
              </w:rPr>
            </w:pPr>
          </w:p>
        </w:tc>
      </w:tr>
      <w:tr>
        <w:trPr>
          <w:trHeight w:val="206"/>
        </w:trPr>
        <w:tc>
          <w:tcPr>
            <w:tcW w:w="2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Total</w:t>
            </w: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142,445</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9.41</w:t>
            </w: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2040" w:type="dxa"/>
            <w:vAlign w:val="bottom"/>
            <w:gridSpan w:val="3"/>
            <w:shd w:val="clear" w:color="auto" w:fill="CFF0FC"/>
          </w:tcPr>
          <w:p>
            <w:pPr>
              <w:ind w:left="780"/>
              <w:spacing w:after="0"/>
              <w:rPr>
                <w:sz w:val="20"/>
                <w:szCs w:val="20"/>
                <w:color w:val="auto"/>
              </w:rPr>
            </w:pPr>
            <w:r>
              <w:rPr>
                <w:rFonts w:ascii="Arial" w:cs="Arial" w:eastAsia="Arial" w:hAnsi="Arial"/>
                <w:sz w:val="17"/>
                <w:szCs w:val="17"/>
                <w:color w:val="auto"/>
              </w:rPr>
              <w:t>—   $</w:t>
            </w:r>
          </w:p>
        </w:tc>
        <w:tc>
          <w:tcPr>
            <w:tcW w:w="106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r>
      <w:tr>
        <w:trPr>
          <w:trHeight w:val="20"/>
        </w:trPr>
        <w:tc>
          <w:tcPr>
            <w:tcW w:w="20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9" w:lineRule="exact"/>
        <w:rPr>
          <w:sz w:val="20"/>
          <w:szCs w:val="20"/>
          <w:color w:val="auto"/>
        </w:rPr>
      </w:pPr>
    </w:p>
    <w:p>
      <w:pPr>
        <w:ind w:right="480" w:firstLine="1"/>
        <w:spacing w:after="0" w:line="227" w:lineRule="auto"/>
        <w:tabs>
          <w:tab w:leader="none" w:pos="183"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Represents the shares of Class A common stock we repurchased upon the vesting of restricted stock units to satisfy the applicable tax withholding obligations incidental to the vesting of such awards.</w:t>
      </w:r>
    </w:p>
    <w:p>
      <w:pPr>
        <w:spacing w:after="0" w:line="50" w:lineRule="exact"/>
        <w:rPr>
          <w:rFonts w:ascii="Arial" w:cs="Arial" w:eastAsia="Arial" w:hAnsi="Arial"/>
          <w:sz w:val="22"/>
          <w:szCs w:val="22"/>
          <w:color w:val="auto"/>
          <w:vertAlign w:val="superscript"/>
        </w:rPr>
      </w:pPr>
    </w:p>
    <w:p>
      <w:pPr>
        <w:ind w:left="180" w:hanging="179"/>
        <w:spacing w:after="0"/>
        <w:tabs>
          <w:tab w:leader="none" w:pos="18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Represents the average price per share that we paid for the repurchases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11" w:lineRule="exact"/>
        <w:rPr>
          <w:sz w:val="20"/>
          <w:szCs w:val="20"/>
          <w:color w:val="auto"/>
        </w:rPr>
      </w:pPr>
    </w:p>
    <w:p>
      <w:pPr>
        <w:ind w:right="140" w:firstLine="865"/>
        <w:spacing w:after="0" w:line="269" w:lineRule="auto"/>
        <w:rPr>
          <w:sz w:val="20"/>
          <w:szCs w:val="20"/>
          <w:color w:val="auto"/>
        </w:rPr>
      </w:pPr>
      <w:r>
        <w:rPr>
          <w:rFonts w:ascii="Arial" w:cs="Arial" w:eastAsia="Arial" w:hAnsi="Arial"/>
          <w:sz w:val="17"/>
          <w:szCs w:val="17"/>
          <w:i w:val="1"/>
          <w:iCs w:val="1"/>
          <w:color w:val="auto"/>
        </w:rPr>
        <w:t>This performance graph shall not be deemed “filed” with the SEC for purposes of Section 18 of the Exchange Act, or incorporated by reference into any filing under the Securities Act.</w:t>
      </w:r>
    </w:p>
    <w:p>
      <w:pPr>
        <w:spacing w:after="0" w:line="166" w:lineRule="exact"/>
        <w:rPr>
          <w:sz w:val="20"/>
          <w:szCs w:val="20"/>
          <w:color w:val="auto"/>
        </w:rPr>
      </w:pPr>
    </w:p>
    <w:p>
      <w:pPr>
        <w:ind w:firstLine="865"/>
        <w:spacing w:after="0" w:line="284" w:lineRule="auto"/>
        <w:rPr>
          <w:sz w:val="20"/>
          <w:szCs w:val="20"/>
          <w:color w:val="auto"/>
        </w:rPr>
      </w:pPr>
      <w:r>
        <w:rPr>
          <w:rFonts w:ascii="Arial" w:cs="Arial" w:eastAsia="Arial" w:hAnsi="Arial"/>
          <w:sz w:val="15"/>
          <w:szCs w:val="15"/>
          <w:color w:val="auto"/>
        </w:rPr>
        <w:t>The following graph shows a comparison from February 10, 2021 (the date our Class A common stock commenced trading on Nasdaq) through December 31, 2021 of the cumulative total stockholder return for our Class A common stock, the Standard &amp; Poor’s 500 Index (the “S&amp;P 500”) and the Russell Index 2000 (the “Russell 2000”). The graph assumes that $100 was invested at the market close on February 10, 2021 in our Class A common stock, the S&amp;P 500 and the Russell 2000. Data for the S&amp;P 500 and the Russell 2000 assumes reinvestment of any dividends. The comparisons shown in the graph below are based upon historical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stock price performance of the following graph is not necessarily indicative of future stock price performance.</w:t>
      </w:r>
    </w:p>
    <w:p>
      <w:pPr>
        <w:spacing w:after="0" w:line="195"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6"/>
          <w:szCs w:val="16"/>
          <w:color w:val="auto"/>
        </w:rPr>
        <w:t>Since there is no published industry or line-of-business index for our business reflective of our performance, nor do we believe we can reasonably identify a peer group, we measure our performance against issuers with similar market capitalizations. We selected the Russell 2000 Index because it measures the performance of a broad range of companies with lower market capitalizations than those companies included in the S&amp;P 500 Index.</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755015</wp:posOffset>
            </wp:positionH>
            <wp:positionV relativeFrom="page">
              <wp:posOffset>216535</wp:posOffset>
            </wp:positionV>
            <wp:extent cx="4042410" cy="2748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042410" cy="274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84455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10" w:lineRule="exact"/>
        <w:rPr>
          <w:sz w:val="20"/>
          <w:szCs w:val="20"/>
          <w:color w:val="auto"/>
        </w:rPr>
      </w:pPr>
    </w:p>
    <w:p>
      <w:pPr>
        <w:ind w:right="20" w:firstLine="589"/>
        <w:spacing w:after="0" w:line="250" w:lineRule="auto"/>
        <w:rPr>
          <w:sz w:val="20"/>
          <w:szCs w:val="20"/>
          <w:color w:val="auto"/>
        </w:rPr>
      </w:pPr>
      <w:r>
        <w:rPr>
          <w:rFonts w:ascii="Arial" w:cs="Arial" w:eastAsia="Arial" w:hAnsi="Arial"/>
          <w:sz w:val="17"/>
          <w:szCs w:val="17"/>
          <w:color w:val="231F20"/>
        </w:rPr>
        <w:t xml:space="preserve">The following table sets forth selected financial information and other data of Viant Technology Inc. and its subsidiaries on a historical basis </w:t>
      </w:r>
      <w:r>
        <w:rPr>
          <w:rFonts w:ascii="Arial" w:cs="Arial" w:eastAsia="Arial" w:hAnsi="Arial"/>
          <w:sz w:val="17"/>
          <w:szCs w:val="17"/>
          <w:color w:val="000000"/>
        </w:rPr>
        <w:t>for the periods</w:t>
      </w:r>
      <w:r>
        <w:rPr>
          <w:rFonts w:ascii="Arial" w:cs="Arial" w:eastAsia="Arial" w:hAnsi="Arial"/>
          <w:sz w:val="17"/>
          <w:szCs w:val="17"/>
          <w:color w:val="231F20"/>
        </w:rPr>
        <w:t xml:space="preserve"> </w:t>
      </w:r>
      <w:r>
        <w:rPr>
          <w:rFonts w:ascii="Arial" w:cs="Arial" w:eastAsia="Arial" w:hAnsi="Arial"/>
          <w:sz w:val="17"/>
          <w:szCs w:val="17"/>
          <w:color w:val="000000"/>
        </w:rPr>
        <w:t>and as of the dates indicated</w:t>
      </w:r>
      <w:r>
        <w:rPr>
          <w:rFonts w:ascii="Arial" w:cs="Arial" w:eastAsia="Arial" w:hAnsi="Arial"/>
          <w:sz w:val="17"/>
          <w:szCs w:val="17"/>
          <w:color w:val="231F20"/>
        </w:rPr>
        <w:t>. Viant Technology LLC is considered our predecessor for accounting purposes and accordingly, for all periods presented prior to February</w:t>
      </w:r>
      <w:r>
        <w:rPr>
          <w:rFonts w:ascii="Arial" w:cs="Arial" w:eastAsia="Arial" w:hAnsi="Arial"/>
          <w:sz w:val="17"/>
          <w:szCs w:val="17"/>
          <w:color w:val="000000"/>
        </w:rPr>
        <w:t xml:space="preserve"> </w:t>
      </w:r>
      <w:r>
        <w:rPr>
          <w:rFonts w:ascii="Arial" w:cs="Arial" w:eastAsia="Arial" w:hAnsi="Arial"/>
          <w:sz w:val="17"/>
          <w:szCs w:val="17"/>
          <w:color w:val="231F20"/>
        </w:rPr>
        <w:t>12, 2021, our consolidated financial statements represent the financial statements of our predecessor. We have derived the selected consolidated statements of operations data for the years ended December 31, 2021, 2020 and 2019 and the selected consolidated balance sheets data as of December 31, 2021 and 2020 from our audited consolidated financial statements included elsewhere in this Annual Report. The selected consolidated statements of operations data for the year ended December 31, 2018 and the selected consolidated balance sheets data as of December 31, 2019 and 2018 were derived from our audited consolidated financial statements not included in this Annual Report. Our historical results and growth rates are not necessarily indicative of results or growth rates to be expected in future periods.</w:t>
      </w:r>
    </w:p>
    <w:p>
      <w:pPr>
        <w:spacing w:after="0" w:line="183" w:lineRule="exact"/>
        <w:rPr>
          <w:sz w:val="20"/>
          <w:szCs w:val="20"/>
          <w:color w:val="auto"/>
        </w:rPr>
      </w:pPr>
    </w:p>
    <w:p>
      <w:pPr>
        <w:ind w:right="220" w:firstLine="589"/>
        <w:spacing w:after="0" w:line="254" w:lineRule="auto"/>
        <w:rPr>
          <w:sz w:val="20"/>
          <w:szCs w:val="20"/>
          <w:color w:val="auto"/>
        </w:rPr>
      </w:pPr>
      <w:r>
        <w:rPr>
          <w:rFonts w:ascii="Arial" w:cs="Arial" w:eastAsia="Arial" w:hAnsi="Arial"/>
          <w:sz w:val="17"/>
          <w:szCs w:val="17"/>
          <w:color w:val="231F20"/>
        </w:rPr>
        <w:t>You should read the following information in conjunction with “</w:t>
      </w:r>
      <w:r>
        <w:rPr>
          <w:rFonts w:ascii="Arial" w:cs="Arial" w:eastAsia="Arial" w:hAnsi="Arial"/>
          <w:sz w:val="17"/>
          <w:szCs w:val="17"/>
          <w:i w:val="1"/>
          <w:iCs w:val="1"/>
          <w:color w:val="231F20"/>
        </w:rPr>
        <w:t>Management’s Discussion and Analysis of Financial Condition and Results of Operations</w:t>
      </w:r>
      <w:r>
        <w:rPr>
          <w:rFonts w:ascii="Arial" w:cs="Arial" w:eastAsia="Arial" w:hAnsi="Arial"/>
          <w:sz w:val="17"/>
          <w:szCs w:val="17"/>
          <w:color w:val="231F20"/>
        </w:rPr>
        <w:t>” and our consolidated financial statements and related notes thereto included elsewhere in this Annual Report, as well as the information included under the caption “Transactions with Related Persons” in our definitive Proxy Statement for our 2022 Annual Meeting of Stockholders, which will be filed with the SEC no later than 120 days after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7"/>
              <w:spacing w:after="0" w:line="14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80" w:type="dxa"/>
            <w:vAlign w:val="bottom"/>
            <w:gridSpan w:val="11"/>
          </w:tcPr>
          <w:p>
            <w:pPr>
              <w:jc w:val="right"/>
              <w:ind w:right="437"/>
              <w:spacing w:after="0" w:line="144" w:lineRule="exact"/>
              <w:rPr>
                <w:sz w:val="20"/>
                <w:szCs w:val="20"/>
                <w:color w:val="auto"/>
              </w:rPr>
            </w:pPr>
            <w:r>
              <w:rPr>
                <w:rFonts w:ascii="Arial" w:cs="Arial" w:eastAsia="Arial" w:hAnsi="Arial"/>
                <w:sz w:val="13"/>
                <w:szCs w:val="13"/>
                <w:b w:val="1"/>
                <w:bCs w:val="1"/>
                <w:color w:val="auto"/>
                <w:w w:val="98"/>
              </w:rPr>
              <w:t>(in thousands, except per share/unit data and number of customers)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224,127</w:t>
            </w:r>
          </w:p>
        </w:tc>
        <w:tc>
          <w:tcPr>
            <w:tcW w:w="2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165,251</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164,892</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108,355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7"/>
                <w:szCs w:val="17"/>
                <w:color w:val="auto"/>
              </w:rPr>
              <w:t>Platform operations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129,604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88,260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94,060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74,344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65,042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28,887</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29,027</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26,766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7"/>
                <w:szCs w:val="17"/>
                <w:color w:val="auto"/>
              </w:rPr>
              <w:t>Technology and development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25,372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46,904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17,639</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19,770</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18,326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266,922</w:t>
            </w: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143,484</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152,097</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129,021</w:t>
            </w:r>
          </w:p>
        </w:tc>
        <w:tc>
          <w:tcPr>
            <w:tcW w:w="100" w:type="dxa"/>
            <w:vAlign w:val="bottom"/>
            <w:tcBorders>
              <w:bottom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Income (loss) from operations</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(42,795)</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21,767</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12,795</w:t>
            </w: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(20,666)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Total other expense (income),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(5,186)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 w:type="dxa"/>
            <w:vAlign w:val="bottom"/>
          </w:tcPr>
          <w:p>
            <w:pPr>
              <w:spacing w:after="0"/>
              <w:rPr>
                <w:sz w:val="17"/>
                <w:szCs w:val="17"/>
                <w:color w:val="auto"/>
              </w:rPr>
            </w:pPr>
          </w:p>
        </w:tc>
        <w:tc>
          <w:tcPr>
            <w:tcW w:w="4200" w:type="dxa"/>
            <w:vAlign w:val="bottom"/>
            <w:vMerge w:val="continue"/>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(37,609)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9,924</w:t>
            </w: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(25,535)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Less: Net loss attributable to noncontrolling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7"/>
                <w:szCs w:val="17"/>
                <w:color w:val="auto"/>
              </w:rPr>
              <w:t>interests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(29,867)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2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Net loss attributable to Viant Technology</w:t>
            </w:r>
          </w:p>
        </w:tc>
        <w:tc>
          <w:tcPr>
            <w:tcW w:w="9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right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Inc.</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(7,742)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Earnings (loss) per share/unit—basic</w:t>
            </w:r>
            <w:r>
              <w:rPr>
                <w:rFonts w:ascii="Arial" w:cs="Arial" w:eastAsia="Arial" w:hAnsi="Arial"/>
                <w:sz w:val="14"/>
                <w:szCs w:val="14"/>
                <w:color w:val="auto"/>
              </w:rPr>
              <w:t>(2)</w:t>
            </w: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1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(0.63)</w:t>
            </w:r>
          </w:p>
        </w:tc>
        <w:tc>
          <w:tcPr>
            <w:tcW w:w="30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2" w:lineRule="exact"/>
              <w:rPr>
                <w:sz w:val="20"/>
                <w:szCs w:val="20"/>
                <w:color w:val="auto"/>
              </w:rPr>
            </w:pPr>
            <w:r>
              <w:rPr>
                <w:rFonts w:ascii="Arial" w:cs="Arial" w:eastAsia="Arial" w:hAnsi="Arial"/>
                <w:sz w:val="17"/>
                <w:szCs w:val="17"/>
                <w:color w:val="auto"/>
              </w:rPr>
              <w:t>20.64</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2" w:lineRule="exact"/>
              <w:rPr>
                <w:sz w:val="20"/>
                <w:szCs w:val="20"/>
                <w:color w:val="auto"/>
              </w:rPr>
            </w:pPr>
            <w:r>
              <w:rPr>
                <w:rFonts w:ascii="Arial" w:cs="Arial" w:eastAsia="Arial" w:hAnsi="Arial"/>
                <w:sz w:val="17"/>
                <w:szCs w:val="17"/>
                <w:color w:val="auto"/>
              </w:rPr>
              <w:t>31.31</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(137.28)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Earnings (loss) per share/unit—diluted</w:t>
            </w:r>
            <w:r>
              <w:rPr>
                <w:rFonts w:ascii="Arial" w:cs="Arial" w:eastAsia="Arial" w:hAnsi="Arial"/>
                <w:sz w:val="14"/>
                <w:szCs w:val="14"/>
                <w:color w:val="auto"/>
              </w:rPr>
              <w:t>(2)</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 w:type="dxa"/>
            <w:vAlign w:val="bottom"/>
          </w:tcPr>
          <w:p>
            <w:pPr>
              <w:spacing w:after="0"/>
              <w:rPr>
                <w:sz w:val="16"/>
                <w:szCs w:val="16"/>
                <w:color w:val="auto"/>
              </w:rPr>
            </w:pPr>
          </w:p>
        </w:tc>
        <w:tc>
          <w:tcPr>
            <w:tcW w:w="4200" w:type="dxa"/>
            <w:vAlign w:val="bottom"/>
            <w:vMerge w:val="continue"/>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60"/>
              <w:spacing w:after="0" w:line="192" w:lineRule="exact"/>
              <w:rPr>
                <w:sz w:val="20"/>
                <w:szCs w:val="20"/>
                <w:color w:val="auto"/>
              </w:rPr>
            </w:pPr>
            <w:r>
              <w:rPr>
                <w:rFonts w:ascii="Arial" w:cs="Arial" w:eastAsia="Arial" w:hAnsi="Arial"/>
                <w:sz w:val="17"/>
                <w:szCs w:val="17"/>
                <w:color w:val="auto"/>
              </w:rPr>
              <w:t>(0.63)</w:t>
            </w:r>
          </w:p>
        </w:tc>
        <w:tc>
          <w:tcPr>
            <w:tcW w:w="300" w:type="dxa"/>
            <w:vAlign w:val="bottom"/>
            <w:gridSpan w:val="2"/>
            <w:shd w:val="clear" w:color="auto" w:fill="CFF0FC"/>
          </w:tcPr>
          <w:p>
            <w:pPr>
              <w:jc w:val="right"/>
              <w:ind w:right="140"/>
              <w:spacing w:after="0" w:line="192" w:lineRule="exact"/>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line="192" w:lineRule="exact"/>
              <w:rPr>
                <w:sz w:val="20"/>
                <w:szCs w:val="20"/>
                <w:color w:val="auto"/>
              </w:rPr>
            </w:pPr>
            <w:r>
              <w:rPr>
                <w:rFonts w:ascii="Arial" w:cs="Arial" w:eastAsia="Arial" w:hAnsi="Arial"/>
                <w:sz w:val="17"/>
                <w:szCs w:val="17"/>
                <w:color w:val="auto"/>
              </w:rPr>
              <w:t>20.64</w:t>
            </w:r>
          </w:p>
        </w:tc>
        <w:tc>
          <w:tcPr>
            <w:tcW w:w="28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92" w:lineRule="exact"/>
              <w:rPr>
                <w:sz w:val="20"/>
                <w:szCs w:val="20"/>
                <w:color w:val="auto"/>
              </w:rPr>
            </w:pPr>
            <w:r>
              <w:rPr>
                <w:rFonts w:ascii="Arial" w:cs="Arial" w:eastAsia="Arial" w:hAnsi="Arial"/>
                <w:sz w:val="17"/>
                <w:szCs w:val="17"/>
                <w:color w:val="auto"/>
              </w:rPr>
              <w:t>27.37</w:t>
            </w:r>
          </w:p>
        </w:tc>
        <w:tc>
          <w:tcPr>
            <w:tcW w:w="28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line="192" w:lineRule="exact"/>
              <w:rPr>
                <w:sz w:val="20"/>
                <w:szCs w:val="20"/>
                <w:color w:val="auto"/>
              </w:rPr>
            </w:pPr>
            <w:r>
              <w:rPr>
                <w:rFonts w:ascii="Arial" w:cs="Arial" w:eastAsia="Arial" w:hAnsi="Arial"/>
                <w:sz w:val="17"/>
                <w:szCs w:val="17"/>
                <w:color w:val="auto"/>
              </w:rPr>
              <w:t>(137.28)</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Other Key Operating and Financial</w:t>
            </w: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 w:type="dxa"/>
            <w:vAlign w:val="bottom"/>
          </w:tcPr>
          <w:p>
            <w:pPr>
              <w:spacing w:after="0"/>
              <w:rPr>
                <w:sz w:val="15"/>
                <w:szCs w:val="15"/>
                <w:color w:val="auto"/>
              </w:rPr>
            </w:pPr>
          </w:p>
        </w:tc>
        <w:tc>
          <w:tcPr>
            <w:tcW w:w="42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7"/>
                <w:szCs w:val="17"/>
                <w:b w:val="1"/>
                <w:bCs w:val="1"/>
                <w:color w:val="auto"/>
              </w:rPr>
              <w:t>Performance Measures</w:t>
            </w:r>
            <w:r>
              <w:rPr>
                <w:rFonts w:ascii="Arial" w:cs="Arial" w:eastAsia="Arial" w:hAnsi="Arial"/>
                <w:sz w:val="14"/>
                <w:szCs w:val="14"/>
                <w:b w:val="1"/>
                <w:bCs w:val="1"/>
                <w:color w:val="auto"/>
              </w:rPr>
              <w:t>(3)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94,523</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76,991</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70,832</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Contribution ex-TAC</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141,500</w:t>
            </w:r>
          </w:p>
        </w:tc>
        <w:tc>
          <w:tcPr>
            <w:tcW w:w="2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110,516</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104,440</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64,526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37,108</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31,782</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24,655</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(7,534)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Net income (loss) as a percentage of gross profit</w:t>
            </w:r>
            <w:r>
              <w:rPr>
                <w:rFonts w:ascii="Arial" w:cs="Arial" w:eastAsia="Arial" w:hAnsi="Arial"/>
                <w:sz w:val="14"/>
                <w:szCs w:val="14"/>
                <w:color w:val="auto"/>
              </w:rPr>
              <w:t>(4)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 as a percentage of contribution</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ex-TAC</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Active customers</w:t>
            </w:r>
            <w:r>
              <w:rPr>
                <w:rFonts w:ascii="Arial" w:cs="Arial" w:eastAsia="Arial" w:hAnsi="Arial"/>
                <w:sz w:val="14"/>
                <w:szCs w:val="14"/>
                <w:color w:val="auto"/>
              </w:rPr>
              <w:t>(5)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Average gross profit per active customer</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Average contribution ex-TAC per active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7"/>
                <w:szCs w:val="17"/>
                <w:color w:val="auto"/>
              </w:rPr>
              <w:t>customer</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458</w:t>
            </w:r>
          </w:p>
        </w:tc>
        <w:tc>
          <w:tcPr>
            <w:tcW w:w="2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419</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377</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6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tbl>
      <w:tblPr>
        <w:tblLayout w:type="fixed"/>
        <w:tblInd w:w="560"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center"/>
              <w:ind w:right="258"/>
              <w:spacing w:after="0"/>
              <w:rPr>
                <w:sz w:val="20"/>
                <w:szCs w:val="20"/>
                <w:color w:val="auto"/>
              </w:rPr>
            </w:pPr>
            <w:r>
              <w:rPr>
                <w:rFonts w:ascii="Arial" w:cs="Arial" w:eastAsia="Arial" w:hAnsi="Arial"/>
                <w:sz w:val="13"/>
                <w:szCs w:val="13"/>
                <w:b w:val="1"/>
                <w:bCs w:val="1"/>
                <w:color w:val="auto"/>
                <w:w w:val="91"/>
              </w:rPr>
              <w:t>As of December 31,</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3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8"/>
              <w:spacing w:after="0" w:line="144" w:lineRule="exact"/>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1"/>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8"/>
              <w:spacing w:after="0" w:line="144"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4"/>
        </w:trPr>
        <w:tc>
          <w:tcPr>
            <w:tcW w:w="3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left="401"/>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Consolidated Balance Sheets Data:</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7"/>
                <w:szCs w:val="17"/>
                <w:color w:val="auto"/>
              </w:rPr>
              <w:t>Cash</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238,480</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9,629</w:t>
            </w:r>
          </w:p>
        </w:tc>
        <w:tc>
          <w:tcPr>
            <w:tcW w:w="4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4,815</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2,655</w:t>
            </w:r>
          </w:p>
        </w:tc>
        <w:tc>
          <w:tcPr>
            <w:tcW w:w="100" w:type="dxa"/>
            <w:vAlign w:val="bottom"/>
          </w:tcPr>
          <w:p>
            <w:pPr>
              <w:spacing w:after="0"/>
              <w:rPr>
                <w:sz w:val="18"/>
                <w:szCs w:val="18"/>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110,739</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89,767</w:t>
            </w: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68,083</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48,497</w:t>
            </w:r>
          </w:p>
        </w:tc>
        <w:tc>
          <w:tcPr>
            <w:tcW w:w="100" w:type="dxa"/>
            <w:vAlign w:val="bottom"/>
            <w:shd w:val="clear" w:color="auto" w:fill="CFF0FC"/>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7"/>
                <w:szCs w:val="17"/>
                <w:color w:val="auto"/>
              </w:rPr>
              <w:t>Total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389,131</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133,520</w:t>
            </w:r>
          </w:p>
        </w:tc>
        <w:tc>
          <w:tcPr>
            <w:tcW w:w="46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106,857</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86,662</w:t>
            </w:r>
          </w:p>
        </w:tc>
        <w:tc>
          <w:tcPr>
            <w:tcW w:w="100" w:type="dxa"/>
            <w:vAlign w:val="bottom"/>
          </w:tcPr>
          <w:p>
            <w:pPr>
              <w:spacing w:after="0"/>
              <w:rPr>
                <w:sz w:val="18"/>
                <w:szCs w:val="18"/>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32,877</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29,763</w:t>
            </w: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20,480</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17,752</w:t>
            </w:r>
          </w:p>
        </w:tc>
        <w:tc>
          <w:tcPr>
            <w:tcW w:w="100" w:type="dxa"/>
            <w:vAlign w:val="bottom"/>
            <w:shd w:val="clear" w:color="auto" w:fill="CFF0FC"/>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7"/>
                <w:szCs w:val="17"/>
                <w:color w:val="auto"/>
              </w:rPr>
              <w:t>Total debt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17,500</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23,535</w:t>
            </w:r>
          </w:p>
        </w:tc>
        <w:tc>
          <w:tcPr>
            <w:tcW w:w="46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17,500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65,955</w:t>
            </w:r>
          </w:p>
        </w:tc>
        <w:tc>
          <w:tcPr>
            <w:tcW w:w="100" w:type="dxa"/>
            <w:vAlign w:val="bottom"/>
          </w:tcPr>
          <w:p>
            <w:pPr>
              <w:spacing w:after="0"/>
              <w:rPr>
                <w:sz w:val="18"/>
                <w:szCs w:val="18"/>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106,557</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105,903</w:t>
            </w: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84,152</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124,859</w:t>
            </w:r>
          </w:p>
        </w:tc>
        <w:tc>
          <w:tcPr>
            <w:tcW w:w="100" w:type="dxa"/>
            <w:vAlign w:val="bottom"/>
            <w:shd w:val="clear" w:color="auto" w:fill="CFF0FC"/>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7"/>
                <w:szCs w:val="17"/>
                <w:color w:val="auto"/>
              </w:rPr>
              <w:t>Convertible preferred units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7,500</w:t>
            </w:r>
          </w:p>
        </w:tc>
        <w:tc>
          <w:tcPr>
            <w:tcW w:w="46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7,500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45,000</w:t>
            </w:r>
          </w:p>
        </w:tc>
        <w:tc>
          <w:tcPr>
            <w:tcW w:w="100" w:type="dxa"/>
            <w:vAlign w:val="bottom"/>
          </w:tcPr>
          <w:p>
            <w:pPr>
              <w:spacing w:after="0"/>
              <w:rPr>
                <w:sz w:val="18"/>
                <w:szCs w:val="18"/>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Total equity (deficit)</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282,574</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20,117</w:t>
            </w: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15,205</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(83,197)</w:t>
            </w:r>
          </w:p>
        </w:tc>
      </w:tr>
    </w:tbl>
    <w:p>
      <w:pPr>
        <w:spacing w:after="0" w:line="101" w:lineRule="exact"/>
        <w:rPr>
          <w:sz w:val="20"/>
          <w:szCs w:val="20"/>
          <w:color w:val="auto"/>
        </w:rPr>
      </w:pPr>
    </w:p>
    <w:p>
      <w:pPr>
        <w:ind w:left="580" w:hanging="579"/>
        <w:spacing w:after="0"/>
        <w:tabs>
          <w:tab w:leader="none" w:pos="580" w:val="left"/>
        </w:tabs>
        <w:numPr>
          <w:ilvl w:val="0"/>
          <w:numId w:val="24"/>
        </w:numPr>
        <w:rPr>
          <w:rFonts w:ascii="Arial" w:cs="Arial" w:eastAsia="Arial" w:hAnsi="Arial"/>
          <w:sz w:val="13"/>
          <w:szCs w:val="13"/>
          <w:color w:val="231F20"/>
        </w:rPr>
      </w:pPr>
      <w:r>
        <w:rPr>
          <w:rFonts w:ascii="Arial" w:cs="Arial" w:eastAsia="Arial" w:hAnsi="Arial"/>
          <w:sz w:val="16"/>
          <w:szCs w:val="16"/>
          <w:color w:val="231F20"/>
        </w:rPr>
        <w:t>Stock/unit-based compensation and depreciation and amortization were included within operating expenses for the periods presented as follows: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4"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9"/>
              <w:spacing w:after="0" w:line="144" w:lineRule="exact"/>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4"/>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(in thousands)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Stock/unit-based compensation:</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Platform operations</w:t>
            </w:r>
          </w:p>
        </w:tc>
        <w:tc>
          <w:tcPr>
            <w:tcW w:w="164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w:t>
            </w:r>
          </w:p>
        </w:tc>
        <w:tc>
          <w:tcPr>
            <w:tcW w:w="4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FF0FC"/>
          </w:tcPr>
          <w:p>
            <w:pPr>
              <w:spacing w:after="0"/>
              <w:rPr>
                <w:sz w:val="18"/>
                <w:szCs w:val="18"/>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Technology and development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4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FF0FC"/>
          </w:tcPr>
          <w:p>
            <w:pPr>
              <w:spacing w:after="0"/>
              <w:rPr>
                <w:sz w:val="18"/>
                <w:szCs w:val="18"/>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7"/>
                <w:szCs w:val="17"/>
                <w:color w:val="auto"/>
              </w:rPr>
              <w:t>Total stock/unit-based compensation</w:t>
            </w:r>
          </w:p>
        </w:tc>
        <w:tc>
          <w:tcPr>
            <w:tcW w:w="14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68,822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1,090</w:t>
            </w:r>
          </w:p>
        </w:tc>
        <w:tc>
          <w:tcPr>
            <w:tcW w:w="4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4"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9"/>
              <w:spacing w:after="0" w:line="144" w:lineRule="exact"/>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4"/>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right"/>
              <w:ind w:right="559"/>
              <w:spacing w:after="0" w:line="144" w:lineRule="exact"/>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Depreciation and amortization:</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Platform operations</w:t>
            </w:r>
          </w:p>
        </w:tc>
        <w:tc>
          <w:tcPr>
            <w:tcW w:w="164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7,338</w:t>
            </w:r>
          </w:p>
        </w:tc>
        <w:tc>
          <w:tcPr>
            <w:tcW w:w="2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7,535</w:t>
            </w:r>
          </w:p>
        </w:tc>
        <w:tc>
          <w:tcPr>
            <w:tcW w:w="4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8,067</w:t>
            </w:r>
          </w:p>
        </w:tc>
        <w:tc>
          <w:tcPr>
            <w:tcW w:w="100" w:type="dxa"/>
            <w:vAlign w:val="bottom"/>
          </w:tcPr>
          <w:p>
            <w:pPr>
              <w:spacing w:after="0"/>
              <w:rPr>
                <w:sz w:val="18"/>
                <w:szCs w:val="18"/>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Technology and development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1,608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1,314</w:t>
            </w:r>
          </w:p>
        </w:tc>
        <w:tc>
          <w:tcPr>
            <w:tcW w:w="100" w:type="dxa"/>
            <w:vAlign w:val="bottom"/>
          </w:tcPr>
          <w:p>
            <w:pPr>
              <w:spacing w:after="0"/>
              <w:rPr>
                <w:sz w:val="18"/>
                <w:szCs w:val="18"/>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4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1,160</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1,247</w:t>
            </w:r>
          </w:p>
        </w:tc>
        <w:tc>
          <w:tcPr>
            <w:tcW w:w="100" w:type="dxa"/>
            <w:vAlign w:val="bottom"/>
            <w:shd w:val="clear" w:color="auto" w:fill="CFF0FC"/>
          </w:tcPr>
          <w:p>
            <w:pPr>
              <w:spacing w:after="0"/>
              <w:rPr>
                <w:sz w:val="18"/>
                <w:szCs w:val="18"/>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7"/>
                <w:szCs w:val="17"/>
                <w:color w:val="auto"/>
              </w:rPr>
              <w:t>Total depreciation and amortization</w:t>
            </w:r>
          </w:p>
        </w:tc>
        <w:tc>
          <w:tcPr>
            <w:tcW w:w="164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10,106</w:t>
            </w:r>
          </w:p>
        </w:tc>
        <w:tc>
          <w:tcPr>
            <w:tcW w:w="2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10,155</w:t>
            </w:r>
          </w:p>
        </w:tc>
        <w:tc>
          <w:tcPr>
            <w:tcW w:w="4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10,628</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See Note 4, Note 5 and Note 9 to our consolidated financial statements included elsewhere in this Annual Report for more information regarding depreciation, amortization and stock/unit-based compensation, respectively.</w:t>
      </w:r>
    </w:p>
    <w:p>
      <w:pPr>
        <w:spacing w:after="0" w:line="65" w:lineRule="exact"/>
        <w:rPr>
          <w:sz w:val="20"/>
          <w:szCs w:val="20"/>
          <w:color w:val="auto"/>
        </w:rPr>
      </w:pPr>
    </w:p>
    <w:p>
      <w:pPr>
        <w:ind w:left="580" w:right="40" w:hanging="579"/>
        <w:spacing w:after="0" w:line="269" w:lineRule="auto"/>
        <w:tabs>
          <w:tab w:leader="none" w:pos="580" w:val="left"/>
        </w:tabs>
        <w:numPr>
          <w:ilvl w:val="0"/>
          <w:numId w:val="25"/>
        </w:numPr>
        <w:rPr>
          <w:rFonts w:ascii="Arial" w:cs="Arial" w:eastAsia="Arial" w:hAnsi="Arial"/>
          <w:sz w:val="14"/>
          <w:szCs w:val="14"/>
          <w:color w:val="231F20"/>
        </w:rPr>
      </w:pPr>
      <w:r>
        <w:rPr>
          <w:rFonts w:ascii="Arial" w:cs="Arial" w:eastAsia="Arial" w:hAnsi="Arial"/>
          <w:sz w:val="17"/>
          <w:szCs w:val="17"/>
          <w:color w:val="231F20"/>
        </w:rPr>
        <w:t>See Note 2 to our consolidated financial statements included elsewhere in this Annual Report for a description of the earnings (loss) per share/unit—basic and diluted computations.</w:t>
      </w:r>
    </w:p>
    <w:p>
      <w:pPr>
        <w:spacing w:after="0" w:line="65" w:lineRule="exact"/>
        <w:rPr>
          <w:rFonts w:ascii="Arial" w:cs="Arial" w:eastAsia="Arial" w:hAnsi="Arial"/>
          <w:sz w:val="14"/>
          <w:szCs w:val="14"/>
          <w:color w:val="231F20"/>
        </w:rPr>
      </w:pPr>
    </w:p>
    <w:p>
      <w:pPr>
        <w:ind w:left="580" w:hanging="579"/>
        <w:spacing w:after="0" w:line="254" w:lineRule="auto"/>
        <w:tabs>
          <w:tab w:leader="none" w:pos="580" w:val="left"/>
        </w:tabs>
        <w:numPr>
          <w:ilvl w:val="0"/>
          <w:numId w:val="25"/>
        </w:numPr>
        <w:rPr>
          <w:rFonts w:ascii="Arial" w:cs="Arial" w:eastAsia="Arial" w:hAnsi="Arial"/>
          <w:sz w:val="14"/>
          <w:szCs w:val="14"/>
          <w:color w:val="231F20"/>
        </w:rPr>
      </w:pPr>
      <w:r>
        <w:rPr>
          <w:rFonts w:ascii="Arial" w:cs="Arial" w:eastAsia="Arial" w:hAnsi="Arial"/>
          <w:sz w:val="17"/>
          <w:szCs w:val="17"/>
          <w:color w:val="231F20"/>
        </w:rPr>
        <w:t>For a detailed discussion of our key operating and financial performance measures and a reconciliation of contribution ex-TAC, adjusted EBITDA, and adjusted EBITDA as a percentage of contribution ex-TAC and average contribution ex-TAC per active customer to the most directly comparable financial measures calculated in accordance with GAAP, see “</w:t>
      </w:r>
      <w:r>
        <w:rPr>
          <w:rFonts w:ascii="Arial" w:cs="Arial" w:eastAsia="Arial" w:hAnsi="Arial"/>
          <w:sz w:val="17"/>
          <w:szCs w:val="17"/>
          <w:i w:val="1"/>
          <w:iCs w:val="1"/>
          <w:color w:val="231F20"/>
        </w:rPr>
        <w:t>Management’s Discussion and Analysis of Financial Condition and Results of Operation—Key Operating</w:t>
      </w:r>
      <w:r>
        <w:rPr>
          <w:rFonts w:ascii="Arial" w:cs="Arial" w:eastAsia="Arial" w:hAnsi="Arial"/>
          <w:sz w:val="17"/>
          <w:szCs w:val="17"/>
          <w:color w:val="231F20"/>
        </w:rPr>
        <w:t xml:space="preserve"> </w:t>
      </w:r>
      <w:r>
        <w:rPr>
          <w:rFonts w:ascii="Arial" w:cs="Arial" w:eastAsia="Arial" w:hAnsi="Arial"/>
          <w:sz w:val="17"/>
          <w:szCs w:val="17"/>
          <w:i w:val="1"/>
          <w:iCs w:val="1"/>
          <w:color w:val="231F20"/>
        </w:rPr>
        <w:t>and Financial Performance Measures—Use of Non-GAAP Financial Measures.</w:t>
      </w:r>
      <w:r>
        <w:rPr>
          <w:rFonts w:ascii="Arial" w:cs="Arial" w:eastAsia="Arial" w:hAnsi="Arial"/>
          <w:sz w:val="17"/>
          <w:szCs w:val="17"/>
          <w:color w:val="231F20"/>
        </w:rPr>
        <w:t>”</w:t>
      </w:r>
    </w:p>
    <w:p>
      <w:pPr>
        <w:spacing w:after="0" w:line="78" w:lineRule="exact"/>
        <w:rPr>
          <w:rFonts w:ascii="Arial" w:cs="Arial" w:eastAsia="Arial" w:hAnsi="Arial"/>
          <w:sz w:val="14"/>
          <w:szCs w:val="14"/>
          <w:color w:val="231F20"/>
        </w:rPr>
      </w:pPr>
    </w:p>
    <w:p>
      <w:pPr>
        <w:ind w:left="580" w:right="200" w:hanging="579"/>
        <w:spacing w:after="0" w:line="269" w:lineRule="auto"/>
        <w:tabs>
          <w:tab w:leader="none" w:pos="580" w:val="left"/>
        </w:tabs>
        <w:numPr>
          <w:ilvl w:val="0"/>
          <w:numId w:val="25"/>
        </w:numPr>
        <w:rPr>
          <w:rFonts w:ascii="Arial" w:cs="Arial" w:eastAsia="Arial" w:hAnsi="Arial"/>
          <w:sz w:val="14"/>
          <w:szCs w:val="14"/>
          <w:color w:val="231F20"/>
        </w:rPr>
      </w:pPr>
      <w:r>
        <w:rPr>
          <w:rFonts w:ascii="Arial" w:cs="Arial" w:eastAsia="Arial" w:hAnsi="Arial"/>
          <w:sz w:val="17"/>
          <w:szCs w:val="17"/>
          <w:color w:val="231F20"/>
        </w:rPr>
        <w:t>Management believes that in periods of net loss, primarily driven by the impact of stock-based compensation, this percentage is not comparable to the other periods presented.</w:t>
      </w:r>
    </w:p>
    <w:p>
      <w:pPr>
        <w:spacing w:after="0" w:line="65" w:lineRule="exact"/>
        <w:rPr>
          <w:rFonts w:ascii="Arial" w:cs="Arial" w:eastAsia="Arial" w:hAnsi="Arial"/>
          <w:sz w:val="14"/>
          <w:szCs w:val="14"/>
          <w:color w:val="231F20"/>
        </w:rPr>
      </w:pPr>
    </w:p>
    <w:p>
      <w:pPr>
        <w:ind w:left="580" w:right="60" w:hanging="579"/>
        <w:spacing w:after="0" w:line="281" w:lineRule="auto"/>
        <w:tabs>
          <w:tab w:leader="none" w:pos="580" w:val="left"/>
        </w:tabs>
        <w:numPr>
          <w:ilvl w:val="0"/>
          <w:numId w:val="25"/>
        </w:numPr>
        <w:rPr>
          <w:rFonts w:ascii="Arial" w:cs="Arial" w:eastAsia="Arial" w:hAnsi="Arial"/>
          <w:sz w:val="13"/>
          <w:szCs w:val="13"/>
          <w:color w:val="231F20"/>
        </w:rPr>
      </w:pPr>
      <w:r>
        <w:rPr>
          <w:rFonts w:ascii="Arial" w:cs="Arial" w:eastAsia="Arial" w:hAnsi="Arial"/>
          <w:sz w:val="16"/>
          <w:szCs w:val="16"/>
          <w:color w:val="231F20"/>
        </w:rPr>
        <w:t>We define an active customer as a customer that had total aggregate contribution ex-TAC of at least $5,000 through our platform during the previous 12 months. Active customers is an operational metric calculated using contribution ex-TAC, a non-GAAP financial measure. For a reconciliation of contribution ex-TAC to the most directly comparable financial measure calculated in accordance with GAAP, see “</w:t>
      </w:r>
      <w:r>
        <w:rPr>
          <w:rFonts w:ascii="Arial" w:cs="Arial" w:eastAsia="Arial" w:hAnsi="Arial"/>
          <w:sz w:val="16"/>
          <w:szCs w:val="16"/>
          <w:i w:val="1"/>
          <w:iCs w:val="1"/>
          <w:color w:val="231F20"/>
        </w:rPr>
        <w:t>Management’s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7"/>
          <w:szCs w:val="17"/>
          <w:i w:val="1"/>
          <w:iCs w:val="1"/>
          <w:color w:val="231F20"/>
        </w:rPr>
        <w:t>Discussion and Analysis of Financial Condition and Results of Operation—Key Operating and Financial Performance Measures—Use of Non-GAAP Financial Measures—Contribution ex-TAC</w:t>
      </w:r>
      <w:r>
        <w:rPr>
          <w:rFonts w:ascii="Arial" w:cs="Arial" w:eastAsia="Arial" w:hAnsi="Arial"/>
          <w:sz w:val="17"/>
          <w:szCs w:val="17"/>
          <w:color w:val="231F20"/>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62865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060"/>
          </w:cols>
          <w:pgMar w:left="900" w:top="127" w:right="9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1" w:lineRule="exact"/>
        <w:rPr>
          <w:sz w:val="20"/>
          <w:szCs w:val="20"/>
          <w:color w:val="auto"/>
        </w:rPr>
      </w:pPr>
    </w:p>
    <w:p>
      <w:pPr>
        <w:ind w:right="120" w:firstLine="589"/>
        <w:spacing w:after="0" w:line="291" w:lineRule="auto"/>
        <w:rPr>
          <w:sz w:val="20"/>
          <w:szCs w:val="20"/>
          <w:color w:val="auto"/>
        </w:rPr>
      </w:pPr>
      <w:r>
        <w:rPr>
          <w:rFonts w:ascii="Arial" w:cs="Arial" w:eastAsia="Arial" w:hAnsi="Arial"/>
          <w:sz w:val="15"/>
          <w:szCs w:val="15"/>
          <w:i w:val="1"/>
          <w:iCs w:val="1"/>
          <w:color w:val="231F20"/>
        </w:rPr>
        <w:t xml:space="preserve">The following Management’s Discussion and Analysis of Financial Condition and Results of Operations should be read in conjunction with, and is qualified in its entirety by reference to, the section entitled </w:t>
      </w:r>
      <w:r>
        <w:rPr>
          <w:rFonts w:ascii="Arial" w:cs="Arial" w:eastAsia="Arial" w:hAnsi="Arial"/>
          <w:sz w:val="15"/>
          <w:szCs w:val="15"/>
          <w:color w:val="231F20"/>
        </w:rPr>
        <w:t>“Selected Financial Data”</w:t>
      </w:r>
      <w:r>
        <w:rPr>
          <w:rFonts w:ascii="Arial" w:cs="Arial" w:eastAsia="Arial" w:hAnsi="Arial"/>
          <w:sz w:val="15"/>
          <w:szCs w:val="15"/>
          <w:i w:val="1"/>
          <w:iCs w:val="1"/>
          <w:color w:val="231F20"/>
        </w:rPr>
        <w:t xml:space="preserve"> and our consolidated financial statements and the related notes included within this Annual Report.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w:t>
      </w:r>
      <w:r>
        <w:rPr>
          <w:rFonts w:ascii="Arial" w:cs="Arial" w:eastAsia="Arial" w:hAnsi="Arial"/>
          <w:sz w:val="15"/>
          <w:szCs w:val="15"/>
          <w:color w:val="231F20"/>
        </w:rPr>
        <w:t>“Special Note Regarding Forward-Looking Statements</w:t>
      </w:r>
      <w:r>
        <w:rPr>
          <w:rFonts w:ascii="Arial" w:cs="Arial" w:eastAsia="Arial" w:hAnsi="Arial"/>
          <w:sz w:val="15"/>
          <w:szCs w:val="15"/>
          <w:i w:val="1"/>
          <w:iCs w:val="1"/>
          <w:color w:val="231F20"/>
        </w:rPr>
        <w:t>” and “</w:t>
      </w:r>
      <w:r>
        <w:rPr>
          <w:rFonts w:ascii="Arial" w:cs="Arial" w:eastAsia="Arial" w:hAnsi="Arial"/>
          <w:sz w:val="15"/>
          <w:szCs w:val="15"/>
          <w:color w:val="231F20"/>
        </w:rPr>
        <w:t>Risk Factors</w:t>
      </w:r>
      <w:r>
        <w:rPr>
          <w:rFonts w:ascii="Arial" w:cs="Arial" w:eastAsia="Arial" w:hAnsi="Arial"/>
          <w:sz w:val="15"/>
          <w:szCs w:val="15"/>
          <w:i w:val="1"/>
          <w:iCs w:val="1"/>
          <w:color w:val="231F20"/>
        </w:rPr>
        <w:t>” and discussed elsewhere in this Annual Report. Additionally, our historical results are not necessarily indicative of the results that may be expected for any period in the future.</w:t>
      </w:r>
    </w:p>
    <w:p>
      <w:pPr>
        <w:spacing w:after="0" w:line="154" w:lineRule="exact"/>
        <w:rPr>
          <w:sz w:val="20"/>
          <w:szCs w:val="20"/>
          <w:color w:val="auto"/>
        </w:rPr>
      </w:pPr>
    </w:p>
    <w:p>
      <w:pPr>
        <w:ind w:right="20" w:firstLine="589"/>
        <w:spacing w:after="0" w:line="254" w:lineRule="auto"/>
        <w:rPr>
          <w:sz w:val="20"/>
          <w:szCs w:val="20"/>
          <w:color w:val="auto"/>
        </w:rPr>
      </w:pPr>
      <w:r>
        <w:rPr>
          <w:rFonts w:ascii="Arial" w:cs="Arial" w:eastAsia="Arial" w:hAnsi="Arial"/>
          <w:sz w:val="17"/>
          <w:szCs w:val="17"/>
          <w:i w:val="1"/>
          <w:iCs w:val="1"/>
          <w:color w:val="auto"/>
        </w:rPr>
        <w:t xml:space="preserve">The following primarily discusses our financial condition and results of operations for our fiscal year ended December 31, 2021 compared to our fiscal year ended December 31, 2020. </w:t>
      </w:r>
      <w:r>
        <w:rPr>
          <w:rFonts w:ascii="Arial" w:cs="Arial" w:eastAsia="Arial" w:hAnsi="Arial"/>
          <w:sz w:val="17"/>
          <w:szCs w:val="17"/>
          <w:i w:val="1"/>
          <w:iCs w:val="1"/>
          <w:color w:val="231F20"/>
        </w:rPr>
        <w:t>Discussions of our financial condition and results of operations for our fiscal year ended December 31, 2020 compared to our fiscal year</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231F20"/>
        </w:rPr>
        <w:t>ended December 31, 2019 can be found in “Management’s Discussion and Analysis of Financial Condition and Results of Operations” included in our Annual Report on Form 10-K for the year ended December 31, 2020, filed with the SEC on March 23,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Overview</w:t>
      </w:r>
    </w:p>
    <w:p>
      <w:pPr>
        <w:spacing w:after="0" w:line="211" w:lineRule="exact"/>
        <w:rPr>
          <w:sz w:val="20"/>
          <w:szCs w:val="20"/>
          <w:color w:val="auto"/>
        </w:rPr>
      </w:pPr>
    </w:p>
    <w:p>
      <w:pPr>
        <w:ind w:right="180" w:firstLine="589"/>
        <w:spacing w:after="0" w:line="258" w:lineRule="auto"/>
        <w:rPr>
          <w:sz w:val="20"/>
          <w:szCs w:val="20"/>
          <w:color w:val="auto"/>
        </w:rPr>
      </w:pPr>
      <w:r>
        <w:rPr>
          <w:rFonts w:ascii="Arial" w:cs="Arial" w:eastAsia="Arial" w:hAnsi="Arial"/>
          <w:sz w:val="17"/>
          <w:szCs w:val="17"/>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75" w:lineRule="exact"/>
        <w:rPr>
          <w:sz w:val="20"/>
          <w:szCs w:val="20"/>
          <w:color w:val="auto"/>
        </w:rPr>
      </w:pPr>
    </w:p>
    <w:p>
      <w:pPr>
        <w:ind w:right="320" w:firstLine="589"/>
        <w:spacing w:after="0" w:line="258" w:lineRule="auto"/>
        <w:rPr>
          <w:sz w:val="20"/>
          <w:szCs w:val="20"/>
          <w:color w:val="auto"/>
        </w:rPr>
      </w:pPr>
      <w:r>
        <w:rPr>
          <w:rFonts w:ascii="Arial" w:cs="Arial" w:eastAsia="Arial" w:hAnsi="Arial"/>
          <w:sz w:val="17"/>
          <w:szCs w:val="17"/>
          <w:color w:val="231F20"/>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in-game, streaming audio and digital billboards.</w:t>
      </w:r>
    </w:p>
    <w:p>
      <w:pPr>
        <w:spacing w:after="0" w:line="175" w:lineRule="exact"/>
        <w:rPr>
          <w:sz w:val="20"/>
          <w:szCs w:val="20"/>
          <w:color w:val="auto"/>
        </w:rPr>
      </w:pPr>
    </w:p>
    <w:p>
      <w:pPr>
        <w:ind w:firstLine="865"/>
        <w:spacing w:after="0" w:line="266" w:lineRule="auto"/>
        <w:rPr>
          <w:sz w:val="20"/>
          <w:szCs w:val="20"/>
          <w:color w:val="auto"/>
        </w:rPr>
      </w:pPr>
      <w:r>
        <w:rPr>
          <w:rFonts w:ascii="Arial" w:cs="Arial" w:eastAsia="Arial" w:hAnsi="Arial"/>
          <w:sz w:val="16"/>
          <w:szCs w:val="16"/>
          <w:color w:val="231F20"/>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 started Xumo, a connected TV streaming service, which was acquired by Comcast Corp. in 2020. In 2015, we completed our first people-based integration. We remained independent until 2016, when Time Inc. acquired a 60% interest in our company through its subsidiary, the Former Holdco. That interest was later acquired by Meredith Corporation when it acquired Time Inc. in 2018. In 2017, we purchased Adelphic, a DSP. Since the Adelphic acquisition, we have materially transformed from a full-service provider of digital advertising solutions into a leading DSP that enables marketers and their advertising agencies to centralize the planning, buying and measurement of their media investments using a people-based framework. We have grown from a business operating from a home office to a company with approximately 350 employees in 10 offices throughout the United States, as of December 31, 2021. In 2019, we entered into the 2019 Former Holdco transaction that resulted in the retirement of the Former Holdco’s interest in our company and the Vanderhook Parties acquired that 60% interest in Viant, allowing it to once again become an independent company. We completed our IPO on February 12, 2021.</w:t>
      </w:r>
    </w:p>
    <w:p>
      <w:pPr>
        <w:spacing w:after="0" w:line="172" w:lineRule="exact"/>
        <w:rPr>
          <w:sz w:val="20"/>
          <w:szCs w:val="20"/>
          <w:color w:val="auto"/>
        </w:rPr>
      </w:pPr>
    </w:p>
    <w:p>
      <w:pPr>
        <w:ind w:right="20" w:firstLine="589"/>
        <w:spacing w:after="0" w:line="272"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8" w:name="page59"/>
    <w:bookmarkEnd w:id="58"/>
    <w:p>
      <w:pPr>
        <w:ind w:right="40" w:firstLine="589"/>
        <w:spacing w:after="0" w:line="266" w:lineRule="auto"/>
        <w:rPr>
          <w:sz w:val="20"/>
          <w:szCs w:val="20"/>
          <w:color w:val="auto"/>
        </w:rPr>
      </w:pPr>
      <w:r>
        <w:rPr>
          <w:rFonts w:ascii="Arial" w:cs="Arial" w:eastAsia="Arial" w:hAnsi="Arial"/>
          <w:sz w:val="16"/>
          <w:szCs w:val="16"/>
          <w:color w:val="231F20"/>
        </w:rPr>
        <w:t>We make our software platform available through different pricing options tailored to multiple customer types and needs. These options consist of a percentage of spend option, a monthly subscription pricing option and a fixed CPM pricing option. “CPM” refers to a payment option in which customers pay a price for every 1,000 impressions an ad receives. Customers can enter into master service agreements (“MSAs”) with us that enable them to use our platform on a self-service basis to execute their advertising campaigns. We generate revenue when our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pricing options provides our customers greater flexibility and access to our platform. Some of our pricing options are relatively new to the market and are not yet material to our business from a financial perspective.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Our financial results for the fiscal years ended December 31, 2021 and 2020 include:</w:t>
      </w:r>
    </w:p>
    <w:p>
      <w:pPr>
        <w:spacing w:after="0" w:line="106" w:lineRule="exact"/>
        <w:rPr>
          <w:sz w:val="20"/>
          <w:szCs w:val="20"/>
          <w:color w:val="auto"/>
        </w:rPr>
      </w:pPr>
    </w:p>
    <w:p>
      <w:pPr>
        <w:ind w:left="1160" w:hanging="581"/>
        <w:spacing w:after="0"/>
        <w:tabs>
          <w:tab w:leader="none" w:pos="1160" w:val="left"/>
        </w:tabs>
        <w:numPr>
          <w:ilvl w:val="0"/>
          <w:numId w:val="26"/>
        </w:numPr>
        <w:rPr>
          <w:rFonts w:ascii="Arial" w:cs="Arial" w:eastAsia="Arial" w:hAnsi="Arial"/>
          <w:sz w:val="15"/>
          <w:szCs w:val="15"/>
          <w:color w:val="auto"/>
        </w:rPr>
      </w:pPr>
      <w:r>
        <w:rPr>
          <w:rFonts w:ascii="Arial" w:cs="Arial" w:eastAsia="Arial" w:hAnsi="Arial"/>
          <w:sz w:val="15"/>
          <w:szCs w:val="15"/>
          <w:color w:val="231F20"/>
        </w:rPr>
        <w:t>Revenue of $224.1 million and $165.3 million for the years ended December 31, 2021 and 2020, respectively, representing an increase of 35.6%;</w:t>
      </w:r>
    </w:p>
    <w:p>
      <w:pPr>
        <w:spacing w:after="0" w:line="129" w:lineRule="exact"/>
        <w:rPr>
          <w:rFonts w:ascii="Arial" w:cs="Arial" w:eastAsia="Arial" w:hAnsi="Arial"/>
          <w:sz w:val="15"/>
          <w:szCs w:val="15"/>
          <w:color w:val="auto"/>
        </w:rPr>
      </w:pPr>
    </w:p>
    <w:p>
      <w:pPr>
        <w:ind w:left="1160" w:hanging="581"/>
        <w:spacing w:after="0"/>
        <w:tabs>
          <w:tab w:leader="none" w:pos="1160" w:val="left"/>
        </w:tabs>
        <w:numPr>
          <w:ilvl w:val="0"/>
          <w:numId w:val="26"/>
        </w:numPr>
        <w:rPr>
          <w:rFonts w:ascii="Arial" w:cs="Arial" w:eastAsia="Arial" w:hAnsi="Arial"/>
          <w:sz w:val="15"/>
          <w:szCs w:val="15"/>
          <w:color w:val="auto"/>
        </w:rPr>
      </w:pPr>
      <w:r>
        <w:rPr>
          <w:rFonts w:ascii="Arial" w:cs="Arial" w:eastAsia="Arial" w:hAnsi="Arial"/>
          <w:sz w:val="15"/>
          <w:szCs w:val="15"/>
          <w:color w:val="231F20"/>
        </w:rPr>
        <w:t>Gross profit of $94.5 million and $77.0 million for the years ended December 31, 2021 and 2020, respectively, representing an increase of 22.8%;</w:t>
      </w:r>
    </w:p>
    <w:p>
      <w:pPr>
        <w:spacing w:after="0" w:line="129" w:lineRule="exact"/>
        <w:rPr>
          <w:rFonts w:ascii="Arial" w:cs="Arial" w:eastAsia="Arial" w:hAnsi="Arial"/>
          <w:sz w:val="15"/>
          <w:szCs w:val="15"/>
          <w:color w:val="auto"/>
        </w:rPr>
      </w:pPr>
    </w:p>
    <w:p>
      <w:pPr>
        <w:ind w:left="1160" w:right="100" w:hanging="581"/>
        <w:spacing w:after="0" w:line="269" w:lineRule="auto"/>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Contribution ex-TAC* of $141.5 million and $110.5 million for the years ended December 31, 2021 and 2020, respectively, representing an increase of 28.0%;</w:t>
      </w:r>
    </w:p>
    <w:p>
      <w:pPr>
        <w:spacing w:after="0" w:line="65" w:lineRule="exact"/>
        <w:rPr>
          <w:rFonts w:ascii="Arial" w:cs="Arial" w:eastAsia="Arial" w:hAnsi="Arial"/>
          <w:sz w:val="17"/>
          <w:szCs w:val="17"/>
          <w:color w:val="auto"/>
        </w:rPr>
      </w:pPr>
    </w:p>
    <w:p>
      <w:pPr>
        <w:ind w:left="1160" w:hanging="581"/>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Net loss of $37.6 million and net income of $20.6 million for the years ended December 31, 2021 and 2020, respectively;</w:t>
      </w:r>
    </w:p>
    <w:p>
      <w:pPr>
        <w:spacing w:after="0" w:line="106" w:lineRule="exact"/>
        <w:rPr>
          <w:rFonts w:ascii="Arial" w:cs="Arial" w:eastAsia="Arial" w:hAnsi="Arial"/>
          <w:sz w:val="17"/>
          <w:szCs w:val="17"/>
          <w:color w:val="auto"/>
        </w:rPr>
      </w:pPr>
    </w:p>
    <w:p>
      <w:pPr>
        <w:ind w:left="1160" w:hanging="581"/>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Non-GAAP net income* of $23.9 million and $20.6 million for the years ended December 31, 2021 and 2020, respectively; and</w:t>
      </w:r>
    </w:p>
    <w:p>
      <w:pPr>
        <w:spacing w:after="0" w:line="106" w:lineRule="exact"/>
        <w:rPr>
          <w:rFonts w:ascii="Arial" w:cs="Arial" w:eastAsia="Arial" w:hAnsi="Arial"/>
          <w:sz w:val="17"/>
          <w:szCs w:val="17"/>
          <w:color w:val="auto"/>
        </w:rPr>
      </w:pPr>
    </w:p>
    <w:p>
      <w:pPr>
        <w:ind w:left="1160" w:hanging="581"/>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Adjusted EBITDA* of $37.1 million and $31.8 million for the years ended December 31, 2021 and 2020, respectively.</w:t>
      </w:r>
    </w:p>
    <w:p>
      <w:pPr>
        <w:spacing w:after="0" w:line="207" w:lineRule="exact"/>
        <w:rPr>
          <w:sz w:val="20"/>
          <w:szCs w:val="20"/>
          <w:color w:val="auto"/>
        </w:rPr>
      </w:pPr>
    </w:p>
    <w:p>
      <w:pPr>
        <w:jc w:val="both"/>
        <w:ind w:right="140" w:firstLine="589"/>
        <w:spacing w:after="0" w:line="308" w:lineRule="auto"/>
        <w:rPr>
          <w:sz w:val="20"/>
          <w:szCs w:val="20"/>
          <w:color w:val="auto"/>
        </w:rPr>
      </w:pPr>
      <w:r>
        <w:rPr>
          <w:rFonts w:ascii="Arial" w:cs="Arial" w:eastAsia="Arial" w:hAnsi="Arial"/>
          <w:sz w:val="15"/>
          <w:szCs w:val="15"/>
          <w:color w:val="231F20"/>
        </w:rPr>
        <w:t>*Contribution ex-TAC, non-GAAP net income and adjusted EBITDA are non-GAAP financial measures. For a detailed discussion of our key operating and financial performance measures and a reconciliation of contribution ex-TAC, non-GAAP net income and adjusted EBITDA to the most directly comparable financial measures calculated in accordance with GAAP, see “—Key Operating and Financial Performance Measures—Use of Non-GAAP Financial Measures.”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Factors Affecting Our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COVID-19</w:t>
      </w:r>
    </w:p>
    <w:p>
      <w:pPr>
        <w:spacing w:after="0" w:line="207" w:lineRule="exact"/>
        <w:rPr>
          <w:sz w:val="20"/>
          <w:szCs w:val="20"/>
          <w:color w:val="auto"/>
        </w:rPr>
      </w:pPr>
    </w:p>
    <w:p>
      <w:pPr>
        <w:jc w:val="both"/>
        <w:ind w:right="380" w:firstLine="589"/>
        <w:spacing w:after="0" w:line="337" w:lineRule="auto"/>
        <w:rPr>
          <w:sz w:val="20"/>
          <w:szCs w:val="20"/>
          <w:color w:val="auto"/>
        </w:rPr>
      </w:pPr>
      <w:r>
        <w:rPr>
          <w:rFonts w:ascii="Arial" w:cs="Arial" w:eastAsia="Arial" w:hAnsi="Arial"/>
          <w:sz w:val="15"/>
          <w:szCs w:val="15"/>
          <w:color w:val="231F20"/>
        </w:rPr>
        <w:t>In March 2020, the World Health Organization characterized the coronavirus (“COVID-19”) a pandemic, and in March 2020, the President of the United States declared the COVID-19 outbreak a national emergency. COVID-19 has spread across the globe since 2020 and has impacted economic activity worldwide.</w:t>
      </w:r>
    </w:p>
    <w:p>
      <w:pPr>
        <w:spacing w:after="0" w:line="119" w:lineRule="exact"/>
        <w:rPr>
          <w:sz w:val="20"/>
          <w:szCs w:val="20"/>
          <w:color w:val="auto"/>
        </w:rPr>
      </w:pPr>
    </w:p>
    <w:p>
      <w:pPr>
        <w:ind w:firstLine="865"/>
        <w:spacing w:after="0" w:line="313" w:lineRule="auto"/>
        <w:rPr>
          <w:sz w:val="20"/>
          <w:szCs w:val="20"/>
          <w:color w:val="auto"/>
        </w:rPr>
      </w:pPr>
      <w:r>
        <w:rPr>
          <w:rFonts w:ascii="Arial" w:cs="Arial" w:eastAsia="Arial" w:hAnsi="Arial"/>
          <w:sz w:val="14"/>
          <w:szCs w:val="14"/>
          <w:color w:val="231F20"/>
        </w:rPr>
        <w:t>The challenges posed by the COVID-19 pandemic on the global economy continued throughout 2021. In response to COVID-19, national and local governments around the world have instituted certain measures, including travel bans, vaccine mandates, prohibitions on group events and gatherings, shutdowns of certain businesses, curfews, shelter-in-place orders and recommendations to practice social distancing. We instituted temporary salary reductions in the second and third quarters of 2020 due to COVID-19. In the fourth quarter of 2020, normal salaries were reinstated and we paid employees for the amounts by which their salaries had been reduced in the second and third quarters of 2020. Salaries were not impacted by the pandemic in 2021. During 2020, certain marketers in industries such as travel and tourism, retail and automotive, decreased or paused their advertising spend as a response to the economic uncertainty. The advertising spend in some of these industries increased in 2021 compared to 2020 as the effects of the pandemic became, or were perceived to have become, less volatile. Our revenue and adjusted EBITDA were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spacing w:after="0" w:line="291" w:lineRule="auto"/>
        <w:rPr>
          <w:sz w:val="20"/>
          <w:szCs w:val="20"/>
          <w:color w:val="auto"/>
        </w:rPr>
      </w:pPr>
      <w:r>
        <w:rPr>
          <w:rFonts w:ascii="Arial" w:cs="Arial" w:eastAsia="Arial" w:hAnsi="Arial"/>
          <w:sz w:val="15"/>
          <w:szCs w:val="15"/>
          <w:color w:val="231F20"/>
        </w:rPr>
        <w:t xml:space="preserve">negatively impacted throughout 2020 and 2021 as a result of the COVID-19 pandemic, however with vaccines being made widely available during 2021, the impact of the pandemic on our business and operations was less significant for the year ended December 31, 2021. The ultimate impact of COVID-19 on our results of operations, financial condition and cash flows is dependent on future developments, including the duration of the pandemic, emerging variant strains </w:t>
      </w:r>
      <w:r>
        <w:rPr>
          <w:rFonts w:ascii="Arial" w:cs="Arial" w:eastAsia="Arial" w:hAnsi="Arial"/>
          <w:sz w:val="15"/>
          <w:szCs w:val="15"/>
          <w:color w:val="000000"/>
        </w:rPr>
        <w:t>of the virus with varying degrees</w:t>
      </w:r>
      <w:r>
        <w:rPr>
          <w:rFonts w:ascii="Arial" w:cs="Arial" w:eastAsia="Arial" w:hAnsi="Arial"/>
          <w:sz w:val="15"/>
          <w:szCs w:val="15"/>
          <w:color w:val="231F20"/>
        </w:rPr>
        <w:t xml:space="preserve"> </w:t>
      </w:r>
      <w:r>
        <w:rPr>
          <w:rFonts w:ascii="Arial" w:cs="Arial" w:eastAsia="Arial" w:hAnsi="Arial"/>
          <w:sz w:val="15"/>
          <w:szCs w:val="15"/>
          <w:color w:val="000000"/>
        </w:rPr>
        <w:t>of vaccine resistance</w:t>
      </w:r>
      <w:r>
        <w:rPr>
          <w:rFonts w:ascii="Arial" w:cs="Arial" w:eastAsia="Arial" w:hAnsi="Arial"/>
          <w:sz w:val="15"/>
          <w:szCs w:val="15"/>
          <w:color w:val="231F20"/>
        </w:rPr>
        <w:t>, and the related length of its impact on the global economy, which are uncertain and cannot be predicted at this time. See “</w:t>
      </w:r>
      <w:r>
        <w:rPr>
          <w:rFonts w:ascii="Arial" w:cs="Arial" w:eastAsia="Arial" w:hAnsi="Arial"/>
          <w:sz w:val="15"/>
          <w:szCs w:val="15"/>
          <w:i w:val="1"/>
          <w:iCs w:val="1"/>
          <w:color w:val="231F20"/>
        </w:rPr>
        <w:t>Risk Factors—The effects of</w:t>
      </w:r>
      <w:r>
        <w:rPr>
          <w:rFonts w:ascii="Arial" w:cs="Arial" w:eastAsia="Arial" w:hAnsi="Arial"/>
          <w:sz w:val="15"/>
          <w:szCs w:val="15"/>
          <w:color w:val="000000"/>
        </w:rPr>
        <w:t xml:space="preserve"> </w:t>
      </w:r>
      <w:r>
        <w:rPr>
          <w:rFonts w:ascii="Arial" w:cs="Arial" w:eastAsia="Arial" w:hAnsi="Arial"/>
          <w:sz w:val="15"/>
          <w:szCs w:val="15"/>
          <w:i w:val="1"/>
          <w:iCs w:val="1"/>
          <w:color w:val="231F20"/>
        </w:rPr>
        <w:t>the ongoing COVID-19 pandemic and other adverse market events have had, and could in the future have, an adverse impact on our business, operating results and financial condition</w:t>
      </w:r>
      <w:r>
        <w:rPr>
          <w:rFonts w:ascii="Arial" w:cs="Arial" w:eastAsia="Arial" w:hAnsi="Arial"/>
          <w:sz w:val="15"/>
          <w:szCs w:val="15"/>
          <w:color w:val="231F20"/>
        </w:rPr>
        <w:t>” for further discussion of the potential impacts of COVID-19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Attract, Retain and Grow our Customer Base</w:t>
      </w:r>
    </w:p>
    <w:p>
      <w:pPr>
        <w:spacing w:after="0" w:line="207" w:lineRule="exact"/>
        <w:rPr>
          <w:sz w:val="20"/>
          <w:szCs w:val="20"/>
          <w:color w:val="auto"/>
        </w:rPr>
      </w:pPr>
    </w:p>
    <w:p>
      <w:pPr>
        <w:ind w:firstLine="589"/>
        <w:spacing w:after="0" w:line="268" w:lineRule="auto"/>
        <w:rPr>
          <w:sz w:val="20"/>
          <w:szCs w:val="20"/>
          <w:color w:val="auto"/>
        </w:rPr>
      </w:pPr>
      <w:r>
        <w:rPr>
          <w:rFonts w:ascii="Arial" w:cs="Arial" w:eastAsia="Arial" w:hAnsi="Arial"/>
          <w:sz w:val="16"/>
          <w:szCs w:val="16"/>
          <w:color w:val="231F20"/>
        </w:rPr>
        <w:t>Our recent growth has been driven by expanding the usage of our platform by our existing customers as well as adding new customers. We believe that our customers value our solutions, as our average gross profit per active customer has increased from $292,000 to $306,000, an increase of $14,000 or 4.8%, from the year ended December 31, 2020 to the year ended December 31, 2021, respectively, and our average contribution ex-TAC per active customer has increased from $419,000 to $458,000, an increase of $39,000 or 9.3%, from the year ended December 31, 2020 to the year ended December 31, 2021, respectively. We define an “active customer” as a customer that had total aggregate contribution ex-TAC of at least $5,000 through our platform during the previous twelve months. Active customers increased by 45 customers or 17.0%, from fiscal 2020 to fiscal 2021. For a detailed discussion of our key operating measures including the definition of active customers, see “</w:t>
      </w:r>
      <w:r>
        <w:rPr>
          <w:rFonts w:ascii="Arial" w:cs="Arial" w:eastAsia="Arial" w:hAnsi="Arial"/>
          <w:sz w:val="16"/>
          <w:szCs w:val="16"/>
          <w:i w:val="1"/>
          <w:iCs w:val="1"/>
          <w:color w:val="231F20"/>
        </w:rPr>
        <w:t>—Key Operating and Financial Performance Measures—Use of Non-GAAP Financial Measures</w:t>
      </w:r>
      <w:r>
        <w:rPr>
          <w:rFonts w:ascii="Arial" w:cs="Arial" w:eastAsia="Arial" w:hAnsi="Arial"/>
          <w:sz w:val="16"/>
          <w:szCs w:val="16"/>
          <w:color w:val="231F20"/>
        </w:rPr>
        <w:t>.”</w:t>
      </w:r>
    </w:p>
    <w:p>
      <w:pPr>
        <w:spacing w:after="0" w:line="172" w:lineRule="exact"/>
        <w:rPr>
          <w:sz w:val="20"/>
          <w:szCs w:val="20"/>
          <w:color w:val="auto"/>
        </w:rPr>
      </w:pPr>
    </w:p>
    <w:p>
      <w:pPr>
        <w:ind w:right="60" w:firstLine="589"/>
        <w:spacing w:after="0" w:line="251" w:lineRule="auto"/>
        <w:rPr>
          <w:sz w:val="20"/>
          <w:szCs w:val="20"/>
          <w:color w:val="auto"/>
        </w:rPr>
      </w:pPr>
      <w:r>
        <w:rPr>
          <w:rFonts w:ascii="Arial" w:cs="Arial" w:eastAsia="Arial" w:hAnsi="Arial"/>
          <w:sz w:val="17"/>
          <w:szCs w:val="17"/>
          <w:color w:val="231F20"/>
        </w:rPr>
        <w:t>We continue to add functionality to our software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marketing efforts to increase awareness of our DSP platform, Adelphic,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Investment in Growth</w:t>
      </w:r>
    </w:p>
    <w:p>
      <w:pPr>
        <w:spacing w:after="0" w:line="207" w:lineRule="exact"/>
        <w:rPr>
          <w:sz w:val="20"/>
          <w:szCs w:val="20"/>
          <w:color w:val="auto"/>
        </w:rPr>
      </w:pPr>
    </w:p>
    <w:p>
      <w:pPr>
        <w:ind w:right="40" w:firstLine="865"/>
        <w:spacing w:after="0" w:line="252" w:lineRule="auto"/>
        <w:rPr>
          <w:sz w:val="20"/>
          <w:szCs w:val="20"/>
          <w:color w:val="auto"/>
        </w:rPr>
      </w:pPr>
      <w:r>
        <w:rPr>
          <w:rFonts w:ascii="Arial" w:cs="Arial" w:eastAsia="Arial" w:hAnsi="Arial"/>
          <w:sz w:val="17"/>
          <w:szCs w:val="17"/>
          <w:color w:val="231F20"/>
        </w:rPr>
        <w:t>We believe that the advertising market is in the early stages of a shift toward programmatic advertising. We plan to invest for long-term growth. We anticipate that our operating expenses will increase significantly in the foreseeable future as we invest in platform operations, technology and development to enhance our product capabilities including identity resolution and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Growth of the Digital Advertising Market and Macroeconomics Factors</w:t>
      </w:r>
    </w:p>
    <w:p>
      <w:pPr>
        <w:spacing w:after="0" w:line="207" w:lineRule="exact"/>
        <w:rPr>
          <w:sz w:val="20"/>
          <w:szCs w:val="20"/>
          <w:color w:val="auto"/>
        </w:rPr>
      </w:pPr>
    </w:p>
    <w:p>
      <w:pPr>
        <w:ind w:right="120" w:firstLine="865"/>
        <w:spacing w:after="0" w:line="275"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Seasonality</w:t>
      </w:r>
    </w:p>
    <w:p>
      <w:pPr>
        <w:spacing w:after="0" w:line="207" w:lineRule="exact"/>
        <w:rPr>
          <w:sz w:val="20"/>
          <w:szCs w:val="20"/>
          <w:color w:val="auto"/>
        </w:rPr>
      </w:pPr>
    </w:p>
    <w:p>
      <w:pPr>
        <w:ind w:right="60" w:firstLine="865"/>
        <w:spacing w:after="0" w:line="281" w:lineRule="auto"/>
        <w:rPr>
          <w:sz w:val="20"/>
          <w:szCs w:val="20"/>
          <w:color w:val="auto"/>
        </w:rPr>
      </w:pPr>
      <w:r>
        <w:rPr>
          <w:rFonts w:ascii="Arial" w:cs="Arial" w:eastAsia="Arial" w:hAnsi="Arial"/>
          <w:sz w:val="16"/>
          <w:szCs w:val="16"/>
          <w:color w:val="231F20"/>
        </w:rPr>
        <w:t>Advertising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0" w:name="page61"/>
    <w:bookmarkEnd w:id="60"/>
    <w:p>
      <w:pPr>
        <w:jc w:val="both"/>
        <w:ind w:right="280"/>
        <w:spacing w:after="0" w:line="275" w:lineRule="auto"/>
        <w:rPr>
          <w:sz w:val="20"/>
          <w:szCs w:val="20"/>
          <w:color w:val="auto"/>
        </w:rPr>
      </w:pPr>
      <w:r>
        <w:rPr>
          <w:rFonts w:ascii="Arial" w:cs="Arial" w:eastAsia="Arial" w:hAnsi="Arial"/>
          <w:sz w:val="16"/>
          <w:szCs w:val="16"/>
          <w:color w:val="231F20"/>
        </w:rPr>
        <w:t>due to the continued growth of our business. In addition, historical seasonality may not be predictive of future results given the potential for changes in advertising buying patterns and consumer activity due to COVID-19.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231F20"/>
        </w:rPr>
        <w:t>We have one primary business activity and operate in a single operating and reportable segment.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Revenue</w:t>
      </w:r>
    </w:p>
    <w:p>
      <w:pPr>
        <w:spacing w:after="0" w:line="207" w:lineRule="exact"/>
        <w:rPr>
          <w:sz w:val="20"/>
          <w:szCs w:val="20"/>
          <w:color w:val="auto"/>
        </w:rPr>
      </w:pPr>
    </w:p>
    <w:p>
      <w:pPr>
        <w:ind w:right="20" w:firstLine="589"/>
        <w:spacing w:after="0" w:line="299" w:lineRule="auto"/>
        <w:rPr>
          <w:sz w:val="20"/>
          <w:szCs w:val="20"/>
          <w:color w:val="auto"/>
        </w:rPr>
      </w:pPr>
      <w:r>
        <w:rPr>
          <w:rFonts w:ascii="Arial" w:cs="Arial" w:eastAsia="Arial" w:hAnsi="Arial"/>
          <w:sz w:val="15"/>
          <w:szCs w:val="15"/>
          <w:color w:val="231F20"/>
        </w:rPr>
        <w:t>We generate revenue by providing marketers and their advertising agencies with the ability to plan, buy and measure their digital advertising campaigns using our people-based DSP. We maintain agreements with customers in the form of MSAs (in connection with the percentage of spend and monthly subscription pricing options, as well as in instances where we charge our customers a flat monthly fee for services in connection with data management and advanced reporting) and IOs (in connection with the fixed CPM pricing option) which set out the terms of the relationship and use of our platform.</w:t>
      </w:r>
    </w:p>
    <w:p>
      <w:pPr>
        <w:spacing w:after="0" w:line="147" w:lineRule="exact"/>
        <w:rPr>
          <w:sz w:val="20"/>
          <w:szCs w:val="20"/>
          <w:color w:val="auto"/>
        </w:rPr>
      </w:pPr>
    </w:p>
    <w:p>
      <w:pPr>
        <w:ind w:firstLine="589"/>
        <w:spacing w:after="0" w:line="268" w:lineRule="auto"/>
        <w:rPr>
          <w:sz w:val="20"/>
          <w:szCs w:val="20"/>
          <w:color w:val="auto"/>
        </w:rPr>
      </w:pPr>
      <w:r>
        <w:rPr>
          <w:rFonts w:ascii="Arial" w:cs="Arial" w:eastAsia="Arial" w:hAnsi="Arial"/>
          <w:sz w:val="16"/>
          <w:szCs w:val="16"/>
          <w:color w:val="231F20"/>
        </w:rPr>
        <w:t>We recognize revenue when we transfer control of promised services directly to our customers in an amount that reflects the consideration to which we expect to be entitled in exchange for those services. For the percentage of spend pricing option, we recognize revenue at the point in time when a purchase by the customer occurs through our platform. For the monthly subscription pricing option, we recognize subscription fees as revenue over time on a ratable basis over the term of the agreement. In both instances, revenue is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For data management and advanced reporting services, we recognize revenue over time on a ratable basis over the term of the agreement.</w:t>
      </w:r>
    </w:p>
    <w:p>
      <w:pPr>
        <w:spacing w:after="0" w:line="172" w:lineRule="exact"/>
        <w:rPr>
          <w:sz w:val="20"/>
          <w:szCs w:val="20"/>
          <w:color w:val="auto"/>
        </w:rPr>
      </w:pPr>
    </w:p>
    <w:p>
      <w:pPr>
        <w:ind w:right="140" w:firstLine="589"/>
        <w:spacing w:after="0" w:line="300" w:lineRule="auto"/>
        <w:rPr>
          <w:sz w:val="20"/>
          <w:szCs w:val="20"/>
          <w:color w:val="auto"/>
        </w:rPr>
      </w:pPr>
      <w:r>
        <w:rPr>
          <w:rFonts w:ascii="Arial" w:cs="Arial" w:eastAsia="Arial" w:hAnsi="Arial"/>
          <w:sz w:val="16"/>
          <w:szCs w:val="16"/>
          <w:color w:val="231F20"/>
        </w:rPr>
        <w:t>For the fixed CPM pricing option, we recognize revenue at the point in time when the advertising impressions are delivered to the customer. This revenue is reported gross of any amounts incurred and payable to suppliers for TAC, since we control such features prior to transfer to the customer.</w:t>
      </w:r>
    </w:p>
    <w:p>
      <w:pPr>
        <w:spacing w:after="0" w:line="144" w:lineRule="exact"/>
        <w:rPr>
          <w:sz w:val="20"/>
          <w:szCs w:val="20"/>
          <w:color w:val="auto"/>
        </w:rPr>
      </w:pPr>
    </w:p>
    <w:p>
      <w:pPr>
        <w:ind w:right="300" w:firstLine="865"/>
        <w:spacing w:after="0" w:line="300" w:lineRule="auto"/>
        <w:rPr>
          <w:sz w:val="20"/>
          <w:szCs w:val="20"/>
          <w:color w:val="auto"/>
        </w:rPr>
      </w:pPr>
      <w:r>
        <w:rPr>
          <w:rFonts w:ascii="Arial" w:cs="Arial" w:eastAsia="Arial" w:hAnsi="Arial"/>
          <w:sz w:val="16"/>
          <w:szCs w:val="16"/>
          <w:color w:val="231F20"/>
        </w:rPr>
        <w:t>We expect the portion of our revenue derived from the percentage of spend and monthly subscription pricing options to increase in the aggregate over time, which would reduce the percentage of revenue that we recognize on a gross basis in connection with the fixed CPM pricing option.</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See “</w:t>
      </w:r>
      <w:r>
        <w:rPr>
          <w:rFonts w:ascii="Arial" w:cs="Arial" w:eastAsia="Arial" w:hAnsi="Arial"/>
          <w:sz w:val="17"/>
          <w:szCs w:val="17"/>
          <w:i w:val="1"/>
          <w:iCs w:val="1"/>
          <w:color w:val="231F20"/>
        </w:rPr>
        <w:t>Critical Accounting Estimates—Revenue Recognition</w:t>
      </w:r>
      <w:r>
        <w:rPr>
          <w:rFonts w:ascii="Arial" w:cs="Arial" w:eastAsia="Arial" w:hAnsi="Arial"/>
          <w:sz w:val="17"/>
          <w:szCs w:val="17"/>
          <w:color w:val="231F20"/>
        </w:rPr>
        <w:t>” for a description of our revenue recognition policies.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Operating Expenses</w:t>
      </w:r>
    </w:p>
    <w:p>
      <w:pPr>
        <w:spacing w:after="0" w:line="20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231F20"/>
        </w:rPr>
        <w:t>We classify our operating expenses into the following four categories. Each expense category includes overhead such as rent and occupancy charges, which is allocated based on headcount.</w:t>
      </w:r>
    </w:p>
    <w:p>
      <w:pPr>
        <w:spacing w:after="0" w:line="166" w:lineRule="exact"/>
        <w:rPr>
          <w:sz w:val="20"/>
          <w:szCs w:val="20"/>
          <w:color w:val="auto"/>
        </w:rPr>
      </w:pPr>
    </w:p>
    <w:p>
      <w:pPr>
        <w:ind w:right="340" w:firstLine="589"/>
        <w:spacing w:after="0" w:line="299" w:lineRule="auto"/>
        <w:rPr>
          <w:sz w:val="20"/>
          <w:szCs w:val="20"/>
          <w:color w:val="auto"/>
        </w:rPr>
      </w:pPr>
      <w:r>
        <w:rPr>
          <w:rFonts w:ascii="Arial" w:cs="Arial" w:eastAsia="Arial" w:hAnsi="Arial"/>
          <w:sz w:val="15"/>
          <w:szCs w:val="15"/>
          <w:i w:val="1"/>
          <w:iCs w:val="1"/>
          <w:color w:val="231F20"/>
        </w:rPr>
        <w:t>Platform Operations</w:t>
      </w:r>
      <w:r>
        <w:rPr>
          <w:rFonts w:ascii="Arial" w:cs="Arial" w:eastAsia="Arial" w:hAnsi="Arial"/>
          <w:sz w:val="15"/>
          <w:szCs w:val="15"/>
          <w:color w:val="231F20"/>
        </w:rPr>
        <w:t>. Platform operations expense represents our cost of revenues, which consists of TAC, hosting costs, personnel costs, depreciation of</w:t>
      </w:r>
      <w:r>
        <w:rPr>
          <w:rFonts w:ascii="Arial" w:cs="Arial" w:eastAsia="Arial" w:hAnsi="Arial"/>
          <w:sz w:val="15"/>
          <w:szCs w:val="15"/>
          <w:i w:val="1"/>
          <w:iCs w:val="1"/>
          <w:color w:val="231F20"/>
        </w:rPr>
        <w:t xml:space="preserve"> </w:t>
      </w:r>
      <w:r>
        <w:rPr>
          <w:rFonts w:ascii="Arial" w:cs="Arial" w:eastAsia="Arial" w:hAnsi="Arial"/>
          <w:sz w:val="15"/>
          <w:szCs w:val="15"/>
          <w:color w:val="231F20"/>
        </w:rPr>
        <w:t>capitalized software development costs related to our platform, customer support costs and allocated overhead. TAC recorded in platform operations consist of amounts incurred and payable to suppliers for costs associated with our fixed CPM pricing option. Personnel costs within platform operations include salaries, bonuses, stock/unit-based compensation and employee benefit costs primarily attributable to personnel who directly support our platform.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1" w:name="page62"/>
    <w:bookmarkEnd w:id="61"/>
    <w:p>
      <w:pPr>
        <w:ind w:right="100" w:firstLine="589"/>
        <w:spacing w:after="0" w:line="252" w:lineRule="auto"/>
        <w:rPr>
          <w:sz w:val="20"/>
          <w:szCs w:val="20"/>
          <w:color w:val="auto"/>
        </w:rPr>
      </w:pPr>
      <w:r>
        <w:rPr>
          <w:rFonts w:ascii="Arial" w:cs="Arial" w:eastAsia="Arial" w:hAnsi="Arial"/>
          <w:sz w:val="17"/>
          <w:szCs w:val="17"/>
          <w:color w:val="231F20"/>
        </w:rPr>
        <w:t>Other than TAC, many of the costs included in platform operations expense do not increase or decrease proportionately with increases or decreases in our revenue. We expect platform operations expenses to increase in future periods, including as a result of stock-based compensation and depreciation of capitalized software development costs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spacing w:after="0" w:line="181" w:lineRule="exact"/>
        <w:rPr>
          <w:sz w:val="20"/>
          <w:szCs w:val="20"/>
          <w:color w:val="auto"/>
        </w:rPr>
      </w:pPr>
    </w:p>
    <w:p>
      <w:pPr>
        <w:ind w:right="340" w:firstLine="589"/>
        <w:spacing w:after="0" w:line="258" w:lineRule="auto"/>
        <w:rPr>
          <w:sz w:val="20"/>
          <w:szCs w:val="20"/>
          <w:color w:val="auto"/>
        </w:rPr>
      </w:pPr>
      <w:r>
        <w:rPr>
          <w:rFonts w:ascii="Arial" w:cs="Arial" w:eastAsia="Arial" w:hAnsi="Arial"/>
          <w:sz w:val="17"/>
          <w:szCs w:val="17"/>
          <w:i w:val="1"/>
          <w:iCs w:val="1"/>
          <w:color w:val="231F20"/>
        </w:rPr>
        <w:t>Sales and Marketing</w:t>
      </w:r>
      <w:r>
        <w:rPr>
          <w:rFonts w:ascii="Arial" w:cs="Arial" w:eastAsia="Arial" w:hAnsi="Arial"/>
          <w:sz w:val="17"/>
          <w:szCs w:val="17"/>
          <w:color w:val="231F20"/>
        </w:rPr>
        <w:t>. Sales and marketing expense consists primarily of personnel costs, including salaries, bonuses, stock/unit-based compensation,</w:t>
      </w:r>
      <w:r>
        <w:rPr>
          <w:rFonts w:ascii="Arial" w:cs="Arial" w:eastAsia="Arial" w:hAnsi="Arial"/>
          <w:sz w:val="17"/>
          <w:szCs w:val="17"/>
          <w:i w:val="1"/>
          <w:iCs w:val="1"/>
          <w:color w:val="231F20"/>
        </w:rPr>
        <w:t xml:space="preserve"> </w:t>
      </w:r>
      <w:r>
        <w:rPr>
          <w:rFonts w:ascii="Arial" w:cs="Arial" w:eastAsia="Arial" w:hAnsi="Arial"/>
          <w:sz w:val="17"/>
          <w:szCs w:val="17"/>
          <w:color w:val="231F20"/>
        </w:rPr>
        <w:t>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75" w:lineRule="exact"/>
        <w:rPr>
          <w:sz w:val="20"/>
          <w:szCs w:val="20"/>
          <w:color w:val="auto"/>
        </w:rPr>
      </w:pPr>
    </w:p>
    <w:p>
      <w:pPr>
        <w:jc w:val="both"/>
        <w:ind w:firstLine="589"/>
        <w:spacing w:after="0" w:line="299" w:lineRule="auto"/>
        <w:rPr>
          <w:sz w:val="20"/>
          <w:szCs w:val="20"/>
          <w:color w:val="auto"/>
        </w:rPr>
      </w:pPr>
      <w:r>
        <w:rPr>
          <w:rFonts w:ascii="Arial" w:cs="Arial" w:eastAsia="Arial" w:hAnsi="Arial"/>
          <w:sz w:val="15"/>
          <w:szCs w:val="15"/>
          <w:color w:val="231F20"/>
        </w:rPr>
        <w:t>Our sales and marketing organization focuses on marketing our platform to increase its adoption by existing and new customers. As a result, we expect sales and marketing expenses to increase in future periods, including as a result of stock-based compensation, as we increase our sales and marketing team and our focus on market development programs. Sales and marketing expense as a percentage of revenue may fluctuate from period to period based on revenue levels and the timing of our investments in our sales and marketing functions as these investments may vary in scope and scale over time.</w:t>
      </w:r>
    </w:p>
    <w:p>
      <w:pPr>
        <w:spacing w:after="0" w:line="147" w:lineRule="exact"/>
        <w:rPr>
          <w:sz w:val="20"/>
          <w:szCs w:val="20"/>
          <w:color w:val="auto"/>
        </w:rPr>
      </w:pPr>
    </w:p>
    <w:p>
      <w:pPr>
        <w:ind w:right="140" w:firstLine="589"/>
        <w:spacing w:after="0" w:line="272" w:lineRule="auto"/>
        <w:rPr>
          <w:sz w:val="20"/>
          <w:szCs w:val="20"/>
          <w:color w:val="auto"/>
        </w:rPr>
      </w:pPr>
      <w:r>
        <w:rPr>
          <w:rFonts w:ascii="Arial" w:cs="Arial" w:eastAsia="Arial" w:hAnsi="Arial"/>
          <w:sz w:val="16"/>
          <w:szCs w:val="16"/>
          <w:i w:val="1"/>
          <w:iCs w:val="1"/>
          <w:color w:val="231F20"/>
        </w:rPr>
        <w:t>Technology and Development</w:t>
      </w:r>
      <w:r>
        <w:rPr>
          <w:rFonts w:ascii="Arial" w:cs="Arial" w:eastAsia="Arial" w:hAnsi="Arial"/>
          <w:sz w:val="16"/>
          <w:szCs w:val="16"/>
          <w:color w:val="231F20"/>
        </w:rPr>
        <w:t>. Technology and development expense consists primarily of personnel costs, including salaries, bonuses, stock/unit-based</w:t>
      </w:r>
      <w:r>
        <w:rPr>
          <w:rFonts w:ascii="Arial" w:cs="Arial" w:eastAsia="Arial" w:hAnsi="Arial"/>
          <w:sz w:val="16"/>
          <w:szCs w:val="16"/>
          <w:i w:val="1"/>
          <w:iCs w:val="1"/>
          <w:color w:val="231F20"/>
        </w:rPr>
        <w:t xml:space="preserve"> </w:t>
      </w:r>
      <w:r>
        <w:rPr>
          <w:rFonts w:ascii="Arial" w:cs="Arial" w:eastAsia="Arial" w:hAnsi="Arial"/>
          <w:sz w:val="16"/>
          <w:szCs w:val="16"/>
          <w:color w:val="231F20"/>
        </w:rPr>
        <w:t>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 We record depreciation for capitalized software development costs not related to our platform within technology and development expense.</w:t>
      </w:r>
    </w:p>
    <w:p>
      <w:pPr>
        <w:spacing w:after="0" w:line="165" w:lineRule="exact"/>
        <w:rPr>
          <w:sz w:val="20"/>
          <w:szCs w:val="20"/>
          <w:color w:val="auto"/>
        </w:rPr>
      </w:pPr>
    </w:p>
    <w:p>
      <w:pPr>
        <w:ind w:right="120" w:firstLine="589"/>
        <w:spacing w:after="0" w:line="281" w:lineRule="auto"/>
        <w:rPr>
          <w:sz w:val="20"/>
          <w:szCs w:val="20"/>
          <w:color w:val="auto"/>
        </w:rPr>
      </w:pPr>
      <w:r>
        <w:rPr>
          <w:rFonts w:ascii="Arial" w:cs="Arial" w:eastAsia="Arial" w:hAnsi="Arial"/>
          <w:sz w:val="16"/>
          <w:szCs w:val="16"/>
          <w:color w:val="231F20"/>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spacing w:after="0" w:line="159"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i w:val="1"/>
          <w:iCs w:val="1"/>
          <w:color w:val="231F20"/>
        </w:rPr>
        <w:t>General and Administrative</w:t>
      </w:r>
      <w:r>
        <w:rPr>
          <w:rFonts w:ascii="Arial" w:cs="Arial" w:eastAsia="Arial" w:hAnsi="Arial"/>
          <w:sz w:val="16"/>
          <w:szCs w:val="16"/>
          <w:color w:val="231F20"/>
        </w:rPr>
        <w:t>. General and administrative expense consists primarily of personnel costs, including salaries, bonuses, stock/unit-based</w:t>
      </w:r>
      <w:r>
        <w:rPr>
          <w:rFonts w:ascii="Arial" w:cs="Arial" w:eastAsia="Arial" w:hAnsi="Arial"/>
          <w:sz w:val="16"/>
          <w:szCs w:val="16"/>
          <w:i w:val="1"/>
          <w:iCs w:val="1"/>
          <w:color w:val="231F20"/>
        </w:rPr>
        <w:t xml:space="preserve"> </w:t>
      </w:r>
      <w:r>
        <w:rPr>
          <w:rFonts w:ascii="Arial" w:cs="Arial" w:eastAsia="Arial" w:hAnsi="Arial"/>
          <w:sz w:val="16"/>
          <w:szCs w:val="16"/>
          <w:color w:val="231F20"/>
        </w:rPr>
        <w:t>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59" w:lineRule="exact"/>
        <w:rPr>
          <w:sz w:val="20"/>
          <w:szCs w:val="20"/>
          <w:color w:val="auto"/>
        </w:rPr>
      </w:pPr>
    </w:p>
    <w:p>
      <w:pPr>
        <w:ind w:right="40" w:firstLine="589"/>
        <w:spacing w:after="0" w:line="254" w:lineRule="auto"/>
        <w:rPr>
          <w:sz w:val="20"/>
          <w:szCs w:val="20"/>
          <w:color w:val="auto"/>
        </w:rPr>
      </w:pPr>
      <w:r>
        <w:rPr>
          <w:rFonts w:ascii="Arial" w:cs="Arial" w:eastAsia="Arial" w:hAnsi="Arial"/>
          <w:sz w:val="17"/>
          <w:szCs w:val="17"/>
          <w:color w:val="231F20"/>
        </w:rPr>
        <w:t>We expect to continue to invest in corporate infrastructure and incur additional expenses associated with our operation as a public company, including increased legal and accounting costs, investor relations costs, higher insurance premiums and compliance costs associated with developing the requisite infrastructure required for internal controls over financial reporting. As a result, we expect general and administrative expenses to increase in future periods, including as a result of stock-based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Total Other Expense, Net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Interest Expense, Net</w:t>
      </w:r>
      <w:r>
        <w:rPr>
          <w:rFonts w:ascii="Arial" w:cs="Arial" w:eastAsia="Arial" w:hAnsi="Arial"/>
          <w:sz w:val="17"/>
          <w:szCs w:val="17"/>
          <w:color w:val="231F20"/>
        </w:rPr>
        <w:t>. Interest expense, net is primarily related to our long-term debt and revolving credit facility.</w:t>
      </w:r>
    </w:p>
    <w:p>
      <w:pPr>
        <w:spacing w:after="0" w:line="207" w:lineRule="exact"/>
        <w:rPr>
          <w:sz w:val="20"/>
          <w:szCs w:val="20"/>
          <w:color w:val="auto"/>
        </w:rPr>
      </w:pPr>
    </w:p>
    <w:p>
      <w:pPr>
        <w:ind w:right="120" w:firstLine="589"/>
        <w:spacing w:after="0" w:line="269" w:lineRule="auto"/>
        <w:rPr>
          <w:sz w:val="20"/>
          <w:szCs w:val="20"/>
          <w:color w:val="auto"/>
        </w:rPr>
      </w:pPr>
      <w:r>
        <w:rPr>
          <w:rFonts w:ascii="Arial" w:cs="Arial" w:eastAsia="Arial" w:hAnsi="Arial"/>
          <w:sz w:val="17"/>
          <w:szCs w:val="17"/>
          <w:i w:val="1"/>
          <w:iCs w:val="1"/>
          <w:color w:val="231F20"/>
        </w:rPr>
        <w:t>Other Expense (Income), Net</w:t>
      </w:r>
      <w:r>
        <w:rPr>
          <w:rFonts w:ascii="Arial" w:cs="Arial" w:eastAsia="Arial" w:hAnsi="Arial"/>
          <w:sz w:val="17"/>
          <w:szCs w:val="17"/>
          <w:color w:val="231F20"/>
        </w:rPr>
        <w:t>. Other expense (income), net consists primarily of foreign currency exchange gains and losses, debt extinguishment gains and</w:t>
      </w:r>
      <w:r>
        <w:rPr>
          <w:rFonts w:ascii="Arial" w:cs="Arial" w:eastAsia="Arial" w:hAnsi="Arial"/>
          <w:sz w:val="17"/>
          <w:szCs w:val="17"/>
          <w:i w:val="1"/>
          <w:iCs w:val="1"/>
          <w:color w:val="231F20"/>
        </w:rPr>
        <w:t xml:space="preserve"> </w:t>
      </w:r>
      <w:r>
        <w:rPr>
          <w:rFonts w:ascii="Arial" w:cs="Arial" w:eastAsia="Arial" w:hAnsi="Arial"/>
          <w:sz w:val="17"/>
          <w:szCs w:val="17"/>
          <w:color w:val="231F20"/>
        </w:rPr>
        <w:t>losses and miscellaneous expenses not attributable to operations.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231F20"/>
        </w:rPr>
        <w:t>Results of Operations</w:t>
      </w:r>
    </w:p>
    <w:p>
      <w:pPr>
        <w:spacing w:after="0" w:line="211" w:lineRule="exact"/>
        <w:rPr>
          <w:sz w:val="20"/>
          <w:szCs w:val="20"/>
          <w:color w:val="auto"/>
        </w:rPr>
      </w:pPr>
    </w:p>
    <w:p>
      <w:pPr>
        <w:ind w:right="440" w:firstLine="589"/>
        <w:spacing w:after="0" w:line="337" w:lineRule="auto"/>
        <w:rPr>
          <w:sz w:val="20"/>
          <w:szCs w:val="20"/>
          <w:color w:val="auto"/>
        </w:rPr>
      </w:pPr>
      <w:r>
        <w:rPr>
          <w:rFonts w:ascii="Arial" w:cs="Arial" w:eastAsia="Arial" w:hAnsi="Arial"/>
          <w:sz w:val="15"/>
          <w:szCs w:val="15"/>
          <w:color w:val="231F20"/>
        </w:rPr>
        <w:t>The following tables set forth our consolidated results of operations, our consolidated results of operations as a percentage of revenue, and the impact of stock-based compensation, depreciation and amortization on each operating expense line item for the fiscal years ended December 31, 2021 and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4"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8"/>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rPr>
              <w:t>(in thousands)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Revenue</w:t>
            </w:r>
          </w:p>
        </w:tc>
        <w:tc>
          <w:tcPr>
            <w:tcW w:w="28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224,127</w:t>
            </w:r>
          </w:p>
        </w:tc>
        <w:tc>
          <w:tcPr>
            <w:tcW w:w="2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165,251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Platform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129,604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88,260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65,042</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28,887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Technology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25,372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46,904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17,639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266,922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143,484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17"/>
                <w:szCs w:val="17"/>
                <w:color w:val="auto"/>
              </w:rPr>
            </w:pPr>
          </w:p>
        </w:tc>
        <w:tc>
          <w:tcPr>
            <w:tcW w:w="1400" w:type="dxa"/>
            <w:vAlign w:val="bottom"/>
            <w:tcBorders>
              <w:right w:val="single" w:sz="8" w:color="CFF0FC"/>
            </w:tcBorders>
          </w:tcPr>
          <w:p>
            <w:pPr>
              <w:spacing w:after="0"/>
              <w:rPr>
                <w:sz w:val="17"/>
                <w:szCs w:val="17"/>
                <w:color w:val="auto"/>
              </w:rPr>
            </w:pPr>
          </w:p>
        </w:tc>
        <w:tc>
          <w:tcPr>
            <w:tcW w:w="5220" w:type="dxa"/>
            <w:vAlign w:val="bottom"/>
            <w:tcBorders>
              <w:right w:val="single" w:sz="8" w:color="CFF0FC"/>
            </w:tcBorders>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(42,795)</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21,767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Total other expense (income),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(5,186)</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17"/>
                <w:szCs w:val="17"/>
                <w:color w:val="auto"/>
              </w:rPr>
            </w:pPr>
          </w:p>
        </w:tc>
        <w:tc>
          <w:tcPr>
            <w:tcW w:w="1400" w:type="dxa"/>
            <w:vAlign w:val="bottom"/>
            <w:tcBorders>
              <w:right w:val="single" w:sz="8" w:color="CFF0FC"/>
            </w:tcBorders>
          </w:tcPr>
          <w:p>
            <w:pPr>
              <w:spacing w:after="0"/>
              <w:rPr>
                <w:sz w:val="17"/>
                <w:szCs w:val="17"/>
                <w:color w:val="auto"/>
              </w:rPr>
            </w:pPr>
          </w:p>
        </w:tc>
        <w:tc>
          <w:tcPr>
            <w:tcW w:w="5220" w:type="dxa"/>
            <w:vAlign w:val="bottom"/>
            <w:tcBorders>
              <w:right w:val="single" w:sz="8" w:color="CFF0FC"/>
            </w:tcBorders>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(37,609)</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20,638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Less: Net loss attributable to noncontrolling interests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(29,867)</w:t>
            </w:r>
          </w:p>
        </w:tc>
        <w:tc>
          <w:tcPr>
            <w:tcW w:w="3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loss attributable to Viant Technology Inc.</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2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(7,742)</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2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7"/>
          </w:tcPr>
          <w:p>
            <w:pPr>
              <w:jc w:val="right"/>
              <w:ind w:right="6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20"/>
              <w:spacing w:after="0" w:line="144"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right"/>
              <w:ind w:right="7"/>
              <w:spacing w:after="0" w:line="144" w:lineRule="exact"/>
              <w:rPr>
                <w:sz w:val="20"/>
                <w:szCs w:val="20"/>
                <w:color w:val="auto"/>
              </w:rPr>
            </w:pPr>
            <w:r>
              <w:rPr>
                <w:rFonts w:ascii="Arial" w:cs="Arial" w:eastAsia="Arial" w:hAnsi="Arial"/>
                <w:sz w:val="13"/>
                <w:szCs w:val="13"/>
                <w:b w:val="1"/>
                <w:bCs w:val="1"/>
                <w:color w:val="auto"/>
              </w:rPr>
              <w:t>(% of revenue*)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Platform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7"/>
                <w:szCs w:val="17"/>
                <w:color w:val="auto"/>
              </w:rPr>
              <w:t>Technology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400" w:type="dxa"/>
            <w:vAlign w:val="bottom"/>
            <w:tcBorders>
              <w:right w:val="single" w:sz="8" w:color="CFF0FC"/>
            </w:tcBorders>
          </w:tcPr>
          <w:p>
            <w:pPr>
              <w:spacing w:after="0"/>
              <w:rPr>
                <w:sz w:val="18"/>
                <w:szCs w:val="18"/>
                <w:color w:val="auto"/>
              </w:rPr>
            </w:pPr>
          </w:p>
        </w:tc>
        <w:tc>
          <w:tcPr>
            <w:tcW w:w="52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tcPr>
          <w:p>
            <w:pPr>
              <w:spacing w:after="0"/>
              <w:rPr>
                <w:sz w:val="17"/>
                <w:szCs w:val="17"/>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17"/>
                <w:szCs w:val="17"/>
                <w:color w:val="auto"/>
              </w:rPr>
            </w:pPr>
          </w:p>
        </w:tc>
        <w:tc>
          <w:tcPr>
            <w:tcW w:w="1400" w:type="dxa"/>
            <w:vAlign w:val="bottom"/>
            <w:tcBorders>
              <w:right w:val="single" w:sz="8" w:color="CFF0FC"/>
            </w:tcBorders>
          </w:tcPr>
          <w:p>
            <w:pPr>
              <w:spacing w:after="0"/>
              <w:rPr>
                <w:sz w:val="17"/>
                <w:szCs w:val="17"/>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(19)%</w:t>
            </w:r>
          </w:p>
        </w:tc>
        <w:tc>
          <w:tcPr>
            <w:tcW w:w="3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Total other expense (income),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tcPr>
          <w:p>
            <w:pPr>
              <w:spacing w:after="0"/>
              <w:rPr>
                <w:sz w:val="17"/>
                <w:szCs w:val="17"/>
                <w:color w:val="auto"/>
              </w:rPr>
            </w:pPr>
          </w:p>
        </w:tc>
        <w:tc>
          <w:tcPr>
            <w:tcW w:w="1400" w:type="dxa"/>
            <w:vAlign w:val="bottom"/>
            <w:tcBorders>
              <w:right w:val="single" w:sz="8" w:color="CFF0FC"/>
            </w:tcBorders>
          </w:tcPr>
          <w:p>
            <w:pPr>
              <w:spacing w:after="0"/>
              <w:rPr>
                <w:sz w:val="17"/>
                <w:szCs w:val="17"/>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620" w:type="dxa"/>
            <w:vAlign w:val="bottom"/>
            <w:gridSpan w:val="2"/>
          </w:tcPr>
          <w:p>
            <w:pPr>
              <w:ind w:left="1360"/>
              <w:spacing w:after="0"/>
              <w:rPr>
                <w:sz w:val="20"/>
                <w:szCs w:val="20"/>
                <w:color w:val="auto"/>
              </w:rPr>
            </w:pPr>
            <w:r>
              <w:rPr>
                <w:rFonts w:ascii="Arial" w:cs="Arial" w:eastAsia="Arial" w:hAnsi="Arial"/>
                <w:sz w:val="17"/>
                <w:szCs w:val="17"/>
                <w:color w:val="auto"/>
              </w:rPr>
              <w:t>Less: Net loss attributable to noncontrolling interests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tcPr>
          <w:p>
            <w:pPr>
              <w:spacing w:after="0"/>
              <w:rPr>
                <w:sz w:val="17"/>
                <w:szCs w:val="17"/>
                <w:color w:val="auto"/>
              </w:rPr>
            </w:pPr>
          </w:p>
        </w:tc>
        <w:tc>
          <w:tcPr>
            <w:tcW w:w="1400" w:type="dxa"/>
            <w:vAlign w:val="bottom"/>
            <w:tcBorders>
              <w:right w:val="single" w:sz="8" w:color="CFF0FC"/>
            </w:tcBorders>
          </w:tcPr>
          <w:p>
            <w:pPr>
              <w:spacing w:after="0"/>
              <w:rPr>
                <w:sz w:val="17"/>
                <w:szCs w:val="17"/>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attributable to Viant Technology Inc.</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340" w:type="dxa"/>
            <w:vAlign w:val="bottom"/>
          </w:tcPr>
          <w:p>
            <w:pPr>
              <w:jc w:val="right"/>
              <w:ind w:right="176"/>
              <w:spacing w:after="0"/>
              <w:rPr>
                <w:sz w:val="20"/>
                <w:szCs w:val="20"/>
                <w:color w:val="auto"/>
              </w:rPr>
            </w:pPr>
            <w:r>
              <w:rPr>
                <w:rFonts w:ascii="Arial" w:cs="Arial" w:eastAsia="Arial" w:hAnsi="Arial"/>
                <w:sz w:val="17"/>
                <w:szCs w:val="17"/>
                <w:color w:val="231F20"/>
                <w:w w:val="89"/>
              </w:rPr>
              <w:t>*</w:t>
            </w:r>
          </w:p>
        </w:tc>
        <w:tc>
          <w:tcPr>
            <w:tcW w:w="6620" w:type="dxa"/>
            <w:vAlign w:val="bottom"/>
            <w:gridSpan w:val="2"/>
          </w:tcPr>
          <w:p>
            <w:pPr>
              <w:ind w:left="240"/>
              <w:spacing w:after="0"/>
              <w:rPr>
                <w:sz w:val="20"/>
                <w:szCs w:val="20"/>
                <w:color w:val="auto"/>
              </w:rPr>
            </w:pPr>
            <w:r>
              <w:rPr>
                <w:rFonts w:ascii="Arial" w:cs="Arial" w:eastAsia="Arial" w:hAnsi="Arial"/>
                <w:sz w:val="17"/>
                <w:szCs w:val="17"/>
                <w:color w:val="231F20"/>
              </w:rPr>
              <w:t>Percentages may not sum due to rounding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80" w:hanging="579"/>
        <w:spacing w:after="0"/>
        <w:tabs>
          <w:tab w:leader="none" w:pos="580" w:val="left"/>
        </w:tabs>
        <w:numPr>
          <w:ilvl w:val="0"/>
          <w:numId w:val="27"/>
        </w:numPr>
        <w:rPr>
          <w:rFonts w:ascii="Arial" w:cs="Arial" w:eastAsia="Arial" w:hAnsi="Arial"/>
          <w:sz w:val="14"/>
          <w:szCs w:val="14"/>
          <w:color w:val="231F20"/>
        </w:rPr>
      </w:pPr>
      <w:r>
        <w:rPr>
          <w:rFonts w:ascii="Arial" w:cs="Arial" w:eastAsia="Arial" w:hAnsi="Arial"/>
          <w:sz w:val="17"/>
          <w:szCs w:val="17"/>
          <w:color w:val="231F20"/>
        </w:rPr>
        <w:t>Stock-based compensation, depreciation, and amortization factored into the operating expense line item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2"/>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60"/>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40"/>
              <w:spacing w:after="0" w:line="14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Stock-based compensation:</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1700"/>
              <w:spacing w:after="0"/>
              <w:rPr>
                <w:sz w:val="20"/>
                <w:szCs w:val="20"/>
                <w:color w:val="auto"/>
              </w:rPr>
            </w:pPr>
            <w:r>
              <w:rPr>
                <w:rFonts w:ascii="Arial" w:cs="Arial" w:eastAsia="Arial" w:hAnsi="Arial"/>
                <w:sz w:val="17"/>
                <w:szCs w:val="17"/>
                <w:color w:val="auto"/>
              </w:rPr>
              <w:t>Platform operations</w:t>
            </w:r>
          </w:p>
        </w:tc>
        <w:tc>
          <w:tcPr>
            <w:tcW w:w="2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2"/>
              <w:spacing w:after="0"/>
              <w:rPr>
                <w:sz w:val="20"/>
                <w:szCs w:val="20"/>
                <w:color w:val="auto"/>
              </w:rPr>
            </w:pPr>
            <w:r>
              <w:rPr>
                <w:rFonts w:ascii="Arial" w:cs="Arial" w:eastAsia="Arial" w:hAnsi="Arial"/>
                <w:sz w:val="17"/>
                <w:szCs w:val="17"/>
                <w:color w:val="auto"/>
              </w:rPr>
              <w:t>13,096</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25,639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ind w:left="1700"/>
              <w:spacing w:after="0"/>
              <w:rPr>
                <w:sz w:val="20"/>
                <w:szCs w:val="20"/>
                <w:color w:val="auto"/>
              </w:rPr>
            </w:pPr>
            <w:r>
              <w:rPr>
                <w:rFonts w:ascii="Arial" w:cs="Arial" w:eastAsia="Arial" w:hAnsi="Arial"/>
                <w:sz w:val="17"/>
                <w:szCs w:val="17"/>
                <w:color w:val="auto"/>
              </w:rPr>
              <w:t>Technology and development</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Arial" w:cs="Arial" w:eastAsia="Arial" w:hAnsi="Arial"/>
                <w:sz w:val="17"/>
                <w:szCs w:val="17"/>
                <w:color w:val="auto"/>
              </w:rPr>
              <w:t>12,373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23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7"/>
                <w:szCs w:val="17"/>
                <w:color w:val="auto"/>
              </w:rPr>
              <w:t>17,714</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700"/>
              <w:spacing w:after="0"/>
              <w:rPr>
                <w:sz w:val="20"/>
                <w:szCs w:val="20"/>
                <w:color w:val="auto"/>
              </w:rPr>
            </w:pPr>
            <w:r>
              <w:rPr>
                <w:rFonts w:ascii="Arial" w:cs="Arial" w:eastAsia="Arial" w:hAnsi="Arial"/>
                <w:sz w:val="17"/>
                <w:szCs w:val="17"/>
                <w:color w:val="auto"/>
              </w:rPr>
              <w:t>Total stock-based compensation</w:t>
            </w:r>
          </w:p>
        </w:tc>
        <w:tc>
          <w:tcPr>
            <w:tcW w:w="2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2"/>
              <w:spacing w:after="0"/>
              <w:rPr>
                <w:sz w:val="20"/>
                <w:szCs w:val="20"/>
                <w:color w:val="auto"/>
              </w:rPr>
            </w:pPr>
            <w:r>
              <w:rPr>
                <w:rFonts w:ascii="Arial" w:cs="Arial" w:eastAsia="Arial" w:hAnsi="Arial"/>
                <w:sz w:val="17"/>
                <w:szCs w:val="17"/>
                <w:color w:val="auto"/>
              </w:rPr>
              <w:t>68,822</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80" w:type="dxa"/>
            <w:vAlign w:val="bottom"/>
            <w:vMerge w:val="restart"/>
          </w:tcPr>
          <w:p>
            <w:pPr>
              <w:jc w:val="right"/>
              <w:ind w:right="1296"/>
              <w:spacing w:after="0"/>
              <w:rPr>
                <w:sz w:val="20"/>
                <w:szCs w:val="20"/>
                <w:color w:val="auto"/>
              </w:rPr>
            </w:pPr>
            <w:r>
              <w:rPr>
                <w:rFonts w:ascii="Arial" w:cs="Arial" w:eastAsia="Arial" w:hAnsi="Arial"/>
                <w:sz w:val="17"/>
                <w:szCs w:val="17"/>
                <w:color w:val="auto"/>
              </w:rPr>
              <w:t>63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tbl>
      <w:tblPr>
        <w:tblLayout w:type="fixed"/>
        <w:tblInd w:w="170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0" w:type="dxa"/>
            <w:vAlign w:val="bottom"/>
            <w:tcBorders>
              <w:bottom w:val="single" w:sz="8" w:color="auto"/>
            </w:tcBorders>
            <w:gridSpan w:val="5"/>
          </w:tcPr>
          <w:p>
            <w:pPr>
              <w:jc w:val="center"/>
              <w:ind w:left="313"/>
              <w:spacing w:after="0"/>
              <w:rPr>
                <w:sz w:val="20"/>
                <w:szCs w:val="20"/>
                <w:color w:val="auto"/>
              </w:rPr>
            </w:pPr>
            <w:r>
              <w:rPr>
                <w:rFonts w:ascii="Arial" w:cs="Arial" w:eastAsia="Arial" w:hAnsi="Arial"/>
                <w:sz w:val="13"/>
                <w:szCs w:val="13"/>
                <w:b w:val="1"/>
                <w:bCs w:val="1"/>
                <w:color w:val="auto"/>
                <w:w w:val="93"/>
              </w:rPr>
              <w:t>Year Ended December 31,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Depreciation:</w:t>
            </w:r>
          </w:p>
        </w:tc>
        <w:tc>
          <w:tcPr>
            <w:tcW w:w="1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rPr>
              <w:t>Platform operations</w:t>
            </w:r>
          </w:p>
        </w:tc>
        <w:tc>
          <w:tcPr>
            <w:tcW w:w="24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w w:val="89"/>
              </w:rPr>
              <w:t>7,688</w:t>
            </w:r>
          </w:p>
        </w:tc>
        <w:tc>
          <w:tcPr>
            <w:tcW w:w="120" w:type="dxa"/>
            <w:vAlign w:val="bottom"/>
          </w:tcPr>
          <w:p>
            <w:pPr>
              <w:spacing w:after="0"/>
              <w:rPr>
                <w:sz w:val="18"/>
                <w:szCs w:val="18"/>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6,638</w:t>
            </w:r>
          </w:p>
        </w:tc>
        <w:tc>
          <w:tcPr>
            <w:tcW w:w="80" w:type="dxa"/>
            <w:vAlign w:val="bottom"/>
          </w:tcPr>
          <w:p>
            <w:pPr>
              <w:spacing w:after="0"/>
              <w:rPr>
                <w:sz w:val="18"/>
                <w:szCs w:val="18"/>
                <w:color w:val="auto"/>
              </w:rPr>
            </w:pP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rPr>
              <w:t>Technology and development</w:t>
            </w: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7"/>
                <w:szCs w:val="17"/>
                <w:color w:val="auto"/>
                <w:w w:val="89"/>
              </w:rPr>
              <w:t>1,599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1,608</w:t>
            </w:r>
          </w:p>
        </w:tc>
        <w:tc>
          <w:tcPr>
            <w:tcW w:w="80" w:type="dxa"/>
            <w:vAlign w:val="bottom"/>
          </w:tcPr>
          <w:p>
            <w:pPr>
              <w:spacing w:after="0"/>
              <w:rPr>
                <w:sz w:val="18"/>
                <w:szCs w:val="18"/>
                <w:color w:val="auto"/>
              </w:rPr>
            </w:pP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631</w:t>
            </w:r>
          </w:p>
        </w:tc>
        <w:tc>
          <w:tcPr>
            <w:tcW w:w="80" w:type="dxa"/>
            <w:vAlign w:val="bottom"/>
            <w:shd w:val="clear" w:color="auto" w:fill="CFF0FC"/>
          </w:tcPr>
          <w:p>
            <w:pPr>
              <w:spacing w:after="0"/>
              <w:rPr>
                <w:sz w:val="18"/>
                <w:szCs w:val="18"/>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Total depreciation</w:t>
            </w:r>
          </w:p>
        </w:tc>
        <w:tc>
          <w:tcPr>
            <w:tcW w:w="24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w w:val="89"/>
              </w:rPr>
              <w:t>9,912</w:t>
            </w:r>
          </w:p>
        </w:tc>
        <w:tc>
          <w:tcPr>
            <w:tcW w:w="120" w:type="dxa"/>
            <w:vAlign w:val="bottom"/>
          </w:tcPr>
          <w:p>
            <w:pPr>
              <w:spacing w:after="0"/>
              <w:rPr>
                <w:sz w:val="17"/>
                <w:szCs w:val="17"/>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8,877</w:t>
            </w:r>
          </w:p>
        </w:tc>
        <w:tc>
          <w:tcPr>
            <w:tcW w:w="8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Borders>
              <w:bottom w:val="single" w:sz="8" w:color="auto"/>
            </w:tcBorders>
            <w:gridSpan w:val="5"/>
          </w:tcPr>
          <w:p>
            <w:pPr>
              <w:jc w:val="center"/>
              <w:ind w:left="313"/>
              <w:spacing w:after="0"/>
              <w:rPr>
                <w:sz w:val="20"/>
                <w:szCs w:val="20"/>
                <w:color w:val="auto"/>
              </w:rPr>
            </w:pPr>
            <w:r>
              <w:rPr>
                <w:rFonts w:ascii="Arial" w:cs="Arial" w:eastAsia="Arial" w:hAnsi="Arial"/>
                <w:sz w:val="13"/>
                <w:szCs w:val="13"/>
                <w:b w:val="1"/>
                <w:bCs w:val="1"/>
                <w:color w:val="auto"/>
                <w:w w:val="93"/>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Amortization:</w:t>
            </w:r>
          </w:p>
        </w:tc>
        <w:tc>
          <w:tcPr>
            <w:tcW w:w="1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rPr>
              <w:t>Platform operations</w:t>
            </w:r>
          </w:p>
        </w:tc>
        <w:tc>
          <w:tcPr>
            <w:tcW w:w="24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18"/>
                <w:szCs w:val="18"/>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700</w:t>
            </w:r>
          </w:p>
        </w:tc>
        <w:tc>
          <w:tcPr>
            <w:tcW w:w="80" w:type="dxa"/>
            <w:vAlign w:val="bottom"/>
          </w:tcPr>
          <w:p>
            <w:pPr>
              <w:spacing w:after="0"/>
              <w:rPr>
                <w:sz w:val="18"/>
                <w:szCs w:val="18"/>
                <w:color w:val="auto"/>
              </w:rPr>
            </w:pP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rPr>
              <w:t>Technology and development</w:t>
            </w: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529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529</w:t>
            </w:r>
          </w:p>
        </w:tc>
        <w:tc>
          <w:tcPr>
            <w:tcW w:w="80" w:type="dxa"/>
            <w:vAlign w:val="bottom"/>
            <w:shd w:val="clear" w:color="auto" w:fill="CFF0FC"/>
          </w:tcPr>
          <w:p>
            <w:pPr>
              <w:spacing w:after="0"/>
              <w:rPr>
                <w:sz w:val="18"/>
                <w:szCs w:val="18"/>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Total amortization</w:t>
            </w:r>
          </w:p>
        </w:tc>
        <w:tc>
          <w:tcPr>
            <w:tcW w:w="24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w w:val="89"/>
              </w:rPr>
              <w:t>1,229</w:t>
            </w:r>
          </w:p>
        </w:tc>
        <w:tc>
          <w:tcPr>
            <w:tcW w:w="120" w:type="dxa"/>
            <w:vAlign w:val="bottom"/>
          </w:tcPr>
          <w:p>
            <w:pPr>
              <w:spacing w:after="0"/>
              <w:rPr>
                <w:sz w:val="17"/>
                <w:szCs w:val="17"/>
                <w:color w:val="auto"/>
              </w:rPr>
            </w:pPr>
          </w:p>
        </w:tc>
        <w:tc>
          <w:tcPr>
            <w:tcW w:w="700" w:type="dxa"/>
            <w:vAlign w:val="bottom"/>
            <w:gridSpan w:val="2"/>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1,229</w:t>
            </w:r>
          </w:p>
        </w:tc>
        <w:tc>
          <w:tcPr>
            <w:tcW w:w="8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Comparison of the Fiscal 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40"/>
              <w:spacing w:after="0" w:line="144" w:lineRule="exact"/>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5"/>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5"/>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144"/>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gridSpan w:val="5"/>
          </w:tcPr>
          <w:p>
            <w:pPr>
              <w:jc w:val="right"/>
              <w:ind w:right="465"/>
              <w:spacing w:after="0" w:line="144" w:lineRule="exact"/>
              <w:rPr>
                <w:sz w:val="20"/>
                <w:szCs w:val="20"/>
                <w:color w:val="auto"/>
              </w:rPr>
            </w:pPr>
            <w:r>
              <w:rPr>
                <w:rFonts w:ascii="Arial" w:cs="Arial" w:eastAsia="Arial" w:hAnsi="Arial"/>
                <w:sz w:val="13"/>
                <w:szCs w:val="13"/>
                <w:b w:val="1"/>
                <w:bCs w:val="1"/>
                <w:color w:val="auto"/>
                <w:w w:val="96"/>
              </w:rPr>
              <w:t>(in thousands, except for percentages)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4"/>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27"/>
              <w:spacing w:after="0"/>
              <w:rPr>
                <w:sz w:val="20"/>
                <w:szCs w:val="20"/>
                <w:color w:val="auto"/>
              </w:rPr>
            </w:pPr>
            <w:r>
              <w:rPr>
                <w:rFonts w:ascii="Arial" w:cs="Arial" w:eastAsia="Arial" w:hAnsi="Arial"/>
                <w:sz w:val="17"/>
                <w:szCs w:val="17"/>
                <w:color w:val="auto"/>
              </w:rPr>
              <w:t>224,127</w:t>
            </w:r>
          </w:p>
        </w:tc>
        <w:tc>
          <w:tcPr>
            <w:tcW w:w="34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165,251</w:t>
            </w:r>
          </w:p>
        </w:tc>
        <w:tc>
          <w:tcPr>
            <w:tcW w:w="760" w:type="dxa"/>
            <w:vAlign w:val="bottom"/>
            <w:gridSpan w:val="2"/>
            <w:shd w:val="clear" w:color="auto" w:fill="CFF0FC"/>
          </w:tcPr>
          <w:p>
            <w:pPr>
              <w:jc w:val="right"/>
              <w:ind w:right="3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425"/>
              <w:spacing w:after="0"/>
              <w:rPr>
                <w:sz w:val="20"/>
                <w:szCs w:val="20"/>
                <w:color w:val="auto"/>
              </w:rPr>
            </w:pPr>
            <w:r>
              <w:rPr>
                <w:rFonts w:ascii="Arial" w:cs="Arial" w:eastAsia="Arial" w:hAnsi="Arial"/>
                <w:sz w:val="17"/>
                <w:szCs w:val="17"/>
                <w:color w:val="auto"/>
                <w:w w:val="84"/>
              </w:rPr>
              <w:t>58,876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36%</w:t>
            </w:r>
          </w:p>
        </w:tc>
      </w:tr>
    </w:tbl>
    <w:p>
      <w:pPr>
        <w:spacing w:after="0" w:line="176" w:lineRule="exact"/>
        <w:rPr>
          <w:sz w:val="20"/>
          <w:szCs w:val="20"/>
          <w:color w:val="auto"/>
        </w:rPr>
      </w:pPr>
    </w:p>
    <w:p>
      <w:pPr>
        <w:ind w:right="60" w:firstLine="589"/>
        <w:spacing w:after="0" w:line="291" w:lineRule="auto"/>
        <w:rPr>
          <w:sz w:val="20"/>
          <w:szCs w:val="20"/>
          <w:color w:val="auto"/>
        </w:rPr>
      </w:pPr>
      <w:r>
        <w:rPr>
          <w:rFonts w:ascii="Arial" w:cs="Arial" w:eastAsia="Arial" w:hAnsi="Arial"/>
          <w:sz w:val="15"/>
          <w:szCs w:val="15"/>
          <w:color w:val="231F20"/>
        </w:rPr>
        <w:t>Revenue increased by $58.9 million, or 36% during the year ended December 31, 2021 compared to the year ended December 3</w:t>
      </w:r>
      <w:r>
        <w:rPr>
          <w:rFonts w:ascii="Arial" w:cs="Arial" w:eastAsia="Arial" w:hAnsi="Arial"/>
          <w:sz w:val="15"/>
          <w:szCs w:val="15"/>
          <w:color w:val="000000"/>
        </w:rPr>
        <w:t>1, 2020. In fiscal 2021,</w:t>
      </w:r>
      <w:r>
        <w:rPr>
          <w:rFonts w:ascii="Arial" w:cs="Arial" w:eastAsia="Arial" w:hAnsi="Arial"/>
          <w:sz w:val="15"/>
          <w:szCs w:val="15"/>
          <w:color w:val="231F20"/>
        </w:rPr>
        <w:t xml:space="preserve"> </w:t>
      </w:r>
      <w:r>
        <w:rPr>
          <w:rFonts w:ascii="Arial" w:cs="Arial" w:eastAsia="Arial" w:hAnsi="Arial"/>
          <w:sz w:val="15"/>
          <w:szCs w:val="15"/>
          <w:color w:val="000000"/>
        </w:rPr>
        <w:t>reduced COVID-19-related restrictions contributed to increased revenue and demand for our people-based advertising products and services, and our customers increased usage of our platform. During fiscal 2020, our revenue was adversely impacted by the COVID-19 pandemic, as certain marketers in the travel and tourism, automotive and retail industries decreased or paused their advertising spending, resulting in a 25% revenue decrease across these customer verticals compared to fiscal 2019. During fiscal 2021, the travel and tourism and retail industry verticals increased by 51% compared to fiscal 2020. Approximately 89% of our revenue for the year ended December 31, 2021 came from customers that had been customers in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Platform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620"/>
              <w:spacing w:after="0"/>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2"/>
              <w:spacing w:after="0" w:line="144"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0"/>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03"/>
              <w:spacing w:after="0" w:line="144" w:lineRule="exact"/>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60"/>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7"/>
          </w:tcPr>
          <w:p>
            <w:pPr>
              <w:spacing w:after="0" w:line="144" w:lineRule="exact"/>
              <w:rPr>
                <w:sz w:val="20"/>
                <w:szCs w:val="20"/>
                <w:color w:val="auto"/>
              </w:rPr>
            </w:pPr>
            <w:r>
              <w:rPr>
                <w:rFonts w:ascii="Arial" w:cs="Arial" w:eastAsia="Arial" w:hAnsi="Arial"/>
                <w:sz w:val="13"/>
                <w:szCs w:val="13"/>
                <w:b w:val="1"/>
                <w:bCs w:val="1"/>
                <w:color w:val="auto"/>
              </w:rPr>
              <w:t>(in thousands, except for percentages)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Traffic acquisition costs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82,627</w:t>
            </w: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54,735</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27,892</w:t>
            </w:r>
          </w:p>
        </w:tc>
        <w:tc>
          <w:tcPr>
            <w:tcW w:w="4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platform operations</w:t>
            </w:r>
          </w:p>
        </w:tc>
        <w:tc>
          <w:tcPr>
            <w:tcW w:w="10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46,977</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33,525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13,452</w:t>
            </w:r>
          </w:p>
        </w:tc>
        <w:tc>
          <w:tcPr>
            <w:tcW w:w="4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7"/>
                <w:szCs w:val="17"/>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Total platform operations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129,604</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88,260</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41,344</w:t>
            </w:r>
          </w:p>
        </w:tc>
        <w:tc>
          <w:tcPr>
            <w:tcW w:w="4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Platform operations as a percentage of revenue</w:t>
            </w: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tcPr>
          <w:p>
            <w:pPr>
              <w:spacing w:after="0"/>
              <w:rPr>
                <w:sz w:val="16"/>
                <w:szCs w:val="16"/>
                <w:color w:val="auto"/>
              </w:rPr>
            </w:pPr>
          </w:p>
        </w:tc>
        <w:tc>
          <w:tcPr>
            <w:tcW w:w="40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58%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6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64" w:name="page65"/>
    <w:bookmarkEnd w:id="64"/>
    <w:p>
      <w:pPr>
        <w:ind w:right="100" w:firstLine="589"/>
        <w:spacing w:after="0" w:line="254" w:lineRule="auto"/>
        <w:rPr>
          <w:sz w:val="20"/>
          <w:szCs w:val="20"/>
          <w:color w:val="auto"/>
        </w:rPr>
      </w:pPr>
      <w:r>
        <w:rPr>
          <w:rFonts w:ascii="Arial" w:cs="Arial" w:eastAsia="Arial" w:hAnsi="Arial"/>
          <w:sz w:val="17"/>
          <w:szCs w:val="17"/>
          <w:color w:val="231F20"/>
        </w:rPr>
        <w:t>Platform operations expense increased by $41.3 million, or 47%, during the year ended December 31, 2021 compared to the year ended December 31, 2020. The change was primarily driven by a $27.9 million increase in TAC, a variable function of revenue, as well as an increase in other platform operations driven by a $13.1 million increase in stock-based compensation related to our 2021 LTIP and a $1.0 million increase in depreciation, partially offset by a decrease of $0.7 million in cloud costs due to continued efforts to increase cloud infrastructure efficiencies.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Sales and Marketing</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107"/>
              <w:spacing w:after="0"/>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05"/>
              <w:spacing w:after="0" w:line="144"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907"/>
              <w:spacing w:after="0" w:line="144"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385"/>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144"/>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80" w:type="dxa"/>
            <w:vAlign w:val="bottom"/>
            <w:gridSpan w:val="6"/>
          </w:tcPr>
          <w:p>
            <w:pPr>
              <w:jc w:val="right"/>
              <w:ind w:right="527"/>
              <w:spacing w:after="0" w:line="144" w:lineRule="exact"/>
              <w:rPr>
                <w:sz w:val="20"/>
                <w:szCs w:val="20"/>
                <w:color w:val="auto"/>
              </w:rPr>
            </w:pPr>
            <w:r>
              <w:rPr>
                <w:rFonts w:ascii="Arial" w:cs="Arial" w:eastAsia="Arial" w:hAnsi="Arial"/>
                <w:sz w:val="13"/>
                <w:szCs w:val="13"/>
                <w:b w:val="1"/>
                <w:bCs w:val="1"/>
                <w:color w:val="auto"/>
                <w:w w:val="94"/>
              </w:rPr>
              <w:t>(in thousands, except for percentages)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4"/>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65,042</w:t>
            </w:r>
          </w:p>
        </w:tc>
        <w:tc>
          <w:tcPr>
            <w:tcW w:w="30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28,887</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427"/>
              <w:spacing w:after="0"/>
              <w:rPr>
                <w:sz w:val="20"/>
                <w:szCs w:val="20"/>
                <w:color w:val="auto"/>
              </w:rPr>
            </w:pPr>
            <w:r>
              <w:rPr>
                <w:rFonts w:ascii="Arial" w:cs="Arial" w:eastAsia="Arial" w:hAnsi="Arial"/>
                <w:sz w:val="17"/>
                <w:szCs w:val="17"/>
                <w:color w:val="auto"/>
              </w:rPr>
              <w:t>36,155</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125%</w:t>
            </w:r>
          </w:p>
        </w:tc>
      </w:tr>
      <w:tr>
        <w:trPr>
          <w:trHeight w:val="214"/>
        </w:trPr>
        <w:tc>
          <w:tcPr>
            <w:tcW w:w="5120" w:type="dxa"/>
            <w:vAlign w:val="bottom"/>
          </w:tcPr>
          <w:p>
            <w:pPr>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89" w:lineRule="exact"/>
        <w:rPr>
          <w:sz w:val="20"/>
          <w:szCs w:val="20"/>
          <w:color w:val="auto"/>
        </w:rPr>
      </w:pPr>
    </w:p>
    <w:p>
      <w:pPr>
        <w:ind w:firstLine="589"/>
        <w:spacing w:after="0" w:line="299" w:lineRule="auto"/>
        <w:rPr>
          <w:sz w:val="20"/>
          <w:szCs w:val="20"/>
          <w:color w:val="auto"/>
        </w:rPr>
      </w:pPr>
      <w:r>
        <w:rPr>
          <w:rFonts w:ascii="Arial" w:cs="Arial" w:eastAsia="Arial" w:hAnsi="Arial"/>
          <w:sz w:val="15"/>
          <w:szCs w:val="15"/>
          <w:color w:val="231F20"/>
        </w:rPr>
        <w:t xml:space="preserve">Sales and marketing expense increased by $36.2 million, or 125%, during the year ended December 31, 2021 compared to the year ended December 31, 2020. This increase was primarily due to a $25.6 million increase in stock-based compensation, a $6.4 million </w:t>
      </w:r>
      <w:r>
        <w:rPr>
          <w:rFonts w:ascii="Arial" w:cs="Arial" w:eastAsia="Arial" w:hAnsi="Arial"/>
          <w:sz w:val="15"/>
          <w:szCs w:val="15"/>
          <w:color w:val="221F1F"/>
        </w:rPr>
        <w:t>increase in personnel costs and overhead, which was allocated</w:t>
      </w:r>
      <w:r>
        <w:rPr>
          <w:rFonts w:ascii="Arial" w:cs="Arial" w:eastAsia="Arial" w:hAnsi="Arial"/>
          <w:sz w:val="15"/>
          <w:szCs w:val="15"/>
          <w:color w:val="231F20"/>
        </w:rPr>
        <w:t xml:space="preserve"> </w:t>
      </w:r>
      <w:r>
        <w:rPr>
          <w:rFonts w:ascii="Arial" w:cs="Arial" w:eastAsia="Arial" w:hAnsi="Arial"/>
          <w:sz w:val="15"/>
          <w:szCs w:val="15"/>
          <w:color w:val="221F1F"/>
        </w:rPr>
        <w:t>to sales and marketing as a result of the departments’ increased headcount relative to other departments</w:t>
      </w:r>
      <w:r>
        <w:rPr>
          <w:rFonts w:ascii="Arial" w:cs="Arial" w:eastAsia="Arial" w:hAnsi="Arial"/>
          <w:sz w:val="15"/>
          <w:szCs w:val="15"/>
          <w:color w:val="231F20"/>
        </w:rPr>
        <w:t>, a $2.9 million increase in advertising, a $0.2 million increase</w:t>
      </w:r>
      <w:r>
        <w:rPr>
          <w:rFonts w:ascii="Arial" w:cs="Arial" w:eastAsia="Arial" w:hAnsi="Arial"/>
          <w:sz w:val="15"/>
          <w:szCs w:val="15"/>
          <w:color w:val="221F1F"/>
        </w:rPr>
        <w:t xml:space="preserve"> </w:t>
      </w:r>
      <w:r>
        <w:rPr>
          <w:rFonts w:ascii="Arial" w:cs="Arial" w:eastAsia="Arial" w:hAnsi="Arial"/>
          <w:sz w:val="15"/>
          <w:szCs w:val="15"/>
          <w:color w:val="231F20"/>
        </w:rPr>
        <w:t>in facilities expense, a $0.2 increase in software license expenses and a $0.8 million increase in travel and entertainment expenses.</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Technology and Development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107"/>
              <w:spacing w:after="0"/>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05"/>
              <w:spacing w:after="0" w:line="144"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907"/>
              <w:spacing w:after="0" w:line="144"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385"/>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144"/>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80" w:type="dxa"/>
            <w:vAlign w:val="bottom"/>
            <w:gridSpan w:val="6"/>
          </w:tcPr>
          <w:p>
            <w:pPr>
              <w:jc w:val="right"/>
              <w:ind w:right="527"/>
              <w:spacing w:after="0" w:line="144" w:lineRule="exact"/>
              <w:rPr>
                <w:sz w:val="20"/>
                <w:szCs w:val="20"/>
                <w:color w:val="auto"/>
              </w:rPr>
            </w:pPr>
            <w:r>
              <w:rPr>
                <w:rFonts w:ascii="Arial" w:cs="Arial" w:eastAsia="Arial" w:hAnsi="Arial"/>
                <w:sz w:val="13"/>
                <w:szCs w:val="13"/>
                <w:b w:val="1"/>
                <w:bCs w:val="1"/>
                <w:color w:val="auto"/>
                <w:w w:val="94"/>
              </w:rPr>
              <w:t>(in thousands, except for percentages)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4"/>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Technology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25,372</w:t>
            </w:r>
          </w:p>
        </w:tc>
        <w:tc>
          <w:tcPr>
            <w:tcW w:w="30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8,698</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427"/>
              <w:spacing w:after="0"/>
              <w:rPr>
                <w:sz w:val="20"/>
                <w:szCs w:val="20"/>
                <w:color w:val="auto"/>
              </w:rPr>
            </w:pPr>
            <w:r>
              <w:rPr>
                <w:rFonts w:ascii="Arial" w:cs="Arial" w:eastAsia="Arial" w:hAnsi="Arial"/>
                <w:sz w:val="17"/>
                <w:szCs w:val="17"/>
                <w:color w:val="auto"/>
              </w:rPr>
              <w:t>16,674</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192%</w:t>
            </w:r>
          </w:p>
        </w:tc>
      </w:tr>
      <w:tr>
        <w:trPr>
          <w:trHeight w:val="214"/>
        </w:trPr>
        <w:tc>
          <w:tcPr>
            <w:tcW w:w="5120" w:type="dxa"/>
            <w:vAlign w:val="bottom"/>
          </w:tcPr>
          <w:p>
            <w:pPr>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right="40" w:firstLine="589"/>
        <w:spacing w:after="0" w:line="308" w:lineRule="auto"/>
        <w:rPr>
          <w:sz w:val="20"/>
          <w:szCs w:val="20"/>
          <w:color w:val="auto"/>
        </w:rPr>
      </w:pPr>
      <w:r>
        <w:rPr>
          <w:rFonts w:ascii="Arial" w:cs="Arial" w:eastAsia="Arial" w:hAnsi="Arial"/>
          <w:sz w:val="15"/>
          <w:szCs w:val="15"/>
          <w:color w:val="231F20"/>
        </w:rPr>
        <w:t>Technology and development expense increased by $16.7 million, or 192%, during the year ended December 31, 2021 compared to the year ended December 31, 2020. This increase was primarily attributable to a $12.4 million increase in stock-based compensation, a $3.8 million increase in personnel costs as a result of an increase in headcount to support our continued investment in developed technology and a $0.4 million increase in software and license expenses.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General and Administrative</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107"/>
              <w:spacing w:after="0"/>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05"/>
              <w:spacing w:after="0" w:line="144"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907"/>
              <w:spacing w:after="0" w:line="144"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385"/>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144"/>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80" w:type="dxa"/>
            <w:vAlign w:val="bottom"/>
            <w:gridSpan w:val="6"/>
          </w:tcPr>
          <w:p>
            <w:pPr>
              <w:jc w:val="right"/>
              <w:ind w:right="527"/>
              <w:spacing w:after="0" w:line="144" w:lineRule="exact"/>
              <w:rPr>
                <w:sz w:val="20"/>
                <w:szCs w:val="20"/>
                <w:color w:val="auto"/>
              </w:rPr>
            </w:pPr>
            <w:r>
              <w:rPr>
                <w:rFonts w:ascii="Arial" w:cs="Arial" w:eastAsia="Arial" w:hAnsi="Arial"/>
                <w:sz w:val="13"/>
                <w:szCs w:val="13"/>
                <w:b w:val="1"/>
                <w:bCs w:val="1"/>
                <w:color w:val="auto"/>
                <w:w w:val="94"/>
              </w:rPr>
              <w:t>(in thousands, except for percentages)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4"/>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46,904</w:t>
            </w:r>
          </w:p>
        </w:tc>
        <w:tc>
          <w:tcPr>
            <w:tcW w:w="30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17,639</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427"/>
              <w:spacing w:after="0"/>
              <w:rPr>
                <w:sz w:val="20"/>
                <w:szCs w:val="20"/>
                <w:color w:val="auto"/>
              </w:rPr>
            </w:pPr>
            <w:r>
              <w:rPr>
                <w:rFonts w:ascii="Arial" w:cs="Arial" w:eastAsia="Arial" w:hAnsi="Arial"/>
                <w:sz w:val="17"/>
                <w:szCs w:val="17"/>
                <w:color w:val="auto"/>
              </w:rPr>
              <w:t>29,265</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166%</w:t>
            </w:r>
          </w:p>
        </w:tc>
      </w:tr>
      <w:tr>
        <w:trPr>
          <w:trHeight w:val="214"/>
        </w:trPr>
        <w:tc>
          <w:tcPr>
            <w:tcW w:w="5120" w:type="dxa"/>
            <w:vAlign w:val="bottom"/>
          </w:tcPr>
          <w:p>
            <w:pPr>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27" w:lineRule="exact"/>
        <w:rPr>
          <w:sz w:val="20"/>
          <w:szCs w:val="20"/>
          <w:color w:val="auto"/>
        </w:rPr>
      </w:pPr>
    </w:p>
    <w:p>
      <w:pPr>
        <w:ind w:right="140" w:firstLine="589"/>
        <w:spacing w:after="0" w:line="252" w:lineRule="auto"/>
        <w:rPr>
          <w:sz w:val="20"/>
          <w:szCs w:val="20"/>
          <w:color w:val="auto"/>
        </w:rPr>
      </w:pPr>
      <w:r>
        <w:rPr>
          <w:rFonts w:ascii="Arial" w:cs="Arial" w:eastAsia="Arial" w:hAnsi="Arial"/>
          <w:sz w:val="17"/>
          <w:szCs w:val="17"/>
          <w:color w:val="231F20"/>
        </w:rPr>
        <w:t>General and administrative expense increased by $29.3 million, or 166%, during the year ended December 31, 2021 compared to the year ended December 31, 2020. This increase was primarily attributable to a $17.7 million increase in stock-based compensation, a $5.6 million increase in insurance, legal and accounting expenses associated with being a publicly traded company, a $3.3 million increase in personnel costs due to the increase in headcount, a $1.4 million increase in recruiting expenses, a $0.5 million increase in bad debt expense due to recoveries of bad debt in a prior year, a $0.2 million increase in dues and subscriptions and a $0.3 million increase in software and license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i w:val="1"/>
          <w:iCs w:val="1"/>
          <w:color w:val="231F20"/>
        </w:rPr>
        <w:t>Total Other Expense (Income), Net</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87"/>
              <w:spacing w:after="0"/>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4"/>
        </w:trPr>
        <w:tc>
          <w:tcPr>
            <w:tcW w:w="50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65"/>
              <w:spacing w:after="0" w:line="144"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867"/>
              <w:spacing w:after="0" w:line="144"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365"/>
              <w:spacing w:after="0" w:line="144"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r>
      <w:tr>
        <w:trPr>
          <w:trHeight w:val="144"/>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20" w:type="dxa"/>
            <w:vAlign w:val="bottom"/>
            <w:gridSpan w:val="6"/>
          </w:tcPr>
          <w:p>
            <w:pPr>
              <w:ind w:left="60"/>
              <w:spacing w:after="0" w:line="144" w:lineRule="exact"/>
              <w:rPr>
                <w:sz w:val="20"/>
                <w:szCs w:val="20"/>
                <w:color w:val="auto"/>
              </w:rPr>
            </w:pPr>
            <w:r>
              <w:rPr>
                <w:rFonts w:ascii="Arial" w:cs="Arial" w:eastAsia="Arial" w:hAnsi="Arial"/>
                <w:sz w:val="13"/>
                <w:szCs w:val="13"/>
                <w:b w:val="1"/>
                <w:bCs w:val="1"/>
                <w:color w:val="auto"/>
              </w:rPr>
              <w:t>(in thousands, except for percentages)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4"/>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Total other expense (income), net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45"/>
              <w:spacing w:after="0"/>
              <w:rPr>
                <w:sz w:val="20"/>
                <w:szCs w:val="20"/>
                <w:color w:val="auto"/>
              </w:rPr>
            </w:pPr>
            <w:r>
              <w:rPr>
                <w:rFonts w:ascii="Arial" w:cs="Arial" w:eastAsia="Arial" w:hAnsi="Arial"/>
                <w:sz w:val="17"/>
                <w:szCs w:val="17"/>
                <w:color w:val="auto"/>
              </w:rPr>
              <w:t>(5,186)</w:t>
            </w:r>
          </w:p>
        </w:tc>
        <w:tc>
          <w:tcPr>
            <w:tcW w:w="280" w:type="dxa"/>
            <w:vAlign w:val="bottom"/>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ind w:right="347"/>
              <w:spacing w:after="0"/>
              <w:rPr>
                <w:sz w:val="20"/>
                <w:szCs w:val="20"/>
                <w:color w:val="auto"/>
              </w:rPr>
            </w:pPr>
            <w:r>
              <w:rPr>
                <w:rFonts w:ascii="Arial" w:cs="Arial" w:eastAsia="Arial" w:hAnsi="Arial"/>
                <w:sz w:val="17"/>
                <w:szCs w:val="17"/>
                <w:color w:val="auto"/>
              </w:rPr>
              <w:t>(6,315)</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(559%)</w:t>
            </w:r>
          </w:p>
        </w:tc>
      </w:tr>
      <w:tr>
        <w:trPr>
          <w:trHeight w:val="214"/>
        </w:trPr>
        <w:tc>
          <w:tcPr>
            <w:tcW w:w="5060" w:type="dxa"/>
            <w:vAlign w:val="bottom"/>
          </w:tcPr>
          <w:p>
            <w:pPr>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27" w:lineRule="exact"/>
        <w:rPr>
          <w:sz w:val="20"/>
          <w:szCs w:val="20"/>
          <w:color w:val="auto"/>
        </w:rPr>
      </w:pPr>
    </w:p>
    <w:p>
      <w:pPr>
        <w:ind w:right="20" w:firstLine="589"/>
        <w:spacing w:after="0" w:line="252" w:lineRule="auto"/>
        <w:rPr>
          <w:sz w:val="20"/>
          <w:szCs w:val="20"/>
          <w:color w:val="auto"/>
        </w:rPr>
      </w:pPr>
      <w:r>
        <w:rPr>
          <w:rFonts w:ascii="Arial" w:cs="Arial" w:eastAsia="Arial" w:hAnsi="Arial"/>
          <w:sz w:val="17"/>
          <w:szCs w:val="17"/>
          <w:color w:val="231F20"/>
        </w:rPr>
        <w:t>Total other expense (income), net decreased by $6.3 million, or 559%, during the year ended December 31, 2021 compared to the year ended December 31, 2020. This decrease was primarily due to a $6.1 million gain on debt extinguishment as a result of the forgiveness of Company’s PPP Loan and related accrued interest and a $0.2 decrease in interest expense attributable to an amendment to our Loan Agreement with PNC Bank which decreased the applicable margin on the loan. For additional information regarding forgiveness of the Company’s PPP Loan and the amendment to the Loan Agreement, see Note 7 to our consolidated financial statements included elsewhere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Quarterly Results of Operations</w:t>
      </w:r>
    </w:p>
    <w:p>
      <w:pPr>
        <w:spacing w:after="0" w:line="211" w:lineRule="exact"/>
        <w:rPr>
          <w:sz w:val="20"/>
          <w:szCs w:val="20"/>
          <w:color w:val="auto"/>
        </w:rPr>
      </w:pPr>
    </w:p>
    <w:p>
      <w:pPr>
        <w:ind w:firstLine="589"/>
        <w:spacing w:after="0" w:line="294" w:lineRule="auto"/>
        <w:rPr>
          <w:sz w:val="20"/>
          <w:szCs w:val="20"/>
          <w:color w:val="auto"/>
        </w:rPr>
      </w:pPr>
      <w:r>
        <w:rPr>
          <w:rFonts w:ascii="Arial" w:cs="Arial" w:eastAsia="Arial" w:hAnsi="Arial"/>
          <w:sz w:val="15"/>
          <w:szCs w:val="15"/>
          <w:color w:val="231F20"/>
        </w:rPr>
        <w:t>The following tables set forth our unaudited quarterly consolidated statements of operations data for each quarter of our fiscal years ended December 31, 2021 and 2020. The information for each of these quarters has been prepared on a basis consistent with our consolidated financial statements and, in our opinion, includes all adjustments, consisting only of normal recurring adjustments necessary for the fair presentation of the financial information contained in those statements. The following unaudited consolidated quarterly financial data should be read in conjunction with our annual audited consolidated financial statements and the related notes included elsewhere in this Annual Report. These quarterly results are not necessarily indicative of our operating results for a full year or any future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2"/>
                <w:szCs w:val="12"/>
                <w:b w:val="1"/>
                <w:bCs w:val="1"/>
                <w:color w:val="auto"/>
                <w:w w:val="90"/>
              </w:rPr>
              <w:t>Three Months Ended</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7"/>
              <w:spacing w:after="0" w:line="115" w:lineRule="exact"/>
              <w:rPr>
                <w:sz w:val="20"/>
                <w:szCs w:val="20"/>
                <w:color w:val="auto"/>
              </w:rPr>
            </w:pPr>
            <w:r>
              <w:rPr>
                <w:rFonts w:ascii="Arial" w:cs="Arial" w:eastAsia="Arial" w:hAnsi="Arial"/>
                <w:sz w:val="12"/>
                <w:szCs w:val="12"/>
                <w:b w:val="1"/>
                <w:bCs w:val="1"/>
                <w:color w:val="auto"/>
                <w:w w:val="87"/>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60"/>
              <w:spacing w:after="0" w:line="115" w:lineRule="exact"/>
              <w:rPr>
                <w:sz w:val="20"/>
                <w:szCs w:val="20"/>
                <w:color w:val="auto"/>
              </w:rPr>
            </w:pPr>
            <w:r>
              <w:rPr>
                <w:rFonts w:ascii="Arial" w:cs="Arial" w:eastAsia="Arial" w:hAnsi="Arial"/>
                <w:sz w:val="12"/>
                <w:szCs w:val="12"/>
                <w:b w:val="1"/>
                <w:bCs w:val="1"/>
                <w:color w:val="auto"/>
                <w:w w:val="87"/>
              </w:rPr>
              <w:t>September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420"/>
              <w:spacing w:after="0" w:line="115" w:lineRule="exact"/>
              <w:rPr>
                <w:sz w:val="20"/>
                <w:szCs w:val="20"/>
                <w:color w:val="auto"/>
              </w:rPr>
            </w:pPr>
            <w:r>
              <w:rPr>
                <w:rFonts w:ascii="Arial" w:cs="Arial" w:eastAsia="Arial" w:hAnsi="Arial"/>
                <w:sz w:val="12"/>
                <w:szCs w:val="12"/>
                <w:b w:val="1"/>
                <w:bCs w:val="1"/>
                <w:color w:val="auto"/>
                <w:w w:val="99"/>
              </w:rPr>
              <w:t>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108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0"/>
                <w:szCs w:val="10"/>
                <w:color w:val="auto"/>
              </w:rPr>
            </w:pPr>
          </w:p>
        </w:tc>
        <w:tc>
          <w:tcPr>
            <w:tcW w:w="940" w:type="dxa"/>
            <w:vAlign w:val="bottom"/>
            <w:gridSpan w:val="2"/>
          </w:tcPr>
          <w:p>
            <w:pPr>
              <w:jc w:val="right"/>
              <w:ind w:right="420"/>
              <w:spacing w:after="0" w:line="115"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67"/>
              <w:spacing w:after="0" w:line="115"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7"/>
          </w:tcPr>
          <w:p>
            <w:pPr>
              <w:jc w:val="center"/>
              <w:ind w:right="160"/>
              <w:spacing w:after="0" w:line="131" w:lineRule="exact"/>
              <w:rPr>
                <w:sz w:val="20"/>
                <w:szCs w:val="20"/>
                <w:color w:val="auto"/>
              </w:rPr>
            </w:pPr>
            <w:r>
              <w:rPr>
                <w:rFonts w:ascii="Arial" w:cs="Arial" w:eastAsia="Arial" w:hAnsi="Arial"/>
                <w:sz w:val="12"/>
                <w:szCs w:val="12"/>
                <w:b w:val="1"/>
                <w:bCs w:val="1"/>
                <w:color w:val="auto"/>
                <w:w w:val="87"/>
              </w:rPr>
              <w:t>(in thousands, except per share/unit data)</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82,715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50,857</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50,411</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1"/>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40,144</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56,461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40,205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30,425</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40" w:type="dxa"/>
            <w:vAlign w:val="bottom"/>
          </w:tcPr>
          <w:p>
            <w:pPr>
              <w:spacing w:after="0" w:line="201" w:lineRule="exact"/>
              <w:rPr>
                <w:sz w:val="20"/>
                <w:szCs w:val="20"/>
                <w:color w:val="auto"/>
              </w:rPr>
            </w:pPr>
            <w:r>
              <w:rPr>
                <w:rFonts w:ascii="Arial" w:cs="Arial" w:eastAsia="Arial" w:hAnsi="Arial"/>
                <w:sz w:val="14"/>
                <w:szCs w:val="14"/>
                <w:color w:val="auto"/>
              </w:rPr>
              <w:t>Operating expenses</w:t>
            </w:r>
            <w:r>
              <w:rPr>
                <w:rFonts w:ascii="Arial" w:cs="Arial" w:eastAsia="Arial" w:hAnsi="Arial"/>
                <w:sz w:val="23"/>
                <w:szCs w:val="23"/>
                <w:color w:val="auto"/>
                <w:vertAlign w:val="superscript"/>
              </w:rPr>
              <w:t>(1)</w:t>
            </w: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Platform operations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44,578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28,967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24,344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25,944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20,124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18,589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Pr>
          <w:p>
            <w:pPr>
              <w:ind w:left="24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15,173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15,131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20,553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14,185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6,521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Technology and</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development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8,031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w w:val="93"/>
              </w:rPr>
              <w:t>General and administrative</w:t>
            </w: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10,428</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14,075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10,420</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5,231</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3,861</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FF0FC"/>
          </w:tcPr>
          <w:p>
            <w:pPr>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75,030</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62,669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74,374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54,849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43,287</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32,452</w:t>
            </w: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30,206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37,539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20"/>
                <w:szCs w:val="20"/>
                <w:color w:val="auto"/>
              </w:rPr>
            </w:pPr>
            <w:r>
              <w:rPr>
                <w:rFonts w:ascii="Arial" w:cs="Arial" w:eastAsia="Arial" w:hAnsi="Arial"/>
                <w:sz w:val="15"/>
                <w:szCs w:val="15"/>
                <w:color w:val="auto"/>
              </w:rPr>
              <w:t>Income (loss) from</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tcPr>
          <w:p>
            <w:pPr>
              <w:ind w:left="120"/>
              <w:spacing w:after="0"/>
              <w:rPr>
                <w:sz w:val="20"/>
                <w:szCs w:val="20"/>
                <w:color w:val="auto"/>
              </w:rPr>
            </w:pPr>
            <w:r>
              <w:rPr>
                <w:rFonts w:ascii="Arial" w:cs="Arial" w:eastAsia="Arial" w:hAnsi="Arial"/>
                <w:sz w:val="15"/>
                <w:szCs w:val="15"/>
                <w:color w:val="auto"/>
              </w:rPr>
              <w:t>operations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7,685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(11,812)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(23,963)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(14,705)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13,174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7,753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FF0FC"/>
          </w:tcPr>
          <w:p>
            <w:pPr>
              <w:spacing w:after="0"/>
              <w:rPr>
                <w:sz w:val="20"/>
                <w:szCs w:val="20"/>
                <w:color w:val="auto"/>
              </w:rPr>
            </w:pPr>
            <w:r>
              <w:rPr>
                <w:rFonts w:ascii="Arial" w:cs="Arial" w:eastAsia="Arial" w:hAnsi="Arial"/>
                <w:sz w:val="15"/>
                <w:szCs w:val="15"/>
                <w:color w:val="auto"/>
              </w:rPr>
              <w:t>Total other expense</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(income), net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(5,868)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5"/>
                <w:szCs w:val="15"/>
                <w:color w:val="auto"/>
              </w:rPr>
              <w:t>Net income (loss)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7,516</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(12,160)</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(18,095)</w:t>
            </w:r>
          </w:p>
        </w:tc>
        <w:tc>
          <w:tcPr>
            <w:tcW w:w="220" w:type="dxa"/>
            <w:vAlign w:val="bottom"/>
            <w:gridSpan w:val="2"/>
          </w:tcPr>
          <w:p>
            <w:pPr>
              <w:jc w:val="right"/>
              <w:ind w:right="21"/>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(14,870)</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12,861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7,478</w:t>
            </w:r>
          </w:p>
        </w:tc>
        <w:tc>
          <w:tcPr>
            <w:tcW w:w="22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(30)</w:t>
            </w: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FF0FC"/>
          </w:tcPr>
          <w:p>
            <w:pPr>
              <w:spacing w:after="0"/>
              <w:rPr>
                <w:sz w:val="20"/>
                <w:szCs w:val="20"/>
                <w:color w:val="auto"/>
              </w:rPr>
            </w:pPr>
            <w:r>
              <w:rPr>
                <w:rFonts w:ascii="Arial" w:cs="Arial" w:eastAsia="Arial" w:hAnsi="Arial"/>
                <w:sz w:val="15"/>
                <w:szCs w:val="15"/>
                <w:color w:val="auto"/>
              </w:rPr>
              <w:t>Less: Net income</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(loss) attributable</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to noncontrolling</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interests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5,962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(9,623)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(14,440)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(11,766)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20"/>
                <w:szCs w:val="20"/>
                <w:color w:val="auto"/>
              </w:rPr>
            </w:pPr>
            <w:r>
              <w:rPr>
                <w:rFonts w:ascii="Arial" w:cs="Arial" w:eastAsia="Arial" w:hAnsi="Arial"/>
                <w:sz w:val="15"/>
                <w:szCs w:val="15"/>
                <w:color w:val="auto"/>
              </w:rPr>
              <w:t>Net income (loss)</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20"/>
              <w:spacing w:after="0"/>
              <w:rPr>
                <w:sz w:val="20"/>
                <w:szCs w:val="20"/>
                <w:color w:val="auto"/>
              </w:rPr>
            </w:pPr>
            <w:r>
              <w:rPr>
                <w:rFonts w:ascii="Arial" w:cs="Arial" w:eastAsia="Arial" w:hAnsi="Arial"/>
                <w:sz w:val="15"/>
                <w:szCs w:val="15"/>
                <w:color w:val="auto"/>
              </w:rPr>
              <w:t>attributable to</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20"/>
              <w:spacing w:after="0"/>
              <w:rPr>
                <w:sz w:val="20"/>
                <w:szCs w:val="20"/>
                <w:color w:val="auto"/>
              </w:rPr>
            </w:pPr>
            <w:r>
              <w:rPr>
                <w:rFonts w:ascii="Arial" w:cs="Arial" w:eastAsia="Arial" w:hAnsi="Arial"/>
                <w:sz w:val="15"/>
                <w:szCs w:val="15"/>
                <w:color w:val="auto"/>
              </w:rPr>
              <w:t>Viant Technology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tcPr>
          <w:p>
            <w:pPr>
              <w:ind w:left="120"/>
              <w:spacing w:after="0"/>
              <w:rPr>
                <w:sz w:val="20"/>
                <w:szCs w:val="20"/>
                <w:color w:val="auto"/>
              </w:rPr>
            </w:pPr>
            <w:r>
              <w:rPr>
                <w:rFonts w:ascii="Arial" w:cs="Arial" w:eastAsia="Arial" w:hAnsi="Arial"/>
                <w:sz w:val="15"/>
                <w:szCs w:val="15"/>
                <w:color w:val="auto"/>
              </w:rPr>
              <w:t>Inc.</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1,554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(2,537)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(3,655)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(3,104)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6"/>
        </w:trPr>
        <w:tc>
          <w:tcPr>
            <w:tcW w:w="1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Earnings (loss) per</w:t>
            </w: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Class A common</w:t>
            </w:r>
          </w:p>
        </w:tc>
        <w:tc>
          <w:tcPr>
            <w:tcW w:w="1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stock/unit</w:t>
            </w:r>
          </w:p>
        </w:tc>
        <w:tc>
          <w:tcPr>
            <w:tcW w:w="1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00" w:type="dxa"/>
            <w:vAlign w:val="bottom"/>
            <w:shd w:val="clear" w:color="auto" w:fill="CFF0FC"/>
          </w:tcPr>
          <w:p>
            <w:pPr>
              <w:ind w:left="120"/>
              <w:spacing w:after="0" w:line="200" w:lineRule="exact"/>
              <w:rPr>
                <w:sz w:val="20"/>
                <w:szCs w:val="20"/>
                <w:color w:val="auto"/>
              </w:rPr>
            </w:pPr>
            <w:r>
              <w:rPr>
                <w:rFonts w:ascii="Arial" w:cs="Arial" w:eastAsia="Arial" w:hAnsi="Arial"/>
                <w:sz w:val="14"/>
                <w:szCs w:val="14"/>
                <w:color w:val="auto"/>
              </w:rPr>
              <w:t>—basic</w:t>
            </w:r>
            <w:r>
              <w:rPr>
                <w:rFonts w:ascii="Arial" w:cs="Arial" w:eastAsia="Arial" w:hAnsi="Arial"/>
                <w:sz w:val="23"/>
                <w:szCs w:val="23"/>
                <w:color w:val="auto"/>
                <w:vertAlign w:val="superscript"/>
              </w:rPr>
              <w:t>(2)</w:t>
            </w:r>
          </w:p>
        </w:tc>
        <w:tc>
          <w:tcPr>
            <w:tcW w:w="720" w:type="dxa"/>
            <w:vAlign w:val="bottom"/>
            <w:gridSpan w:val="3"/>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rPr>
              <w:t>0.11</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gridSpan w:val="4"/>
            <w:shd w:val="clear" w:color="auto" w:fill="CFF0FC"/>
          </w:tcPr>
          <w:p>
            <w:pPr>
              <w:jc w:val="right"/>
              <w:ind w:right="80"/>
              <w:spacing w:after="0"/>
              <w:rPr>
                <w:sz w:val="20"/>
                <w:szCs w:val="20"/>
                <w:color w:val="auto"/>
              </w:rPr>
            </w:pPr>
            <w:r>
              <w:rPr>
                <w:rFonts w:ascii="Arial" w:cs="Arial" w:eastAsia="Arial" w:hAnsi="Arial"/>
                <w:sz w:val="15"/>
                <w:szCs w:val="15"/>
                <w:color w:val="auto"/>
              </w:rPr>
              <w:t>(0.20)</w:t>
            </w:r>
          </w:p>
        </w:tc>
        <w:tc>
          <w:tcPr>
            <w:tcW w:w="540" w:type="dxa"/>
            <w:vAlign w:val="bottom"/>
            <w:gridSpan w:val="2"/>
            <w:shd w:val="clear" w:color="auto" w:fill="CFF0FC"/>
          </w:tcPr>
          <w:p>
            <w:pPr>
              <w:jc w:val="right"/>
              <w:ind w:right="321"/>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(0.32)</w:t>
            </w:r>
          </w:p>
        </w:tc>
        <w:tc>
          <w:tcPr>
            <w:tcW w:w="260" w:type="dxa"/>
            <w:vAlign w:val="bottom"/>
            <w:gridSpan w:val="2"/>
            <w:shd w:val="clear" w:color="auto" w:fill="CFF0FC"/>
          </w:tcPr>
          <w:p>
            <w:pPr>
              <w:jc w:val="right"/>
              <w:ind w:right="1"/>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rPr>
              <w:t>(0.27)</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95"/>
              </w:rPr>
              <w:t>12.86</w:t>
            </w: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7.48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(0.08)</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Earnings (loss) per</w:t>
            </w: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5"/>
                <w:szCs w:val="15"/>
                <w:color w:val="auto"/>
              </w:rPr>
              <w:t>Class A common</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0" w:type="dxa"/>
            <w:vAlign w:val="bottom"/>
          </w:tcPr>
          <w:p>
            <w:pPr>
              <w:ind w:left="120"/>
              <w:spacing w:after="0"/>
              <w:rPr>
                <w:sz w:val="20"/>
                <w:szCs w:val="20"/>
                <w:color w:val="auto"/>
              </w:rPr>
            </w:pPr>
            <w:r>
              <w:rPr>
                <w:rFonts w:ascii="Arial" w:cs="Arial" w:eastAsia="Arial" w:hAnsi="Arial"/>
                <w:sz w:val="15"/>
                <w:szCs w:val="15"/>
                <w:color w:val="auto"/>
              </w:rPr>
              <w:t>stock/unit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00" w:type="dxa"/>
            <w:vAlign w:val="bottom"/>
          </w:tcPr>
          <w:p>
            <w:pPr>
              <w:ind w:left="120"/>
              <w:spacing w:after="0" w:line="200" w:lineRule="exact"/>
              <w:rPr>
                <w:sz w:val="20"/>
                <w:szCs w:val="20"/>
                <w:color w:val="auto"/>
              </w:rPr>
            </w:pPr>
            <w:r>
              <w:rPr>
                <w:rFonts w:ascii="Arial" w:cs="Arial" w:eastAsia="Arial" w:hAnsi="Arial"/>
                <w:sz w:val="14"/>
                <w:szCs w:val="14"/>
                <w:color w:val="auto"/>
              </w:rPr>
              <w:t>—diluted</w:t>
            </w:r>
            <w:r>
              <w:rPr>
                <w:rFonts w:ascii="Arial" w:cs="Arial" w:eastAsia="Arial" w:hAnsi="Arial"/>
                <w:sz w:val="23"/>
                <w:szCs w:val="23"/>
                <w:color w:val="auto"/>
                <w:vertAlign w:val="superscript"/>
              </w:rPr>
              <w:t>(2)</w:t>
            </w:r>
          </w:p>
        </w:tc>
        <w:tc>
          <w:tcPr>
            <w:tcW w:w="7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0.11</w:t>
            </w:r>
          </w:p>
        </w:tc>
        <w:tc>
          <w:tcPr>
            <w:tcW w:w="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gridSpan w:val="4"/>
          </w:tcPr>
          <w:p>
            <w:pPr>
              <w:jc w:val="right"/>
              <w:ind w:right="80"/>
              <w:spacing w:after="0"/>
              <w:rPr>
                <w:sz w:val="20"/>
                <w:szCs w:val="20"/>
                <w:color w:val="auto"/>
              </w:rPr>
            </w:pPr>
            <w:r>
              <w:rPr>
                <w:rFonts w:ascii="Arial" w:cs="Arial" w:eastAsia="Arial" w:hAnsi="Arial"/>
                <w:sz w:val="15"/>
                <w:szCs w:val="15"/>
                <w:color w:val="auto"/>
              </w:rPr>
              <w:t>(0.20)</w:t>
            </w:r>
          </w:p>
        </w:tc>
        <w:tc>
          <w:tcPr>
            <w:tcW w:w="540" w:type="dxa"/>
            <w:vAlign w:val="bottom"/>
            <w:gridSpan w:val="2"/>
          </w:tcPr>
          <w:p>
            <w:pPr>
              <w:jc w:val="right"/>
              <w:ind w:right="321"/>
              <w:spacing w:after="0"/>
              <w:rPr>
                <w:sz w:val="20"/>
                <w:szCs w:val="20"/>
                <w:color w:val="auto"/>
              </w:rPr>
            </w:pPr>
            <w:r>
              <w:rPr>
                <w:rFonts w:ascii="Arial" w:cs="Arial" w:eastAsia="Arial" w:hAnsi="Arial"/>
                <w:sz w:val="15"/>
                <w:szCs w:val="15"/>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(0.32)</w:t>
            </w:r>
          </w:p>
        </w:tc>
        <w:tc>
          <w:tcPr>
            <w:tcW w:w="260" w:type="dxa"/>
            <w:vAlign w:val="bottom"/>
            <w:gridSpan w:val="2"/>
          </w:tcPr>
          <w:p>
            <w:pPr>
              <w:jc w:val="right"/>
              <w:ind w:right="1"/>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(0.27)</w:t>
            </w:r>
          </w:p>
        </w:tc>
        <w:tc>
          <w:tcPr>
            <w:tcW w:w="740" w:type="dxa"/>
            <w:vAlign w:val="bottom"/>
            <w:gridSpan w:val="2"/>
          </w:tcPr>
          <w:p>
            <w:pPr>
              <w:jc w:val="right"/>
              <w:ind w:right="441"/>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w w:val="95"/>
              </w:rPr>
              <w:t>12.86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5"/>
                <w:szCs w:val="15"/>
                <w:color w:val="auto"/>
              </w:rPr>
              <w:t>(0.08)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4"/>
          </w:tcPr>
          <w:p>
            <w:pPr>
              <w:jc w:val="right"/>
              <w:ind w:right="440"/>
              <w:spacing w:after="0" w:line="115" w:lineRule="exact"/>
              <w:rPr>
                <w:sz w:val="20"/>
                <w:szCs w:val="20"/>
                <w:color w:val="auto"/>
              </w:rPr>
            </w:pPr>
            <w:r>
              <w:rPr>
                <w:rFonts w:ascii="Arial" w:cs="Arial" w:eastAsia="Arial" w:hAnsi="Arial"/>
                <w:sz w:val="12"/>
                <w:szCs w:val="12"/>
                <w:b w:val="1"/>
                <w:bCs w:val="1"/>
                <w:color w:val="auto"/>
                <w:w w:val="94"/>
              </w:rPr>
              <w:t>December 31,</w:t>
            </w:r>
          </w:p>
        </w:tc>
        <w:tc>
          <w:tcPr>
            <w:tcW w:w="1300" w:type="dxa"/>
            <w:vAlign w:val="bottom"/>
            <w:gridSpan w:val="6"/>
          </w:tcPr>
          <w:p>
            <w:pPr>
              <w:jc w:val="right"/>
              <w:ind w:right="540"/>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8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1"/>
              </w:rPr>
              <w:t>June 30,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400"/>
              <w:spacing w:after="0" w:line="115" w:lineRule="exact"/>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0"/>
                <w:szCs w:val="10"/>
                <w:color w:val="auto"/>
              </w:rPr>
            </w:pPr>
          </w:p>
        </w:tc>
        <w:tc>
          <w:tcPr>
            <w:tcW w:w="1160" w:type="dxa"/>
            <w:vAlign w:val="bottom"/>
            <w:gridSpan w:val="4"/>
          </w:tcPr>
          <w:p>
            <w:pPr>
              <w:jc w:val="right"/>
              <w:ind w:right="420"/>
              <w:spacing w:after="0" w:line="115" w:lineRule="exact"/>
              <w:rPr>
                <w:sz w:val="20"/>
                <w:szCs w:val="20"/>
                <w:color w:val="auto"/>
              </w:rPr>
            </w:pPr>
            <w:r>
              <w:rPr>
                <w:rFonts w:ascii="Arial" w:cs="Arial" w:eastAsia="Arial" w:hAnsi="Arial"/>
                <w:sz w:val="12"/>
                <w:szCs w:val="12"/>
                <w:b w:val="1"/>
                <w:bCs w:val="1"/>
                <w:color w:val="auto"/>
                <w:w w:val="92"/>
              </w:rPr>
              <w:t>December 31,</w:t>
            </w:r>
          </w:p>
        </w:tc>
        <w:tc>
          <w:tcPr>
            <w:tcW w:w="80" w:type="dxa"/>
            <w:vAlign w:val="bottom"/>
          </w:tcPr>
          <w:p>
            <w:pPr>
              <w:spacing w:after="0"/>
              <w:rPr>
                <w:sz w:val="10"/>
                <w:szCs w:val="10"/>
                <w:color w:val="auto"/>
              </w:rPr>
            </w:pPr>
          </w:p>
        </w:tc>
        <w:tc>
          <w:tcPr>
            <w:tcW w:w="110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0"/>
                <w:szCs w:val="10"/>
                <w:color w:val="auto"/>
              </w:rPr>
            </w:pPr>
          </w:p>
        </w:tc>
        <w:tc>
          <w:tcPr>
            <w:tcW w:w="1020" w:type="dxa"/>
            <w:vAlign w:val="bottom"/>
            <w:gridSpan w:val="3"/>
          </w:tcPr>
          <w:p>
            <w:pPr>
              <w:jc w:val="right"/>
              <w:ind w:right="520"/>
              <w:spacing w:after="0" w:line="115" w:lineRule="exact"/>
              <w:rPr>
                <w:sz w:val="20"/>
                <w:szCs w:val="20"/>
                <w:color w:val="auto"/>
              </w:rPr>
            </w:pPr>
            <w:r>
              <w:rPr>
                <w:rFonts w:ascii="Arial" w:cs="Arial" w:eastAsia="Arial" w:hAnsi="Arial"/>
                <w:sz w:val="12"/>
                <w:szCs w:val="12"/>
                <w:b w:val="1"/>
                <w:bCs w:val="1"/>
                <w:color w:val="auto"/>
                <w:w w:val="99"/>
              </w:rPr>
              <w:t>June 30,</w:t>
            </w:r>
          </w:p>
        </w:tc>
        <w:tc>
          <w:tcPr>
            <w:tcW w:w="140" w:type="dxa"/>
            <w:vAlign w:val="bottom"/>
          </w:tcPr>
          <w:p>
            <w:pPr>
              <w:spacing w:after="0"/>
              <w:rPr>
                <w:sz w:val="10"/>
                <w:szCs w:val="10"/>
                <w:color w:val="auto"/>
              </w:rPr>
            </w:pPr>
          </w:p>
        </w:tc>
        <w:tc>
          <w:tcPr>
            <w:tcW w:w="780" w:type="dxa"/>
            <w:vAlign w:val="bottom"/>
          </w:tcPr>
          <w:p>
            <w:pPr>
              <w:jc w:val="right"/>
              <w:ind w:right="125"/>
              <w:spacing w:after="0" w:line="115" w:lineRule="exact"/>
              <w:rPr>
                <w:sz w:val="20"/>
                <w:szCs w:val="20"/>
                <w:color w:val="auto"/>
              </w:rPr>
            </w:pPr>
            <w:r>
              <w:rPr>
                <w:rFonts w:ascii="Arial" w:cs="Arial" w:eastAsia="Arial" w:hAnsi="Arial"/>
                <w:sz w:val="12"/>
                <w:szCs w:val="12"/>
                <w:b w:val="1"/>
                <w:bCs w:val="1"/>
                <w:color w:val="auto"/>
              </w:rPr>
              <w:t>March 31,</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65"/>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65"/>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65"/>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4"/>
          </w:tcPr>
          <w:p>
            <w:pPr>
              <w:ind w:left="60"/>
              <w:spacing w:after="0" w:line="131" w:lineRule="exact"/>
              <w:rPr>
                <w:sz w:val="20"/>
                <w:szCs w:val="20"/>
                <w:color w:val="auto"/>
              </w:rPr>
            </w:pPr>
            <w:r>
              <w:rPr>
                <w:rFonts w:ascii="Arial" w:cs="Arial" w:eastAsia="Arial" w:hAnsi="Arial"/>
                <w:sz w:val="12"/>
                <w:szCs w:val="12"/>
                <w:b w:val="1"/>
                <w:bCs w:val="1"/>
                <w:color w:val="auto"/>
                <w:w w:val="90"/>
              </w:rPr>
              <w:t>(as a percentage of revenue*)</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60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100%</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88"/>
              </w:rPr>
              <w:t>100%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100%</w:t>
            </w: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Platform operations</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57%</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61%</w:t>
            </w: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46%</w:t>
            </w:r>
          </w:p>
        </w:tc>
        <w:tc>
          <w:tcPr>
            <w:tcW w:w="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8"/>
        </w:trPr>
        <w:tc>
          <w:tcPr>
            <w:tcW w:w="1600" w:type="dxa"/>
            <w:vAlign w:val="bottom"/>
          </w:tcPr>
          <w:p>
            <w:pPr>
              <w:ind w:left="240"/>
              <w:spacing w:after="0"/>
              <w:rPr>
                <w:sz w:val="20"/>
                <w:szCs w:val="20"/>
                <w:color w:val="auto"/>
              </w:rPr>
            </w:pPr>
            <w:r>
              <w:rPr>
                <w:rFonts w:ascii="Arial" w:cs="Arial" w:eastAsia="Arial" w:hAnsi="Arial"/>
                <w:sz w:val="15"/>
                <w:szCs w:val="15"/>
                <w:color w:val="auto"/>
                <w:w w:val="97"/>
              </w:rPr>
              <w:t>Sales and marketing</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18%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5"/>
                <w:szCs w:val="15"/>
                <w:color w:val="auto"/>
              </w:rPr>
              <w:t>19%</w:t>
            </w:r>
          </w:p>
        </w:tc>
        <w:tc>
          <w:tcPr>
            <w:tcW w:w="14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6"/>
        </w:trPr>
        <w:tc>
          <w:tcPr>
            <w:tcW w:w="16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Technology and</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development</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w:t>
            </w: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5%</w:t>
            </w:r>
          </w:p>
        </w:tc>
        <w:tc>
          <w:tcPr>
            <w:tcW w:w="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7%</w:t>
            </w: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3"/>
        </w:trPr>
        <w:tc>
          <w:tcPr>
            <w:tcW w:w="1600" w:type="dxa"/>
            <w:vAlign w:val="bottom"/>
          </w:tcPr>
          <w:p>
            <w:pPr>
              <w:ind w:left="240"/>
              <w:spacing w:after="0"/>
              <w:rPr>
                <w:sz w:val="20"/>
                <w:szCs w:val="20"/>
                <w:color w:val="auto"/>
              </w:rPr>
            </w:pPr>
            <w:r>
              <w:rPr>
                <w:rFonts w:ascii="Arial" w:cs="Arial" w:eastAsia="Arial" w:hAnsi="Arial"/>
                <w:sz w:val="15"/>
                <w:szCs w:val="15"/>
                <w:color w:val="auto"/>
              </w:rPr>
              <w:t>General and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ind w:left="240"/>
              <w:spacing w:after="0"/>
              <w:rPr>
                <w:sz w:val="20"/>
                <w:szCs w:val="20"/>
                <w:color w:val="auto"/>
              </w:rPr>
            </w:pPr>
            <w:r>
              <w:rPr>
                <w:rFonts w:ascii="Arial" w:cs="Arial" w:eastAsia="Arial" w:hAnsi="Arial"/>
                <w:sz w:val="15"/>
                <w:szCs w:val="15"/>
                <w:color w:val="auto"/>
              </w:rPr>
              <w:t>administrative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16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w w:val="93"/>
              </w:rPr>
              <w:t>Total operating expenses</w:t>
            </w: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gridSpan w:val="2"/>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0" w:type="dxa"/>
            <w:vAlign w:val="bottom"/>
            <w:vMerge w:val="continue"/>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91%</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123%</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88"/>
              </w:rPr>
              <w:t>148%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137%</w:t>
            </w: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77%</w:t>
            </w:r>
          </w:p>
        </w:tc>
        <w:tc>
          <w:tcPr>
            <w:tcW w:w="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99%</w:t>
            </w: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5"/>
                <w:szCs w:val="15"/>
                <w:color w:val="auto"/>
              </w:rPr>
              <w:t>Income (loss)</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5"/>
                <w:szCs w:val="15"/>
                <w:color w:val="auto"/>
              </w:rPr>
              <w:t>from</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ind w:left="120"/>
              <w:spacing w:after="0"/>
              <w:rPr>
                <w:sz w:val="20"/>
                <w:szCs w:val="20"/>
                <w:color w:val="auto"/>
              </w:rPr>
            </w:pPr>
            <w:r>
              <w:rPr>
                <w:rFonts w:ascii="Arial" w:cs="Arial" w:eastAsia="Arial" w:hAnsi="Arial"/>
                <w:sz w:val="15"/>
                <w:szCs w:val="15"/>
                <w:color w:val="auto"/>
              </w:rPr>
              <w:t>operations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1600" w:type="dxa"/>
            <w:vAlign w:val="bottom"/>
            <w:shd w:val="clear" w:color="auto" w:fill="CFF0FC"/>
          </w:tcPr>
          <w:p>
            <w:pPr>
              <w:spacing w:after="0"/>
              <w:rPr>
                <w:sz w:val="20"/>
                <w:szCs w:val="20"/>
                <w:color w:val="auto"/>
              </w:rPr>
            </w:pPr>
            <w:r>
              <w:rPr>
                <w:rFonts w:ascii="Arial" w:cs="Arial" w:eastAsia="Arial" w:hAnsi="Arial"/>
                <w:sz w:val="15"/>
                <w:szCs w:val="15"/>
                <w:color w:val="auto"/>
              </w:rPr>
              <w:t>Total other</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expense</w:t>
            </w:r>
          </w:p>
        </w:tc>
        <w:tc>
          <w:tcPr>
            <w:tcW w:w="1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0%</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w w:val="92"/>
              </w:rPr>
              <w:t>(12)%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0%</w:t>
            </w:r>
          </w:p>
        </w:tc>
        <w:tc>
          <w:tcPr>
            <w:tcW w:w="180" w:type="dxa"/>
            <w:vAlign w:val="bottom"/>
            <w:tcBorders>
              <w:right w:val="single" w:sz="8" w:color="CFF0FC"/>
            </w:tcBorders>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0" w:type="dxa"/>
            <w:vAlign w:val="bottom"/>
            <w:tcBorders>
              <w:right w:val="single" w:sz="8" w:color="CFF0FC"/>
            </w:tcBorders>
            <w:gridSpan w:val="3"/>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3"/>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7"/>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(income), net</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vMerge w:val="continue"/>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vMerge w:val="continue"/>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3"/>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3"/>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0" w:type="dxa"/>
            <w:vAlign w:val="bottom"/>
          </w:tcPr>
          <w:p>
            <w:pPr>
              <w:spacing w:after="0"/>
              <w:rPr>
                <w:sz w:val="20"/>
                <w:szCs w:val="20"/>
                <w:color w:val="auto"/>
              </w:rPr>
            </w:pPr>
            <w:r>
              <w:rPr>
                <w:rFonts w:ascii="Arial" w:cs="Arial" w:eastAsia="Arial" w:hAnsi="Arial"/>
                <w:sz w:val="15"/>
                <w:szCs w:val="15"/>
                <w:color w:val="auto"/>
              </w:rPr>
              <w:t>Net income (loss)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1600" w:type="dxa"/>
            <w:vAlign w:val="bottom"/>
            <w:shd w:val="clear" w:color="auto" w:fill="CFF0FC"/>
          </w:tcPr>
          <w:p>
            <w:pPr>
              <w:spacing w:after="0"/>
              <w:rPr>
                <w:sz w:val="20"/>
                <w:szCs w:val="20"/>
                <w:color w:val="auto"/>
              </w:rPr>
            </w:pPr>
            <w:r>
              <w:rPr>
                <w:rFonts w:ascii="Arial" w:cs="Arial" w:eastAsia="Arial" w:hAnsi="Arial"/>
                <w:sz w:val="15"/>
                <w:szCs w:val="15"/>
                <w:color w:val="auto"/>
              </w:rPr>
              <w:t>Less: Net income</w:t>
            </w:r>
          </w:p>
        </w:tc>
        <w:tc>
          <w:tcPr>
            <w:tcW w:w="140" w:type="dxa"/>
            <w:vAlign w:val="bottom"/>
            <w:tcBorders>
              <w:right w:val="single" w:sz="8" w:color="CFF0FC"/>
            </w:tcBorders>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(loss)</w:t>
            </w:r>
          </w:p>
        </w:tc>
        <w:tc>
          <w:tcPr>
            <w:tcW w:w="140" w:type="dxa"/>
            <w:vAlign w:val="bottom"/>
            <w:tcBorders>
              <w:right w:val="single" w:sz="8" w:color="CFF0FC"/>
            </w:tcBorders>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attributable to</w:t>
            </w:r>
          </w:p>
        </w:tc>
        <w:tc>
          <w:tcPr>
            <w:tcW w:w="140" w:type="dxa"/>
            <w:vAlign w:val="bottom"/>
            <w:tcBorders>
              <w:right w:val="single" w:sz="8" w:color="CFF0FC"/>
            </w:tcBorders>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noncontrolling</w:t>
            </w:r>
          </w:p>
        </w:tc>
        <w:tc>
          <w:tcPr>
            <w:tcW w:w="140" w:type="dxa"/>
            <w:vAlign w:val="bottom"/>
            <w:tcBorders>
              <w:right w:val="single" w:sz="8" w:color="CFF0FC"/>
            </w:tcBorders>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w w:val="92"/>
              </w:rPr>
              <w:t>(29)%</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(29)%</w:t>
            </w:r>
          </w:p>
        </w:tc>
        <w:tc>
          <w:tcPr>
            <w:tcW w:w="180" w:type="dxa"/>
            <w:vAlign w:val="bottom"/>
            <w:tcBorders>
              <w:right w:val="single" w:sz="8" w:color="CFF0FC"/>
            </w:tcBorders>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0" w:type="dxa"/>
            <w:vAlign w:val="bottom"/>
            <w:tcBorders>
              <w:right w:val="single" w:sz="8" w:color="CFF0FC"/>
            </w:tcBorders>
            <w:gridSpan w:val="3"/>
            <w:vMerge w:val="restart"/>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98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3"/>
            <w:vMerge w:val="restart"/>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94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6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interests</w:t>
            </w:r>
          </w:p>
        </w:tc>
        <w:tc>
          <w:tcPr>
            <w:tcW w:w="140" w:type="dxa"/>
            <w:vAlign w:val="bottom"/>
            <w:tcBorders>
              <w:right w:val="single" w:sz="8" w:color="CFF0FC"/>
            </w:tcBorders>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gridSpan w:val="2"/>
            <w:vMerge w:val="continue"/>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vMerge w:val="continue"/>
            <w:shd w:val="clear" w:color="auto" w:fill="CFF0FC"/>
          </w:tcPr>
          <w:p>
            <w:pPr>
              <w:spacing w:after="0"/>
              <w:rPr>
                <w:sz w:val="17"/>
                <w:szCs w:val="17"/>
                <w:color w:val="auto"/>
              </w:rPr>
            </w:pPr>
          </w:p>
        </w:tc>
        <w:tc>
          <w:tcPr>
            <w:tcW w:w="180" w:type="dxa"/>
            <w:vAlign w:val="bottom"/>
            <w:tcBorders>
              <w:right w:val="single" w:sz="8" w:color="CFF0FC"/>
            </w:tcBorders>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3"/>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3"/>
            <w:vMerge w:val="continue"/>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3"/>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5"/>
                <w:szCs w:val="15"/>
                <w:color w:val="auto"/>
              </w:rPr>
              <w:t>Net income (loss)</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5"/>
                <w:szCs w:val="15"/>
                <w:color w:val="auto"/>
              </w:rPr>
              <w:t>attributable to</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5"/>
                <w:szCs w:val="15"/>
                <w:color w:val="auto"/>
              </w:rPr>
              <w:t>Viant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20"/>
              <w:spacing w:after="0"/>
              <w:rPr>
                <w:sz w:val="20"/>
                <w:szCs w:val="20"/>
                <w:color w:val="auto"/>
              </w:rPr>
            </w:pPr>
            <w:r>
              <w:rPr>
                <w:rFonts w:ascii="Arial" w:cs="Arial" w:eastAsia="Arial" w:hAnsi="Arial"/>
                <w:sz w:val="15"/>
                <w:szCs w:val="15"/>
                <w:color w:val="auto"/>
              </w:rPr>
              <w:t>Technology</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100" w:type="dxa"/>
            <w:vAlign w:val="bottom"/>
            <w:gridSpan w:val="4"/>
            <w:vMerge w:val="restart"/>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600" w:type="dxa"/>
            <w:vAlign w:val="bottom"/>
          </w:tcPr>
          <w:p>
            <w:pPr>
              <w:ind w:left="120"/>
              <w:spacing w:after="0"/>
              <w:rPr>
                <w:sz w:val="20"/>
                <w:szCs w:val="20"/>
                <w:color w:val="auto"/>
              </w:rPr>
            </w:pPr>
            <w:r>
              <w:rPr>
                <w:rFonts w:ascii="Arial" w:cs="Arial" w:eastAsia="Arial" w:hAnsi="Arial"/>
                <w:sz w:val="15"/>
                <w:szCs w:val="15"/>
                <w:color w:val="auto"/>
              </w:rPr>
              <w:t>Inc.</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80" w:hanging="579"/>
        <w:spacing w:after="0"/>
        <w:tabs>
          <w:tab w:leader="none" w:pos="58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Percentages may not sum due to rounding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7" w:name="page68"/>
    <w:bookmarkEnd w:id="67"/>
    <w:p>
      <w:pPr>
        <w:ind w:left="580" w:hanging="579"/>
        <w:spacing w:after="0"/>
        <w:tabs>
          <w:tab w:leader="none" w:pos="580" w:val="left"/>
        </w:tabs>
        <w:numPr>
          <w:ilvl w:val="0"/>
          <w:numId w:val="29"/>
        </w:numPr>
        <w:rPr>
          <w:rFonts w:ascii="Arial" w:cs="Arial" w:eastAsia="Arial" w:hAnsi="Arial"/>
          <w:sz w:val="14"/>
          <w:szCs w:val="14"/>
          <w:color w:val="231F20"/>
        </w:rPr>
      </w:pPr>
      <w:r>
        <w:rPr>
          <w:rFonts w:ascii="Arial" w:cs="Arial" w:eastAsia="Arial" w:hAnsi="Arial"/>
          <w:sz w:val="17"/>
          <w:szCs w:val="17"/>
          <w:color w:val="231F20"/>
        </w:rPr>
        <w:t>The impact of stock-based compensation, depreciation and amortization on each operating expense line item is set forth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3"/>
          </w:tcPr>
          <w:p>
            <w:pPr>
              <w:ind w:left="40"/>
              <w:spacing w:after="0" w:line="115" w:lineRule="exact"/>
              <w:rPr>
                <w:sz w:val="20"/>
                <w:szCs w:val="20"/>
                <w:color w:val="auto"/>
              </w:rPr>
            </w:pPr>
            <w:r>
              <w:rPr>
                <w:rFonts w:ascii="Arial" w:cs="Arial" w:eastAsia="Arial" w:hAnsi="Arial"/>
                <w:sz w:val="12"/>
                <w:szCs w:val="12"/>
                <w:b w:val="1"/>
                <w:bCs w:val="1"/>
                <w:color w:val="auto"/>
              </w:rPr>
              <w:t>December 31,</w:t>
            </w:r>
          </w:p>
        </w:tc>
        <w:tc>
          <w:tcPr>
            <w:tcW w:w="1040" w:type="dxa"/>
            <w:vAlign w:val="bottom"/>
            <w:gridSpan w:val="3"/>
          </w:tcPr>
          <w:p>
            <w:pPr>
              <w:ind w:left="40"/>
              <w:spacing w:after="0" w:line="115" w:lineRule="exact"/>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0"/>
                <w:szCs w:val="10"/>
                <w:color w:val="auto"/>
              </w:rPr>
            </w:pPr>
          </w:p>
        </w:tc>
        <w:tc>
          <w:tcPr>
            <w:tcW w:w="900" w:type="dxa"/>
            <w:vAlign w:val="bottom"/>
            <w:gridSpan w:val="2"/>
          </w:tcPr>
          <w:p>
            <w:pPr>
              <w:ind w:left="60"/>
              <w:spacing w:after="0" w:line="115"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0"/>
                <w:szCs w:val="10"/>
                <w:color w:val="auto"/>
              </w:rPr>
            </w:pPr>
          </w:p>
        </w:tc>
        <w:tc>
          <w:tcPr>
            <w:tcW w:w="92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10"/>
                <w:szCs w:val="10"/>
                <w:color w:val="auto"/>
              </w:rPr>
            </w:pPr>
          </w:p>
        </w:tc>
        <w:tc>
          <w:tcPr>
            <w:tcW w:w="880" w:type="dxa"/>
            <w:vAlign w:val="bottom"/>
          </w:tcPr>
          <w:p>
            <w:pPr>
              <w:jc w:val="right"/>
              <w:ind w:right="86"/>
              <w:spacing w:after="0" w:line="115" w:lineRule="exact"/>
              <w:rPr>
                <w:sz w:val="20"/>
                <w:szCs w:val="20"/>
                <w:color w:val="auto"/>
              </w:rPr>
            </w:pPr>
            <w:r>
              <w:rPr>
                <w:rFonts w:ascii="Arial" w:cs="Arial" w:eastAsia="Arial" w:hAnsi="Arial"/>
                <w:sz w:val="12"/>
                <w:szCs w:val="12"/>
                <w:b w:val="1"/>
                <w:bCs w:val="1"/>
                <w:color w:val="auto"/>
                <w:w w:val="89"/>
              </w:rPr>
              <w:t>December 31,</w:t>
            </w:r>
          </w:p>
        </w:tc>
        <w:tc>
          <w:tcPr>
            <w:tcW w:w="220" w:type="dxa"/>
            <w:vAlign w:val="bottom"/>
          </w:tcPr>
          <w:p>
            <w:pPr>
              <w:spacing w:after="0"/>
              <w:rPr>
                <w:sz w:val="10"/>
                <w:szCs w:val="10"/>
                <w:color w:val="auto"/>
              </w:rPr>
            </w:pPr>
          </w:p>
        </w:tc>
        <w:tc>
          <w:tcPr>
            <w:tcW w:w="80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line="115"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680" w:type="dxa"/>
            <w:vAlign w:val="bottom"/>
          </w:tcPr>
          <w:p>
            <w:pPr>
              <w:jc w:val="right"/>
              <w:ind w:right="66"/>
              <w:spacing w:after="0" w:line="115" w:lineRule="exact"/>
              <w:rPr>
                <w:sz w:val="20"/>
                <w:szCs w:val="20"/>
                <w:color w:val="auto"/>
              </w:rPr>
            </w:pPr>
            <w:r>
              <w:rPr>
                <w:rFonts w:ascii="Arial" w:cs="Arial" w:eastAsia="Arial" w:hAnsi="Arial"/>
                <w:sz w:val="12"/>
                <w:szCs w:val="12"/>
                <w:b w:val="1"/>
                <w:bCs w:val="1"/>
                <w:color w:val="auto"/>
                <w:w w:val="93"/>
              </w:rPr>
              <w:t>March 31,</w:t>
            </w:r>
          </w:p>
        </w:tc>
        <w:tc>
          <w:tcPr>
            <w:tcW w:w="40" w:type="dxa"/>
            <w:vAlign w:val="bottom"/>
          </w:tcPr>
          <w:p>
            <w:pPr>
              <w:spacing w:after="0"/>
              <w:rPr>
                <w:sz w:val="10"/>
                <w:szCs w:val="10"/>
                <w:color w:val="auto"/>
              </w:rPr>
            </w:pPr>
          </w:p>
        </w:tc>
      </w:tr>
      <w:tr>
        <w:trPr>
          <w:trHeight w:val="142"/>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tcPr>
          <w:p>
            <w:pPr>
              <w:jc w:val="right"/>
              <w:ind w:right="626"/>
              <w:spacing w:after="0" w:line="131" w:lineRule="exact"/>
              <w:rPr>
                <w:sz w:val="20"/>
                <w:szCs w:val="20"/>
                <w:color w:val="auto"/>
              </w:rPr>
            </w:pPr>
            <w:r>
              <w:rPr>
                <w:rFonts w:ascii="Arial" w:cs="Arial" w:eastAsia="Arial" w:hAnsi="Arial"/>
                <w:sz w:val="12"/>
                <w:szCs w:val="12"/>
                <w:b w:val="1"/>
                <w:bCs w:val="1"/>
                <w:color w:val="auto"/>
              </w:rPr>
              <w:t>(in thousands)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1"/>
        </w:trPr>
        <w:tc>
          <w:tcPr>
            <w:tcW w:w="25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Stock-based compensation:</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Platform operations</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1,253</w:t>
            </w: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3,142</w:t>
            </w:r>
          </w:p>
        </w:tc>
        <w:tc>
          <w:tcPr>
            <w:tcW w:w="24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5,540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3,161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Sales and marketing</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11,914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Technology and development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5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1,935</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4,399</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7,203</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4,177</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7"/>
                <w:szCs w:val="17"/>
                <w:color w:val="auto"/>
              </w:rPr>
            </w:pPr>
          </w:p>
        </w:tc>
      </w:tr>
      <w:tr>
        <w:trPr>
          <w:trHeight w:val="191"/>
        </w:trPr>
        <w:tc>
          <w:tcPr>
            <w:tcW w:w="2500" w:type="dxa"/>
            <w:vAlign w:val="bottom"/>
          </w:tcPr>
          <w:p>
            <w:pPr>
              <w:spacing w:after="0"/>
              <w:rPr>
                <w:sz w:val="20"/>
                <w:szCs w:val="20"/>
                <w:color w:val="auto"/>
              </w:rPr>
            </w:pPr>
            <w:r>
              <w:rPr>
                <w:rFonts w:ascii="Arial" w:cs="Arial" w:eastAsia="Arial" w:hAnsi="Arial"/>
                <w:sz w:val="15"/>
                <w:szCs w:val="15"/>
                <w:color w:val="auto"/>
              </w:rPr>
              <w:t>Total stock-based compensation</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6,631</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15,415</w:t>
            </w:r>
          </w:p>
        </w:tc>
        <w:tc>
          <w:tcPr>
            <w:tcW w:w="24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29,686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17,090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7"/>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Depreciation:</w:t>
            </w:r>
          </w:p>
        </w:tc>
        <w:tc>
          <w:tcPr>
            <w:tcW w:w="5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Platform operations</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2,264</w:t>
            </w: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2,080</w:t>
            </w:r>
          </w:p>
        </w:tc>
        <w:tc>
          <w:tcPr>
            <w:tcW w:w="24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1,766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1,578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1,579</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1,619</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1,678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1,762</w:t>
            </w:r>
          </w:p>
        </w:tc>
        <w:tc>
          <w:tcPr>
            <w:tcW w:w="40" w:type="dxa"/>
            <w:vAlign w:val="bottom"/>
          </w:tcPr>
          <w:p>
            <w:pPr>
              <w:spacing w:after="0"/>
              <w:rPr>
                <w:sz w:val="17"/>
                <w:szCs w:val="17"/>
                <w:color w:val="auto"/>
              </w:rPr>
            </w:pP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Sales and marketing</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Technology and development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414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401</w:t>
            </w:r>
          </w:p>
        </w:tc>
        <w:tc>
          <w:tcPr>
            <w:tcW w:w="40" w:type="dxa"/>
            <w:vAlign w:val="bottom"/>
          </w:tcPr>
          <w:p>
            <w:pPr>
              <w:spacing w:after="0"/>
              <w:rPr>
                <w:sz w:val="17"/>
                <w:szCs w:val="17"/>
                <w:color w:val="auto"/>
              </w:rPr>
            </w:pP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5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164</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161</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163</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171</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153</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144</w:t>
            </w:r>
          </w:p>
        </w:tc>
        <w:tc>
          <w:tcPr>
            <w:tcW w:w="40" w:type="dxa"/>
            <w:vAlign w:val="bottom"/>
            <w:shd w:val="clear" w:color="auto" w:fill="CFF0FC"/>
          </w:tcPr>
          <w:p>
            <w:pPr>
              <w:spacing w:after="0"/>
              <w:rPr>
                <w:sz w:val="17"/>
                <w:szCs w:val="17"/>
                <w:color w:val="auto"/>
              </w:rPr>
            </w:pPr>
          </w:p>
        </w:tc>
      </w:tr>
      <w:tr>
        <w:trPr>
          <w:trHeight w:val="191"/>
        </w:trPr>
        <w:tc>
          <w:tcPr>
            <w:tcW w:w="2500" w:type="dxa"/>
            <w:vAlign w:val="bottom"/>
          </w:tcPr>
          <w:p>
            <w:pPr>
              <w:spacing w:after="0"/>
              <w:rPr>
                <w:sz w:val="20"/>
                <w:szCs w:val="20"/>
                <w:color w:val="auto"/>
              </w:rPr>
            </w:pPr>
            <w:r>
              <w:rPr>
                <w:rFonts w:ascii="Arial" w:cs="Arial" w:eastAsia="Arial" w:hAnsi="Arial"/>
                <w:sz w:val="15"/>
                <w:szCs w:val="15"/>
                <w:color w:val="auto"/>
              </w:rPr>
              <w:t>Total depreciation</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2,810</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2,665</w:t>
            </w:r>
          </w:p>
        </w:tc>
        <w:tc>
          <w:tcPr>
            <w:tcW w:w="24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2,317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2,120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2,144</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2,193</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2,233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2,307</w:t>
            </w:r>
          </w:p>
        </w:tc>
        <w:tc>
          <w:tcPr>
            <w:tcW w:w="40" w:type="dxa"/>
            <w:vAlign w:val="bottom"/>
          </w:tcPr>
          <w:p>
            <w:pPr>
              <w:spacing w:after="0"/>
              <w:rPr>
                <w:sz w:val="16"/>
                <w:szCs w:val="16"/>
                <w:color w:val="auto"/>
              </w:rPr>
            </w:pPr>
          </w:p>
        </w:tc>
      </w:tr>
      <w:tr>
        <w:trPr>
          <w:trHeight w:val="197"/>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Amortization:</w:t>
            </w:r>
          </w:p>
        </w:tc>
        <w:tc>
          <w:tcPr>
            <w:tcW w:w="5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Platform operations</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175</w:t>
            </w: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175</w:t>
            </w:r>
          </w:p>
        </w:tc>
        <w:tc>
          <w:tcPr>
            <w:tcW w:w="24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175</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175</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175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175</w:t>
            </w:r>
          </w:p>
        </w:tc>
        <w:tc>
          <w:tcPr>
            <w:tcW w:w="40" w:type="dxa"/>
            <w:vAlign w:val="bottom"/>
          </w:tcPr>
          <w:p>
            <w:pPr>
              <w:spacing w:after="0"/>
              <w:rPr>
                <w:sz w:val="17"/>
                <w:szCs w:val="17"/>
                <w:color w:val="auto"/>
              </w:rPr>
            </w:pP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Sales and marketing</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r>
      <w:tr>
        <w:trPr>
          <w:trHeight w:val="198"/>
        </w:trPr>
        <w:tc>
          <w:tcPr>
            <w:tcW w:w="2500" w:type="dxa"/>
            <w:vAlign w:val="bottom"/>
          </w:tcPr>
          <w:p>
            <w:pPr>
              <w:spacing w:after="0"/>
              <w:rPr>
                <w:sz w:val="20"/>
                <w:szCs w:val="20"/>
                <w:color w:val="auto"/>
              </w:rPr>
            </w:pPr>
            <w:r>
              <w:rPr>
                <w:rFonts w:ascii="Arial" w:cs="Arial" w:eastAsia="Arial" w:hAnsi="Arial"/>
                <w:sz w:val="15"/>
                <w:szCs w:val="15"/>
                <w:color w:val="auto"/>
              </w:rPr>
              <w:t>Technology and development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5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40" w:type="dxa"/>
            <w:vAlign w:val="bottom"/>
            <w:shd w:val="clear" w:color="auto" w:fill="CFF0FC"/>
          </w:tcPr>
          <w:p>
            <w:pPr>
              <w:spacing w:after="0"/>
              <w:rPr>
                <w:sz w:val="17"/>
                <w:szCs w:val="17"/>
                <w:color w:val="auto"/>
              </w:rPr>
            </w:pPr>
          </w:p>
        </w:tc>
      </w:tr>
      <w:tr>
        <w:trPr>
          <w:trHeight w:val="191"/>
        </w:trPr>
        <w:tc>
          <w:tcPr>
            <w:tcW w:w="2500" w:type="dxa"/>
            <w:vAlign w:val="bottom"/>
          </w:tcPr>
          <w:p>
            <w:pPr>
              <w:spacing w:after="0"/>
              <w:rPr>
                <w:sz w:val="20"/>
                <w:szCs w:val="20"/>
                <w:color w:val="auto"/>
              </w:rPr>
            </w:pPr>
            <w:r>
              <w:rPr>
                <w:rFonts w:ascii="Arial" w:cs="Arial" w:eastAsia="Arial" w:hAnsi="Arial"/>
                <w:sz w:val="15"/>
                <w:szCs w:val="15"/>
                <w:color w:val="auto"/>
              </w:rPr>
              <w:t>Total amortization</w:t>
            </w:r>
          </w:p>
        </w:tc>
        <w:tc>
          <w:tcPr>
            <w:tcW w:w="74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308</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307</w:t>
            </w:r>
          </w:p>
        </w:tc>
        <w:tc>
          <w:tcPr>
            <w:tcW w:w="24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307</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308</w:t>
            </w:r>
          </w:p>
        </w:tc>
        <w:tc>
          <w:tcPr>
            <w:tcW w:w="400" w:type="dxa"/>
            <w:vAlign w:val="bottom"/>
            <w:gridSpan w:val="2"/>
          </w:tcPr>
          <w:p>
            <w:pPr>
              <w:jc w:val="right"/>
              <w:ind w:right="4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307</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307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307</w:t>
            </w:r>
          </w:p>
        </w:tc>
        <w:tc>
          <w:tcPr>
            <w:tcW w:w="4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0" w:firstLine="589"/>
        <w:spacing w:after="0" w:line="269" w:lineRule="auto"/>
        <w:rPr>
          <w:sz w:val="20"/>
          <w:szCs w:val="20"/>
          <w:color w:val="auto"/>
        </w:rPr>
      </w:pPr>
      <w:r>
        <w:rPr>
          <w:rFonts w:ascii="Arial" w:cs="Arial" w:eastAsia="Arial" w:hAnsi="Arial"/>
          <w:sz w:val="17"/>
          <w:szCs w:val="17"/>
          <w:color w:val="231F20"/>
        </w:rPr>
        <w:t>See Note 4, Note 5 and Note 9 to our consolidated financial statements included elsewhere in this Annual Report for more information regarding depreciation, amortization and stock-based compensation expense, respectively.</w:t>
      </w:r>
    </w:p>
    <w:p>
      <w:pPr>
        <w:spacing w:after="0" w:line="65" w:lineRule="exact"/>
        <w:rPr>
          <w:sz w:val="20"/>
          <w:szCs w:val="20"/>
          <w:color w:val="auto"/>
        </w:rPr>
      </w:pPr>
    </w:p>
    <w:p>
      <w:pPr>
        <w:ind w:left="580" w:right="40" w:hanging="579"/>
        <w:spacing w:after="0" w:line="269" w:lineRule="auto"/>
        <w:tabs>
          <w:tab w:leader="none" w:pos="580" w:val="left"/>
        </w:tabs>
        <w:numPr>
          <w:ilvl w:val="0"/>
          <w:numId w:val="30"/>
        </w:numPr>
        <w:rPr>
          <w:rFonts w:ascii="Arial" w:cs="Arial" w:eastAsia="Arial" w:hAnsi="Arial"/>
          <w:sz w:val="14"/>
          <w:szCs w:val="14"/>
          <w:color w:val="231F20"/>
        </w:rPr>
      </w:pPr>
      <w:r>
        <w:rPr>
          <w:rFonts w:ascii="Arial" w:cs="Arial" w:eastAsia="Arial" w:hAnsi="Arial"/>
          <w:sz w:val="17"/>
          <w:szCs w:val="17"/>
          <w:color w:val="231F20"/>
        </w:rPr>
        <w:t>See Note 2 to our consolidated financial statements included elsewhere in this Annual Report for a description of the earnings (loss) per share/unit—basic and diluted computations.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Quarterly Non-GAAP Financial Measures</w:t>
      </w:r>
    </w:p>
    <w:p>
      <w:pPr>
        <w:spacing w:after="0" w:line="207" w:lineRule="exact"/>
        <w:rPr>
          <w:sz w:val="20"/>
          <w:szCs w:val="20"/>
          <w:color w:val="auto"/>
        </w:rPr>
      </w:pPr>
    </w:p>
    <w:p>
      <w:pPr>
        <w:ind w:right="100" w:firstLine="589"/>
        <w:spacing w:after="0" w:line="251" w:lineRule="auto"/>
        <w:rPr>
          <w:sz w:val="20"/>
          <w:szCs w:val="20"/>
          <w:color w:val="auto"/>
        </w:rPr>
      </w:pPr>
      <w:r>
        <w:rPr>
          <w:rFonts w:ascii="Arial" w:cs="Arial" w:eastAsia="Arial" w:hAnsi="Arial"/>
          <w:sz w:val="17"/>
          <w:szCs w:val="17"/>
          <w:color w:val="231F20"/>
        </w:rPr>
        <w:t>We monitor certain non-GAAP financial measures such as contribution ex-TAC, adjusted EBITDA and adjusted EBITDA as a percentage of contribution ex-TAC when evaluating our quarterly results of operations to help us evaluate growth trends, establish budgets, measure the effectiveness of our sales and marketing efforts and assess our operational efficiencies. Reconciliations of these non-GAAP financial measures for each quarter of our fiscal years ended December 31, 2021 and 2020 to the most directly comparable financial measures calculated and presented in accordance with GAAP are provided in the financial tables presented below. For a description of management’s use of each non-GAAP financial measure contained in this Annual Report, see “—</w:t>
      </w:r>
      <w:r>
        <w:rPr>
          <w:rFonts w:ascii="Arial" w:cs="Arial" w:eastAsia="Arial" w:hAnsi="Arial"/>
          <w:sz w:val="17"/>
          <w:szCs w:val="17"/>
          <w:i w:val="1"/>
          <w:iCs w:val="1"/>
          <w:color w:val="231F20"/>
        </w:rPr>
        <w:t>Key Operating and</w:t>
      </w:r>
      <w:r>
        <w:rPr>
          <w:rFonts w:ascii="Arial" w:cs="Arial" w:eastAsia="Arial" w:hAnsi="Arial"/>
          <w:sz w:val="17"/>
          <w:szCs w:val="17"/>
          <w:color w:val="231F20"/>
        </w:rPr>
        <w:t xml:space="preserve"> </w:t>
      </w:r>
      <w:r>
        <w:rPr>
          <w:rFonts w:ascii="Arial" w:cs="Arial" w:eastAsia="Arial" w:hAnsi="Arial"/>
          <w:sz w:val="17"/>
          <w:szCs w:val="17"/>
          <w:i w:val="1"/>
          <w:iCs w:val="1"/>
          <w:color w:val="231F20"/>
        </w:rPr>
        <w:t>Financial Performance Measures—Use of Non-GAAP Financial Measures.”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5"/>
        </w:trPr>
        <w:tc>
          <w:tcPr>
            <w:tcW w:w="3100" w:type="dxa"/>
            <w:vAlign w:val="bottom"/>
          </w:tcPr>
          <w:p>
            <w:pPr>
              <w:spacing w:after="0"/>
              <w:rPr>
                <w:sz w:val="10"/>
                <w:szCs w:val="10"/>
                <w:color w:val="auto"/>
              </w:rPr>
            </w:pPr>
          </w:p>
        </w:tc>
        <w:tc>
          <w:tcPr>
            <w:tcW w:w="900" w:type="dxa"/>
            <w:vAlign w:val="bottom"/>
            <w:gridSpan w:val="2"/>
          </w:tcPr>
          <w:p>
            <w:pPr>
              <w:jc w:val="right"/>
              <w:ind w:right="108"/>
              <w:spacing w:after="0" w:line="115" w:lineRule="exact"/>
              <w:rPr>
                <w:sz w:val="20"/>
                <w:szCs w:val="20"/>
                <w:color w:val="auto"/>
              </w:rPr>
            </w:pPr>
            <w:r>
              <w:rPr>
                <w:rFonts w:ascii="Arial" w:cs="Arial" w:eastAsia="Arial" w:hAnsi="Arial"/>
                <w:sz w:val="12"/>
                <w:szCs w:val="12"/>
                <w:b w:val="1"/>
                <w:bCs w:val="1"/>
                <w:color w:val="auto"/>
                <w:w w:val="93"/>
              </w:rPr>
              <w:t>December 31</w:t>
            </w:r>
          </w:p>
        </w:tc>
        <w:tc>
          <w:tcPr>
            <w:tcW w:w="1060" w:type="dxa"/>
            <w:vAlign w:val="bottom"/>
            <w:gridSpan w:val="2"/>
          </w:tcPr>
          <w:p>
            <w:pPr>
              <w:jc w:val="right"/>
              <w:ind w:right="108"/>
              <w:spacing w:after="0" w:line="115" w:lineRule="exact"/>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0"/>
                <w:szCs w:val="10"/>
                <w:color w:val="auto"/>
              </w:rPr>
            </w:pPr>
          </w:p>
        </w:tc>
        <w:tc>
          <w:tcPr>
            <w:tcW w:w="820" w:type="dxa"/>
            <w:vAlign w:val="bottom"/>
          </w:tcPr>
          <w:p>
            <w:pPr>
              <w:jc w:val="right"/>
              <w:ind w:right="270"/>
              <w:spacing w:after="0" w:line="115" w:lineRule="exact"/>
              <w:rPr>
                <w:sz w:val="20"/>
                <w:szCs w:val="20"/>
                <w:color w:val="auto"/>
              </w:rPr>
            </w:pPr>
            <w:r>
              <w:rPr>
                <w:rFonts w:ascii="Arial" w:cs="Arial" w:eastAsia="Arial" w:hAnsi="Arial"/>
                <w:sz w:val="12"/>
                <w:szCs w:val="12"/>
                <w:b w:val="1"/>
                <w:bCs w:val="1"/>
                <w:color w:val="auto"/>
                <w:w w:val="95"/>
              </w:rPr>
              <w:t>June 30,</w:t>
            </w:r>
          </w:p>
        </w:tc>
        <w:tc>
          <w:tcPr>
            <w:tcW w:w="200" w:type="dxa"/>
            <w:vAlign w:val="bottom"/>
          </w:tcPr>
          <w:p>
            <w:pPr>
              <w:spacing w:after="0"/>
              <w:rPr>
                <w:sz w:val="10"/>
                <w:szCs w:val="10"/>
                <w:color w:val="auto"/>
              </w:rPr>
            </w:pPr>
          </w:p>
        </w:tc>
        <w:tc>
          <w:tcPr>
            <w:tcW w:w="820" w:type="dxa"/>
            <w:vAlign w:val="bottom"/>
          </w:tcPr>
          <w:p>
            <w:pPr>
              <w:jc w:val="right"/>
              <w:ind w:right="213"/>
              <w:spacing w:after="0" w:line="115" w:lineRule="exact"/>
              <w:rPr>
                <w:sz w:val="20"/>
                <w:szCs w:val="20"/>
                <w:color w:val="auto"/>
              </w:rPr>
            </w:pPr>
            <w:r>
              <w:rPr>
                <w:rFonts w:ascii="Arial" w:cs="Arial" w:eastAsia="Arial" w:hAnsi="Arial"/>
                <w:sz w:val="12"/>
                <w:szCs w:val="12"/>
                <w:b w:val="1"/>
                <w:bCs w:val="1"/>
                <w:color w:val="auto"/>
                <w:w w:val="93"/>
              </w:rPr>
              <w:t>March 31,</w:t>
            </w:r>
          </w:p>
        </w:tc>
        <w:tc>
          <w:tcPr>
            <w:tcW w:w="1000" w:type="dxa"/>
            <w:vAlign w:val="bottom"/>
            <w:gridSpan w:val="2"/>
          </w:tcPr>
          <w:p>
            <w:pPr>
              <w:jc w:val="right"/>
              <w:ind w:right="108"/>
              <w:spacing w:after="0" w:line="115" w:lineRule="exact"/>
              <w:rPr>
                <w:sz w:val="20"/>
                <w:szCs w:val="20"/>
                <w:color w:val="auto"/>
              </w:rPr>
            </w:pPr>
            <w:r>
              <w:rPr>
                <w:rFonts w:ascii="Arial" w:cs="Arial" w:eastAsia="Arial" w:hAnsi="Arial"/>
                <w:sz w:val="12"/>
                <w:szCs w:val="12"/>
                <w:b w:val="1"/>
                <w:bCs w:val="1"/>
                <w:color w:val="auto"/>
              </w:rPr>
              <w:t>December 31</w:t>
            </w:r>
          </w:p>
        </w:tc>
        <w:tc>
          <w:tcPr>
            <w:tcW w:w="1040" w:type="dxa"/>
            <w:vAlign w:val="bottom"/>
            <w:gridSpan w:val="2"/>
          </w:tcPr>
          <w:p>
            <w:pPr>
              <w:jc w:val="right"/>
              <w:ind w:right="88"/>
              <w:spacing w:after="0" w:line="115" w:lineRule="exact"/>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0"/>
                <w:szCs w:val="10"/>
                <w:color w:val="auto"/>
              </w:rPr>
            </w:pPr>
          </w:p>
        </w:tc>
        <w:tc>
          <w:tcPr>
            <w:tcW w:w="800" w:type="dxa"/>
            <w:vAlign w:val="bottom"/>
          </w:tcPr>
          <w:p>
            <w:pPr>
              <w:jc w:val="right"/>
              <w:ind w:right="270"/>
              <w:spacing w:after="0" w:line="115" w:lineRule="exact"/>
              <w:rPr>
                <w:sz w:val="20"/>
                <w:szCs w:val="20"/>
                <w:color w:val="auto"/>
              </w:rPr>
            </w:pPr>
            <w:r>
              <w:rPr>
                <w:rFonts w:ascii="Arial" w:cs="Arial" w:eastAsia="Arial" w:hAnsi="Arial"/>
                <w:sz w:val="12"/>
                <w:szCs w:val="12"/>
                <w:b w:val="1"/>
                <w:bCs w:val="1"/>
                <w:color w:val="auto"/>
                <w:w w:val="91"/>
              </w:rPr>
              <w:t>June 30,</w:t>
            </w:r>
          </w:p>
        </w:tc>
        <w:tc>
          <w:tcPr>
            <w:tcW w:w="200" w:type="dxa"/>
            <w:vAlign w:val="bottom"/>
          </w:tcPr>
          <w:p>
            <w:pPr>
              <w:spacing w:after="0"/>
              <w:rPr>
                <w:sz w:val="10"/>
                <w:szCs w:val="10"/>
                <w:color w:val="auto"/>
              </w:rPr>
            </w:pPr>
          </w:p>
        </w:tc>
        <w:tc>
          <w:tcPr>
            <w:tcW w:w="680" w:type="dxa"/>
            <w:vAlign w:val="bottom"/>
          </w:tcPr>
          <w:p>
            <w:pPr>
              <w:jc w:val="right"/>
              <w:ind w:right="70"/>
              <w:spacing w:after="0" w:line="115" w:lineRule="exact"/>
              <w:rPr>
                <w:sz w:val="20"/>
                <w:szCs w:val="20"/>
                <w:color w:val="auto"/>
              </w:rPr>
            </w:pPr>
            <w:r>
              <w:rPr>
                <w:rFonts w:ascii="Arial" w:cs="Arial" w:eastAsia="Arial" w:hAnsi="Arial"/>
                <w:sz w:val="12"/>
                <w:szCs w:val="12"/>
                <w:b w:val="1"/>
                <w:bCs w:val="1"/>
                <w:color w:val="auto"/>
                <w:w w:val="93"/>
              </w:rPr>
              <w:t>March 31,</w:t>
            </w:r>
          </w:p>
        </w:tc>
        <w:tc>
          <w:tcPr>
            <w:tcW w:w="140" w:type="dxa"/>
            <w:vAlign w:val="bottom"/>
          </w:tcPr>
          <w:p>
            <w:pPr>
              <w:spacing w:after="0"/>
              <w:rPr>
                <w:sz w:val="10"/>
                <w:szCs w:val="10"/>
                <w:color w:val="auto"/>
              </w:rPr>
            </w:pPr>
          </w:p>
        </w:tc>
      </w:tr>
      <w:tr>
        <w:trPr>
          <w:trHeight w:val="142"/>
        </w:trPr>
        <w:tc>
          <w:tcPr>
            <w:tcW w:w="3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w w:val="82"/>
              </w:rPr>
              <w:t>2020</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r>
      <w:tr>
        <w:trPr>
          <w:trHeight w:val="131"/>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auto"/>
              </w:rPr>
              <w:t>(in thousands)</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9"/>
        </w:trPr>
        <w:tc>
          <w:tcPr>
            <w:tcW w:w="31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Operating and Financial Performance</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1"/>
        </w:trPr>
        <w:tc>
          <w:tcPr>
            <w:tcW w:w="31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Measures</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8"/>
        </w:trPr>
        <w:tc>
          <w:tcPr>
            <w:tcW w:w="3100" w:type="dxa"/>
            <w:vAlign w:val="bottom"/>
          </w:tcPr>
          <w:p>
            <w:pPr>
              <w:spacing w:after="0"/>
              <w:rPr>
                <w:sz w:val="20"/>
                <w:szCs w:val="20"/>
                <w:color w:val="auto"/>
              </w:rPr>
            </w:pPr>
            <w:r>
              <w:rPr>
                <w:rFonts w:ascii="Arial" w:cs="Arial" w:eastAsia="Arial" w:hAnsi="Arial"/>
                <w:sz w:val="15"/>
                <w:szCs w:val="15"/>
                <w:color w:val="auto"/>
              </w:rPr>
              <w:t>Gross profit</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38,137</w:t>
            </w:r>
          </w:p>
        </w:tc>
        <w:tc>
          <w:tcPr>
            <w:tcW w:w="30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8"/>
              <w:spacing w:after="0"/>
              <w:rPr>
                <w:sz w:val="20"/>
                <w:szCs w:val="20"/>
                <w:color w:val="auto"/>
              </w:rPr>
            </w:pPr>
            <w:r>
              <w:rPr>
                <w:rFonts w:ascii="Arial" w:cs="Arial" w:eastAsia="Arial" w:hAnsi="Arial"/>
                <w:sz w:val="15"/>
                <w:szCs w:val="15"/>
                <w:color w:val="auto"/>
              </w:rPr>
              <w:t>21,890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90"/>
              <w:spacing w:after="0"/>
              <w:rPr>
                <w:sz w:val="20"/>
                <w:szCs w:val="20"/>
                <w:color w:val="auto"/>
              </w:rPr>
            </w:pPr>
            <w:r>
              <w:rPr>
                <w:rFonts w:ascii="Arial" w:cs="Arial" w:eastAsia="Arial" w:hAnsi="Arial"/>
                <w:sz w:val="15"/>
                <w:szCs w:val="15"/>
                <w:color w:val="auto"/>
              </w:rPr>
              <w:t>18,696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3"/>
              <w:spacing w:after="0"/>
              <w:rPr>
                <w:sz w:val="20"/>
                <w:szCs w:val="20"/>
                <w:color w:val="auto"/>
              </w:rPr>
            </w:pPr>
            <w:r>
              <w:rPr>
                <w:rFonts w:ascii="Arial" w:cs="Arial" w:eastAsia="Arial" w:hAnsi="Arial"/>
                <w:sz w:val="15"/>
                <w:szCs w:val="15"/>
                <w:color w:val="auto"/>
              </w:rPr>
              <w:t>15,800</w:t>
            </w:r>
          </w:p>
        </w:tc>
        <w:tc>
          <w:tcPr>
            <w:tcW w:w="3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30,517</w:t>
            </w:r>
          </w:p>
        </w:tc>
        <w:tc>
          <w:tcPr>
            <w:tcW w:w="30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20,081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0"/>
              <w:spacing w:after="0"/>
              <w:rPr>
                <w:sz w:val="20"/>
                <w:szCs w:val="20"/>
                <w:color w:val="auto"/>
              </w:rPr>
            </w:pPr>
            <w:r>
              <w:rPr>
                <w:rFonts w:ascii="Arial" w:cs="Arial" w:eastAsia="Arial" w:hAnsi="Arial"/>
                <w:sz w:val="15"/>
                <w:szCs w:val="15"/>
                <w:color w:val="auto"/>
              </w:rPr>
              <w:t>11,836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14,557</w:t>
            </w:r>
          </w:p>
        </w:tc>
        <w:tc>
          <w:tcPr>
            <w:tcW w:w="140" w:type="dxa"/>
            <w:vAlign w:val="bottom"/>
          </w:tcPr>
          <w:p>
            <w:pPr>
              <w:spacing w:after="0"/>
              <w:rPr>
                <w:sz w:val="17"/>
                <w:szCs w:val="17"/>
                <w:color w:val="auto"/>
              </w:rPr>
            </w:pPr>
          </w:p>
        </w:tc>
      </w:tr>
      <w:tr>
        <w:trPr>
          <w:trHeight w:val="204"/>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Contribution ex-TAC</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48,483</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5"/>
                <w:szCs w:val="15"/>
                <w:color w:val="auto"/>
              </w:rPr>
              <w:t>34,077</w:t>
            </w: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rPr>
              <w:t>32,199</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5"/>
                <w:szCs w:val="15"/>
                <w:color w:val="auto"/>
              </w:rPr>
              <w:t>26,741</w:t>
            </w:r>
          </w:p>
        </w:tc>
        <w:tc>
          <w:tcPr>
            <w:tcW w:w="360" w:type="dxa"/>
            <w:vAlign w:val="bottom"/>
            <w:shd w:val="clear" w:color="auto" w:fill="CFF0FC"/>
          </w:tcPr>
          <w:p>
            <w:pPr>
              <w:jc w:val="right"/>
              <w:ind w:right="108"/>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39,135</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27,995</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rPr>
              <w:t>20,045</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23,341</w:t>
            </w:r>
          </w:p>
        </w:tc>
        <w:tc>
          <w:tcPr>
            <w:tcW w:w="140" w:type="dxa"/>
            <w:vAlign w:val="bottom"/>
            <w:shd w:val="clear" w:color="auto" w:fill="CFF0FC"/>
          </w:tcPr>
          <w:p>
            <w:pPr>
              <w:spacing w:after="0"/>
              <w:rPr>
                <w:sz w:val="17"/>
                <w:szCs w:val="17"/>
                <w:color w:val="auto"/>
              </w:rPr>
            </w:pPr>
          </w:p>
        </w:tc>
      </w:tr>
      <w:tr>
        <w:trPr>
          <w:trHeight w:val="198"/>
        </w:trPr>
        <w:tc>
          <w:tcPr>
            <w:tcW w:w="3100" w:type="dxa"/>
            <w:vAlign w:val="bottom"/>
          </w:tcPr>
          <w:p>
            <w:pPr>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7,516</w:t>
            </w:r>
          </w:p>
        </w:tc>
        <w:tc>
          <w:tcPr>
            <w:tcW w:w="30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8"/>
              <w:spacing w:after="0"/>
              <w:rPr>
                <w:sz w:val="20"/>
                <w:szCs w:val="20"/>
                <w:color w:val="auto"/>
              </w:rPr>
            </w:pPr>
            <w:r>
              <w:rPr>
                <w:rFonts w:ascii="Arial" w:cs="Arial" w:eastAsia="Arial" w:hAnsi="Arial"/>
                <w:sz w:val="15"/>
                <w:szCs w:val="15"/>
                <w:color w:val="auto"/>
              </w:rPr>
              <w:t>(12,160)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0"/>
              <w:spacing w:after="0"/>
              <w:rPr>
                <w:sz w:val="20"/>
                <w:szCs w:val="20"/>
                <w:color w:val="auto"/>
              </w:rPr>
            </w:pPr>
            <w:r>
              <w:rPr>
                <w:rFonts w:ascii="Arial" w:cs="Arial" w:eastAsia="Arial" w:hAnsi="Arial"/>
                <w:sz w:val="15"/>
                <w:szCs w:val="15"/>
                <w:color w:val="auto"/>
              </w:rPr>
              <w:t>(18,095)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3"/>
              <w:spacing w:after="0"/>
              <w:rPr>
                <w:sz w:val="20"/>
                <w:szCs w:val="20"/>
                <w:color w:val="auto"/>
              </w:rPr>
            </w:pPr>
            <w:r>
              <w:rPr>
                <w:rFonts w:ascii="Arial" w:cs="Arial" w:eastAsia="Arial" w:hAnsi="Arial"/>
                <w:sz w:val="15"/>
                <w:szCs w:val="15"/>
                <w:color w:val="auto"/>
              </w:rPr>
              <w:t>(14,870)</w:t>
            </w:r>
          </w:p>
        </w:tc>
        <w:tc>
          <w:tcPr>
            <w:tcW w:w="3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12,861</w:t>
            </w:r>
          </w:p>
        </w:tc>
        <w:tc>
          <w:tcPr>
            <w:tcW w:w="30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7,478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(30)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329</w:t>
            </w:r>
          </w:p>
        </w:tc>
        <w:tc>
          <w:tcPr>
            <w:tcW w:w="140" w:type="dxa"/>
            <w:vAlign w:val="bottom"/>
          </w:tcPr>
          <w:p>
            <w:pPr>
              <w:spacing w:after="0"/>
              <w:rPr>
                <w:sz w:val="17"/>
                <w:szCs w:val="17"/>
                <w:color w:val="auto"/>
              </w:rPr>
            </w:pPr>
          </w:p>
        </w:tc>
      </w:tr>
      <w:tr>
        <w:trPr>
          <w:trHeight w:val="204"/>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17,426</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5"/>
                <w:szCs w:val="15"/>
                <w:color w:val="auto"/>
              </w:rPr>
              <w:t>6,454</w:t>
            </w: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rPr>
              <w:t>8,346</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5"/>
                <w:szCs w:val="15"/>
                <w:color w:val="auto"/>
              </w:rPr>
              <w:t>4,882</w:t>
            </w:r>
          </w:p>
        </w:tc>
        <w:tc>
          <w:tcPr>
            <w:tcW w:w="360" w:type="dxa"/>
            <w:vAlign w:val="bottom"/>
            <w:shd w:val="clear" w:color="auto" w:fill="CFF0FC"/>
          </w:tcPr>
          <w:p>
            <w:pPr>
              <w:jc w:val="right"/>
              <w:ind w:right="108"/>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15,562</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rPr>
              <w:t>10,242</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rPr>
              <w:t>2,754</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3,224</w:t>
            </w:r>
          </w:p>
        </w:tc>
        <w:tc>
          <w:tcPr>
            <w:tcW w:w="140" w:type="dxa"/>
            <w:vAlign w:val="bottom"/>
            <w:shd w:val="clear" w:color="auto" w:fill="CFF0FC"/>
          </w:tcPr>
          <w:p>
            <w:pPr>
              <w:spacing w:after="0"/>
              <w:rPr>
                <w:sz w:val="17"/>
                <w:szCs w:val="17"/>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40" w:type="dxa"/>
            <w:vAlign w:val="bottom"/>
          </w:tcPr>
          <w:p>
            <w:pPr>
              <w:spacing w:after="0"/>
              <w:rPr>
                <w:sz w:val="20"/>
                <w:szCs w:val="20"/>
                <w:color w:val="auto"/>
              </w:rPr>
            </w:pPr>
            <w:r>
              <w:rPr>
                <w:rFonts w:ascii="Arial" w:cs="Arial" w:eastAsia="Arial" w:hAnsi="Arial"/>
                <w:sz w:val="15"/>
                <w:szCs w:val="15"/>
                <w:color w:val="auto"/>
              </w:rPr>
              <w:t>Net income as a percentage of gross profit</w:t>
            </w:r>
          </w:p>
        </w:tc>
        <w:tc>
          <w:tcPr>
            <w:tcW w:w="1200" w:type="dxa"/>
            <w:vAlign w:val="bottom"/>
          </w:tcPr>
          <w:p>
            <w:pPr>
              <w:jc w:val="right"/>
              <w:ind w:right="245"/>
              <w:spacing w:after="0"/>
              <w:rPr>
                <w:sz w:val="20"/>
                <w:szCs w:val="20"/>
                <w:color w:val="auto"/>
              </w:rPr>
            </w:pPr>
            <w:r>
              <w:rPr>
                <w:rFonts w:ascii="Arial" w:cs="Arial" w:eastAsia="Arial" w:hAnsi="Arial"/>
                <w:sz w:val="15"/>
                <w:szCs w:val="15"/>
                <w:color w:val="auto"/>
              </w:rPr>
              <w:t>20%</w:t>
            </w:r>
          </w:p>
        </w:tc>
        <w:tc>
          <w:tcPr>
            <w:tcW w:w="1020" w:type="dxa"/>
            <w:vAlign w:val="bottom"/>
          </w:tcPr>
          <w:p>
            <w:pPr>
              <w:jc w:val="right"/>
              <w:ind w:right="385"/>
              <w:spacing w:after="0"/>
              <w:rPr>
                <w:sz w:val="20"/>
                <w:szCs w:val="20"/>
                <w:color w:val="auto"/>
              </w:rPr>
            </w:pPr>
            <w:r>
              <w:rPr>
                <w:rFonts w:ascii="Arial" w:cs="Arial" w:eastAsia="Arial" w:hAnsi="Arial"/>
                <w:sz w:val="15"/>
                <w:szCs w:val="15"/>
                <w:color w:val="auto"/>
              </w:rPr>
              <w:t>N/A</w:t>
            </w:r>
          </w:p>
        </w:tc>
        <w:tc>
          <w:tcPr>
            <w:tcW w:w="1040" w:type="dxa"/>
            <w:vAlign w:val="bottom"/>
          </w:tcPr>
          <w:p>
            <w:pPr>
              <w:jc w:val="right"/>
              <w:ind w:right="3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ind w:right="425"/>
              <w:spacing w:after="0"/>
              <w:rPr>
                <w:sz w:val="20"/>
                <w:szCs w:val="20"/>
                <w:color w:val="auto"/>
              </w:rPr>
            </w:pPr>
            <w:r>
              <w:rPr>
                <w:rFonts w:ascii="Arial" w:cs="Arial" w:eastAsia="Arial" w:hAnsi="Arial"/>
                <w:sz w:val="15"/>
                <w:szCs w:val="15"/>
                <w:color w:val="auto"/>
              </w:rPr>
              <w:t>N/A</w:t>
            </w:r>
          </w:p>
        </w:tc>
        <w:tc>
          <w:tcPr>
            <w:tcW w:w="1040" w:type="dxa"/>
            <w:vAlign w:val="bottom"/>
          </w:tcPr>
          <w:p>
            <w:pPr>
              <w:jc w:val="right"/>
              <w:ind w:right="305"/>
              <w:spacing w:after="0"/>
              <w:rPr>
                <w:sz w:val="20"/>
                <w:szCs w:val="20"/>
                <w:color w:val="auto"/>
              </w:rPr>
            </w:pPr>
            <w:r>
              <w:rPr>
                <w:rFonts w:ascii="Arial" w:cs="Arial" w:eastAsia="Arial" w:hAnsi="Arial"/>
                <w:sz w:val="15"/>
                <w:szCs w:val="15"/>
                <w:color w:val="auto"/>
              </w:rPr>
              <w:t>42%</w:t>
            </w:r>
          </w:p>
        </w:tc>
        <w:tc>
          <w:tcPr>
            <w:tcW w:w="1020" w:type="dxa"/>
            <w:vAlign w:val="bottom"/>
          </w:tcPr>
          <w:p>
            <w:pPr>
              <w:jc w:val="right"/>
              <w:ind w:right="285"/>
              <w:spacing w:after="0"/>
              <w:rPr>
                <w:sz w:val="20"/>
                <w:szCs w:val="20"/>
                <w:color w:val="auto"/>
              </w:rPr>
            </w:pPr>
            <w:r>
              <w:rPr>
                <w:rFonts w:ascii="Arial" w:cs="Arial" w:eastAsia="Arial" w:hAnsi="Arial"/>
                <w:sz w:val="15"/>
                <w:szCs w:val="15"/>
                <w:color w:val="auto"/>
              </w:rPr>
              <w:t>37%</w:t>
            </w:r>
          </w:p>
        </w:tc>
        <w:tc>
          <w:tcPr>
            <w:tcW w:w="1040" w:type="dxa"/>
            <w:vAlign w:val="bottom"/>
          </w:tcPr>
          <w:p>
            <w:pPr>
              <w:jc w:val="right"/>
              <w:ind w:right="305"/>
              <w:spacing w:after="0"/>
              <w:rPr>
                <w:sz w:val="20"/>
                <w:szCs w:val="20"/>
                <w:color w:val="auto"/>
              </w:rPr>
            </w:pPr>
            <w:r>
              <w:rPr>
                <w:rFonts w:ascii="Arial" w:cs="Arial" w:eastAsia="Arial" w:hAnsi="Arial"/>
                <w:sz w:val="15"/>
                <w:szCs w:val="15"/>
                <w:color w:val="auto"/>
              </w:rPr>
              <w:t>0%</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96"/>
        </w:trPr>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as a percentage of</w:t>
            </w:r>
          </w:p>
        </w:tc>
        <w:tc>
          <w:tcPr>
            <w:tcW w:w="1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197"/>
        </w:trPr>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contribution ex-TAC</w:t>
            </w:r>
          </w:p>
        </w:tc>
        <w:tc>
          <w:tcPr>
            <w:tcW w:w="12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rPr>
              <w:t>36%</w:t>
            </w:r>
          </w:p>
        </w:tc>
        <w:tc>
          <w:tcPr>
            <w:tcW w:w="102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rPr>
              <w:t>19%</w:t>
            </w:r>
          </w:p>
        </w:tc>
        <w:tc>
          <w:tcPr>
            <w:tcW w:w="104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rPr>
              <w:t>26%</w:t>
            </w:r>
          </w:p>
        </w:tc>
        <w:tc>
          <w:tcPr>
            <w:tcW w:w="108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rPr>
              <w:t>18%</w:t>
            </w:r>
          </w:p>
        </w:tc>
        <w:tc>
          <w:tcPr>
            <w:tcW w:w="104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rPr>
              <w:t>40%</w:t>
            </w:r>
          </w:p>
        </w:tc>
        <w:tc>
          <w:tcPr>
            <w:tcW w:w="102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rPr>
              <w:t>37%</w:t>
            </w:r>
          </w:p>
        </w:tc>
        <w:tc>
          <w:tcPr>
            <w:tcW w:w="104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rPr>
              <w:t>14%</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i w:val="1"/>
          <w:iCs w:val="1"/>
          <w:color w:val="231F20"/>
        </w:rPr>
        <w:t>Contribution ex-TAC</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a reconciliation of revenue to gross profit to contribution ex-TAC for the periods presented</w:t>
      </w:r>
      <w:r>
        <w:rPr>
          <w:rFonts w:ascii="Arial" w:cs="Arial" w:eastAsia="Arial" w:hAnsi="Arial"/>
          <w:sz w:val="17"/>
          <w:szCs w:val="17"/>
          <w:color w:val="231F20"/>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5"/>
        </w:trPr>
        <w:tc>
          <w:tcPr>
            <w:tcW w:w="3120" w:type="dxa"/>
            <w:vAlign w:val="bottom"/>
          </w:tcPr>
          <w:p>
            <w:pPr>
              <w:spacing w:after="0"/>
              <w:rPr>
                <w:sz w:val="10"/>
                <w:szCs w:val="10"/>
                <w:color w:val="auto"/>
              </w:rPr>
            </w:pPr>
          </w:p>
        </w:tc>
        <w:tc>
          <w:tcPr>
            <w:tcW w:w="960" w:type="dxa"/>
            <w:vAlign w:val="bottom"/>
            <w:gridSpan w:val="3"/>
          </w:tcPr>
          <w:p>
            <w:pPr>
              <w:jc w:val="right"/>
              <w:ind w:right="220"/>
              <w:spacing w:after="0" w:line="115" w:lineRule="exact"/>
              <w:rPr>
                <w:sz w:val="20"/>
                <w:szCs w:val="20"/>
                <w:color w:val="auto"/>
              </w:rPr>
            </w:pPr>
            <w:r>
              <w:rPr>
                <w:rFonts w:ascii="Arial" w:cs="Arial" w:eastAsia="Arial" w:hAnsi="Arial"/>
                <w:sz w:val="12"/>
                <w:szCs w:val="12"/>
                <w:b w:val="1"/>
                <w:bCs w:val="1"/>
                <w:color w:val="auto"/>
                <w:w w:val="92"/>
              </w:rPr>
              <w:t>December 31,</w:t>
            </w:r>
          </w:p>
        </w:tc>
        <w:tc>
          <w:tcPr>
            <w:tcW w:w="80" w:type="dxa"/>
            <w:vAlign w:val="bottom"/>
          </w:tcPr>
          <w:p>
            <w:pPr>
              <w:spacing w:after="0"/>
              <w:rPr>
                <w:sz w:val="10"/>
                <w:szCs w:val="10"/>
                <w:color w:val="auto"/>
              </w:rPr>
            </w:pPr>
          </w:p>
        </w:tc>
        <w:tc>
          <w:tcPr>
            <w:tcW w:w="960" w:type="dxa"/>
            <w:vAlign w:val="bottom"/>
            <w:gridSpan w:val="3"/>
          </w:tcPr>
          <w:p>
            <w:pPr>
              <w:jc w:val="right"/>
              <w:ind w:right="200"/>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w w:val="95"/>
              </w:rPr>
              <w:t>June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w w:val="97"/>
              </w:rPr>
              <w:t>March 31,</w:t>
            </w:r>
          </w:p>
        </w:tc>
        <w:tc>
          <w:tcPr>
            <w:tcW w:w="1040" w:type="dxa"/>
            <w:vAlign w:val="bottom"/>
            <w:gridSpan w:val="3"/>
          </w:tcPr>
          <w:p>
            <w:pPr>
              <w:jc w:val="right"/>
              <w:ind w:right="300"/>
              <w:spacing w:after="0" w:line="115" w:lineRule="exact"/>
              <w:rPr>
                <w:sz w:val="20"/>
                <w:szCs w:val="20"/>
                <w:color w:val="auto"/>
              </w:rPr>
            </w:pPr>
            <w:r>
              <w:rPr>
                <w:rFonts w:ascii="Arial" w:cs="Arial" w:eastAsia="Arial" w:hAnsi="Arial"/>
                <w:sz w:val="12"/>
                <w:szCs w:val="12"/>
                <w:b w:val="1"/>
                <w:bCs w:val="1"/>
                <w:color w:val="auto"/>
                <w:w w:val="92"/>
              </w:rPr>
              <w:t>December 31,</w:t>
            </w:r>
          </w:p>
        </w:tc>
        <w:tc>
          <w:tcPr>
            <w:tcW w:w="960" w:type="dxa"/>
            <w:vAlign w:val="bottom"/>
            <w:gridSpan w:val="3"/>
          </w:tcPr>
          <w:p>
            <w:pPr>
              <w:jc w:val="right"/>
              <w:ind w:right="200"/>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w w:val="95"/>
              </w:rPr>
              <w:t>June 30,</w:t>
            </w:r>
          </w:p>
        </w:tc>
        <w:tc>
          <w:tcPr>
            <w:tcW w:w="100" w:type="dxa"/>
            <w:vAlign w:val="bottom"/>
          </w:tcPr>
          <w:p>
            <w:pPr>
              <w:spacing w:after="0"/>
              <w:rPr>
                <w:sz w:val="10"/>
                <w:szCs w:val="10"/>
                <w:color w:val="auto"/>
              </w:rPr>
            </w:pPr>
          </w:p>
        </w:tc>
        <w:tc>
          <w:tcPr>
            <w:tcW w:w="680" w:type="dxa"/>
            <w:vAlign w:val="bottom"/>
          </w:tcPr>
          <w:p>
            <w:pPr>
              <w:jc w:val="right"/>
              <w:ind w:right="69"/>
              <w:spacing w:after="0" w:line="115" w:lineRule="exact"/>
              <w:rPr>
                <w:sz w:val="20"/>
                <w:szCs w:val="20"/>
                <w:color w:val="auto"/>
              </w:rPr>
            </w:pPr>
            <w:r>
              <w:rPr>
                <w:rFonts w:ascii="Arial" w:cs="Arial" w:eastAsia="Arial" w:hAnsi="Arial"/>
                <w:sz w:val="12"/>
                <w:szCs w:val="12"/>
                <w:b w:val="1"/>
                <w:bCs w:val="1"/>
                <w:color w:val="auto"/>
                <w:w w:val="93"/>
              </w:rPr>
              <w:t>March 31,</w:t>
            </w:r>
          </w:p>
        </w:tc>
        <w:tc>
          <w:tcPr>
            <w:tcW w:w="60" w:type="dxa"/>
            <w:vAlign w:val="bottom"/>
          </w:tcPr>
          <w:p>
            <w:pPr>
              <w:spacing w:after="0"/>
              <w:rPr>
                <w:sz w:val="10"/>
                <w:szCs w:val="10"/>
                <w:color w:val="auto"/>
              </w:rPr>
            </w:pPr>
          </w:p>
        </w:tc>
      </w:tr>
      <w:tr>
        <w:trPr>
          <w:trHeight w:val="142"/>
        </w:trPr>
        <w:tc>
          <w:tcPr>
            <w:tcW w:w="3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w w:val="97"/>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r>
      <w:tr>
        <w:trPr>
          <w:trHeight w:val="131"/>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spacing w:after="0" w:line="131"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1"/>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82,715</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50,857</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50,411</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40,144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56,461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40,205</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30,425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38,160</w:t>
            </w:r>
          </w:p>
        </w:tc>
        <w:tc>
          <w:tcPr>
            <w:tcW w:w="60" w:type="dxa"/>
            <w:vAlign w:val="bottom"/>
            <w:shd w:val="clear" w:color="auto" w:fill="CFF0FC"/>
          </w:tcPr>
          <w:p>
            <w:pPr>
              <w:spacing w:after="0"/>
              <w:rPr>
                <w:sz w:val="17"/>
                <w:szCs w:val="17"/>
                <w:color w:val="auto"/>
              </w:rPr>
            </w:pPr>
          </w:p>
        </w:tc>
      </w:tr>
      <w:tr>
        <w:trPr>
          <w:trHeight w:val="198"/>
        </w:trPr>
        <w:tc>
          <w:tcPr>
            <w:tcW w:w="3120" w:type="dxa"/>
            <w:vAlign w:val="bottom"/>
          </w:tcPr>
          <w:p>
            <w:pPr>
              <w:ind w:left="240"/>
              <w:spacing w:after="0"/>
              <w:rPr>
                <w:sz w:val="20"/>
                <w:szCs w:val="20"/>
                <w:color w:val="auto"/>
              </w:rPr>
            </w:pPr>
            <w:r>
              <w:rPr>
                <w:rFonts w:ascii="Arial" w:cs="Arial" w:eastAsia="Arial" w:hAnsi="Arial"/>
                <w:sz w:val="15"/>
                <w:szCs w:val="15"/>
                <w:color w:val="auto"/>
              </w:rPr>
              <w:t>Less: Platform operations</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(44,578)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(28,967)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(31,715)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(24,344)</w:t>
            </w:r>
          </w:p>
        </w:tc>
        <w:tc>
          <w:tcPr>
            <w:tcW w:w="2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(25,944)</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(20,124)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(18,589)</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(23,603)</w:t>
            </w:r>
          </w:p>
        </w:tc>
      </w:tr>
      <w:tr>
        <w:trPr>
          <w:trHeight w:val="197"/>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Gross profit</w:t>
            </w: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38,137</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21,890</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18,696</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15,800</w:t>
            </w: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30,517</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20,081</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11,836</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14,557</w:t>
            </w:r>
          </w:p>
        </w:tc>
        <w:tc>
          <w:tcPr>
            <w:tcW w:w="60" w:type="dxa"/>
            <w:vAlign w:val="bottom"/>
            <w:tcBorders>
              <w:top w:val="single" w:sz="8" w:color="CFF0FC"/>
            </w:tcBorders>
            <w:shd w:val="clear" w:color="auto" w:fill="CFF0FC"/>
          </w:tcPr>
          <w:p>
            <w:pPr>
              <w:spacing w:after="0"/>
              <w:rPr>
                <w:sz w:val="17"/>
                <w:szCs w:val="17"/>
                <w:color w:val="auto"/>
              </w:rPr>
            </w:pPr>
          </w:p>
        </w:tc>
      </w:tr>
      <w:tr>
        <w:trPr>
          <w:trHeight w:val="198"/>
        </w:trPr>
        <w:tc>
          <w:tcPr>
            <w:tcW w:w="312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Add: Other platform operations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12,187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13,503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10,941</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8,618</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8,784</w:t>
            </w:r>
          </w:p>
        </w:tc>
        <w:tc>
          <w:tcPr>
            <w:tcW w:w="60" w:type="dxa"/>
            <w:vAlign w:val="bottom"/>
            <w:tcBorders>
              <w:bottom w:val="single" w:sz="8" w:color="CFF0FC"/>
            </w:tcBorders>
          </w:tcPr>
          <w:p>
            <w:pPr>
              <w:spacing w:after="0"/>
              <w:rPr>
                <w:sz w:val="17"/>
                <w:szCs w:val="17"/>
                <w:color w:val="auto"/>
              </w:rPr>
            </w:pPr>
          </w:p>
        </w:tc>
      </w:tr>
      <w:tr>
        <w:trPr>
          <w:trHeight w:val="194"/>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Contribution ex-TAC</w:t>
            </w: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48,483</w:t>
            </w:r>
          </w:p>
        </w:tc>
        <w:tc>
          <w:tcPr>
            <w:tcW w:w="14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34,077</w:t>
            </w:r>
          </w:p>
        </w:tc>
        <w:tc>
          <w:tcPr>
            <w:tcW w:w="1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32,199</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26,741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39,135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27,995</w:t>
            </w:r>
          </w:p>
        </w:tc>
        <w:tc>
          <w:tcPr>
            <w:tcW w:w="1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20,045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23,341</w:t>
            </w:r>
          </w:p>
        </w:tc>
        <w:tc>
          <w:tcPr>
            <w:tcW w:w="60" w:type="dxa"/>
            <w:vAlign w:val="bottom"/>
            <w:shd w:val="clear" w:color="auto" w:fill="CFF0FC"/>
          </w:tcPr>
          <w:p>
            <w:pPr>
              <w:spacing w:after="0"/>
              <w:rPr>
                <w:sz w:val="16"/>
                <w:szCs w:val="16"/>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Adjusted EBITDA</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The following table sets forth a reconciliation of net income (loss) to adjusted EBITDA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820" w:type="dxa"/>
            <w:vAlign w:val="bottom"/>
            <w:gridSpan w:val="2"/>
          </w:tcPr>
          <w:p>
            <w:pPr>
              <w:jc w:val="right"/>
              <w:ind w:right="7"/>
              <w:spacing w:after="0" w:line="115" w:lineRule="exact"/>
              <w:rPr>
                <w:sz w:val="20"/>
                <w:szCs w:val="20"/>
                <w:color w:val="auto"/>
              </w:rPr>
            </w:pPr>
            <w:r>
              <w:rPr>
                <w:rFonts w:ascii="Arial" w:cs="Arial" w:eastAsia="Arial" w:hAnsi="Arial"/>
                <w:sz w:val="12"/>
                <w:szCs w:val="12"/>
                <w:b w:val="1"/>
                <w:bCs w:val="1"/>
                <w:color w:val="auto"/>
                <w:w w:val="92"/>
              </w:rPr>
              <w:t>December 31,</w:t>
            </w:r>
          </w:p>
        </w:tc>
        <w:tc>
          <w:tcPr>
            <w:tcW w:w="220" w:type="dxa"/>
            <w:vAlign w:val="bottom"/>
          </w:tcPr>
          <w:p>
            <w:pPr>
              <w:spacing w:after="0"/>
              <w:rPr>
                <w:sz w:val="10"/>
                <w:szCs w:val="10"/>
                <w:color w:val="auto"/>
              </w:rPr>
            </w:pPr>
          </w:p>
        </w:tc>
        <w:tc>
          <w:tcPr>
            <w:tcW w:w="960" w:type="dxa"/>
            <w:vAlign w:val="bottom"/>
            <w:gridSpan w:val="3"/>
          </w:tcPr>
          <w:p>
            <w:pPr>
              <w:jc w:val="right"/>
              <w:ind w:right="200"/>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w w:val="95"/>
              </w:rPr>
              <w:t>June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w w:val="97"/>
              </w:rPr>
              <w:t>March 31,</w:t>
            </w:r>
          </w:p>
        </w:tc>
        <w:tc>
          <w:tcPr>
            <w:tcW w:w="1040" w:type="dxa"/>
            <w:vAlign w:val="bottom"/>
            <w:gridSpan w:val="3"/>
          </w:tcPr>
          <w:p>
            <w:pPr>
              <w:ind w:left="60"/>
              <w:spacing w:after="0" w:line="115" w:lineRule="exact"/>
              <w:rPr>
                <w:sz w:val="20"/>
                <w:szCs w:val="20"/>
                <w:color w:val="auto"/>
              </w:rPr>
            </w:pPr>
            <w:r>
              <w:rPr>
                <w:rFonts w:ascii="Arial" w:cs="Arial" w:eastAsia="Arial" w:hAnsi="Arial"/>
                <w:sz w:val="12"/>
                <w:szCs w:val="12"/>
                <w:b w:val="1"/>
                <w:bCs w:val="1"/>
                <w:color w:val="auto"/>
              </w:rPr>
              <w:t>December 31,</w:t>
            </w: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w w:val="95"/>
              </w:rPr>
              <w:t>June 30,</w:t>
            </w:r>
          </w:p>
        </w:tc>
        <w:tc>
          <w:tcPr>
            <w:tcW w:w="100" w:type="dxa"/>
            <w:vAlign w:val="bottom"/>
          </w:tcPr>
          <w:p>
            <w:pPr>
              <w:spacing w:after="0"/>
              <w:rPr>
                <w:sz w:val="10"/>
                <w:szCs w:val="10"/>
                <w:color w:val="auto"/>
              </w:rPr>
            </w:pPr>
          </w:p>
        </w:tc>
        <w:tc>
          <w:tcPr>
            <w:tcW w:w="700" w:type="dxa"/>
            <w:vAlign w:val="bottom"/>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w w:val="97"/>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spacing w:after="0" w:line="131"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Net income (loss)</w:t>
            </w: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7,516</w:t>
            </w:r>
          </w:p>
        </w:tc>
        <w:tc>
          <w:tcPr>
            <w:tcW w:w="400" w:type="dxa"/>
            <w:vAlign w:val="bottom"/>
            <w:gridSpan w:val="2"/>
            <w:shd w:val="clear" w:color="auto" w:fill="CFF0FC"/>
          </w:tcPr>
          <w:p>
            <w:pPr>
              <w:jc w:val="right"/>
              <w:ind w:right="33"/>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(12,160)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(18,095)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(14,870)</w:t>
            </w: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12,861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7,478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20"/>
                <w:szCs w:val="20"/>
                <w:color w:val="auto"/>
              </w:rPr>
            </w:pPr>
            <w:r>
              <w:rPr>
                <w:rFonts w:ascii="Arial" w:cs="Arial" w:eastAsia="Arial" w:hAnsi="Arial"/>
                <w:sz w:val="15"/>
                <w:szCs w:val="15"/>
                <w:color w:val="auto"/>
              </w:rPr>
              <w:t>Add: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Interest expense, net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2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Stock-based compensation</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6,631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29,686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17,090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120" w:type="dxa"/>
            <w:vAlign w:val="bottom"/>
          </w:tcPr>
          <w:p>
            <w:pPr>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Gain on extinguishment of debt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(6,110)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17,426</w:t>
            </w:r>
          </w:p>
        </w:tc>
        <w:tc>
          <w:tcPr>
            <w:tcW w:w="2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6,454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8,346</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4,882</w:t>
            </w:r>
          </w:p>
        </w:tc>
        <w:tc>
          <w:tcPr>
            <w:tcW w:w="2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15,562</w:t>
            </w:r>
          </w:p>
        </w:tc>
        <w:tc>
          <w:tcPr>
            <w:tcW w:w="2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10,242</w:t>
            </w: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2,754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Adjusted EBITDA as a percentage of contribution ex-TAC</w:t>
      </w:r>
    </w:p>
    <w:p>
      <w:pPr>
        <w:spacing w:after="0" w:line="24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following table sets forth a reconciliation of net income (loss) as a percentage of gross profit to adjusted EBITDA as a percentage of contribution ex-TAC for the periods presented</w:t>
      </w:r>
      <w:r>
        <w:rPr>
          <w:rFonts w:ascii="Arial" w:cs="Arial" w:eastAsia="Arial" w:hAnsi="Arial"/>
          <w:sz w:val="17"/>
          <w:szCs w:val="17"/>
          <w:color w:val="231F20"/>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2"/>
                <w:szCs w:val="12"/>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20" w:type="dxa"/>
            <w:vAlign w:val="bottom"/>
            <w:gridSpan w:val="3"/>
          </w:tcPr>
          <w:p>
            <w:pPr>
              <w:jc w:val="right"/>
              <w:ind w:right="300"/>
              <w:spacing w:after="0" w:line="115" w:lineRule="exact"/>
              <w:rPr>
                <w:sz w:val="20"/>
                <w:szCs w:val="20"/>
                <w:color w:val="auto"/>
              </w:rPr>
            </w:pPr>
            <w:r>
              <w:rPr>
                <w:rFonts w:ascii="Arial" w:cs="Arial" w:eastAsia="Arial" w:hAnsi="Arial"/>
                <w:sz w:val="12"/>
                <w:szCs w:val="12"/>
                <w:b w:val="1"/>
                <w:bCs w:val="1"/>
                <w:color w:val="auto"/>
                <w:w w:val="89"/>
              </w:rPr>
              <w:t>December 31,</w:t>
            </w:r>
          </w:p>
        </w:tc>
        <w:tc>
          <w:tcPr>
            <w:tcW w:w="104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w w:val="90"/>
              </w:rPr>
              <w:t>September 30,</w:t>
            </w:r>
          </w:p>
        </w:tc>
        <w:tc>
          <w:tcPr>
            <w:tcW w:w="120" w:type="dxa"/>
            <w:vAlign w:val="bottom"/>
          </w:tcPr>
          <w:p>
            <w:pPr>
              <w:spacing w:after="0"/>
              <w:rPr>
                <w:sz w:val="10"/>
                <w:szCs w:val="10"/>
                <w:color w:val="auto"/>
              </w:rPr>
            </w:pPr>
          </w:p>
        </w:tc>
        <w:tc>
          <w:tcPr>
            <w:tcW w:w="840" w:type="dxa"/>
            <w:vAlign w:val="bottom"/>
            <w:gridSpan w:val="2"/>
          </w:tcPr>
          <w:p>
            <w:pPr>
              <w:jc w:val="right"/>
              <w:ind w:right="360"/>
              <w:spacing w:after="0" w:line="115" w:lineRule="exact"/>
              <w:rPr>
                <w:sz w:val="20"/>
                <w:szCs w:val="20"/>
                <w:color w:val="auto"/>
              </w:rPr>
            </w:pPr>
            <w:r>
              <w:rPr>
                <w:rFonts w:ascii="Arial" w:cs="Arial" w:eastAsia="Arial" w:hAnsi="Arial"/>
                <w:sz w:val="12"/>
                <w:szCs w:val="12"/>
                <w:b w:val="1"/>
                <w:bCs w:val="1"/>
                <w:color w:val="auto"/>
                <w:w w:val="95"/>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w w:val="93"/>
              </w:rPr>
              <w:t>March 31,</w:t>
            </w:r>
          </w:p>
        </w:tc>
        <w:tc>
          <w:tcPr>
            <w:tcW w:w="1040" w:type="dxa"/>
            <w:vAlign w:val="bottom"/>
            <w:gridSpan w:val="3"/>
          </w:tcPr>
          <w:p>
            <w:pPr>
              <w:jc w:val="right"/>
              <w:ind w:right="300"/>
              <w:spacing w:after="0" w:line="115" w:lineRule="exact"/>
              <w:rPr>
                <w:sz w:val="20"/>
                <w:szCs w:val="20"/>
                <w:color w:val="auto"/>
              </w:rPr>
            </w:pPr>
            <w:r>
              <w:rPr>
                <w:rFonts w:ascii="Arial" w:cs="Arial" w:eastAsia="Arial" w:hAnsi="Arial"/>
                <w:sz w:val="12"/>
                <w:szCs w:val="12"/>
                <w:b w:val="1"/>
                <w:bCs w:val="1"/>
                <w:color w:val="auto"/>
                <w:w w:val="92"/>
              </w:rPr>
              <w:t>December 31,</w:t>
            </w:r>
          </w:p>
        </w:tc>
        <w:tc>
          <w:tcPr>
            <w:tcW w:w="1020" w:type="dxa"/>
            <w:vAlign w:val="bottom"/>
            <w:gridSpan w:val="3"/>
          </w:tcPr>
          <w:p>
            <w:pPr>
              <w:jc w:val="right"/>
              <w:ind w:right="280"/>
              <w:spacing w:after="0" w:line="115" w:lineRule="exact"/>
              <w:rPr>
                <w:sz w:val="20"/>
                <w:szCs w:val="20"/>
                <w:color w:val="auto"/>
              </w:rPr>
            </w:pPr>
            <w:r>
              <w:rPr>
                <w:rFonts w:ascii="Arial" w:cs="Arial" w:eastAsia="Arial" w:hAnsi="Arial"/>
                <w:sz w:val="12"/>
                <w:szCs w:val="12"/>
                <w:b w:val="1"/>
                <w:bCs w:val="1"/>
                <w:color w:val="auto"/>
                <w:w w:val="87"/>
              </w:rPr>
              <w:t>September 30,</w:t>
            </w:r>
          </w:p>
        </w:tc>
        <w:tc>
          <w:tcPr>
            <w:tcW w:w="140" w:type="dxa"/>
            <w:vAlign w:val="bottom"/>
          </w:tcPr>
          <w:p>
            <w:pPr>
              <w:spacing w:after="0"/>
              <w:rPr>
                <w:sz w:val="10"/>
                <w:szCs w:val="10"/>
                <w:color w:val="auto"/>
              </w:rPr>
            </w:pPr>
          </w:p>
        </w:tc>
        <w:tc>
          <w:tcPr>
            <w:tcW w:w="900" w:type="dxa"/>
            <w:vAlign w:val="bottom"/>
            <w:gridSpan w:val="2"/>
          </w:tcPr>
          <w:p>
            <w:pPr>
              <w:jc w:val="right"/>
              <w:ind w:right="440"/>
              <w:spacing w:after="0" w:line="115" w:lineRule="exact"/>
              <w:rPr>
                <w:sz w:val="20"/>
                <w:szCs w:val="20"/>
                <w:color w:val="auto"/>
              </w:rPr>
            </w:pPr>
            <w:r>
              <w:rPr>
                <w:rFonts w:ascii="Arial" w:cs="Arial" w:eastAsia="Arial" w:hAnsi="Arial"/>
                <w:sz w:val="12"/>
                <w:szCs w:val="12"/>
                <w:b w:val="1"/>
                <w:bCs w:val="1"/>
                <w:color w:val="auto"/>
                <w:w w:val="91"/>
              </w:rPr>
              <w:t>June 30,</w:t>
            </w:r>
          </w:p>
        </w:tc>
        <w:tc>
          <w:tcPr>
            <w:tcW w:w="100" w:type="dxa"/>
            <w:vAlign w:val="bottom"/>
          </w:tcPr>
          <w:p>
            <w:pPr>
              <w:spacing w:after="0"/>
              <w:rPr>
                <w:sz w:val="10"/>
                <w:szCs w:val="10"/>
                <w:color w:val="auto"/>
              </w:rPr>
            </w:pPr>
          </w:p>
        </w:tc>
        <w:tc>
          <w:tcPr>
            <w:tcW w:w="680" w:type="dxa"/>
            <w:vAlign w:val="bottom"/>
          </w:tcPr>
          <w:p>
            <w:pPr>
              <w:jc w:val="right"/>
              <w:ind w:right="69"/>
              <w:spacing w:after="0" w:line="115" w:lineRule="exact"/>
              <w:rPr>
                <w:sz w:val="20"/>
                <w:szCs w:val="20"/>
                <w:color w:val="auto"/>
              </w:rPr>
            </w:pPr>
            <w:r>
              <w:rPr>
                <w:rFonts w:ascii="Arial" w:cs="Arial" w:eastAsia="Arial" w:hAnsi="Arial"/>
                <w:sz w:val="12"/>
                <w:szCs w:val="12"/>
                <w:b w:val="1"/>
                <w:bCs w:val="1"/>
                <w:color w:val="auto"/>
                <w:w w:val="93"/>
              </w:rPr>
              <w:t>March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7"/>
          </w:tcPr>
          <w:p>
            <w:pPr>
              <w:jc w:val="right"/>
              <w:ind w:right="220"/>
              <w:spacing w:after="0" w:line="131" w:lineRule="exact"/>
              <w:rPr>
                <w:sz w:val="20"/>
                <w:szCs w:val="20"/>
                <w:color w:val="auto"/>
              </w:rPr>
            </w:pPr>
            <w:r>
              <w:rPr>
                <w:rFonts w:ascii="Arial" w:cs="Arial" w:eastAsia="Arial" w:hAnsi="Arial"/>
                <w:sz w:val="12"/>
                <w:szCs w:val="12"/>
                <w:b w:val="1"/>
                <w:bCs w:val="1"/>
                <w:color w:val="auto"/>
                <w:w w:val="86"/>
              </w:rPr>
              <w:t>(in thousands, except for percentages)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Gross profit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38,137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21,890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18,696</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15,800</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30,517</w:t>
            </w: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20,081</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11,836</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14,557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7,516</w:t>
            </w:r>
          </w:p>
        </w:tc>
        <w:tc>
          <w:tcPr>
            <w:tcW w:w="2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(12,160)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(18,095)</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(14,870)</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12,861</w:t>
            </w:r>
          </w:p>
        </w:tc>
        <w:tc>
          <w:tcPr>
            <w:tcW w:w="240" w:type="dxa"/>
            <w:vAlign w:val="bottom"/>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7,478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FF0FC"/>
          </w:tcPr>
          <w:p>
            <w:pPr>
              <w:spacing w:after="0" w:line="217" w:lineRule="exact"/>
              <w:rPr>
                <w:sz w:val="20"/>
                <w:szCs w:val="20"/>
                <w:color w:val="auto"/>
              </w:rPr>
            </w:pPr>
            <w:r>
              <w:rPr>
                <w:rFonts w:ascii="Arial" w:cs="Arial" w:eastAsia="Arial" w:hAnsi="Arial"/>
                <w:sz w:val="15"/>
                <w:szCs w:val="15"/>
                <w:color w:val="auto"/>
              </w:rPr>
              <w:t>Net income as a percentage of gross profit</w:t>
            </w:r>
            <w:r>
              <w:rPr>
                <w:rFonts w:ascii="Arial" w:cs="Arial" w:eastAsia="Arial" w:hAnsi="Arial"/>
                <w:sz w:val="25"/>
                <w:szCs w:val="25"/>
                <w:color w:val="auto"/>
                <w:vertAlign w:val="superscript"/>
              </w:rPr>
              <w:t>(1)</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N/A</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N/A</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37%</w:t>
            </w:r>
          </w:p>
        </w:tc>
        <w:tc>
          <w:tcPr>
            <w:tcW w:w="14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bottom w:val="single" w:sz="8" w:color="CFF0FC"/>
            </w:tcBorders>
            <w:gridSpan w:val="2"/>
            <w:vMerge w:val="restart"/>
          </w:tcPr>
          <w:p>
            <w:pPr>
              <w:spacing w:after="0" w:line="218" w:lineRule="exact"/>
              <w:rPr>
                <w:sz w:val="20"/>
                <w:szCs w:val="20"/>
                <w:color w:val="auto"/>
              </w:rPr>
            </w:pPr>
            <w:r>
              <w:rPr>
                <w:rFonts w:ascii="Arial" w:cs="Arial" w:eastAsia="Arial" w:hAnsi="Arial"/>
                <w:sz w:val="15"/>
                <w:szCs w:val="15"/>
                <w:color w:val="auto"/>
              </w:rPr>
              <w:t xml:space="preserve">Contribution ex-TAC </w:t>
            </w:r>
            <w:r>
              <w:rPr>
                <w:rFonts w:ascii="Arial" w:cs="Arial" w:eastAsia="Arial" w:hAnsi="Arial"/>
                <w:sz w:val="25"/>
                <w:szCs w:val="25"/>
                <w:color w:val="auto"/>
                <w:vertAlign w:val="superscript"/>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00" w:type="dxa"/>
            <w:vAlign w:val="bottom"/>
            <w:gridSpan w:val="2"/>
            <w:vMerge w:val="continue"/>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48,483</w:t>
            </w:r>
          </w:p>
        </w:tc>
        <w:tc>
          <w:tcPr>
            <w:tcW w:w="2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34,077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32,199</w:t>
            </w:r>
          </w:p>
        </w:tc>
        <w:tc>
          <w:tcPr>
            <w:tcW w:w="16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26,741</w:t>
            </w:r>
          </w:p>
        </w:tc>
        <w:tc>
          <w:tcPr>
            <w:tcW w:w="2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39,135</w:t>
            </w:r>
          </w:p>
        </w:tc>
        <w:tc>
          <w:tcPr>
            <w:tcW w:w="24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27,995</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20,045</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23,341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FF0FC"/>
          </w:tcPr>
          <w:p>
            <w:pPr>
              <w:spacing w:after="0" w:line="201"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23"/>
                <w:szCs w:val="23"/>
                <w:color w:val="auto"/>
                <w:vertAlign w:val="superscript"/>
              </w:rPr>
              <w:t>(3)</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17,426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6,454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8,346</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4,882</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15,562</w:t>
            </w: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10,242</w:t>
            </w: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2,754</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spacing w:after="0"/>
              <w:rPr>
                <w:sz w:val="20"/>
                <w:szCs w:val="20"/>
                <w:color w:val="auto"/>
              </w:rPr>
            </w:pPr>
            <w:r>
              <w:rPr>
                <w:rFonts w:ascii="Arial" w:cs="Arial" w:eastAsia="Arial" w:hAnsi="Arial"/>
                <w:sz w:val="15"/>
                <w:szCs w:val="15"/>
                <w:color w:val="auto"/>
              </w:rPr>
              <w:t>Adjusted EBITDA as a percentage of</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00" w:type="dxa"/>
            <w:vAlign w:val="bottom"/>
            <w:gridSpan w:val="2"/>
          </w:tcPr>
          <w:p>
            <w:pPr>
              <w:spacing w:after="0"/>
              <w:rPr>
                <w:sz w:val="20"/>
                <w:szCs w:val="20"/>
                <w:color w:val="auto"/>
              </w:rPr>
            </w:pPr>
            <w:r>
              <w:rPr>
                <w:rFonts w:ascii="Arial" w:cs="Arial" w:eastAsia="Arial" w:hAnsi="Arial"/>
                <w:sz w:val="15"/>
                <w:szCs w:val="15"/>
                <w:color w:val="auto"/>
              </w:rPr>
              <w:t>contribution ex-TAC</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40%</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37%</w:t>
            </w: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4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580" w:right="200" w:hanging="579"/>
        <w:spacing w:after="0" w:line="269" w:lineRule="auto"/>
        <w:tabs>
          <w:tab w:leader="none" w:pos="580" w:val="left"/>
        </w:tabs>
        <w:numPr>
          <w:ilvl w:val="0"/>
          <w:numId w:val="31"/>
        </w:numPr>
        <w:rPr>
          <w:rFonts w:ascii="Arial" w:cs="Arial" w:eastAsia="Arial" w:hAnsi="Arial"/>
          <w:sz w:val="14"/>
          <w:szCs w:val="14"/>
          <w:color w:val="231F20"/>
        </w:rPr>
      </w:pPr>
      <w:r>
        <w:rPr>
          <w:rFonts w:ascii="Arial" w:cs="Arial" w:eastAsia="Arial" w:hAnsi="Arial"/>
          <w:sz w:val="17"/>
          <w:szCs w:val="17"/>
          <w:color w:val="231F20"/>
        </w:rPr>
        <w:t>Management believes that in periods of net loss, primarily driven by the impact of stock-based compensation, this percentage is not comparable to the other periods presented.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9" w:name="page70"/>
    <w:bookmarkEnd w:id="69"/>
    <w:p>
      <w:pPr>
        <w:ind w:left="580" w:right="140" w:hanging="579"/>
        <w:spacing w:after="0" w:line="188" w:lineRule="auto"/>
        <w:tabs>
          <w:tab w:leader="none" w:pos="580" w:val="left"/>
        </w:tabs>
        <w:numPr>
          <w:ilvl w:val="0"/>
          <w:numId w:val="32"/>
        </w:numPr>
        <w:rPr>
          <w:rFonts w:ascii="Arial" w:cs="Arial" w:eastAsia="Arial" w:hAnsi="Arial"/>
          <w:sz w:val="29"/>
          <w:szCs w:val="29"/>
          <w:color w:val="231F20"/>
          <w:vertAlign w:val="superscript"/>
        </w:rPr>
      </w:pPr>
      <w:r>
        <w:rPr>
          <w:rFonts w:ascii="Arial" w:cs="Arial" w:eastAsia="Arial" w:hAnsi="Arial"/>
          <w:sz w:val="17"/>
          <w:szCs w:val="17"/>
          <w:color w:val="231F20"/>
        </w:rPr>
        <w:t>For a reconciliation of contribution ex-TAC to the most directly comparable financial measure calculated in accordance with GAAP, see “—</w:t>
      </w:r>
      <w:r>
        <w:rPr>
          <w:rFonts w:ascii="Arial" w:cs="Arial" w:eastAsia="Arial" w:hAnsi="Arial"/>
          <w:sz w:val="17"/>
          <w:szCs w:val="17"/>
          <w:i w:val="1"/>
          <w:iCs w:val="1"/>
          <w:color w:val="231F20"/>
        </w:rPr>
        <w:t>Contribution ex-TAC</w:t>
      </w:r>
      <w:r>
        <w:rPr>
          <w:rFonts w:ascii="Arial" w:cs="Arial" w:eastAsia="Arial" w:hAnsi="Arial"/>
          <w:sz w:val="17"/>
          <w:szCs w:val="17"/>
          <w:color w:val="231F20"/>
        </w:rPr>
        <w:t>.”</w:t>
      </w:r>
    </w:p>
    <w:p>
      <w:pPr>
        <w:spacing w:after="0" w:line="88" w:lineRule="exact"/>
        <w:rPr>
          <w:rFonts w:ascii="Arial" w:cs="Arial" w:eastAsia="Arial" w:hAnsi="Arial"/>
          <w:sz w:val="29"/>
          <w:szCs w:val="29"/>
          <w:color w:val="231F20"/>
          <w:vertAlign w:val="superscript"/>
        </w:rPr>
      </w:pPr>
    </w:p>
    <w:p>
      <w:pPr>
        <w:ind w:left="580" w:hanging="579"/>
        <w:spacing w:after="0"/>
        <w:tabs>
          <w:tab w:leader="none" w:pos="580" w:val="left"/>
        </w:tabs>
        <w:numPr>
          <w:ilvl w:val="0"/>
          <w:numId w:val="32"/>
        </w:numPr>
        <w:rPr>
          <w:rFonts w:ascii="Arial" w:cs="Arial" w:eastAsia="Arial" w:hAnsi="Arial"/>
          <w:sz w:val="12"/>
          <w:szCs w:val="12"/>
          <w:color w:val="231F20"/>
        </w:rPr>
      </w:pPr>
      <w:r>
        <w:rPr>
          <w:rFonts w:ascii="Arial" w:cs="Arial" w:eastAsia="Arial" w:hAnsi="Arial"/>
          <w:sz w:val="15"/>
          <w:szCs w:val="15"/>
          <w:color w:val="231F20"/>
        </w:rPr>
        <w:t>For a reconciliation of adjusted EBITDA to the most directly comparable financial measure calculated in accordance with GAAP, see “—</w:t>
      </w:r>
      <w:r>
        <w:rPr>
          <w:rFonts w:ascii="Arial" w:cs="Arial" w:eastAsia="Arial" w:hAnsi="Arial"/>
          <w:sz w:val="15"/>
          <w:szCs w:val="15"/>
          <w:i w:val="1"/>
          <w:iCs w:val="1"/>
          <w:color w:val="231F20"/>
        </w:rPr>
        <w:t>Adjusted EBITDA</w:t>
      </w:r>
      <w:r>
        <w:rPr>
          <w:rFonts w:ascii="Arial" w:cs="Arial" w:eastAsia="Arial" w:hAnsi="Arial"/>
          <w:sz w:val="15"/>
          <w:szCs w:val="15"/>
          <w:color w:val="231F20"/>
        </w:rPr>
        <w:t>.”</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Key Operating and Financial Performance Measures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Use of Non-GAAP Financial Measures</w:t>
      </w:r>
    </w:p>
    <w:p>
      <w:pPr>
        <w:spacing w:after="0" w:line="308" w:lineRule="exact"/>
        <w:rPr>
          <w:sz w:val="20"/>
          <w:szCs w:val="20"/>
          <w:color w:val="auto"/>
        </w:rPr>
      </w:pPr>
    </w:p>
    <w:p>
      <w:pPr>
        <w:ind w:firstLine="589"/>
        <w:spacing w:after="0" w:line="285" w:lineRule="auto"/>
        <w:rPr>
          <w:sz w:val="20"/>
          <w:szCs w:val="20"/>
          <w:color w:val="auto"/>
        </w:rPr>
      </w:pPr>
      <w:r>
        <w:rPr>
          <w:rFonts w:ascii="Arial" w:cs="Arial" w:eastAsia="Arial" w:hAnsi="Arial"/>
          <w:sz w:val="15"/>
          <w:szCs w:val="15"/>
          <w:color w:val="231F20"/>
        </w:rPr>
        <w:t xml:space="preserve">We monitor certain non-GAAP financial measures to help us evaluate growth trends, establish budgets, measure the effectiveness of our sales and marketing efforts and assess our operational efficiencies. </w:t>
      </w:r>
      <w:r>
        <w:rPr>
          <w:rFonts w:ascii="Arial" w:cs="Arial" w:eastAsia="Arial" w:hAnsi="Arial"/>
          <w:sz w:val="15"/>
          <w:szCs w:val="15"/>
          <w:color w:val="000000"/>
        </w:rPr>
        <w:t>We believe these measures enhance an overall understanding of our performance and investors’ ability to</w:t>
      </w:r>
      <w:r>
        <w:rPr>
          <w:rFonts w:ascii="Arial" w:cs="Arial" w:eastAsia="Arial" w:hAnsi="Arial"/>
          <w:sz w:val="15"/>
          <w:szCs w:val="15"/>
          <w:color w:val="231F20"/>
        </w:rPr>
        <w:t xml:space="preserve"> </w:t>
      </w:r>
      <w:r>
        <w:rPr>
          <w:rFonts w:ascii="Arial" w:cs="Arial" w:eastAsia="Arial" w:hAnsi="Arial"/>
          <w:sz w:val="15"/>
          <w:szCs w:val="15"/>
          <w:color w:val="000000"/>
        </w:rPr>
        <w:t xml:space="preserve">review our business from the same perspective as management and facilitate comparisons of this period’s results with prior periods on a consistent basis by excluding items that management does not believe are indicative of Viant’s ongoing operating performance. </w:t>
      </w:r>
      <w:r>
        <w:rPr>
          <w:rFonts w:ascii="Arial" w:cs="Arial" w:eastAsia="Arial" w:hAnsi="Arial"/>
          <w:sz w:val="15"/>
          <w:szCs w:val="15"/>
          <w:color w:val="231F20"/>
        </w:rPr>
        <w:t>These non-GAAP financial measures include</w:t>
      </w:r>
      <w:r>
        <w:rPr>
          <w:rFonts w:ascii="Arial" w:cs="Arial" w:eastAsia="Arial" w:hAnsi="Arial"/>
          <w:sz w:val="15"/>
          <w:szCs w:val="15"/>
          <w:color w:val="000000"/>
        </w:rPr>
        <w:t xml:space="preserve"> </w:t>
      </w:r>
      <w:r>
        <w:rPr>
          <w:rFonts w:ascii="Arial" w:cs="Arial" w:eastAsia="Arial" w:hAnsi="Arial"/>
          <w:sz w:val="15"/>
          <w:szCs w:val="15"/>
          <w:color w:val="231F20"/>
        </w:rPr>
        <w:t>contribution ex-TAC, adjusted EBITDA, adjusted EBITDA as a percentage of contribution ex-TAC, non-GAAP net income (loss), non-GAAP earnings (loss) per Class A common stock/unit—basic and diluted, and average contribution ex-TAC per active customer, each of which are discussed immediately following the table below, along with the operational performance measure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center"/>
              <w:ind w:right="338"/>
              <w:spacing w:after="0"/>
              <w:rPr>
                <w:sz w:val="20"/>
                <w:szCs w:val="20"/>
                <w:color w:val="auto"/>
              </w:rPr>
            </w:pPr>
            <w:r>
              <w:rPr>
                <w:rFonts w:ascii="Arial" w:cs="Arial" w:eastAsia="Arial" w:hAnsi="Arial"/>
                <w:sz w:val="13"/>
                <w:szCs w:val="13"/>
                <w:b w:val="1"/>
                <w:bCs w:val="1"/>
                <w:color w:val="auto"/>
                <w:w w:val="93"/>
              </w:rPr>
              <w:t>Year Ended December 31,</w:t>
            </w:r>
          </w:p>
        </w:tc>
        <w:tc>
          <w:tcPr>
            <w:tcW w:w="6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880" w:type="dxa"/>
            <w:vAlign w:val="bottom"/>
          </w:tcPr>
          <w:p>
            <w:pPr>
              <w:spacing w:after="0"/>
              <w:rPr>
                <w:sz w:val="12"/>
                <w:szCs w:val="12"/>
                <w:color w:val="auto"/>
              </w:rPr>
            </w:pPr>
          </w:p>
        </w:tc>
        <w:tc>
          <w:tcPr>
            <w:tcW w:w="1160" w:type="dxa"/>
            <w:vAlign w:val="bottom"/>
          </w:tcPr>
          <w:p>
            <w:pPr>
              <w:jc w:val="right"/>
              <w:ind w:right="18"/>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40" w:type="dxa"/>
            <w:vAlign w:val="bottom"/>
            <w:tcBorders>
              <w:top w:val="single" w:sz="8" w:color="auto"/>
            </w:tcBorders>
            <w:gridSpan w:val="3"/>
          </w:tcPr>
          <w:p>
            <w:pPr>
              <w:jc w:val="center"/>
              <w:ind w:left="513"/>
              <w:spacing w:after="0" w:line="123" w:lineRule="exact"/>
              <w:rPr>
                <w:sz w:val="20"/>
                <w:szCs w:val="20"/>
                <w:color w:val="auto"/>
              </w:rPr>
            </w:pPr>
            <w:r>
              <w:rPr>
                <w:rFonts w:ascii="Arial" w:cs="Arial" w:eastAsia="Arial" w:hAnsi="Arial"/>
                <w:sz w:val="13"/>
                <w:szCs w:val="13"/>
                <w:b w:val="1"/>
                <w:bCs w:val="1"/>
                <w:color w:val="auto"/>
                <w:w w:val="89"/>
              </w:rPr>
              <w:t>(in thousands, except for percentages,</w:t>
            </w:r>
          </w:p>
        </w:tc>
        <w:tc>
          <w:tcPr>
            <w:tcW w:w="6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40" w:type="dxa"/>
            <w:vAlign w:val="bottom"/>
            <w:gridSpan w:val="3"/>
          </w:tcPr>
          <w:p>
            <w:pPr>
              <w:jc w:val="center"/>
              <w:ind w:left="533"/>
              <w:spacing w:after="0"/>
              <w:rPr>
                <w:sz w:val="20"/>
                <w:szCs w:val="20"/>
                <w:color w:val="auto"/>
              </w:rPr>
            </w:pPr>
            <w:r>
              <w:rPr>
                <w:rFonts w:ascii="Arial" w:cs="Arial" w:eastAsia="Arial" w:hAnsi="Arial"/>
                <w:sz w:val="13"/>
                <w:szCs w:val="13"/>
                <w:b w:val="1"/>
                <w:bCs w:val="1"/>
                <w:color w:val="auto"/>
                <w:w w:val="92"/>
              </w:rPr>
              <w:t>number of customers and per share data)</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and Financial Performance Measures</w:t>
            </w:r>
          </w:p>
        </w:tc>
        <w:tc>
          <w:tcPr>
            <w:tcW w:w="9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Gross profit</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94,523</w:t>
            </w:r>
          </w:p>
        </w:tc>
        <w:tc>
          <w:tcPr>
            <w:tcW w:w="1160" w:type="dxa"/>
            <w:vAlign w:val="bottom"/>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76,991</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Contribution ex-TAC</w:t>
            </w:r>
          </w:p>
        </w:tc>
        <w:tc>
          <w:tcPr>
            <w:tcW w:w="1960" w:type="dxa"/>
            <w:vAlign w:val="bottom"/>
            <w:gridSpan w:val="2"/>
            <w:shd w:val="clear" w:color="auto" w:fill="CFF0FC"/>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157"/>
              <w:spacing w:after="0"/>
              <w:rPr>
                <w:sz w:val="20"/>
                <w:szCs w:val="20"/>
                <w:color w:val="auto"/>
              </w:rPr>
            </w:pPr>
            <w:r>
              <w:rPr>
                <w:rFonts w:ascii="Arial" w:cs="Arial" w:eastAsia="Arial" w:hAnsi="Arial"/>
                <w:sz w:val="17"/>
                <w:szCs w:val="17"/>
                <w:color w:val="auto"/>
              </w:rPr>
              <w:t>141,500</w:t>
            </w:r>
          </w:p>
        </w:tc>
        <w:tc>
          <w:tcPr>
            <w:tcW w:w="1160" w:type="dxa"/>
            <w:vAlign w:val="bottom"/>
            <w:shd w:val="clear" w:color="auto" w:fill="CFF0FC"/>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110,516</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Net income (loss)</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(37,609)</w:t>
            </w:r>
          </w:p>
        </w:tc>
        <w:tc>
          <w:tcPr>
            <w:tcW w:w="1160" w:type="dxa"/>
            <w:vAlign w:val="bottom"/>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20,638</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1960" w:type="dxa"/>
            <w:vAlign w:val="bottom"/>
            <w:gridSpan w:val="2"/>
            <w:shd w:val="clear" w:color="auto" w:fill="CFF0FC"/>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157"/>
              <w:spacing w:after="0"/>
              <w:rPr>
                <w:sz w:val="20"/>
                <w:szCs w:val="20"/>
                <w:color w:val="auto"/>
              </w:rPr>
            </w:pPr>
            <w:r>
              <w:rPr>
                <w:rFonts w:ascii="Arial" w:cs="Arial" w:eastAsia="Arial" w:hAnsi="Arial"/>
                <w:sz w:val="17"/>
                <w:szCs w:val="17"/>
                <w:color w:val="auto"/>
              </w:rPr>
              <w:t>37,108</w:t>
            </w:r>
          </w:p>
        </w:tc>
        <w:tc>
          <w:tcPr>
            <w:tcW w:w="1160" w:type="dxa"/>
            <w:vAlign w:val="bottom"/>
            <w:shd w:val="clear" w:color="auto" w:fill="CFF0FC"/>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31,782</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Net income as a percentage of gross profit</w:t>
            </w:r>
            <w:r>
              <w:rPr>
                <w:rFonts w:ascii="Arial" w:cs="Arial" w:eastAsia="Arial" w:hAnsi="Arial"/>
                <w:sz w:val="14"/>
                <w:szCs w:val="14"/>
                <w:color w:val="auto"/>
              </w:rPr>
              <w:t>(1)</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27%</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 as a percentage of contribution ex-TAC</w:t>
            </w:r>
          </w:p>
        </w:tc>
        <w:tc>
          <w:tcPr>
            <w:tcW w:w="9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26%</w:t>
            </w:r>
          </w:p>
        </w:tc>
        <w:tc>
          <w:tcPr>
            <w:tcW w:w="1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Non-GAAP net income</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23,865</w:t>
            </w:r>
          </w:p>
        </w:tc>
        <w:tc>
          <w:tcPr>
            <w:tcW w:w="1160" w:type="dxa"/>
            <w:vAlign w:val="bottom"/>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20,638</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Earnings (loss) per share/unit—basic</w:t>
            </w:r>
          </w:p>
        </w:tc>
        <w:tc>
          <w:tcPr>
            <w:tcW w:w="1960" w:type="dxa"/>
            <w:vAlign w:val="bottom"/>
            <w:gridSpan w:val="2"/>
            <w:shd w:val="clear" w:color="auto" w:fill="CFF0FC"/>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(0.63)</w:t>
            </w:r>
          </w:p>
        </w:tc>
        <w:tc>
          <w:tcPr>
            <w:tcW w:w="1160" w:type="dxa"/>
            <w:vAlign w:val="bottom"/>
            <w:shd w:val="clear" w:color="auto" w:fill="CFF0FC"/>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20.64</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Earnings (loss) per share/unit—diluted</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(0.63)</w:t>
            </w:r>
          </w:p>
        </w:tc>
        <w:tc>
          <w:tcPr>
            <w:tcW w:w="1160" w:type="dxa"/>
            <w:vAlign w:val="bottom"/>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20.64</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Non-GAAP earnings (loss) per share—basic</w:t>
            </w:r>
            <w:r>
              <w:rPr>
                <w:rFonts w:ascii="Arial" w:cs="Arial" w:eastAsia="Arial" w:hAnsi="Arial"/>
                <w:sz w:val="14"/>
                <w:szCs w:val="14"/>
                <w:color w:val="auto"/>
              </w:rPr>
              <w:t>(2)</w:t>
            </w:r>
          </w:p>
        </w:tc>
        <w:tc>
          <w:tcPr>
            <w:tcW w:w="1960" w:type="dxa"/>
            <w:vAlign w:val="bottom"/>
            <w:gridSpan w:val="2"/>
            <w:shd w:val="clear" w:color="auto" w:fill="CFF0FC"/>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157"/>
              <w:spacing w:after="0"/>
              <w:rPr>
                <w:sz w:val="20"/>
                <w:szCs w:val="20"/>
                <w:color w:val="auto"/>
              </w:rPr>
            </w:pPr>
            <w:r>
              <w:rPr>
                <w:rFonts w:ascii="Arial" w:cs="Arial" w:eastAsia="Arial" w:hAnsi="Arial"/>
                <w:sz w:val="17"/>
                <w:szCs w:val="17"/>
                <w:color w:val="auto"/>
              </w:rPr>
              <w:t>0.31</w:t>
            </w:r>
          </w:p>
        </w:tc>
        <w:tc>
          <w:tcPr>
            <w:tcW w:w="1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N/A</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Non-GAAP earnings (loss) per share—diluted</w:t>
            </w:r>
            <w:r>
              <w:rPr>
                <w:rFonts w:ascii="Arial" w:cs="Arial" w:eastAsia="Arial" w:hAnsi="Arial"/>
                <w:sz w:val="14"/>
                <w:szCs w:val="14"/>
                <w:color w:val="auto"/>
              </w:rPr>
              <w:t>(2)</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0.30</w:t>
            </w:r>
          </w:p>
        </w:tc>
        <w:tc>
          <w:tcPr>
            <w:tcW w:w="1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N/A</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Active customers</w:t>
            </w:r>
            <w:r>
              <w:rPr>
                <w:rFonts w:ascii="Arial" w:cs="Arial" w:eastAsia="Arial" w:hAnsi="Arial"/>
                <w:sz w:val="14"/>
                <w:szCs w:val="14"/>
                <w:color w:val="auto"/>
              </w:rPr>
              <w:t>(3)</w:t>
            </w:r>
          </w:p>
        </w:tc>
        <w:tc>
          <w:tcPr>
            <w:tcW w:w="9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57"/>
              <w:spacing w:after="0"/>
              <w:rPr>
                <w:sz w:val="20"/>
                <w:szCs w:val="20"/>
                <w:color w:val="auto"/>
              </w:rPr>
            </w:pPr>
            <w:r>
              <w:rPr>
                <w:rFonts w:ascii="Arial" w:cs="Arial" w:eastAsia="Arial" w:hAnsi="Arial"/>
                <w:sz w:val="17"/>
                <w:szCs w:val="17"/>
                <w:color w:val="auto"/>
              </w:rPr>
              <w:t>309</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7"/>
                <w:szCs w:val="17"/>
                <w:color w:val="auto"/>
              </w:rPr>
              <w:t>Average gross profit per active customer</w:t>
            </w:r>
          </w:p>
        </w:tc>
        <w:tc>
          <w:tcPr>
            <w:tcW w:w="1960" w:type="dxa"/>
            <w:vAlign w:val="bottom"/>
            <w:gridSpan w:val="2"/>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306</w:t>
            </w:r>
          </w:p>
        </w:tc>
        <w:tc>
          <w:tcPr>
            <w:tcW w:w="1160" w:type="dxa"/>
            <w:vAlign w:val="bottom"/>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292</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Average contribution ex-TAC per active customer</w:t>
            </w:r>
          </w:p>
        </w:tc>
        <w:tc>
          <w:tcPr>
            <w:tcW w:w="1960" w:type="dxa"/>
            <w:vAlign w:val="bottom"/>
            <w:gridSpan w:val="2"/>
            <w:shd w:val="clear" w:color="auto" w:fill="CFF0FC"/>
          </w:tcPr>
          <w:p>
            <w:pPr>
              <w:jc w:val="right"/>
              <w:ind w:right="8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157"/>
              <w:spacing w:after="0"/>
              <w:rPr>
                <w:sz w:val="20"/>
                <w:szCs w:val="20"/>
                <w:color w:val="auto"/>
              </w:rPr>
            </w:pPr>
            <w:r>
              <w:rPr>
                <w:rFonts w:ascii="Arial" w:cs="Arial" w:eastAsia="Arial" w:hAnsi="Arial"/>
                <w:sz w:val="17"/>
                <w:szCs w:val="17"/>
                <w:color w:val="auto"/>
              </w:rPr>
              <w:t>458</w:t>
            </w:r>
          </w:p>
        </w:tc>
        <w:tc>
          <w:tcPr>
            <w:tcW w:w="1160" w:type="dxa"/>
            <w:vAlign w:val="bottom"/>
            <w:shd w:val="clear" w:color="auto" w:fill="CFF0FC"/>
          </w:tcPr>
          <w:p>
            <w:pPr>
              <w:jc w:val="right"/>
              <w:ind w:right="878"/>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80" w:right="200" w:hanging="579"/>
        <w:spacing w:after="0" w:line="269" w:lineRule="auto"/>
        <w:tabs>
          <w:tab w:leader="none" w:pos="580" w:val="left"/>
        </w:tabs>
        <w:numPr>
          <w:ilvl w:val="0"/>
          <w:numId w:val="33"/>
        </w:numPr>
        <w:rPr>
          <w:rFonts w:ascii="Arial" w:cs="Arial" w:eastAsia="Arial" w:hAnsi="Arial"/>
          <w:sz w:val="14"/>
          <w:szCs w:val="14"/>
          <w:color w:val="231F20"/>
        </w:rPr>
      </w:pPr>
      <w:r>
        <w:rPr>
          <w:rFonts w:ascii="Arial" w:cs="Arial" w:eastAsia="Arial" w:hAnsi="Arial"/>
          <w:sz w:val="17"/>
          <w:szCs w:val="17"/>
          <w:color w:val="231F20"/>
        </w:rPr>
        <w:t>Management believes that in periods of net loss, primarily driven by the impact of stock-based compensation, this percentage is not comparable to the other periods presented.</w:t>
      </w:r>
    </w:p>
    <w:p>
      <w:pPr>
        <w:spacing w:after="0" w:line="65" w:lineRule="exact"/>
        <w:rPr>
          <w:rFonts w:ascii="Arial" w:cs="Arial" w:eastAsia="Arial" w:hAnsi="Arial"/>
          <w:sz w:val="14"/>
          <w:szCs w:val="14"/>
          <w:color w:val="231F20"/>
        </w:rPr>
      </w:pPr>
    </w:p>
    <w:p>
      <w:pPr>
        <w:ind w:left="580" w:right="60" w:hanging="579"/>
        <w:spacing w:after="0" w:line="300" w:lineRule="auto"/>
        <w:tabs>
          <w:tab w:leader="none" w:pos="580" w:val="left"/>
        </w:tabs>
        <w:numPr>
          <w:ilvl w:val="0"/>
          <w:numId w:val="33"/>
        </w:numPr>
        <w:rPr>
          <w:rFonts w:ascii="Arial" w:cs="Arial" w:eastAsia="Arial" w:hAnsi="Arial"/>
          <w:sz w:val="13"/>
          <w:szCs w:val="13"/>
          <w:color w:val="231F20"/>
        </w:rPr>
      </w:pPr>
      <w:r>
        <w:rPr>
          <w:rFonts w:ascii="Arial" w:cs="Arial" w:eastAsia="Arial" w:hAnsi="Arial"/>
          <w:sz w:val="16"/>
          <w:szCs w:val="16"/>
          <w:color w:val="231F20"/>
        </w:rPr>
        <w:t xml:space="preserve">Non-GAAP earnings (loss) per Class A common stock/unit—basic and diluted </w:t>
      </w:r>
      <w:r>
        <w:rPr>
          <w:rFonts w:ascii="Arial" w:cs="Arial" w:eastAsia="Arial" w:hAnsi="Arial"/>
          <w:sz w:val="16"/>
          <w:szCs w:val="16"/>
          <w:color w:val="000000"/>
        </w:rPr>
        <w:t>was not adjusted for the prior comparative periods presented.</w:t>
      </w:r>
      <w:r>
        <w:rPr>
          <w:rFonts w:ascii="Arial" w:cs="Arial" w:eastAsia="Arial" w:hAnsi="Arial"/>
          <w:sz w:val="16"/>
          <w:szCs w:val="16"/>
          <w:color w:val="231F20"/>
        </w:rPr>
        <w:t xml:space="preserve"> For a discussion on why prior periods were not adjusted, see “—</w:t>
      </w:r>
      <w:r>
        <w:rPr>
          <w:rFonts w:ascii="Arial" w:cs="Arial" w:eastAsia="Arial" w:hAnsi="Arial"/>
          <w:sz w:val="16"/>
          <w:szCs w:val="16"/>
          <w:i w:val="1"/>
          <w:iCs w:val="1"/>
          <w:color w:val="231F20"/>
        </w:rPr>
        <w:t>Non-GAAP Earnings (loss) per Class A Common Stock/Unit—Basic and Diluted</w:t>
      </w:r>
      <w:r>
        <w:rPr>
          <w:rFonts w:ascii="Arial" w:cs="Arial" w:eastAsia="Arial" w:hAnsi="Arial"/>
          <w:sz w:val="16"/>
          <w:szCs w:val="16"/>
          <w:color w:val="231F20"/>
        </w:rPr>
        <w:t>.”</w:t>
      </w:r>
    </w:p>
    <w:p>
      <w:pPr>
        <w:spacing w:after="0" w:line="43" w:lineRule="exact"/>
        <w:rPr>
          <w:rFonts w:ascii="Arial" w:cs="Arial" w:eastAsia="Arial" w:hAnsi="Arial"/>
          <w:sz w:val="13"/>
          <w:szCs w:val="13"/>
          <w:color w:val="231F20"/>
        </w:rPr>
      </w:pPr>
    </w:p>
    <w:p>
      <w:pPr>
        <w:ind w:left="580" w:right="200" w:hanging="579"/>
        <w:spacing w:after="0" w:line="269" w:lineRule="auto"/>
        <w:tabs>
          <w:tab w:leader="none" w:pos="580" w:val="left"/>
        </w:tabs>
        <w:numPr>
          <w:ilvl w:val="0"/>
          <w:numId w:val="33"/>
        </w:numPr>
        <w:rPr>
          <w:rFonts w:ascii="Arial" w:cs="Arial" w:eastAsia="Arial" w:hAnsi="Arial"/>
          <w:sz w:val="14"/>
          <w:szCs w:val="14"/>
          <w:color w:val="231F20"/>
        </w:rPr>
      </w:pPr>
      <w:r>
        <w:rPr>
          <w:rFonts w:ascii="Arial" w:cs="Arial" w:eastAsia="Arial" w:hAnsi="Arial"/>
          <w:sz w:val="17"/>
          <w:szCs w:val="17"/>
          <w:color w:val="231F20"/>
        </w:rPr>
        <w:t>We define an active customer as a customer that had total aggregate contribution ex-TAC of at least $5,000 through our platform during the previous twelve months. Active customers is an operational metric calculated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ind w:left="580" w:right="220"/>
        <w:spacing w:after="0" w:line="269" w:lineRule="auto"/>
        <w:rPr>
          <w:sz w:val="20"/>
          <w:szCs w:val="20"/>
          <w:color w:val="auto"/>
        </w:rPr>
      </w:pPr>
      <w:r>
        <w:rPr>
          <w:rFonts w:ascii="Arial" w:cs="Arial" w:eastAsia="Arial" w:hAnsi="Arial"/>
          <w:sz w:val="17"/>
          <w:szCs w:val="17"/>
          <w:color w:val="231F20"/>
        </w:rPr>
        <w:t>using contribution ex-TAC, a non-GAAP financial measure. For a reconciliation of contribution ex-TAC to the most directly comparable financial measure calculated in accordance with GAAP, see “—</w:t>
      </w:r>
      <w:r>
        <w:rPr>
          <w:rFonts w:ascii="Arial" w:cs="Arial" w:eastAsia="Arial" w:hAnsi="Arial"/>
          <w:sz w:val="17"/>
          <w:szCs w:val="17"/>
          <w:i w:val="1"/>
          <w:iCs w:val="1"/>
          <w:color w:val="231F20"/>
        </w:rPr>
        <w:t>Contribution ex-TAC.</w:t>
      </w:r>
      <w:r>
        <w:rPr>
          <w:rFonts w:ascii="Arial" w:cs="Arial" w:eastAsia="Arial" w:hAnsi="Arial"/>
          <w:sz w:val="17"/>
          <w:szCs w:val="17"/>
          <w:color w:val="231F20"/>
        </w:rPr>
        <w: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231F20"/>
        </w:rPr>
        <w:t>Contribution ex-TAC</w:t>
      </w:r>
    </w:p>
    <w:p>
      <w:pPr>
        <w:spacing w:after="0" w:line="308" w:lineRule="exact"/>
        <w:rPr>
          <w:sz w:val="20"/>
          <w:szCs w:val="20"/>
          <w:color w:val="auto"/>
        </w:rPr>
      </w:pPr>
    </w:p>
    <w:p>
      <w:pPr>
        <w:ind w:right="140" w:firstLine="589"/>
        <w:spacing w:after="0" w:line="270" w:lineRule="auto"/>
        <w:rPr>
          <w:sz w:val="20"/>
          <w:szCs w:val="20"/>
          <w:color w:val="auto"/>
        </w:rPr>
      </w:pPr>
      <w:r>
        <w:rPr>
          <w:rFonts w:ascii="Arial" w:cs="Arial" w:eastAsia="Arial" w:hAnsi="Arial"/>
          <w:sz w:val="16"/>
          <w:szCs w:val="16"/>
          <w:color w:val="231F20"/>
        </w:rPr>
        <w:t>Contribution ex-TAC is a non-GAAP financial measure. Gross profit is the most comparable GAAP measurement, which is calculated as revenue less platform operations.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6" w:lineRule="exact"/>
        <w:rPr>
          <w:sz w:val="20"/>
          <w:szCs w:val="20"/>
          <w:color w:val="auto"/>
        </w:rPr>
      </w:pPr>
    </w:p>
    <w:p>
      <w:pPr>
        <w:ind w:firstLine="589"/>
        <w:spacing w:after="0" w:line="252" w:lineRule="auto"/>
        <w:rPr>
          <w:sz w:val="20"/>
          <w:szCs w:val="20"/>
          <w:color w:val="auto"/>
        </w:rPr>
      </w:pPr>
      <w:r>
        <w:rPr>
          <w:rFonts w:ascii="Arial" w:cs="Arial" w:eastAsia="Arial" w:hAnsi="Arial"/>
          <w:sz w:val="17"/>
          <w:szCs w:val="17"/>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Active customers</w:t>
      </w:r>
    </w:p>
    <w:p>
      <w:pPr>
        <w:spacing w:after="0" w:line="283" w:lineRule="exact"/>
        <w:rPr>
          <w:sz w:val="20"/>
          <w:szCs w:val="20"/>
          <w:color w:val="auto"/>
        </w:rPr>
      </w:pPr>
    </w:p>
    <w:p>
      <w:pPr>
        <w:ind w:right="20" w:firstLine="865"/>
        <w:spacing w:after="0" w:line="299" w:lineRule="auto"/>
        <w:rPr>
          <w:sz w:val="20"/>
          <w:szCs w:val="20"/>
          <w:color w:val="auto"/>
        </w:rPr>
      </w:pPr>
      <w:r>
        <w:rPr>
          <w:rFonts w:ascii="Arial" w:cs="Arial" w:eastAsia="Arial" w:hAnsi="Arial"/>
          <w:sz w:val="15"/>
          <w:szCs w:val="15"/>
          <w:color w:val="231F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an operational metric calculated using contribution ex-TAC, a non-GAAP financial measure. For a reconciliation of contribution ex-TAC to the most directly comparable financial measure calculated in accordance with GAAP, see “</w:t>
      </w:r>
      <w:r>
        <w:rPr>
          <w:rFonts w:ascii="Arial" w:cs="Arial" w:eastAsia="Arial" w:hAnsi="Arial"/>
          <w:sz w:val="15"/>
          <w:szCs w:val="15"/>
          <w:i w:val="1"/>
          <w:iCs w:val="1"/>
          <w:color w:val="231F20"/>
        </w:rPr>
        <w:t>—Contribution ex-TAC</w:t>
      </w:r>
      <w:r>
        <w:rPr>
          <w:rFonts w:ascii="Arial" w:cs="Arial" w:eastAsia="Arial" w:hAnsi="Arial"/>
          <w:sz w:val="15"/>
          <w:szCs w:val="15"/>
          <w:color w:val="231F20"/>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Average contribution ex-TAC per active customer</w:t>
      </w:r>
    </w:p>
    <w:p>
      <w:pPr>
        <w:spacing w:after="0" w:line="270" w:lineRule="exact"/>
        <w:rPr>
          <w:sz w:val="20"/>
          <w:szCs w:val="20"/>
          <w:color w:val="auto"/>
        </w:rPr>
      </w:pPr>
    </w:p>
    <w:p>
      <w:pPr>
        <w:ind w:right="20" w:firstLine="865"/>
        <w:spacing w:after="0" w:line="291" w:lineRule="auto"/>
        <w:rPr>
          <w:sz w:val="20"/>
          <w:szCs w:val="20"/>
          <w:color w:val="auto"/>
        </w:rPr>
      </w:pPr>
      <w:r>
        <w:rPr>
          <w:rFonts w:ascii="Arial" w:cs="Arial" w:eastAsia="Arial" w:hAnsi="Arial"/>
          <w:sz w:val="15"/>
          <w:szCs w:val="15"/>
          <w:color w:val="231F20"/>
        </w:rPr>
        <w:t>We define average contribution ex-TAC per active customer as contribution ex-TAC for the trailing 12-month period presented divided by active customers. Average gross profit per active customer is the most comparable GAAP measurement, which we define as gross profit for the trailing 12-month period presented divided by active customers. We believe that the total number of active customers and average contribution ex-TAC per active customer are measures of our ability to increase revenue and the effectiveness of our sales force, although we expect these measures to fluctuate based on the seasonality in our business. Customers that generated less than $5,000 in contribution ex-TAC in the trailing 12-month period were not material in the aggregate in any period. For a reconciliation of contribution ex-TAC to the most directly comparable financial measure calculated in accordance with GAAP, see “</w:t>
      </w:r>
      <w:r>
        <w:rPr>
          <w:rFonts w:ascii="Arial" w:cs="Arial" w:eastAsia="Arial" w:hAnsi="Arial"/>
          <w:sz w:val="15"/>
          <w:szCs w:val="15"/>
          <w:i w:val="1"/>
          <w:iCs w:val="1"/>
          <w:color w:val="231F20"/>
        </w:rPr>
        <w:t>—Contribution ex-TAC</w:t>
      </w:r>
      <w:r>
        <w:rPr>
          <w:rFonts w:ascii="Arial" w:cs="Arial" w:eastAsia="Arial" w:hAnsi="Arial"/>
          <w:sz w:val="15"/>
          <w:szCs w:val="15"/>
          <w:color w:val="231F20"/>
        </w:rPr>
        <w:t>.”</w:t>
      </w:r>
    </w:p>
    <w:p>
      <w:pPr>
        <w:spacing w:after="0" w:line="15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following table sets forth a reconciliation of (i) revenue to gross profit to contribution ex-TAC and (ii) average gross profit per active customer to average contribution ex-TAC per active customer, in each case for the periods presented: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1" w:name="page72"/>
    <w:bookmarkEnd w:id="71"/>
    <w:tbl>
      <w:tblPr>
        <w:tblLayout w:type="fixed"/>
        <w:tblInd w:w="56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4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1"/>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8"/>
              <w:spacing w:after="0" w:line="144"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224,127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165,251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164,892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108,355</w:t>
            </w:r>
          </w:p>
        </w:tc>
        <w:tc>
          <w:tcPr>
            <w:tcW w:w="100" w:type="dxa"/>
            <w:vAlign w:val="bottom"/>
            <w:shd w:val="clear" w:color="auto" w:fill="CFF0FC"/>
          </w:tcPr>
          <w:p>
            <w:pPr>
              <w:spacing w:after="0"/>
              <w:rPr>
                <w:sz w:val="18"/>
                <w:szCs w:val="18"/>
                <w:color w:val="auto"/>
              </w:rPr>
            </w:pPr>
          </w:p>
        </w:tc>
      </w:tr>
      <w:tr>
        <w:trPr>
          <w:trHeight w:val="214"/>
        </w:trPr>
        <w:tc>
          <w:tcPr>
            <w:tcW w:w="4320" w:type="dxa"/>
            <w:vAlign w:val="bottom"/>
          </w:tcPr>
          <w:p>
            <w:pPr>
              <w:ind w:left="240"/>
              <w:spacing w:after="0"/>
              <w:rPr>
                <w:sz w:val="20"/>
                <w:szCs w:val="20"/>
                <w:color w:val="auto"/>
              </w:rPr>
            </w:pPr>
            <w:r>
              <w:rPr>
                <w:rFonts w:ascii="Arial" w:cs="Arial" w:eastAsia="Arial" w:hAnsi="Arial"/>
                <w:sz w:val="17"/>
                <w:szCs w:val="17"/>
                <w:color w:val="auto"/>
              </w:rPr>
              <w:t>Less: Platform operations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(129,604)</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(88,260)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(94,060)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(74,344)</w:t>
            </w:r>
          </w:p>
        </w:tc>
      </w:tr>
      <w:tr>
        <w:trPr>
          <w:trHeight w:val="207"/>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Gross profit</w:t>
            </w:r>
          </w:p>
        </w:tc>
        <w:tc>
          <w:tcPr>
            <w:tcW w:w="9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94,523</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76,991</w:t>
            </w: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70,832</w:t>
            </w: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34,011</w:t>
            </w:r>
          </w:p>
        </w:tc>
        <w:tc>
          <w:tcPr>
            <w:tcW w:w="100" w:type="dxa"/>
            <w:vAlign w:val="bottom"/>
            <w:tcBorders>
              <w:top w:val="single" w:sz="8" w:color="CFF0FC"/>
            </w:tcBorders>
            <w:shd w:val="clear" w:color="auto" w:fill="CFF0FC"/>
          </w:tcPr>
          <w:p>
            <w:pPr>
              <w:spacing w:after="0"/>
              <w:rPr>
                <w:sz w:val="17"/>
                <w:szCs w:val="17"/>
                <w:color w:val="auto"/>
              </w:rPr>
            </w:pPr>
          </w:p>
        </w:tc>
      </w:tr>
      <w:tr>
        <w:trPr>
          <w:trHeight w:val="214"/>
        </w:trPr>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Add: Other platform operations</w:t>
            </w:r>
          </w:p>
        </w:tc>
        <w:tc>
          <w:tcPr>
            <w:tcW w:w="9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46,977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33,525</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33,608</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30,515</w:t>
            </w:r>
          </w:p>
        </w:tc>
        <w:tc>
          <w:tcPr>
            <w:tcW w:w="100" w:type="dxa"/>
            <w:vAlign w:val="bottom"/>
            <w:tcBorders>
              <w:bottom w:val="single" w:sz="8" w:color="CFF0FC"/>
            </w:tcBorders>
          </w:tcPr>
          <w:p>
            <w:pPr>
              <w:spacing w:after="0"/>
              <w:rPr>
                <w:sz w:val="18"/>
                <w:szCs w:val="18"/>
                <w:color w:val="auto"/>
              </w:rPr>
            </w:pPr>
          </w:p>
        </w:tc>
      </w:tr>
      <w:tr>
        <w:trPr>
          <w:trHeight w:val="206"/>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Contribution ex-TAC</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141,500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110,516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104,440</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64,526</w:t>
            </w:r>
          </w:p>
        </w:tc>
        <w:tc>
          <w:tcPr>
            <w:tcW w:w="100" w:type="dxa"/>
            <w:vAlign w:val="bottom"/>
            <w:shd w:val="clear" w:color="auto" w:fill="CFF0FC"/>
          </w:tcPr>
          <w:p>
            <w:pPr>
              <w:spacing w:after="0"/>
              <w:rPr>
                <w:sz w:val="17"/>
                <w:szCs w:val="17"/>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2"/>
        </w:trPr>
        <w:tc>
          <w:tcPr>
            <w:tcW w:w="4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Active customers</w:t>
            </w:r>
            <w:r>
              <w:rPr>
                <w:rFonts w:ascii="Arial" w:cs="Arial" w:eastAsia="Arial" w:hAnsi="Arial"/>
                <w:sz w:val="14"/>
                <w:szCs w:val="14"/>
                <w:color w:val="auto"/>
              </w:rPr>
              <w:t>(1)</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FF0FC"/>
          </w:tcPr>
          <w:p>
            <w:pPr>
              <w:spacing w:after="0"/>
              <w:rPr>
                <w:sz w:val="18"/>
                <w:szCs w:val="18"/>
                <w:color w:val="auto"/>
              </w:rPr>
            </w:pPr>
          </w:p>
        </w:tc>
      </w:tr>
      <w:tr>
        <w:trPr>
          <w:trHeight w:val="214"/>
        </w:trPr>
        <w:tc>
          <w:tcPr>
            <w:tcW w:w="4320" w:type="dxa"/>
            <w:vAlign w:val="bottom"/>
          </w:tcPr>
          <w:p>
            <w:pPr>
              <w:spacing w:after="0"/>
              <w:rPr>
                <w:sz w:val="20"/>
                <w:szCs w:val="20"/>
                <w:color w:val="auto"/>
              </w:rPr>
            </w:pPr>
            <w:r>
              <w:rPr>
                <w:rFonts w:ascii="Arial" w:cs="Arial" w:eastAsia="Arial" w:hAnsi="Arial"/>
                <w:sz w:val="17"/>
                <w:szCs w:val="17"/>
                <w:color w:val="auto"/>
              </w:rPr>
              <w:t>Average gross profit per active customer</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306</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292</w:t>
            </w:r>
          </w:p>
        </w:tc>
        <w:tc>
          <w:tcPr>
            <w:tcW w:w="2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Average contribution ex-TAC per active customer</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FF0FC"/>
          </w:tcPr>
          <w:p>
            <w:pPr>
              <w:spacing w:after="0"/>
              <w:rPr>
                <w:sz w:val="18"/>
                <w:szCs w:val="18"/>
                <w:color w:val="auto"/>
              </w:rPr>
            </w:pPr>
          </w:p>
        </w:tc>
      </w:tr>
    </w:tbl>
    <w:p>
      <w:pPr>
        <w:spacing w:after="0" w:line="88" w:lineRule="exact"/>
        <w:rPr>
          <w:sz w:val="20"/>
          <w:szCs w:val="20"/>
          <w:color w:val="auto"/>
        </w:rPr>
      </w:pPr>
    </w:p>
    <w:p>
      <w:pPr>
        <w:ind w:right="460" w:firstLine="590"/>
        <w:spacing w:after="0" w:line="300" w:lineRule="auto"/>
        <w:tabs>
          <w:tab w:leader="none" w:pos="1359" w:val="left"/>
        </w:tabs>
        <w:numPr>
          <w:ilvl w:val="0"/>
          <w:numId w:val="34"/>
        </w:numPr>
        <w:rPr>
          <w:rFonts w:ascii="Arial" w:cs="Arial" w:eastAsia="Arial" w:hAnsi="Arial"/>
          <w:sz w:val="13"/>
          <w:szCs w:val="13"/>
          <w:color w:val="231F20"/>
        </w:rPr>
      </w:pPr>
      <w:r>
        <w:rPr>
          <w:rFonts w:ascii="Arial" w:cs="Arial" w:eastAsia="Arial" w:hAnsi="Arial"/>
          <w:sz w:val="16"/>
          <w:szCs w:val="16"/>
          <w:color w:val="231F20"/>
        </w:rPr>
        <w:t>We define an active customer as a customer that had total aggregate contribution ex-TAC of at least $5,000 through our platform during the previous twelve months. Active customers is an operational metric calculated using contribution ex-TAC, a non-GAAP financial measure.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Adjusted EBITDA and adjusted EBITDA as a percentage of contribution ex-TAC</w:t>
      </w:r>
    </w:p>
    <w:p>
      <w:pPr>
        <w:spacing w:after="0" w:line="207" w:lineRule="exact"/>
        <w:rPr>
          <w:sz w:val="20"/>
          <w:szCs w:val="20"/>
          <w:color w:val="auto"/>
        </w:rPr>
      </w:pPr>
    </w:p>
    <w:p>
      <w:pPr>
        <w:ind w:right="80" w:firstLine="865"/>
        <w:spacing w:after="0" w:line="299" w:lineRule="auto"/>
        <w:rPr>
          <w:sz w:val="20"/>
          <w:szCs w:val="20"/>
          <w:color w:val="auto"/>
        </w:rPr>
      </w:pPr>
      <w:r>
        <w:rPr>
          <w:rFonts w:ascii="Arial" w:cs="Arial" w:eastAsia="Arial" w:hAnsi="Arial"/>
          <w:sz w:val="15"/>
          <w:szCs w:val="15"/>
          <w:color w:val="231F20"/>
        </w:rPr>
        <w:t>Adjusted EBITDA is a non-GAAP financial measure defined by us as net income (loss) before interest expense, net, income tax expense (benefit), depreciation, amortization, stock-based compensation and certain other items that are not related to our core operations, such as restructuring charges, transaction expenses and the extinguishment of debt. Net income (loss) is the most comparable GAAP measurement. Adjusted EBITDA as a percentage of contribution ex-TAC is a non-GAAP financial measure we calculate by dividing adjusted EBITDA by contribution ex-TAC for the period or periods presented.</w:t>
      </w:r>
    </w:p>
    <w:p>
      <w:pPr>
        <w:spacing w:after="0" w:line="147" w:lineRule="exact"/>
        <w:rPr>
          <w:sz w:val="20"/>
          <w:szCs w:val="20"/>
          <w:color w:val="auto"/>
        </w:rPr>
      </w:pPr>
    </w:p>
    <w:p>
      <w:pPr>
        <w:ind w:firstLine="865"/>
        <w:spacing w:after="0" w:line="315" w:lineRule="auto"/>
        <w:rPr>
          <w:sz w:val="20"/>
          <w:szCs w:val="20"/>
          <w:color w:val="auto"/>
        </w:rPr>
      </w:pPr>
      <w:r>
        <w:rPr>
          <w:rFonts w:ascii="Arial" w:cs="Arial" w:eastAsia="Arial" w:hAnsi="Arial"/>
          <w:sz w:val="14"/>
          <w:szCs w:val="14"/>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our non-GAAP measure, contribution ex-TAC,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141" w:lineRule="exact"/>
        <w:rPr>
          <w:sz w:val="20"/>
          <w:szCs w:val="20"/>
          <w:color w:val="auto"/>
        </w:rPr>
      </w:pPr>
    </w:p>
    <w:p>
      <w:pPr>
        <w:ind w:right="160" w:firstLine="589"/>
        <w:spacing w:after="0" w:line="337" w:lineRule="auto"/>
        <w:rPr>
          <w:sz w:val="20"/>
          <w:szCs w:val="20"/>
          <w:color w:val="auto"/>
        </w:rPr>
      </w:pPr>
      <w:r>
        <w:rPr>
          <w:rFonts w:ascii="Arial" w:cs="Arial" w:eastAsia="Arial" w:hAnsi="Arial"/>
          <w:sz w:val="15"/>
          <w:szCs w:val="15"/>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19" w:lineRule="exact"/>
        <w:rPr>
          <w:sz w:val="20"/>
          <w:szCs w:val="20"/>
          <w:color w:val="auto"/>
        </w:rPr>
      </w:pPr>
    </w:p>
    <w:p>
      <w:pPr>
        <w:ind w:left="1160" w:hanging="581"/>
        <w:spacing w:after="0" w:line="258" w:lineRule="auto"/>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4" w:lineRule="exact"/>
        <w:rPr>
          <w:rFonts w:ascii="Arial" w:cs="Arial" w:eastAsia="Arial" w:hAnsi="Arial"/>
          <w:sz w:val="17"/>
          <w:szCs w:val="17"/>
          <w:color w:val="auto"/>
        </w:rPr>
      </w:pPr>
    </w:p>
    <w:p>
      <w:pPr>
        <w:ind w:left="1160" w:right="120" w:hanging="581"/>
        <w:spacing w:after="0" w:line="337" w:lineRule="auto"/>
        <w:tabs>
          <w:tab w:leader="none" w:pos="1160" w:val="left"/>
        </w:tabs>
        <w:numPr>
          <w:ilvl w:val="0"/>
          <w:numId w:val="35"/>
        </w:numPr>
        <w:rPr>
          <w:rFonts w:ascii="Arial" w:cs="Arial" w:eastAsia="Arial" w:hAnsi="Arial"/>
          <w:sz w:val="15"/>
          <w:szCs w:val="15"/>
          <w:color w:val="auto"/>
        </w:rPr>
      </w:pPr>
      <w:r>
        <w:rPr>
          <w:rFonts w:ascii="Arial" w:cs="Arial" w:eastAsia="Arial" w:hAnsi="Arial"/>
          <w:sz w:val="15"/>
          <w:szCs w:val="15"/>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18" w:lineRule="exact"/>
        <w:rPr>
          <w:rFonts w:ascii="Arial" w:cs="Arial" w:eastAsia="Arial" w:hAnsi="Arial"/>
          <w:sz w:val="15"/>
          <w:szCs w:val="15"/>
          <w:color w:val="auto"/>
        </w:rPr>
      </w:pPr>
    </w:p>
    <w:p>
      <w:pPr>
        <w:ind w:left="1160" w:right="140" w:hanging="581"/>
        <w:spacing w:after="0" w:line="269" w:lineRule="auto"/>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231F20"/>
        </w:rPr>
        <w:t>Adjusted EBITDA does not reflect changes in, or cash requirements for, our working capital needs or the potentially dilutive impact of stock-based compensation.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72" w:name="page73"/>
    <w:bookmarkEnd w:id="72"/>
    <w:p>
      <w:pPr>
        <w:ind w:right="720" w:firstLine="589"/>
        <w:spacing w:after="0" w:line="269" w:lineRule="auto"/>
        <w:rPr>
          <w:sz w:val="20"/>
          <w:szCs w:val="20"/>
          <w:color w:val="auto"/>
        </w:rPr>
      </w:pPr>
      <w:r>
        <w:rPr>
          <w:rFonts w:ascii="Arial" w:cs="Arial" w:eastAsia="Arial" w:hAnsi="Arial"/>
          <w:sz w:val="17"/>
          <w:szCs w:val="17"/>
          <w:color w:val="231F20"/>
        </w:rPr>
        <w:t>Because of these and other limitations, you should consider our non-GAAP financial measures only as supplemental to other GAAP-based financial performance measures, including revenue, net income (loss) and cash flows.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The following table sets forth a reconciliation of net income (loss) to adjusted EBITDA for the periods presented:</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8"/>
              <w:spacing w:after="0" w:line="144" w:lineRule="exact"/>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tcBorders>
              <w:bottom w:val="single" w:sz="8" w:color="CFF0FC"/>
            </w:tcBorders>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line="144" w:lineRule="exact"/>
              <w:rPr>
                <w:sz w:val="20"/>
                <w:szCs w:val="20"/>
                <w:color w:val="auto"/>
              </w:rPr>
            </w:pPr>
            <w:r>
              <w:rPr>
                <w:rFonts w:ascii="Arial" w:cs="Arial" w:eastAsia="Arial" w:hAnsi="Arial"/>
                <w:sz w:val="13"/>
                <w:szCs w:val="13"/>
                <w:b w:val="1"/>
                <w:bCs w:val="1"/>
                <w:color w:val="auto"/>
              </w:rPr>
              <w:t>(in thousands)</w:t>
            </w: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1360" w:type="dxa"/>
            <w:vAlign w:val="bottom"/>
            <w:gridSpan w:val="2"/>
            <w:shd w:val="clear" w:color="auto" w:fill="CFF0FC"/>
          </w:tcPr>
          <w:p>
            <w:pPr>
              <w:jc w:val="right"/>
              <w:ind w:right="87"/>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(37,609)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9,924</w:t>
            </w:r>
          </w:p>
        </w:tc>
        <w:tc>
          <w:tcPr>
            <w:tcW w:w="20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(25,535)</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7"/>
                <w:szCs w:val="17"/>
                <w:color w:val="auto"/>
              </w:rPr>
              <w:t>Add back:</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 net</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3,948</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10,106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10,155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Stock/unit-based compensation</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68,822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40"/>
              <w:spacing w:after="0"/>
              <w:rPr>
                <w:sz w:val="20"/>
                <w:szCs w:val="20"/>
                <w:color w:val="auto"/>
              </w:rPr>
            </w:pPr>
            <w:r>
              <w:rPr>
                <w:rFonts w:ascii="Arial" w:cs="Arial" w:eastAsia="Arial" w:hAnsi="Arial"/>
                <w:sz w:val="17"/>
                <w:szCs w:val="17"/>
                <w:color w:val="auto"/>
              </w:rPr>
              <w:t>Restructuring expense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2019 Former Holdco transaction expense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40"/>
              <w:spacing w:after="0"/>
              <w:rPr>
                <w:sz w:val="20"/>
                <w:szCs w:val="20"/>
                <w:color w:val="auto"/>
              </w:rPr>
            </w:pPr>
            <w:r>
              <w:rPr>
                <w:rFonts w:ascii="Arial" w:cs="Arial" w:eastAsia="Arial" w:hAnsi="Arial"/>
                <w:sz w:val="17"/>
                <w:szCs w:val="17"/>
                <w:color w:val="auto"/>
              </w:rPr>
              <w:t>UK subsidiary closure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(933)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Less: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40"/>
              <w:spacing w:after="0"/>
              <w:rPr>
                <w:sz w:val="20"/>
                <w:szCs w:val="20"/>
                <w:color w:val="auto"/>
              </w:rPr>
            </w:pPr>
            <w:r>
              <w:rPr>
                <w:rFonts w:ascii="Arial" w:cs="Arial" w:eastAsia="Arial" w:hAnsi="Arial"/>
                <w:sz w:val="17"/>
                <w:szCs w:val="17"/>
                <w:color w:val="auto"/>
              </w:rPr>
              <w:t>Gain on extinguishment of debt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(6,110)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vMerge w:val="continue"/>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37,108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31,782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24,655</w:t>
            </w:r>
          </w:p>
        </w:tc>
        <w:tc>
          <w:tcPr>
            <w:tcW w:w="20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(7,534)</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following table sets forth a reconciliation of net income (loss) as a percentage of gross profit to adjusted EBITDA as a percentage of contribution ex-TAC for the periods presented</w:t>
      </w:r>
      <w:r>
        <w:rPr>
          <w:rFonts w:ascii="Arial" w:cs="Arial" w:eastAsia="Arial" w:hAnsi="Arial"/>
          <w:sz w:val="17"/>
          <w:szCs w:val="17"/>
          <w:color w:val="231F20"/>
        </w:rPr>
        <w: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4"/>
        </w:trPr>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9"/>
              <w:spacing w:after="0" w:line="144"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0"/>
              <w:spacing w:after="0" w:line="144"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9"/>
              <w:spacing w:after="0" w:line="14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4" w:lineRule="exact"/>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2"/>
                <w:szCs w:val="12"/>
                <w:color w:val="auto"/>
              </w:rPr>
            </w:pPr>
          </w:p>
        </w:tc>
      </w:tr>
      <w:tr>
        <w:trPr>
          <w:trHeight w:val="144"/>
        </w:trPr>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80" w:type="dxa"/>
            <w:vAlign w:val="bottom"/>
            <w:gridSpan w:val="4"/>
          </w:tcPr>
          <w:p>
            <w:pPr>
              <w:jc w:val="right"/>
              <w:ind w:right="219"/>
              <w:spacing w:after="0" w:line="144" w:lineRule="exact"/>
              <w:rPr>
                <w:sz w:val="20"/>
                <w:szCs w:val="20"/>
                <w:color w:val="auto"/>
              </w:rPr>
            </w:pPr>
            <w:r>
              <w:rPr>
                <w:rFonts w:ascii="Arial" w:cs="Arial" w:eastAsia="Arial" w:hAnsi="Arial"/>
                <w:sz w:val="13"/>
                <w:szCs w:val="13"/>
                <w:b w:val="1"/>
                <w:bCs w:val="1"/>
                <w:color w:val="auto"/>
                <w:w w:val="94"/>
              </w:rPr>
              <w:t>(in thousands, except for percentages)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4"/>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7"/>
                <w:szCs w:val="17"/>
                <w:color w:val="auto"/>
              </w:rPr>
              <w:t>94,523</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76,991</w:t>
            </w:r>
          </w:p>
        </w:tc>
        <w:tc>
          <w:tcPr>
            <w:tcW w:w="30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7"/>
                <w:szCs w:val="17"/>
                <w:color w:val="auto"/>
              </w:rPr>
              <w:t>70,832</w:t>
            </w:r>
          </w:p>
        </w:tc>
        <w:tc>
          <w:tcPr>
            <w:tcW w:w="28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34,011</w:t>
            </w:r>
          </w:p>
        </w:tc>
        <w:tc>
          <w:tcPr>
            <w:tcW w:w="220" w:type="dxa"/>
            <w:vAlign w:val="bottom"/>
            <w:shd w:val="clear" w:color="auto" w:fill="CFF0FC"/>
          </w:tcPr>
          <w:p>
            <w:pPr>
              <w:spacing w:after="0"/>
              <w:rPr>
                <w:sz w:val="18"/>
                <w:szCs w:val="18"/>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Net income (loss)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9"/>
              <w:spacing w:after="0"/>
              <w:rPr>
                <w:sz w:val="20"/>
                <w:szCs w:val="20"/>
                <w:color w:val="auto"/>
              </w:rPr>
            </w:pPr>
            <w:r>
              <w:rPr>
                <w:rFonts w:ascii="Arial" w:cs="Arial" w:eastAsia="Arial" w:hAnsi="Arial"/>
                <w:sz w:val="17"/>
                <w:szCs w:val="17"/>
                <w:color w:val="auto"/>
              </w:rPr>
              <w:t>(37,609)</w:t>
            </w:r>
          </w:p>
        </w:tc>
        <w:tc>
          <w:tcPr>
            <w:tcW w:w="2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0"/>
              <w:spacing w:after="0"/>
              <w:rPr>
                <w:sz w:val="20"/>
                <w:szCs w:val="20"/>
                <w:color w:val="auto"/>
              </w:rPr>
            </w:pPr>
            <w:r>
              <w:rPr>
                <w:rFonts w:ascii="Arial" w:cs="Arial" w:eastAsia="Arial" w:hAnsi="Arial"/>
                <w:sz w:val="17"/>
                <w:szCs w:val="17"/>
                <w:color w:val="auto"/>
              </w:rPr>
              <w:t>20,638</w:t>
            </w: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9"/>
              <w:spacing w:after="0"/>
              <w:rPr>
                <w:sz w:val="20"/>
                <w:szCs w:val="20"/>
                <w:color w:val="auto"/>
              </w:rPr>
            </w:pPr>
            <w:r>
              <w:rPr>
                <w:rFonts w:ascii="Arial" w:cs="Arial" w:eastAsia="Arial" w:hAnsi="Arial"/>
                <w:sz w:val="17"/>
                <w:szCs w:val="17"/>
                <w:color w:val="auto"/>
              </w:rPr>
              <w:t>9,924</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(25,535)</w:t>
            </w:r>
          </w:p>
        </w:tc>
      </w:tr>
      <w:tr>
        <w:trPr>
          <w:trHeight w:val="214"/>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 as a percentage of gross profit</w:t>
            </w:r>
            <w:r>
              <w:rPr>
                <w:rFonts w:ascii="Arial" w:cs="Arial" w:eastAsia="Arial" w:hAnsi="Arial"/>
                <w:sz w:val="14"/>
                <w:szCs w:val="14"/>
                <w:color w:val="auto"/>
              </w:rPr>
              <w:t>(1)</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7"/>
                <w:szCs w:val="17"/>
                <w:color w:val="auto"/>
              </w:rPr>
              <w:t>N/A</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Contribution ex-TAC</w:t>
            </w:r>
            <w:r>
              <w:rPr>
                <w:rFonts w:ascii="Arial" w:cs="Arial" w:eastAsia="Arial" w:hAnsi="Arial"/>
                <w:sz w:val="14"/>
                <w:szCs w:val="14"/>
                <w:color w:val="auto"/>
              </w:rPr>
              <w:t>(2)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9"/>
              <w:spacing w:after="0"/>
              <w:rPr>
                <w:sz w:val="20"/>
                <w:szCs w:val="20"/>
                <w:color w:val="auto"/>
              </w:rPr>
            </w:pPr>
            <w:r>
              <w:rPr>
                <w:rFonts w:ascii="Arial" w:cs="Arial" w:eastAsia="Arial" w:hAnsi="Arial"/>
                <w:sz w:val="17"/>
                <w:szCs w:val="17"/>
                <w:color w:val="auto"/>
              </w:rPr>
              <w:t>141,500</w:t>
            </w:r>
          </w:p>
        </w:tc>
        <w:tc>
          <w:tcPr>
            <w:tcW w:w="2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0"/>
              <w:spacing w:after="0"/>
              <w:rPr>
                <w:sz w:val="20"/>
                <w:szCs w:val="20"/>
                <w:color w:val="auto"/>
              </w:rPr>
            </w:pPr>
            <w:r>
              <w:rPr>
                <w:rFonts w:ascii="Arial" w:cs="Arial" w:eastAsia="Arial" w:hAnsi="Arial"/>
                <w:sz w:val="17"/>
                <w:szCs w:val="17"/>
                <w:color w:val="auto"/>
              </w:rPr>
              <w:t>110,516</w:t>
            </w: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9"/>
              <w:spacing w:after="0"/>
              <w:rPr>
                <w:sz w:val="20"/>
                <w:szCs w:val="20"/>
                <w:color w:val="auto"/>
              </w:rPr>
            </w:pPr>
            <w:r>
              <w:rPr>
                <w:rFonts w:ascii="Arial" w:cs="Arial" w:eastAsia="Arial" w:hAnsi="Arial"/>
                <w:sz w:val="17"/>
                <w:szCs w:val="17"/>
                <w:color w:val="auto"/>
              </w:rPr>
              <w:t>104,440</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64,526</w:t>
            </w:r>
          </w:p>
        </w:tc>
        <w:tc>
          <w:tcPr>
            <w:tcW w:w="220" w:type="dxa"/>
            <w:vAlign w:val="bottom"/>
          </w:tcPr>
          <w:p>
            <w:pPr>
              <w:spacing w:after="0"/>
              <w:rPr>
                <w:sz w:val="18"/>
                <w:szCs w:val="18"/>
                <w:color w:val="auto"/>
              </w:rPr>
            </w:pPr>
          </w:p>
        </w:tc>
      </w:tr>
      <w:tr>
        <w:trPr>
          <w:trHeight w:val="214"/>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(3)</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7"/>
                <w:szCs w:val="17"/>
                <w:color w:val="auto"/>
              </w:rPr>
              <w:t>37,108</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31,782</w:t>
            </w:r>
          </w:p>
        </w:tc>
        <w:tc>
          <w:tcPr>
            <w:tcW w:w="30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7"/>
                <w:szCs w:val="17"/>
                <w:color w:val="auto"/>
              </w:rPr>
              <w:t>24,655</w:t>
            </w:r>
          </w:p>
        </w:tc>
        <w:tc>
          <w:tcPr>
            <w:tcW w:w="28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(7,534)</w:t>
            </w: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Adjusted EBITDA as a percentage of contribution ex-TAC</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102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207" w:lineRule="exact"/>
        <w:rPr>
          <w:sz w:val="20"/>
          <w:szCs w:val="20"/>
          <w:color w:val="auto"/>
        </w:rPr>
      </w:pPr>
    </w:p>
    <w:p>
      <w:pPr>
        <w:ind w:left="580" w:right="200" w:hanging="579"/>
        <w:spacing w:after="0" w:line="269" w:lineRule="auto"/>
        <w:tabs>
          <w:tab w:leader="none" w:pos="580" w:val="left"/>
        </w:tabs>
        <w:numPr>
          <w:ilvl w:val="0"/>
          <w:numId w:val="36"/>
        </w:numPr>
        <w:rPr>
          <w:rFonts w:ascii="Arial" w:cs="Arial" w:eastAsia="Arial" w:hAnsi="Arial"/>
          <w:sz w:val="14"/>
          <w:szCs w:val="14"/>
          <w:color w:val="231F20"/>
        </w:rPr>
      </w:pPr>
      <w:r>
        <w:rPr>
          <w:rFonts w:ascii="Arial" w:cs="Arial" w:eastAsia="Arial" w:hAnsi="Arial"/>
          <w:sz w:val="17"/>
          <w:szCs w:val="17"/>
          <w:color w:val="231F20"/>
        </w:rPr>
        <w:t>Management believes that in periods of net loss, primarily driven by the impact of stock-based compensation, this percentage is not comparable to the other periods presented.</w:t>
      </w:r>
    </w:p>
    <w:p>
      <w:pPr>
        <w:spacing w:after="0" w:line="65" w:lineRule="exact"/>
        <w:rPr>
          <w:rFonts w:ascii="Arial" w:cs="Arial" w:eastAsia="Arial" w:hAnsi="Arial"/>
          <w:sz w:val="14"/>
          <w:szCs w:val="14"/>
          <w:color w:val="231F20"/>
        </w:rPr>
      </w:pPr>
    </w:p>
    <w:p>
      <w:pPr>
        <w:ind w:left="580" w:right="140" w:hanging="579"/>
        <w:spacing w:after="0" w:line="269" w:lineRule="auto"/>
        <w:tabs>
          <w:tab w:leader="none" w:pos="580" w:val="left"/>
        </w:tabs>
        <w:numPr>
          <w:ilvl w:val="0"/>
          <w:numId w:val="36"/>
        </w:numPr>
        <w:rPr>
          <w:rFonts w:ascii="Arial" w:cs="Arial" w:eastAsia="Arial" w:hAnsi="Arial"/>
          <w:sz w:val="14"/>
          <w:szCs w:val="14"/>
          <w:color w:val="231F20"/>
        </w:rPr>
      </w:pPr>
      <w:r>
        <w:rPr>
          <w:rFonts w:ascii="Arial" w:cs="Arial" w:eastAsia="Arial" w:hAnsi="Arial"/>
          <w:sz w:val="17"/>
          <w:szCs w:val="17"/>
          <w:color w:val="231F20"/>
        </w:rPr>
        <w:t>For a reconciliation of contribution ex-TAC to the most directly comparable financial measure calculated in accordance with GAAP, see “</w:t>
      </w:r>
      <w:r>
        <w:rPr>
          <w:rFonts w:ascii="Arial" w:cs="Arial" w:eastAsia="Arial" w:hAnsi="Arial"/>
          <w:sz w:val="17"/>
          <w:szCs w:val="17"/>
          <w:i w:val="1"/>
          <w:iCs w:val="1"/>
          <w:color w:val="231F20"/>
        </w:rPr>
        <w:t>—Contribution ex-TAC</w:t>
      </w:r>
      <w:r>
        <w:rPr>
          <w:rFonts w:ascii="Arial" w:cs="Arial" w:eastAsia="Arial" w:hAnsi="Arial"/>
          <w:sz w:val="17"/>
          <w:szCs w:val="17"/>
          <w:color w:val="231F20"/>
        </w:rPr>
        <w:t>.”</w:t>
      </w:r>
    </w:p>
    <w:p>
      <w:pPr>
        <w:spacing w:after="0" w:line="65" w:lineRule="exact"/>
        <w:rPr>
          <w:rFonts w:ascii="Arial" w:cs="Arial" w:eastAsia="Arial" w:hAnsi="Arial"/>
          <w:sz w:val="14"/>
          <w:szCs w:val="14"/>
          <w:color w:val="231F20"/>
        </w:rPr>
      </w:pPr>
    </w:p>
    <w:p>
      <w:pPr>
        <w:ind w:left="580" w:hanging="579"/>
        <w:spacing w:after="0"/>
        <w:tabs>
          <w:tab w:leader="none" w:pos="580" w:val="left"/>
        </w:tabs>
        <w:numPr>
          <w:ilvl w:val="0"/>
          <w:numId w:val="36"/>
        </w:numPr>
        <w:rPr>
          <w:rFonts w:ascii="Arial" w:cs="Arial" w:eastAsia="Arial" w:hAnsi="Arial"/>
          <w:sz w:val="12"/>
          <w:szCs w:val="12"/>
          <w:color w:val="231F20"/>
        </w:rPr>
      </w:pPr>
      <w:r>
        <w:rPr>
          <w:rFonts w:ascii="Arial" w:cs="Arial" w:eastAsia="Arial" w:hAnsi="Arial"/>
          <w:sz w:val="15"/>
          <w:szCs w:val="15"/>
          <w:color w:val="231F20"/>
        </w:rPr>
        <w:t>For a reconciliation of adjusted EBITDA to the most directly comparable financial measure calculated in accordance with GAAP, see “</w:t>
      </w:r>
      <w:r>
        <w:rPr>
          <w:rFonts w:ascii="Arial" w:cs="Arial" w:eastAsia="Arial" w:hAnsi="Arial"/>
          <w:sz w:val="15"/>
          <w:szCs w:val="15"/>
          <w:i w:val="1"/>
          <w:iCs w:val="1"/>
          <w:color w:val="231F20"/>
        </w:rPr>
        <w:t>—Adjusted EBITDA</w:t>
      </w:r>
      <w:r>
        <w:rPr>
          <w:rFonts w:ascii="Arial" w:cs="Arial" w:eastAsia="Arial" w:hAnsi="Arial"/>
          <w:sz w:val="15"/>
          <w:szCs w:val="15"/>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Non-GAAP Net Income (Loss)</w:t>
      </w:r>
    </w:p>
    <w:p>
      <w:pPr>
        <w:spacing w:after="0" w:line="207" w:lineRule="exact"/>
        <w:rPr>
          <w:sz w:val="20"/>
          <w:szCs w:val="20"/>
          <w:color w:val="auto"/>
        </w:rPr>
      </w:pPr>
    </w:p>
    <w:p>
      <w:pPr>
        <w:ind w:firstLine="589"/>
        <w:spacing w:after="0" w:line="250" w:lineRule="auto"/>
        <w:rPr>
          <w:sz w:val="20"/>
          <w:szCs w:val="20"/>
          <w:color w:val="auto"/>
        </w:rPr>
      </w:pPr>
      <w:r>
        <w:rPr>
          <w:rFonts w:ascii="Arial" w:cs="Arial" w:eastAsia="Arial" w:hAnsi="Arial"/>
          <w:sz w:val="17"/>
          <w:szCs w:val="17"/>
          <w:color w:val="231F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measurement.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231F20"/>
        </w:rPr>
        <w:t>understanding and evaluating our results of operations in the same manner as our management and board of directors.</w:t>
      </w:r>
    </w:p>
    <w:p>
      <w:pPr>
        <w:spacing w:after="0" w:line="207" w:lineRule="exact"/>
        <w:rPr>
          <w:sz w:val="20"/>
          <w:szCs w:val="20"/>
          <w:color w:val="auto"/>
        </w:rPr>
      </w:pPr>
    </w:p>
    <w:p>
      <w:pPr>
        <w:ind w:right="40" w:firstLine="589"/>
        <w:spacing w:after="0" w:line="252" w:lineRule="auto"/>
        <w:rPr>
          <w:sz w:val="20"/>
          <w:szCs w:val="20"/>
          <w:color w:val="auto"/>
        </w:rPr>
      </w:pPr>
      <w:r>
        <w:rPr>
          <w:rFonts w:ascii="Arial" w:cs="Arial" w:eastAsia="Arial" w:hAnsi="Arial"/>
          <w:sz w:val="17"/>
          <w:szCs w:val="17"/>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a reconciliation of net income (loss) to non-GAAP net income (loss) for the periods presented</w:t>
      </w:r>
      <w:r>
        <w:rPr>
          <w:rFonts w:ascii="Arial" w:cs="Arial" w:eastAsia="Arial" w:hAnsi="Arial"/>
          <w:sz w:val="17"/>
          <w:szCs w:val="17"/>
          <w:color w:val="231F20"/>
        </w:rPr>
        <w:t>:</w:t>
      </w:r>
    </w:p>
    <w:p>
      <w:pPr>
        <w:spacing w:after="0" w:line="86"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3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right"/>
              <w:ind w:right="7"/>
              <w:spacing w:after="0" w:line="144" w:lineRule="exact"/>
              <w:rPr>
                <w:sz w:val="20"/>
                <w:szCs w:val="20"/>
                <w:color w:val="auto"/>
              </w:rPr>
            </w:pPr>
            <w:r>
              <w:rPr>
                <w:rFonts w:ascii="Arial" w:cs="Arial" w:eastAsia="Arial" w:hAnsi="Arial"/>
                <w:sz w:val="13"/>
                <w:szCs w:val="13"/>
                <w:b w:val="1"/>
                <w:bCs w:val="1"/>
                <w:color w:val="auto"/>
              </w:rPr>
              <w:t>(in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1200" w:type="dxa"/>
            <w:vAlign w:val="bottom"/>
            <w:gridSpan w:val="2"/>
            <w:shd w:val="clear" w:color="auto" w:fill="CFF0FC"/>
          </w:tcPr>
          <w:p>
            <w:pPr>
              <w:jc w:val="right"/>
              <w:ind w:right="107"/>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(37,609)</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600" w:type="dxa"/>
            <w:vAlign w:val="bottom"/>
            <w:gridSpan w:val="2"/>
            <w:shd w:val="clear" w:color="auto" w:fill="CFF0FC"/>
          </w:tcPr>
          <w:p>
            <w:pPr>
              <w:jc w:val="right"/>
              <w:ind w:right="227"/>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9,924</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(25,535)</w:t>
            </w:r>
          </w:p>
        </w:tc>
        <w:tc>
          <w:tcPr>
            <w:tcW w:w="0" w:type="dxa"/>
            <w:vAlign w:val="bottom"/>
          </w:tcPr>
          <w:p>
            <w:pPr>
              <w:spacing w:after="0"/>
              <w:rPr>
                <w:sz w:val="1"/>
                <w:szCs w:val="1"/>
                <w:color w:val="auto"/>
              </w:rPr>
            </w:pPr>
          </w:p>
        </w:tc>
      </w:tr>
      <w:tr>
        <w:trPr>
          <w:trHeight w:val="214"/>
        </w:trPr>
        <w:tc>
          <w:tcPr>
            <w:tcW w:w="3720" w:type="dxa"/>
            <w:vAlign w:val="bottom"/>
          </w:tcPr>
          <w:p>
            <w:pPr>
              <w:ind w:left="140"/>
              <w:spacing w:after="0"/>
              <w:rPr>
                <w:sz w:val="20"/>
                <w:szCs w:val="20"/>
                <w:color w:val="auto"/>
              </w:rPr>
            </w:pPr>
            <w:r>
              <w:rPr>
                <w:rFonts w:ascii="Arial" w:cs="Arial" w:eastAsia="Arial" w:hAnsi="Arial"/>
                <w:sz w:val="17"/>
                <w:szCs w:val="17"/>
                <w:color w:val="auto"/>
              </w:rPr>
              <w:t>Add back: Stock-based compensation</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Less: Gain on extinguishment of debt</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(6,110)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720" w:type="dxa"/>
            <w:vAlign w:val="bottom"/>
          </w:tcPr>
          <w:p>
            <w:pPr>
              <w:ind w:left="140"/>
              <w:spacing w:after="0"/>
              <w:rPr>
                <w:sz w:val="20"/>
                <w:szCs w:val="20"/>
                <w:color w:val="auto"/>
              </w:rPr>
            </w:pPr>
            <w:r>
              <w:rPr>
                <w:rFonts w:ascii="Arial" w:cs="Arial" w:eastAsia="Arial" w:hAnsi="Arial"/>
                <w:sz w:val="17"/>
                <w:szCs w:val="17"/>
                <w:color w:val="auto"/>
              </w:rPr>
              <w:t>Less: Income tax effect related to Viant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140"/>
              <w:spacing w:after="0"/>
              <w:rPr>
                <w:sz w:val="20"/>
                <w:szCs w:val="20"/>
                <w:color w:val="auto"/>
              </w:rPr>
            </w:pPr>
            <w:r>
              <w:rPr>
                <w:rFonts w:ascii="Arial" w:cs="Arial" w:eastAsia="Arial" w:hAnsi="Arial"/>
                <w:sz w:val="17"/>
                <w:szCs w:val="17"/>
                <w:color w:val="auto"/>
              </w:rPr>
              <w:t>Technology Inc.’s share of adjustments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Non-GAAP net income (loss)</w:t>
            </w:r>
          </w:p>
        </w:tc>
        <w:tc>
          <w:tcPr>
            <w:tcW w:w="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23,865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11,014</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(24,888)</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Non-GAAP Earnings (loss) per Class A Common Stock/Unit</w:t>
      </w:r>
      <w:r>
        <w:rPr>
          <w:rFonts w:ascii="Arial" w:cs="Arial" w:eastAsia="Arial" w:hAnsi="Arial"/>
          <w:sz w:val="17"/>
          <w:szCs w:val="17"/>
          <w:color w:val="000000"/>
        </w:rPr>
        <w:t>—</w:t>
      </w:r>
      <w:r>
        <w:rPr>
          <w:rFonts w:ascii="Arial" w:cs="Arial" w:eastAsia="Arial" w:hAnsi="Arial"/>
          <w:sz w:val="17"/>
          <w:szCs w:val="17"/>
          <w:i w:val="1"/>
          <w:iCs w:val="1"/>
          <w:color w:val="000000"/>
        </w:rPr>
        <w:t>Basic and Diluted</w:t>
      </w:r>
    </w:p>
    <w:p>
      <w:pPr>
        <w:spacing w:after="0" w:line="207" w:lineRule="exact"/>
        <w:rPr>
          <w:sz w:val="20"/>
          <w:szCs w:val="20"/>
          <w:color w:val="auto"/>
        </w:rPr>
      </w:pPr>
    </w:p>
    <w:p>
      <w:pPr>
        <w:ind w:firstLine="589"/>
        <w:spacing w:after="0" w:line="267" w:lineRule="auto"/>
        <w:rPr>
          <w:sz w:val="20"/>
          <w:szCs w:val="20"/>
          <w:color w:val="auto"/>
        </w:rPr>
      </w:pPr>
      <w:r>
        <w:rPr>
          <w:rFonts w:ascii="Arial" w:cs="Arial" w:eastAsia="Arial" w:hAnsi="Arial"/>
          <w:sz w:val="16"/>
          <w:szCs w:val="16"/>
          <w:color w:val="231F20"/>
        </w:rPr>
        <w:t>Non-GAAP earnings (loss) per Class A common stock/unit—basic and diluted is a non-GAAP financial measure defined by us as earnings (loss) per Class A common stock/unit—basic and diluted, adjusted to eliminate the impact of stock-based compensation and certain other items that are not related to our core operations, such as restructuring charges, transaction expenses and the extinguishment of debt. Earnings (loss) per Class A common stock/unit—basic and diluted is the most comparable GAAP measurement. Non-GAAP earnings (loss) per Class A common stock/unit—basic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Class A common stock/unit—basic and diluted provides information to investors and the market generally in understanding and evaluating our results of operations in the same manner as our management and board of directors.</w:t>
      </w:r>
    </w:p>
    <w:p>
      <w:pPr>
        <w:spacing w:after="0" w:line="171" w:lineRule="exact"/>
        <w:rPr>
          <w:sz w:val="20"/>
          <w:szCs w:val="20"/>
          <w:color w:val="auto"/>
        </w:rPr>
      </w:pPr>
    </w:p>
    <w:p>
      <w:pPr>
        <w:ind w:right="80" w:firstLine="589"/>
        <w:spacing w:after="0" w:line="300" w:lineRule="auto"/>
        <w:rPr>
          <w:sz w:val="20"/>
          <w:szCs w:val="20"/>
          <w:color w:val="auto"/>
        </w:rPr>
      </w:pPr>
      <w:r>
        <w:rPr>
          <w:rFonts w:ascii="Arial" w:cs="Arial" w:eastAsia="Arial" w:hAnsi="Arial"/>
          <w:sz w:val="16"/>
          <w:szCs w:val="16"/>
          <w:color w:val="231F20"/>
        </w:rPr>
        <w:t>Our use of Non-GAAP earnings (loss) per Class A common stock/unit—basic and diluted has limitations as an analytical tool, and you should not consider it in isolation or as a substitute for analysis of our financial results as reported under GAAP. Some of these potential limitations include:</w:t>
      </w:r>
    </w:p>
    <w:p>
      <w:pPr>
        <w:spacing w:after="0" w:line="43" w:lineRule="exact"/>
        <w:rPr>
          <w:sz w:val="20"/>
          <w:szCs w:val="20"/>
          <w:color w:val="auto"/>
        </w:rPr>
      </w:pPr>
    </w:p>
    <w:p>
      <w:pPr>
        <w:ind w:left="1160" w:right="260" w:hanging="581"/>
        <w:spacing w:after="0" w:line="258" w:lineRule="auto"/>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other companies, including companies in our industry that have similar business arrangements, may report non-GAAP earnings (loss) per Class A common stock/unit—basic and diluted or similarly titled measures, but calculate them differently, which reduces their usefulness as comparative measures;</w:t>
      </w:r>
    </w:p>
    <w:p>
      <w:pPr>
        <w:spacing w:after="0" w:line="74" w:lineRule="exact"/>
        <w:rPr>
          <w:rFonts w:ascii="Arial" w:cs="Arial" w:eastAsia="Arial" w:hAnsi="Arial"/>
          <w:sz w:val="17"/>
          <w:szCs w:val="17"/>
          <w:color w:val="auto"/>
        </w:rPr>
      </w:pPr>
    </w:p>
    <w:p>
      <w:pPr>
        <w:ind w:left="1160" w:right="420" w:hanging="581"/>
        <w:spacing w:after="0" w:line="337" w:lineRule="auto"/>
        <w:tabs>
          <w:tab w:leader="none" w:pos="116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although the stock-based compensation related to the 2021 LTIP referred to above is non-cash in nature, non-GAAP earnings (loss) per Class A common stock/unit—basic and diluted does not reflect its impact on net income (loss) attributable to all common shareholders; and</w:t>
      </w:r>
    </w:p>
    <w:p>
      <w:pPr>
        <w:spacing w:after="0" w:line="18" w:lineRule="exact"/>
        <w:rPr>
          <w:rFonts w:ascii="Arial" w:cs="Arial" w:eastAsia="Arial" w:hAnsi="Arial"/>
          <w:sz w:val="15"/>
          <w:szCs w:val="15"/>
          <w:color w:val="auto"/>
        </w:rPr>
      </w:pPr>
    </w:p>
    <w:p>
      <w:pPr>
        <w:ind w:left="1160" w:right="240" w:hanging="581"/>
        <w:spacing w:after="0" w:line="258" w:lineRule="auto"/>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although the gain on debt extinguishment related to the forgiveness of our PPP Loan and related accrued interest is non-cash in nature, non-GAAP earnings (loss) per Class A common stock/unit—basic and diluted does not reflect its impact on net income (loss) attributable to all common shareholders.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4" w:name="page75"/>
    <w:bookmarkEnd w:id="74"/>
    <w:p>
      <w:pPr>
        <w:ind w:right="440" w:firstLine="589"/>
        <w:spacing w:after="0" w:line="269" w:lineRule="auto"/>
        <w:rPr>
          <w:sz w:val="20"/>
          <w:szCs w:val="20"/>
          <w:color w:val="auto"/>
        </w:rPr>
      </w:pPr>
      <w:r>
        <w:rPr>
          <w:rFonts w:ascii="Arial" w:cs="Arial" w:eastAsia="Arial" w:hAnsi="Arial"/>
          <w:sz w:val="17"/>
          <w:szCs w:val="17"/>
          <w:color w:val="231F20"/>
        </w:rPr>
        <w:t>Because of these and other limitations, you should consider our non-GAAP measures only as supplemental to other GAAP-based financial performance measures, including earnings (loss) per Class A common stock/unit—basic and diluted.</w:t>
      </w:r>
    </w:p>
    <w:p>
      <w:pPr>
        <w:spacing w:after="0" w:line="65" w:lineRule="exact"/>
        <w:rPr>
          <w:sz w:val="20"/>
          <w:szCs w:val="20"/>
          <w:color w:val="auto"/>
        </w:rPr>
      </w:pPr>
    </w:p>
    <w:p>
      <w:pPr>
        <w:ind w:firstLine="589"/>
        <w:spacing w:after="0" w:line="299" w:lineRule="auto"/>
        <w:rPr>
          <w:sz w:val="20"/>
          <w:szCs w:val="20"/>
          <w:color w:val="auto"/>
        </w:rPr>
      </w:pPr>
      <w:r>
        <w:rPr>
          <w:rFonts w:ascii="Arial" w:cs="Arial" w:eastAsia="Arial" w:hAnsi="Arial"/>
          <w:sz w:val="15"/>
          <w:szCs w:val="15"/>
          <w:color w:val="auto"/>
        </w:rPr>
        <w:t xml:space="preserve">Basic non-GAAP earnings (loss) per Class A common stock/unit—basic and diluted is calculated by dividing the non-GAAP net income (loss) attributable to Class A common stockholders by the number of weighted-average shares of Class A common stock outstanding. </w:t>
      </w:r>
      <w:r>
        <w:rPr>
          <w:rFonts w:ascii="Arial" w:cs="Arial" w:eastAsia="Arial" w:hAnsi="Arial"/>
          <w:sz w:val="15"/>
          <w:szCs w:val="15"/>
          <w:color w:val="231F20"/>
        </w:rPr>
        <w:t>Shares of our Class B common stock do not share in</w:t>
      </w:r>
      <w:r>
        <w:rPr>
          <w:rFonts w:ascii="Arial" w:cs="Arial" w:eastAsia="Arial" w:hAnsi="Arial"/>
          <w:sz w:val="15"/>
          <w:szCs w:val="15"/>
          <w:color w:val="auto"/>
        </w:rPr>
        <w:t xml:space="preserve"> </w:t>
      </w:r>
      <w:r>
        <w:rPr>
          <w:rFonts w:ascii="Arial" w:cs="Arial" w:eastAsia="Arial" w:hAnsi="Arial"/>
          <w:sz w:val="15"/>
          <w:szCs w:val="15"/>
          <w:color w:val="231F20"/>
        </w:rPr>
        <w:t>the earnings or losses of the Company and are therefore not participating securities. As such, separate presentation of basic and diluted non-GAAP earnings (loss) per Class A common stock/unit—basic and diluted of Class B common stock under the two-class method has not been presented.</w:t>
      </w:r>
    </w:p>
    <w:p>
      <w:pPr>
        <w:spacing w:after="0" w:line="46" w:lineRule="exact"/>
        <w:rPr>
          <w:sz w:val="20"/>
          <w:szCs w:val="20"/>
          <w:color w:val="auto"/>
        </w:rPr>
      </w:pPr>
    </w:p>
    <w:p>
      <w:pPr>
        <w:ind w:right="140" w:firstLine="589"/>
        <w:spacing w:after="0" w:line="268" w:lineRule="auto"/>
        <w:rPr>
          <w:sz w:val="20"/>
          <w:szCs w:val="20"/>
          <w:color w:val="auto"/>
        </w:rPr>
      </w:pPr>
      <w:r>
        <w:rPr>
          <w:rFonts w:ascii="Arial" w:cs="Arial" w:eastAsia="Arial" w:hAnsi="Arial"/>
          <w:sz w:val="16"/>
          <w:szCs w:val="16"/>
          <w:color w:val="auto"/>
        </w:rPr>
        <w:t>Diluted non-GAAP earnings (loss) per Class A common stock/unit—basic and diluted adjusts the basic non-GAAP earnings (loss) per Class A common stock/unit—basic and diluted calculation for the potential dilutive impact of common shares such as equity awards using the treasury-stock method and Class B common stock using the if-converted method. Diluted earnings (loss)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year ended December 31, 2021,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71"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231F20"/>
        </w:rPr>
        <w:t>The following table presents the reconciliation of earnings (loss) per Class A common stock/unit—basic and diluted to non-GAAP earnings (loss) per Class A common stock/unit—basic and diluted for the year ended December 31, 2021. Earnings (loss) per share was not adjusted for the year ended December 31, 2020 as there was no stock-based compensation or gain on debt extinguishment in that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51"/>
        </w:trPr>
        <w:tc>
          <w:tcPr>
            <w:tcW w:w="6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92"/>
              </w:rPr>
              <w:t>December 31, 2021</w:t>
            </w: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9"/>
              <w:spacing w:after="0" w:line="136" w:lineRule="exact"/>
              <w:rPr>
                <w:sz w:val="20"/>
                <w:szCs w:val="20"/>
                <w:color w:val="auto"/>
              </w:rPr>
            </w:pPr>
            <w:r>
              <w:rPr>
                <w:rFonts w:ascii="Arial" w:cs="Arial" w:eastAsia="Arial" w:hAnsi="Arial"/>
                <w:sz w:val="13"/>
                <w:szCs w:val="13"/>
                <w:b w:val="1"/>
                <w:bCs w:val="1"/>
                <w:color w:val="auto"/>
              </w:rPr>
              <w:t>Non-GAAP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(Loss) per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Earnings (Loss)</w:t>
            </w:r>
          </w:p>
        </w:tc>
        <w:tc>
          <w:tcPr>
            <w:tcW w:w="0" w:type="dxa"/>
            <w:vAlign w:val="bottom"/>
          </w:tcPr>
          <w:p>
            <w:pPr>
              <w:spacing w:after="0"/>
              <w:rPr>
                <w:sz w:val="1"/>
                <w:szCs w:val="1"/>
                <w:color w:val="auto"/>
              </w:rPr>
            </w:pPr>
          </w:p>
        </w:tc>
      </w:tr>
      <w:tr>
        <w:trPr>
          <w:trHeight w:val="159"/>
        </w:trPr>
        <w:tc>
          <w:tcPr>
            <w:tcW w:w="6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Share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per Share</w:t>
            </w:r>
          </w:p>
        </w:tc>
        <w:tc>
          <w:tcPr>
            <w:tcW w:w="0" w:type="dxa"/>
            <w:vAlign w:val="bottom"/>
          </w:tcPr>
          <w:p>
            <w:pPr>
              <w:spacing w:after="0"/>
              <w:rPr>
                <w:sz w:val="1"/>
                <w:szCs w:val="1"/>
                <w:color w:val="auto"/>
              </w:rPr>
            </w:pPr>
          </w:p>
        </w:tc>
      </w:tr>
      <w:tr>
        <w:trPr>
          <w:trHeight w:val="166"/>
        </w:trPr>
        <w:tc>
          <w:tcPr>
            <w:tcW w:w="6900" w:type="dxa"/>
            <w:vAlign w:val="bottom"/>
            <w:vMerge w:val="restart"/>
          </w:tcPr>
          <w:p>
            <w:pPr>
              <w:spacing w:after="0"/>
              <w:rPr>
                <w:sz w:val="20"/>
                <w:szCs w:val="20"/>
                <w:color w:val="auto"/>
              </w:rPr>
            </w:pPr>
            <w:r>
              <w:rPr>
                <w:rFonts w:ascii="Arial" w:cs="Arial" w:eastAsia="Arial" w:hAnsi="Arial"/>
                <w:sz w:val="17"/>
                <w:szCs w:val="17"/>
                <w:b w:val="1"/>
                <w:bCs w:val="1"/>
                <w:color w:val="auto"/>
              </w:rPr>
              <w:t>Numerator</w:t>
            </w:r>
          </w:p>
        </w:tc>
        <w:tc>
          <w:tcPr>
            <w:tcW w:w="220" w:type="dxa"/>
            <w:vAlign w:val="bottom"/>
            <w:tcBorders>
              <w:top w:val="single" w:sz="8" w:color="auto"/>
            </w:tcBorders>
          </w:tcPr>
          <w:p>
            <w:pPr>
              <w:spacing w:after="0"/>
              <w:rPr>
                <w:sz w:val="14"/>
                <w:szCs w:val="14"/>
                <w:color w:val="auto"/>
              </w:rPr>
            </w:pPr>
          </w:p>
        </w:tc>
        <w:tc>
          <w:tcPr>
            <w:tcW w:w="4020" w:type="dxa"/>
            <w:vAlign w:val="bottom"/>
            <w:tcBorders>
              <w:top w:val="single" w:sz="8" w:color="auto"/>
            </w:tcBorders>
            <w:gridSpan w:val="8"/>
          </w:tcPr>
          <w:p>
            <w:pPr>
              <w:jc w:val="center"/>
              <w:ind w:right="159"/>
              <w:spacing w:after="0"/>
              <w:rPr>
                <w:sz w:val="20"/>
                <w:szCs w:val="20"/>
                <w:color w:val="auto"/>
              </w:rPr>
            </w:pPr>
            <w:r>
              <w:rPr>
                <w:rFonts w:ascii="Arial" w:cs="Arial" w:eastAsia="Arial" w:hAnsi="Arial"/>
                <w:sz w:val="13"/>
                <w:szCs w:val="13"/>
                <w:b w:val="1"/>
                <w:bCs w:val="1"/>
                <w:color w:val="auto"/>
                <w:w w:val="91"/>
              </w:rPr>
              <w:t>(in thousands, except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(37,609)</w:t>
            </w:r>
          </w:p>
        </w:tc>
        <w:tc>
          <w:tcPr>
            <w:tcW w:w="26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(37,609)</w:t>
            </w:r>
          </w:p>
        </w:tc>
        <w:tc>
          <w:tcPr>
            <w:tcW w:w="0" w:type="dxa"/>
            <w:vAlign w:val="bottom"/>
          </w:tcPr>
          <w:p>
            <w:pPr>
              <w:spacing w:after="0"/>
              <w:rPr>
                <w:sz w:val="1"/>
                <w:szCs w:val="1"/>
                <w:color w:val="auto"/>
              </w:rPr>
            </w:pPr>
          </w:p>
        </w:tc>
      </w:tr>
      <w:tr>
        <w:trPr>
          <w:trHeight w:val="214"/>
        </w:trPr>
        <w:tc>
          <w:tcPr>
            <w:tcW w:w="6900" w:type="dxa"/>
            <w:vAlign w:val="bottom"/>
          </w:tcPr>
          <w:p>
            <w:pPr>
              <w:spacing w:after="0"/>
              <w:rPr>
                <w:sz w:val="20"/>
                <w:szCs w:val="20"/>
                <w:color w:val="auto"/>
              </w:rPr>
            </w:pPr>
            <w:r>
              <w:rPr>
                <w:rFonts w:ascii="Arial" w:cs="Arial" w:eastAsia="Arial" w:hAnsi="Arial"/>
                <w:sz w:val="17"/>
                <w:szCs w:val="17"/>
                <w:color w:val="auto"/>
              </w:rPr>
              <w:t>Adjustments: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Add back: Stock-based compensation</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68,822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tcPr>
          <w:p>
            <w:pPr>
              <w:ind w:left="120"/>
              <w:spacing w:after="0"/>
              <w:rPr>
                <w:sz w:val="20"/>
                <w:szCs w:val="20"/>
                <w:color w:val="auto"/>
              </w:rPr>
            </w:pPr>
            <w:r>
              <w:rPr>
                <w:rFonts w:ascii="Arial" w:cs="Arial" w:eastAsia="Arial" w:hAnsi="Arial"/>
                <w:sz w:val="17"/>
                <w:szCs w:val="17"/>
                <w:color w:val="auto"/>
              </w:rPr>
              <w:t>Less: Gain on extinguishment of debt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(6,110)</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(6,110)</w:t>
            </w:r>
          </w:p>
        </w:tc>
        <w:tc>
          <w:tcPr>
            <w:tcW w:w="0" w:type="dxa"/>
            <w:vAlign w:val="bottom"/>
          </w:tcPr>
          <w:p>
            <w:pPr>
              <w:spacing w:after="0"/>
              <w:rPr>
                <w:sz w:val="1"/>
                <w:szCs w:val="1"/>
                <w:color w:val="auto"/>
              </w:rPr>
            </w:pPr>
          </w:p>
        </w:tc>
      </w:tr>
      <w:tr>
        <w:trPr>
          <w:trHeight w:val="201"/>
        </w:trPr>
        <w:tc>
          <w:tcPr>
            <w:tcW w:w="69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Less: Income tax effect related to Viant Technology Inc.'s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300"/>
              <w:spacing w:after="0"/>
              <w:rPr>
                <w:sz w:val="20"/>
                <w:szCs w:val="20"/>
                <w:color w:val="auto"/>
              </w:rPr>
            </w:pPr>
            <w:r>
              <w:rPr>
                <w:rFonts w:ascii="Arial" w:cs="Arial" w:eastAsia="Arial" w:hAnsi="Arial"/>
                <w:sz w:val="17"/>
                <w:szCs w:val="17"/>
                <w:color w:val="auto"/>
              </w:rPr>
              <w:t xml:space="preserve">share of adjustments </w:t>
            </w:r>
            <w:r>
              <w:rPr>
                <w:rFonts w:ascii="Arial" w:cs="Arial" w:eastAsia="Arial" w:hAnsi="Arial"/>
                <w:sz w:val="14"/>
                <w:szCs w:val="14"/>
                <w:color w:val="auto"/>
              </w:rPr>
              <w:t>(1)</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(1,238)</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(1,238)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rPr>
              <w:t>Non-GAAP net income (loss)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(37,609)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61,474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Less: Net income (loss) attributable to noncontrolling interests </w:t>
            </w:r>
            <w:r>
              <w:rPr>
                <w:rFonts w:ascii="Arial" w:cs="Arial" w:eastAsia="Arial" w:hAnsi="Arial"/>
                <w:sz w:val="14"/>
                <w:szCs w:val="14"/>
                <w:color w:val="auto"/>
              </w:rPr>
              <w:t>(2)</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(29,867)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49,897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rPr>
              <w:t>Net income (loss) attributable to Viant Technology, Inc.—basic</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(7,742)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00" w:type="dxa"/>
            <w:vAlign w:val="bottom"/>
            <w:tcBorders>
              <w:top w:val="single" w:sz="8" w:color="CFF0FC"/>
            </w:tcBorders>
            <w:shd w:val="clear" w:color="auto" w:fill="CFF0FC"/>
          </w:tcPr>
          <w:p>
            <w:pPr>
              <w:ind w:left="120"/>
              <w:spacing w:after="0" w:line="194" w:lineRule="exact"/>
              <w:rPr>
                <w:sz w:val="20"/>
                <w:szCs w:val="20"/>
                <w:color w:val="auto"/>
              </w:rPr>
            </w:pPr>
            <w:r>
              <w:rPr>
                <w:rFonts w:ascii="Arial" w:cs="Arial" w:eastAsia="Arial" w:hAnsi="Arial"/>
                <w:sz w:val="17"/>
                <w:szCs w:val="17"/>
                <w:color w:val="auto"/>
              </w:rPr>
              <w:t>Add back: Reallocation of net loss attributable to noncontrolling</w:t>
            </w: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from the assumed exchange of RSUs for Class A</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common stock</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00" w:type="dxa"/>
            <w:vAlign w:val="bottom"/>
          </w:tcPr>
          <w:p>
            <w:pPr>
              <w:ind w:left="120"/>
              <w:spacing w:after="0"/>
              <w:rPr>
                <w:sz w:val="20"/>
                <w:szCs w:val="20"/>
                <w:color w:val="auto"/>
              </w:rPr>
            </w:pPr>
            <w:r>
              <w:rPr>
                <w:rFonts w:ascii="Arial" w:cs="Arial" w:eastAsia="Arial" w:hAnsi="Arial"/>
                <w:sz w:val="17"/>
                <w:szCs w:val="17"/>
                <w:color w:val="auto"/>
              </w:rPr>
              <w:t>Less: Income tax effect from the assumed exchange of RSUs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tcPr>
          <w:p>
            <w:pPr>
              <w:ind w:left="260"/>
              <w:spacing w:after="0"/>
              <w:rPr>
                <w:sz w:val="20"/>
                <w:szCs w:val="20"/>
                <w:color w:val="auto"/>
              </w:rPr>
            </w:pPr>
            <w:r>
              <w:rPr>
                <w:rFonts w:ascii="Arial" w:cs="Arial" w:eastAsia="Arial" w:hAnsi="Arial"/>
                <w:sz w:val="17"/>
                <w:szCs w:val="17"/>
                <w:color w:val="auto"/>
              </w:rPr>
              <w:t>for Class A common stock</w:t>
            </w: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 (loss) attributable to Viant Technology, Inc.—diluted</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(7,742)</w:t>
            </w:r>
          </w:p>
        </w:tc>
        <w:tc>
          <w:tcPr>
            <w:tcW w:w="26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shares of Class A common stock outstanding</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16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RSUs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tcPr>
          <w:p>
            <w:pPr>
              <w:spacing w:after="0"/>
              <w:rPr>
                <w:sz w:val="20"/>
                <w:szCs w:val="20"/>
                <w:color w:val="auto"/>
              </w:rPr>
            </w:pPr>
            <w:r>
              <w:rPr>
                <w:rFonts w:ascii="Arial" w:cs="Arial" w:eastAsia="Arial" w:hAnsi="Arial"/>
                <w:sz w:val="17"/>
                <w:szCs w:val="17"/>
                <w:color w:val="auto"/>
              </w:rPr>
              <w:t>Nonqualified stock options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Weighted-average shares of Class A common stock outstanding</w:t>
            </w: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12,364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Earnings (loss) per share of Class A common stock—basic</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(0.63)</w:t>
            </w:r>
          </w:p>
        </w:tc>
        <w:tc>
          <w:tcPr>
            <w:tcW w:w="26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Earnings (loss) per share of Class A common stock—diluted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900" w:type="dxa"/>
            <w:vAlign w:val="bottom"/>
            <w:vMerge w:val="continue"/>
          </w:tcPr>
          <w:p>
            <w:pPr>
              <w:spacing w:after="0"/>
              <w:rPr>
                <w:sz w:val="20"/>
                <w:szCs w:val="20"/>
                <w:color w:val="auto"/>
              </w:rPr>
            </w:pPr>
          </w:p>
        </w:tc>
        <w:tc>
          <w:tcPr>
            <w:tcW w:w="220" w:type="dxa"/>
            <w:vAlign w:val="bottom"/>
          </w:tcPr>
          <w:p>
            <w:pPr>
              <w:jc w:val="right"/>
              <w:ind w:right="36"/>
              <w:spacing w:after="0" w:line="192"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(0.63)</w:t>
            </w:r>
          </w:p>
        </w:tc>
        <w:tc>
          <w:tcPr>
            <w:tcW w:w="260" w:type="dxa"/>
            <w:vAlign w:val="bottom"/>
            <w:gridSpan w:val="2"/>
          </w:tcPr>
          <w:p>
            <w:pPr>
              <w:jc w:val="right"/>
              <w:ind w:right="13"/>
              <w:spacing w:after="0" w:line="192"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0.93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2" w:lineRule="exact"/>
              <w:rPr>
                <w:sz w:val="20"/>
                <w:szCs w:val="20"/>
                <w:color w:val="auto"/>
              </w:rPr>
            </w:pPr>
            <w:r>
              <w:rPr>
                <w:rFonts w:ascii="Arial" w:cs="Arial" w:eastAsia="Arial" w:hAnsi="Arial"/>
                <w:sz w:val="17"/>
                <w:szCs w:val="17"/>
                <w:color w:val="auto"/>
              </w:rPr>
              <w:t>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9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00" w:type="dxa"/>
            <w:vAlign w:val="bottom"/>
          </w:tcPr>
          <w:p>
            <w:pPr>
              <w:spacing w:after="0"/>
              <w:rPr>
                <w:sz w:val="20"/>
                <w:szCs w:val="20"/>
                <w:color w:val="auto"/>
              </w:rPr>
            </w:pPr>
            <w:r>
              <w:rPr>
                <w:rFonts w:ascii="Arial" w:cs="Arial" w:eastAsia="Arial" w:hAnsi="Arial"/>
                <w:sz w:val="17"/>
                <w:szCs w:val="17"/>
                <w:color w:val="auto"/>
              </w:rPr>
              <w:t>Anti-dilutive shares excluded from earnings (loss) per share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tcPr>
          <w:p>
            <w:pPr>
              <w:ind w:left="120"/>
              <w:spacing w:after="0"/>
              <w:rPr>
                <w:sz w:val="20"/>
                <w:szCs w:val="20"/>
                <w:color w:val="auto"/>
              </w:rPr>
            </w:pPr>
            <w:r>
              <w:rPr>
                <w:rFonts w:ascii="Arial" w:cs="Arial" w:eastAsia="Arial" w:hAnsi="Arial"/>
                <w:sz w:val="17"/>
                <w:szCs w:val="17"/>
                <w:color w:val="auto"/>
              </w:rPr>
              <w:t>Class A common stock—diluted: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Shares of Class B common stock</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00" w:type="dxa"/>
            <w:vAlign w:val="bottom"/>
          </w:tcPr>
          <w:p>
            <w:pPr>
              <w:spacing w:after="0" w:line="194" w:lineRule="exact"/>
              <w:rPr>
                <w:sz w:val="20"/>
                <w:szCs w:val="20"/>
                <w:color w:val="auto"/>
              </w:rPr>
            </w:pPr>
            <w:r>
              <w:rPr>
                <w:rFonts w:ascii="Arial" w:cs="Arial" w:eastAsia="Arial" w:hAnsi="Arial"/>
                <w:sz w:val="17"/>
                <w:szCs w:val="17"/>
                <w:color w:val="auto"/>
              </w:rPr>
              <w:t>Total shares excluded from earnings (loss) per share of Class 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tcPr>
          <w:p>
            <w:pPr>
              <w:ind w:left="120"/>
              <w:spacing w:after="0"/>
              <w:rPr>
                <w:sz w:val="20"/>
                <w:szCs w:val="20"/>
                <w:color w:val="auto"/>
              </w:rPr>
            </w:pPr>
            <w:r>
              <w:rPr>
                <w:rFonts w:ascii="Arial" w:cs="Arial" w:eastAsia="Arial" w:hAnsi="Arial"/>
                <w:sz w:val="17"/>
                <w:szCs w:val="17"/>
                <w:color w:val="auto"/>
              </w:rPr>
              <w:t>common stock—diluted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160" w:right="580" w:hanging="581"/>
        <w:spacing w:after="0" w:line="269" w:lineRule="auto"/>
        <w:tabs>
          <w:tab w:leader="none" w:pos="1160" w:val="left"/>
        </w:tabs>
        <w:numPr>
          <w:ilvl w:val="0"/>
          <w:numId w:val="38"/>
        </w:numPr>
        <w:rPr>
          <w:rFonts w:ascii="Arial" w:cs="Arial" w:eastAsia="Arial" w:hAnsi="Arial"/>
          <w:sz w:val="14"/>
          <w:szCs w:val="14"/>
          <w:color w:val="231F20"/>
        </w:rPr>
      </w:pPr>
      <w:r>
        <w:rPr>
          <w:rFonts w:ascii="Arial" w:cs="Arial" w:eastAsia="Arial" w:hAnsi="Arial"/>
          <w:sz w:val="17"/>
          <w:szCs w:val="17"/>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65" w:lineRule="exact"/>
        <w:rPr>
          <w:rFonts w:ascii="Arial" w:cs="Arial" w:eastAsia="Arial" w:hAnsi="Arial"/>
          <w:sz w:val="14"/>
          <w:szCs w:val="14"/>
          <w:color w:val="231F20"/>
        </w:rPr>
      </w:pPr>
    </w:p>
    <w:p>
      <w:pPr>
        <w:ind w:left="1160" w:right="120" w:hanging="581"/>
        <w:spacing w:after="0" w:line="269" w:lineRule="auto"/>
        <w:tabs>
          <w:tab w:leader="none" w:pos="1160" w:val="left"/>
        </w:tabs>
        <w:numPr>
          <w:ilvl w:val="0"/>
          <w:numId w:val="38"/>
        </w:numPr>
        <w:rPr>
          <w:rFonts w:ascii="Arial" w:cs="Arial" w:eastAsia="Arial" w:hAnsi="Arial"/>
          <w:sz w:val="14"/>
          <w:szCs w:val="14"/>
          <w:color w:val="231F20"/>
        </w:rPr>
      </w:pPr>
      <w:r>
        <w:rPr>
          <w:rFonts w:ascii="Arial" w:cs="Arial" w:eastAsia="Arial" w:hAnsi="Arial"/>
          <w:sz w:val="17"/>
          <w:szCs w:val="17"/>
          <w:color w:val="231F20"/>
        </w:rPr>
        <w:t xml:space="preserve">The adjustment to net income (loss) attributable to noncontrolling interests represents </w:t>
      </w:r>
      <w:r>
        <w:rPr>
          <w:rFonts w:ascii="Arial" w:cs="Arial" w:eastAsia="Arial" w:hAnsi="Arial"/>
          <w:sz w:val="17"/>
          <w:szCs w:val="17"/>
          <w:color w:val="000000"/>
        </w:rPr>
        <w:t>stock-based compensation and gain on extinguishment of debt</w:t>
      </w:r>
      <w:r>
        <w:rPr>
          <w:rFonts w:ascii="Arial" w:cs="Arial" w:eastAsia="Arial" w:hAnsi="Arial"/>
          <w:sz w:val="17"/>
          <w:szCs w:val="17"/>
          <w:color w:val="231F20"/>
        </w:rPr>
        <w:t xml:space="preserve"> </w:t>
      </w:r>
      <w:r>
        <w:rPr>
          <w:rFonts w:ascii="Arial" w:cs="Arial" w:eastAsia="Arial" w:hAnsi="Arial"/>
          <w:sz w:val="17"/>
          <w:szCs w:val="17"/>
          <w:color w:val="000000"/>
        </w:rPr>
        <w:t>attributed to the noncontrolling interests of our company outstanding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Liquidity and Capital Resources</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231F20"/>
        </w:rPr>
        <w:t>As of December 31, 2021, we had cash of $238.5 million and working capital, consisting of current assets less current liabilities, of $269.1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95" w:right="339" w:bottom="1440" w:gutter="0" w:footer="0" w:header="0"/>
        </w:sectPr>
      </w:pPr>
    </w:p>
    <w:bookmarkStart w:id="76" w:name="page77"/>
    <w:bookmarkEnd w:id="76"/>
    <w:p>
      <w:pPr>
        <w:jc w:val="both"/>
        <w:ind w:right="40" w:firstLine="589"/>
        <w:spacing w:after="0" w:line="258" w:lineRule="auto"/>
        <w:rPr>
          <w:sz w:val="20"/>
          <w:szCs w:val="20"/>
          <w:color w:val="auto"/>
        </w:rPr>
      </w:pPr>
      <w:r>
        <w:rPr>
          <w:rFonts w:ascii="Arial" w:cs="Arial" w:eastAsia="Arial" w:hAnsi="Arial"/>
          <w:sz w:val="17"/>
          <w:szCs w:val="17"/>
          <w:color w:val="231F20"/>
        </w:rPr>
        <w:t xml:space="preserve">Our primary sources of cash are revenues derived from the programmatic purchase of advertising on our platform and our existing cash balances, although we have, and may in the future, addressed our liquidity needs by utilizing our borrowing capacity under our revolving credit facility or </w:t>
      </w:r>
      <w:r>
        <w:rPr>
          <w:rFonts w:ascii="Arial" w:cs="Arial" w:eastAsia="Arial" w:hAnsi="Arial"/>
          <w:sz w:val="17"/>
          <w:szCs w:val="17"/>
          <w:color w:val="000000"/>
        </w:rPr>
        <w:t>raising additional funds by issuing</w:t>
      </w:r>
      <w:r>
        <w:rPr>
          <w:rFonts w:ascii="Arial" w:cs="Arial" w:eastAsia="Arial" w:hAnsi="Arial"/>
          <w:sz w:val="17"/>
          <w:szCs w:val="17"/>
          <w:color w:val="231F20"/>
        </w:rPr>
        <w:t xml:space="preserve"> </w:t>
      </w:r>
      <w:r>
        <w:rPr>
          <w:rFonts w:ascii="Arial" w:cs="Arial" w:eastAsia="Arial" w:hAnsi="Arial"/>
          <w:sz w:val="17"/>
          <w:szCs w:val="17"/>
          <w:color w:val="000000"/>
        </w:rPr>
        <w:t>equity</w:t>
      </w:r>
      <w:r>
        <w:rPr>
          <w:rFonts w:ascii="Arial" w:cs="Arial" w:eastAsia="Arial" w:hAnsi="Arial"/>
          <w:sz w:val="17"/>
          <w:szCs w:val="17"/>
          <w:color w:val="231F20"/>
        </w:rPr>
        <w:t>.</w:t>
      </w:r>
    </w:p>
    <w:p>
      <w:pPr>
        <w:spacing w:after="0" w:line="175" w:lineRule="exact"/>
        <w:rPr>
          <w:sz w:val="20"/>
          <w:szCs w:val="20"/>
          <w:color w:val="auto"/>
        </w:rPr>
      </w:pPr>
    </w:p>
    <w:p>
      <w:pPr>
        <w:ind w:right="460" w:firstLine="589"/>
        <w:spacing w:after="0" w:line="281" w:lineRule="auto"/>
        <w:rPr>
          <w:sz w:val="20"/>
          <w:szCs w:val="20"/>
          <w:color w:val="auto"/>
        </w:rPr>
      </w:pPr>
      <w:r>
        <w:rPr>
          <w:rFonts w:ascii="Arial" w:cs="Arial" w:eastAsia="Arial" w:hAnsi="Arial"/>
          <w:sz w:val="16"/>
          <w:szCs w:val="16"/>
          <w:color w:val="231F20"/>
        </w:rPr>
        <w:t>Our primary uses of cash are capital expenditures to develop our software in support of enhancing our technology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w:t>
      </w:r>
    </w:p>
    <w:p>
      <w:pPr>
        <w:spacing w:after="0" w:line="159" w:lineRule="exact"/>
        <w:rPr>
          <w:sz w:val="20"/>
          <w:szCs w:val="20"/>
          <w:color w:val="auto"/>
        </w:rPr>
      </w:pPr>
    </w:p>
    <w:p>
      <w:pPr>
        <w:ind w:right="20" w:firstLine="589"/>
        <w:spacing w:after="0" w:line="268" w:lineRule="auto"/>
        <w:rPr>
          <w:sz w:val="20"/>
          <w:szCs w:val="20"/>
          <w:color w:val="auto"/>
        </w:rPr>
      </w:pPr>
      <w:r>
        <w:rPr>
          <w:rFonts w:ascii="Arial" w:cs="Arial" w:eastAsia="Arial" w:hAnsi="Arial"/>
          <w:sz w:val="16"/>
          <w:szCs w:val="16"/>
          <w:color w:val="231F20"/>
        </w:rPr>
        <w:t xml:space="preserve">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cash flow from revenues derived from the programmatic purchase of advertising on our platform, and the undrawn availability under our credit facility will be sufficient to meet our cash requirements over the next 12 months. </w:t>
      </w:r>
      <w:r>
        <w:rPr>
          <w:rFonts w:ascii="Arial" w:cs="Arial" w:eastAsia="Arial" w:hAnsi="Arial"/>
          <w:sz w:val="16"/>
          <w:szCs w:val="16"/>
          <w:color w:val="000000"/>
        </w:rPr>
        <w:t>We believe we will meet longer-term expected future cash requirements and obligations through a combination of</w:t>
      </w:r>
      <w:r>
        <w:rPr>
          <w:rFonts w:ascii="Arial" w:cs="Arial" w:eastAsia="Arial" w:hAnsi="Arial"/>
          <w:sz w:val="16"/>
          <w:szCs w:val="16"/>
          <w:color w:val="231F20"/>
        </w:rPr>
        <w:t xml:space="preserve"> existing cash, cash flow from operations, the undrawn availability under our credit facility and </w:t>
      </w:r>
      <w:r>
        <w:rPr>
          <w:rFonts w:ascii="Arial" w:cs="Arial" w:eastAsia="Arial" w:hAnsi="Arial"/>
          <w:sz w:val="16"/>
          <w:szCs w:val="16"/>
          <w:color w:val="000000"/>
        </w:rPr>
        <w:t>issuances of equity securities or debt offerings. Our ability to fund longer-term</w:t>
      </w:r>
      <w:r>
        <w:rPr>
          <w:rFonts w:ascii="Arial" w:cs="Arial" w:eastAsia="Arial" w:hAnsi="Arial"/>
          <w:sz w:val="16"/>
          <w:szCs w:val="16"/>
          <w:color w:val="231F20"/>
        </w:rPr>
        <w:t xml:space="preserve"> </w:t>
      </w:r>
      <w:r>
        <w:rPr>
          <w:rFonts w:ascii="Arial" w:cs="Arial" w:eastAsia="Arial" w:hAnsi="Arial"/>
          <w:sz w:val="16"/>
          <w:szCs w:val="16"/>
          <w:color w:val="000000"/>
        </w:rPr>
        <w:t>operating needs will depend on our ability to generate positive cash flows through programmatic advertising purchases on our platform, our ability to access the capital markets, and other factors, including those discussed under the section titled “Risk Factors.”</w:t>
      </w:r>
    </w:p>
    <w:p>
      <w:pPr>
        <w:spacing w:after="0" w:line="172" w:lineRule="exact"/>
        <w:rPr>
          <w:sz w:val="20"/>
          <w:szCs w:val="20"/>
          <w:color w:val="auto"/>
        </w:rPr>
      </w:pPr>
    </w:p>
    <w:p>
      <w:pPr>
        <w:ind w:right="240" w:firstLine="589"/>
        <w:spacing w:after="0" w:line="275" w:lineRule="auto"/>
        <w:rPr>
          <w:sz w:val="20"/>
          <w:szCs w:val="20"/>
          <w:color w:val="auto"/>
        </w:rPr>
      </w:pPr>
      <w:r>
        <w:rPr>
          <w:rFonts w:ascii="Arial" w:cs="Arial" w:eastAsia="Arial" w:hAnsi="Arial"/>
          <w:sz w:val="16"/>
          <w:szCs w:val="16"/>
          <w:color w:val="auto"/>
        </w:rPr>
        <w:t xml:space="preserve">As of December 31, 2021, our material cash requirements from known contractual obligations consisted of </w:t>
      </w:r>
      <w:r>
        <w:rPr>
          <w:rFonts w:ascii="Arial" w:cs="Arial" w:eastAsia="Arial" w:hAnsi="Arial"/>
          <w:sz w:val="16"/>
          <w:szCs w:val="16"/>
          <w:color w:val="231F20"/>
        </w:rPr>
        <w:t>future minimum payments under our non-cancelable operating leases</w:t>
      </w:r>
      <w:r>
        <w:rPr>
          <w:rFonts w:ascii="Arial" w:cs="Arial" w:eastAsia="Arial" w:hAnsi="Arial"/>
          <w:sz w:val="16"/>
          <w:szCs w:val="16"/>
          <w:color w:val="000000"/>
        </w:rPr>
        <w:t>, which we estimate will be approximately $3.0 million in 2022, $4.0 million in 2023, $3.1 million in 2024 and $3.0 million in 2025.</w:t>
      </w:r>
      <w:r>
        <w:rPr>
          <w:rFonts w:ascii="Arial" w:cs="Arial" w:eastAsia="Arial" w:hAnsi="Arial"/>
          <w:sz w:val="16"/>
          <w:szCs w:val="16"/>
          <w:color w:val="231F20"/>
        </w:rPr>
        <w:t xml:space="preserve"> We did not have any other off-balance sheet arrangements as of December 31, 2021 other than the minimum payments under these operating leases and the indemnification agreements described in Note 14 to our consolidated financial statements included elsewhere in this Annual Report.</w:t>
      </w:r>
    </w:p>
    <w:p>
      <w:pPr>
        <w:spacing w:after="0" w:line="163" w:lineRule="exact"/>
        <w:rPr>
          <w:sz w:val="20"/>
          <w:szCs w:val="20"/>
          <w:color w:val="auto"/>
        </w:rPr>
      </w:pPr>
    </w:p>
    <w:p>
      <w:pPr>
        <w:ind w:right="100" w:firstLine="589"/>
        <w:spacing w:after="0" w:line="281" w:lineRule="auto"/>
        <w:rPr>
          <w:sz w:val="20"/>
          <w:szCs w:val="20"/>
          <w:color w:val="auto"/>
        </w:rPr>
      </w:pPr>
      <w:r>
        <w:rPr>
          <w:rFonts w:ascii="Arial" w:cs="Arial" w:eastAsia="Arial" w:hAnsi="Arial"/>
          <w:sz w:val="16"/>
          <w:szCs w:val="16"/>
          <w:color w:val="231F20"/>
        </w:rPr>
        <w:t>We are a holding company with no operations of our own and are dependent on distributions from Viant Technology LLC, including payments under the Tax Receivable Agreement, to pay our taxes and satisfy any current or future cash requirements. The Loan Agreement, as defined below, imposes, and any future credit facilities may impose, limitations on the ability of Viant Technology LLC or Viant Technology Inc. to pay dividends to third parties.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Revolving Credit Facility</w:t>
      </w:r>
    </w:p>
    <w:p>
      <w:pPr>
        <w:spacing w:after="0" w:line="207" w:lineRule="exact"/>
        <w:rPr>
          <w:sz w:val="20"/>
          <w:szCs w:val="20"/>
          <w:color w:val="auto"/>
        </w:rPr>
      </w:pPr>
    </w:p>
    <w:p>
      <w:pPr>
        <w:ind w:right="140" w:firstLine="589"/>
        <w:spacing w:after="0" w:line="300" w:lineRule="auto"/>
        <w:rPr>
          <w:sz w:val="20"/>
          <w:szCs w:val="20"/>
          <w:color w:val="auto"/>
        </w:rPr>
      </w:pPr>
      <w:r>
        <w:rPr>
          <w:rFonts w:ascii="Arial" w:cs="Arial" w:eastAsia="Arial" w:hAnsi="Arial"/>
          <w:sz w:val="16"/>
          <w:szCs w:val="16"/>
          <w:color w:val="231F20"/>
        </w:rPr>
        <w:t>On October 31, 2019, we entered into the Loan Agreement with PNC Bank. The Loan Agreement provides a senior secured revolving credit facility of up to $40.0 million with a maturity date of October 31, 2024. The Loan Agreement is collateralized by security interests in substantially all of our assets.</w:t>
      </w:r>
    </w:p>
    <w:p>
      <w:pPr>
        <w:spacing w:after="0" w:line="144" w:lineRule="exact"/>
        <w:rPr>
          <w:sz w:val="20"/>
          <w:szCs w:val="20"/>
          <w:color w:val="auto"/>
        </w:rPr>
      </w:pPr>
    </w:p>
    <w:p>
      <w:pPr>
        <w:ind w:firstLine="589"/>
        <w:spacing w:after="0" w:line="284" w:lineRule="auto"/>
        <w:rPr>
          <w:sz w:val="20"/>
          <w:szCs w:val="20"/>
          <w:color w:val="auto"/>
        </w:rPr>
      </w:pPr>
      <w:r>
        <w:rPr>
          <w:rFonts w:ascii="Arial" w:cs="Arial" w:eastAsia="Arial" w:hAnsi="Arial"/>
          <w:sz w:val="15"/>
          <w:szCs w:val="15"/>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as of December 31, 2021 was 3.24%. The applicable margin as of December 31, 2021 was equal to 0.75% for Domestic Rate Loans and 1.75%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231F20"/>
        </w:rPr>
        <w:t>for LIBOR Rate Loans. The applicable margin that commenced on October 15, 2021 is between 0.75% to 1.25% for Domestic Rate Loans and between 1.75% and</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7"/>
          <w:szCs w:val="17"/>
          <w:color w:val="231F20"/>
        </w:rPr>
        <w:t>2.25% for LIBOR Rate Loans based on maintaining certain undrawn availability ratios. The facility fee for undrawn amounts under the Loan Agreement is 0.375% per annum. We will also be required to pay customary letter of credit fees, as necessary.</w:t>
      </w:r>
    </w:p>
    <w:p>
      <w:pPr>
        <w:spacing w:after="0" w:line="178" w:lineRule="exact"/>
        <w:rPr>
          <w:sz w:val="20"/>
          <w:szCs w:val="20"/>
          <w:color w:val="auto"/>
        </w:rPr>
      </w:pPr>
    </w:p>
    <w:p>
      <w:pPr>
        <w:ind w:right="20" w:firstLine="589"/>
        <w:spacing w:after="0" w:line="252" w:lineRule="auto"/>
        <w:rPr>
          <w:sz w:val="20"/>
          <w:szCs w:val="20"/>
          <w:color w:val="auto"/>
        </w:rPr>
      </w:pPr>
      <w:r>
        <w:rPr>
          <w:rFonts w:ascii="Arial" w:cs="Arial" w:eastAsia="Arial" w:hAnsi="Arial"/>
          <w:sz w:val="17"/>
          <w:szCs w:val="17"/>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231F20"/>
        </w:rPr>
        <w:t>any time undrawn availability under the Loan Agreement is less than 25%. As of December 31, 2021, we are in compliance with all covenants.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231F20"/>
        </w:rPr>
        <w:t>Cash Flows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Fiscal 2021 Changes in Cash Flows</w:t>
      </w:r>
    </w:p>
    <w:p>
      <w:pPr>
        <w:spacing w:after="0" w:line="18" w:lineRule="exact"/>
        <w:rPr>
          <w:sz w:val="20"/>
          <w:szCs w:val="20"/>
          <w:color w:val="auto"/>
        </w:rPr>
      </w:pPr>
    </w:p>
    <w:p>
      <w:pPr>
        <w:ind w:right="580" w:firstLine="589"/>
        <w:spacing w:after="0" w:line="254" w:lineRule="auto"/>
        <w:rPr>
          <w:sz w:val="20"/>
          <w:szCs w:val="20"/>
          <w:color w:val="auto"/>
        </w:rPr>
      </w:pPr>
      <w:r>
        <w:rPr>
          <w:rFonts w:ascii="Arial" w:cs="Arial" w:eastAsia="Arial" w:hAnsi="Arial"/>
          <w:sz w:val="17"/>
          <w:szCs w:val="17"/>
          <w:color w:val="auto"/>
        </w:rPr>
        <w:t>Cash flows from operating, investing and financing activities for the fiscal years ended December 31, 2021 and 2020, as reflected in the Consolidated Statements of Cash Flows included in Item 8 of this Annual Report, are summarized in the following table</w:t>
      </w:r>
      <w:r>
        <w:rPr>
          <w:rFonts w:ascii="Arial" w:cs="Arial" w:eastAsia="Arial" w:hAnsi="Arial"/>
          <w:sz w:val="17"/>
          <w:szCs w:val="17"/>
          <w:color w:val="231F20"/>
        </w:rPr>
        <w:t>:</w:t>
      </w:r>
    </w:p>
    <w:p>
      <w:pPr>
        <w:spacing w:after="0" w:line="44"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3"/>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4"/>
          </w:tcPr>
          <w:p>
            <w:pPr>
              <w:jc w:val="right"/>
              <w:ind w:right="40"/>
              <w:spacing w:after="0" w:line="14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Consolidated statements of cash flows data</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7"/>
                <w:szCs w:val="17"/>
                <w:color w:val="auto"/>
              </w:rPr>
              <w:t>Cash flows provided by operating activities</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28,665</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Cash flows used in investing activities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(7,372)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(7,841)</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7"/>
                <w:szCs w:val="17"/>
                <w:color w:val="auto"/>
              </w:rPr>
              <w:t>Cash flows provided by (used in) financing activities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207,558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(6,220)</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Increase in cash</w:t>
            </w: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60" w:type="dxa"/>
            <w:vAlign w:val="bottom"/>
            <w:vMerge w:val="continue"/>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228,851</w:t>
            </w:r>
          </w:p>
        </w:tc>
        <w:tc>
          <w:tcPr>
            <w:tcW w:w="1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Cash Flows Provided by Operating Activities</w:t>
      </w:r>
    </w:p>
    <w:p>
      <w:pPr>
        <w:spacing w:after="0" w:line="207" w:lineRule="exact"/>
        <w:rPr>
          <w:sz w:val="20"/>
          <w:szCs w:val="20"/>
          <w:color w:val="auto"/>
        </w:rPr>
      </w:pPr>
    </w:p>
    <w:p>
      <w:pPr>
        <w:ind w:right="200" w:firstLine="589"/>
        <w:spacing w:after="0" w:line="294" w:lineRule="auto"/>
        <w:rPr>
          <w:sz w:val="20"/>
          <w:szCs w:val="20"/>
          <w:color w:val="auto"/>
        </w:rPr>
      </w:pPr>
      <w:r>
        <w:rPr>
          <w:rFonts w:ascii="Arial" w:cs="Arial" w:eastAsia="Arial" w:hAnsi="Arial"/>
          <w:sz w:val="15"/>
          <w:szCs w:val="15"/>
          <w:color w:val="231F20"/>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51" w:lineRule="exact"/>
        <w:rPr>
          <w:sz w:val="20"/>
          <w:szCs w:val="20"/>
          <w:color w:val="auto"/>
        </w:rPr>
      </w:pPr>
    </w:p>
    <w:p>
      <w:pPr>
        <w:ind w:right="420" w:firstLine="589"/>
        <w:spacing w:after="0" w:line="269" w:lineRule="auto"/>
        <w:rPr>
          <w:sz w:val="20"/>
          <w:szCs w:val="20"/>
          <w:color w:val="auto"/>
        </w:rPr>
      </w:pPr>
      <w:r>
        <w:rPr>
          <w:rFonts w:ascii="Arial" w:cs="Arial" w:eastAsia="Arial" w:hAnsi="Arial"/>
          <w:sz w:val="17"/>
          <w:szCs w:val="17"/>
          <w:color w:val="231F20"/>
        </w:rPr>
        <w:t>Our cash flows provided by operating activities for fiscal 2021 was $28.7 million, a net increase of $9.8 million, or 51.9</w:t>
      </w:r>
      <w:r>
        <w:rPr>
          <w:rFonts w:ascii="Arial" w:cs="Arial" w:eastAsia="Arial" w:hAnsi="Arial"/>
          <w:sz w:val="17"/>
          <w:szCs w:val="17"/>
          <w:color w:val="000000"/>
        </w:rPr>
        <w:t>%, from</w:t>
      </w:r>
      <w:r>
        <w:rPr>
          <w:rFonts w:ascii="Arial" w:cs="Arial" w:eastAsia="Arial" w:hAnsi="Arial"/>
          <w:sz w:val="17"/>
          <w:szCs w:val="17"/>
          <w:color w:val="231F20"/>
        </w:rPr>
        <w:t xml:space="preserve"> cash flows provided by operating activities for fiscal 2020 of $18.9 million. The change in cash flows for fiscal 2021 were primarily due to:</w:t>
      </w:r>
    </w:p>
    <w:p>
      <w:pPr>
        <w:spacing w:after="0" w:line="166" w:lineRule="exact"/>
        <w:rPr>
          <w:sz w:val="20"/>
          <w:szCs w:val="20"/>
          <w:color w:val="auto"/>
        </w:rPr>
      </w:pPr>
    </w:p>
    <w:p>
      <w:pPr>
        <w:ind w:left="1720" w:hanging="424"/>
        <w:spacing w:after="0"/>
        <w:tabs>
          <w:tab w:leader="none" w:pos="17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 decrease of $37.6 million from net loss;</w:t>
      </w:r>
    </w:p>
    <w:p>
      <w:pPr>
        <w:spacing w:after="0" w:line="17" w:lineRule="exact"/>
        <w:rPr>
          <w:rFonts w:ascii="Arial" w:cs="Arial" w:eastAsia="Arial" w:hAnsi="Arial"/>
          <w:sz w:val="17"/>
          <w:szCs w:val="17"/>
          <w:color w:val="231F20"/>
        </w:rPr>
      </w:pPr>
    </w:p>
    <w:p>
      <w:pPr>
        <w:ind w:left="1720" w:hanging="424"/>
        <w:spacing w:after="0" w:line="247" w:lineRule="auto"/>
        <w:tabs>
          <w:tab w:leader="none" w:pos="17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an increase of $73.9 million due to noncash add back adjustments to net loss comprised of $68.8 million for stock-based compensation, $11.1 million for depreciation and amortization, loss on disposal of assets of $0.2 million, offset by $0.1 million recovery of doubtful accounts and gain on debt extinguishment of $6.1 million;</w:t>
      </w:r>
    </w:p>
    <w:p>
      <w:pPr>
        <w:ind w:left="1720" w:right="100" w:hanging="424"/>
        <w:spacing w:after="0" w:line="247" w:lineRule="auto"/>
        <w:tabs>
          <w:tab w:leader="none" w:pos="17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 decrease of $6.2 million from changes in working capital (excluding deferred revenue and other liabilities) primarily related to an increase of $15.5 million in accounts payable, accrued liabilities and accrued compensation, net against a decrease of $21.6 million in accounts receivable and prepaid assets and other assets.</w:t>
      </w:r>
    </w:p>
    <w:p>
      <w:pPr>
        <w:ind w:left="1720" w:hanging="424"/>
        <w:spacing w:after="0"/>
        <w:tabs>
          <w:tab w:leader="none" w:pos="17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 decrease in deferred revenue of $1.8 million; and</w:t>
      </w:r>
    </w:p>
    <w:p>
      <w:pPr>
        <w:spacing w:after="0" w:line="5" w:lineRule="exact"/>
        <w:rPr>
          <w:rFonts w:ascii="Arial" w:cs="Arial" w:eastAsia="Arial" w:hAnsi="Arial"/>
          <w:sz w:val="17"/>
          <w:szCs w:val="17"/>
          <w:color w:val="231F20"/>
        </w:rPr>
      </w:pPr>
    </w:p>
    <w:p>
      <w:pPr>
        <w:ind w:left="1720" w:hanging="424"/>
        <w:spacing w:after="0"/>
        <w:tabs>
          <w:tab w:leader="none" w:pos="172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an increase in other liabilities of $0.3 million.</w:t>
      </w:r>
    </w:p>
    <w:p>
      <w:pPr>
        <w:spacing w:after="0" w:line="39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Cash Flows Used in Investing Activities</w:t>
      </w:r>
    </w:p>
    <w:p>
      <w:pPr>
        <w:spacing w:after="0" w:line="207" w:lineRule="exact"/>
        <w:rPr>
          <w:sz w:val="20"/>
          <w:szCs w:val="20"/>
          <w:color w:val="auto"/>
        </w:rPr>
      </w:pPr>
    </w:p>
    <w:p>
      <w:pPr>
        <w:ind w:right="60" w:firstLine="589"/>
        <w:spacing w:after="0" w:line="270"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capitalization of stock-based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231F20"/>
        </w:rPr>
        <w:t>compensation in future periods and the growth of our business, we expect our capital expenditures and our investment activity to continue to increase.</w:t>
      </w:r>
    </w:p>
    <w:p>
      <w:pPr>
        <w:spacing w:after="0" w:line="219" w:lineRule="exact"/>
        <w:rPr>
          <w:sz w:val="20"/>
          <w:szCs w:val="20"/>
          <w:color w:val="auto"/>
        </w:rPr>
      </w:pPr>
    </w:p>
    <w:p>
      <w:pPr>
        <w:ind w:right="500" w:firstLine="589"/>
        <w:spacing w:after="0" w:line="269" w:lineRule="auto"/>
        <w:rPr>
          <w:sz w:val="20"/>
          <w:szCs w:val="20"/>
          <w:color w:val="auto"/>
        </w:rPr>
      </w:pPr>
      <w:r>
        <w:rPr>
          <w:rFonts w:ascii="Arial" w:cs="Arial" w:eastAsia="Arial" w:hAnsi="Arial"/>
          <w:sz w:val="17"/>
          <w:szCs w:val="17"/>
          <w:color w:val="231F20"/>
        </w:rPr>
        <w:t>Our cash flows used in investing activities for fiscal 2021 was $7.4 million, a net decrease of $0.4 million, or 6.0</w:t>
      </w:r>
      <w:r>
        <w:rPr>
          <w:rFonts w:ascii="Arial" w:cs="Arial" w:eastAsia="Arial" w:hAnsi="Arial"/>
          <w:sz w:val="17"/>
          <w:szCs w:val="17"/>
          <w:color w:val="000000"/>
        </w:rPr>
        <w:t>%, from</w:t>
      </w:r>
      <w:r>
        <w:rPr>
          <w:rFonts w:ascii="Arial" w:cs="Arial" w:eastAsia="Arial" w:hAnsi="Arial"/>
          <w:sz w:val="17"/>
          <w:szCs w:val="17"/>
          <w:color w:val="231F20"/>
        </w:rPr>
        <w:t xml:space="preserve"> cash flows used in investing activities for fiscal 2020 of $7.8 million. The change in cash flows for fiscal 2021 were primarily due to:</w:t>
      </w:r>
    </w:p>
    <w:p>
      <w:pPr>
        <w:spacing w:after="0" w:line="166" w:lineRule="exact"/>
        <w:rPr>
          <w:sz w:val="20"/>
          <w:szCs w:val="20"/>
          <w:color w:val="auto"/>
        </w:rPr>
      </w:pPr>
    </w:p>
    <w:p>
      <w:pPr>
        <w:ind w:left="1440" w:hanging="420"/>
        <w:spacing w:after="0"/>
        <w:tabs>
          <w:tab w:leader="none" w:pos="144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$6.9 million of investments in capitalized software; and</w:t>
      </w:r>
    </w:p>
    <w:p>
      <w:pPr>
        <w:spacing w:after="0" w:line="17" w:lineRule="exact"/>
        <w:rPr>
          <w:rFonts w:ascii="Arial" w:cs="Arial" w:eastAsia="Arial" w:hAnsi="Arial"/>
          <w:sz w:val="17"/>
          <w:szCs w:val="17"/>
          <w:color w:val="auto"/>
        </w:rPr>
      </w:pPr>
    </w:p>
    <w:p>
      <w:pPr>
        <w:ind w:left="1440" w:hanging="420"/>
        <w:spacing w:after="0"/>
        <w:tabs>
          <w:tab w:leader="none" w:pos="144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$0.4 million of purchases of property and equipment.</w:t>
      </w:r>
    </w:p>
    <w:p>
      <w:pPr>
        <w:spacing w:after="0" w:line="39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Cash Flows Provided by Financing Activities</w:t>
      </w:r>
    </w:p>
    <w:p>
      <w:pPr>
        <w:spacing w:after="0" w:line="207"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231F20"/>
        </w:rPr>
        <w:t>Our financing activities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175" w:lineRule="exact"/>
        <w:rPr>
          <w:sz w:val="20"/>
          <w:szCs w:val="20"/>
          <w:color w:val="auto"/>
        </w:rPr>
      </w:pPr>
    </w:p>
    <w:p>
      <w:pPr>
        <w:ind w:right="480" w:firstLine="589"/>
        <w:spacing w:after="0" w:line="269" w:lineRule="auto"/>
        <w:rPr>
          <w:sz w:val="20"/>
          <w:szCs w:val="20"/>
          <w:color w:val="auto"/>
        </w:rPr>
      </w:pPr>
      <w:r>
        <w:rPr>
          <w:rFonts w:ascii="Arial" w:cs="Arial" w:eastAsia="Arial" w:hAnsi="Arial"/>
          <w:sz w:val="17"/>
          <w:szCs w:val="17"/>
          <w:color w:val="231F20"/>
        </w:rPr>
        <w:t xml:space="preserve">Our cash flows provided by financing activities for fiscal 2021 was $207.6 million, a net increase of $213.8 million </w:t>
      </w:r>
      <w:r>
        <w:rPr>
          <w:rFonts w:ascii="Arial" w:cs="Arial" w:eastAsia="Arial" w:hAnsi="Arial"/>
          <w:sz w:val="17"/>
          <w:szCs w:val="17"/>
          <w:color w:val="000000"/>
        </w:rPr>
        <w:t>from</w:t>
      </w:r>
      <w:r>
        <w:rPr>
          <w:rFonts w:ascii="Arial" w:cs="Arial" w:eastAsia="Arial" w:hAnsi="Arial"/>
          <w:sz w:val="17"/>
          <w:szCs w:val="17"/>
          <w:color w:val="231F20"/>
        </w:rPr>
        <w:t xml:space="preserve"> cash flows used in financing activities for fiscal 2020 of $6.2 million. The change in cash flows for fiscal 2021 were primarily due to:</w:t>
      </w:r>
    </w:p>
    <w:p>
      <w:pPr>
        <w:spacing w:after="0" w:line="166" w:lineRule="exact"/>
        <w:rPr>
          <w:sz w:val="20"/>
          <w:szCs w:val="20"/>
          <w:color w:val="auto"/>
        </w:rPr>
      </w:pPr>
    </w:p>
    <w:p>
      <w:pPr>
        <w:ind w:left="1440" w:hanging="420"/>
        <w:spacing w:after="0"/>
        <w:tabs>
          <w:tab w:leader="none" w:pos="1440" w:val="left"/>
        </w:tabs>
        <w:numPr>
          <w:ilvl w:val="0"/>
          <w:numId w:val="41"/>
        </w:numPr>
        <w:rPr>
          <w:rFonts w:ascii="Arial" w:cs="Arial" w:eastAsia="Arial" w:hAnsi="Arial"/>
          <w:sz w:val="17"/>
          <w:szCs w:val="17"/>
          <w:color w:val="auto"/>
        </w:rPr>
      </w:pPr>
      <w:r>
        <w:rPr>
          <w:rFonts w:ascii="Arial" w:cs="Arial" w:eastAsia="Arial" w:hAnsi="Arial"/>
          <w:sz w:val="17"/>
          <w:szCs w:val="17"/>
          <w:color w:val="231F20"/>
        </w:rPr>
        <w:t>$232.5 million of IPO proceeds, net of underwriting discounts, partially offset by payments of $2.6 million in offering costs;</w:t>
      </w:r>
    </w:p>
    <w:p>
      <w:pPr>
        <w:spacing w:after="0" w:line="17" w:lineRule="exact"/>
        <w:rPr>
          <w:rFonts w:ascii="Arial" w:cs="Arial" w:eastAsia="Arial" w:hAnsi="Arial"/>
          <w:sz w:val="17"/>
          <w:szCs w:val="17"/>
          <w:color w:val="auto"/>
        </w:rPr>
      </w:pPr>
    </w:p>
    <w:p>
      <w:pPr>
        <w:ind w:left="1440" w:hanging="420"/>
        <w:spacing w:after="0"/>
        <w:tabs>
          <w:tab w:leader="none" w:pos="1440" w:val="left"/>
        </w:tabs>
        <w:numPr>
          <w:ilvl w:val="0"/>
          <w:numId w:val="41"/>
        </w:numPr>
        <w:rPr>
          <w:rFonts w:ascii="Arial" w:cs="Arial" w:eastAsia="Arial" w:hAnsi="Arial"/>
          <w:sz w:val="17"/>
          <w:szCs w:val="17"/>
          <w:color w:val="auto"/>
        </w:rPr>
      </w:pPr>
      <w:r>
        <w:rPr>
          <w:rFonts w:ascii="Arial" w:cs="Arial" w:eastAsia="Arial" w:hAnsi="Arial"/>
          <w:sz w:val="17"/>
          <w:szCs w:val="17"/>
          <w:color w:val="231F20"/>
        </w:rPr>
        <w:t>$7.3 million in payments of member tax distributions; and</w:t>
      </w:r>
    </w:p>
    <w:p>
      <w:pPr>
        <w:spacing w:after="0" w:line="5" w:lineRule="exact"/>
        <w:rPr>
          <w:rFonts w:ascii="Arial" w:cs="Arial" w:eastAsia="Arial" w:hAnsi="Arial"/>
          <w:sz w:val="17"/>
          <w:szCs w:val="17"/>
          <w:color w:val="auto"/>
        </w:rPr>
      </w:pPr>
    </w:p>
    <w:p>
      <w:pPr>
        <w:ind w:left="1440" w:hanging="420"/>
        <w:spacing w:after="0"/>
        <w:tabs>
          <w:tab w:leader="none" w:pos="1440" w:val="left"/>
        </w:tabs>
        <w:numPr>
          <w:ilvl w:val="0"/>
          <w:numId w:val="41"/>
        </w:numPr>
        <w:rPr>
          <w:rFonts w:ascii="Arial" w:cs="Arial" w:eastAsia="Arial" w:hAnsi="Arial"/>
          <w:sz w:val="17"/>
          <w:szCs w:val="17"/>
          <w:color w:val="auto"/>
        </w:rPr>
      </w:pPr>
      <w:r>
        <w:rPr>
          <w:rFonts w:ascii="Arial" w:cs="Arial" w:eastAsia="Arial" w:hAnsi="Arial"/>
          <w:sz w:val="17"/>
          <w:szCs w:val="17"/>
          <w:color w:val="231F20"/>
        </w:rPr>
        <w:t>$15.0 million in taxes paid related to the net share settlement of equity awards.</w:t>
      </w:r>
    </w:p>
    <w:p>
      <w:pPr>
        <w:spacing w:after="0" w:line="39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Fiscal 2020 Changes in Cash Flows</w:t>
      </w:r>
    </w:p>
    <w:p>
      <w:pPr>
        <w:spacing w:after="0" w:line="207" w:lineRule="exact"/>
        <w:rPr>
          <w:sz w:val="20"/>
          <w:szCs w:val="20"/>
          <w:color w:val="auto"/>
        </w:rPr>
      </w:pPr>
    </w:p>
    <w:p>
      <w:pPr>
        <w:ind w:right="420" w:firstLine="589"/>
        <w:spacing w:after="0" w:line="258" w:lineRule="auto"/>
        <w:rPr>
          <w:sz w:val="20"/>
          <w:szCs w:val="20"/>
          <w:color w:val="auto"/>
        </w:rPr>
      </w:pPr>
      <w:r>
        <w:rPr>
          <w:rFonts w:ascii="Arial" w:cs="Arial" w:eastAsia="Arial" w:hAnsi="Arial"/>
          <w:sz w:val="17"/>
          <w:szCs w:val="17"/>
          <w:color w:val="auto"/>
        </w:rPr>
        <w:t>For the comparison of fiscal 2021 to fiscal 2020, refer to Part II, Item 7 "Management's discussion and analysis of financial condition and results of operations" of our Form 10-K for our fiscal year ended December 31, 2020, filed with the SEC on March 23, 2021 under the subheading "Liquidity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Critical Accounting Estimates</w:t>
      </w:r>
    </w:p>
    <w:p>
      <w:pPr>
        <w:spacing w:after="0" w:line="211" w:lineRule="exact"/>
        <w:rPr>
          <w:sz w:val="20"/>
          <w:szCs w:val="20"/>
          <w:color w:val="auto"/>
        </w:rPr>
      </w:pPr>
    </w:p>
    <w:p>
      <w:pPr>
        <w:ind w:right="140" w:firstLine="865"/>
        <w:spacing w:after="0" w:line="254" w:lineRule="auto"/>
        <w:rPr>
          <w:sz w:val="20"/>
          <w:szCs w:val="20"/>
          <w:color w:val="auto"/>
        </w:rPr>
      </w:pPr>
      <w:r>
        <w:rPr>
          <w:rFonts w:ascii="Arial" w:cs="Arial" w:eastAsia="Arial" w:hAnsi="Arial"/>
          <w:sz w:val="17"/>
          <w:szCs w:val="17"/>
          <w:color w:val="231F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9" w:lineRule="exact"/>
        <w:rPr>
          <w:sz w:val="20"/>
          <w:szCs w:val="20"/>
          <w:color w:val="auto"/>
        </w:rPr>
      </w:pPr>
    </w:p>
    <w:p>
      <w:pPr>
        <w:ind w:right="140" w:firstLine="865"/>
        <w:spacing w:after="0" w:line="251" w:lineRule="auto"/>
        <w:rPr>
          <w:sz w:val="20"/>
          <w:szCs w:val="20"/>
          <w:color w:val="auto"/>
        </w:rPr>
      </w:pPr>
      <w:r>
        <w:rPr>
          <w:rFonts w:ascii="Arial" w:cs="Arial" w:eastAsia="Arial" w:hAnsi="Arial"/>
          <w:sz w:val="17"/>
          <w:szCs w:val="17"/>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units and stock/unit-based compensation, and internal use software have the greatest potential impact on our consolidated financial statements. Therefore, we consider these to be our critical accounting policies and estimates.</w:t>
      </w:r>
    </w:p>
    <w:p>
      <w:pPr>
        <w:spacing w:after="0" w:line="182" w:lineRule="exact"/>
        <w:rPr>
          <w:sz w:val="20"/>
          <w:szCs w:val="20"/>
          <w:color w:val="auto"/>
        </w:rPr>
      </w:pPr>
    </w:p>
    <w:p>
      <w:pPr>
        <w:ind w:right="240" w:firstLine="865"/>
        <w:spacing w:after="0" w:line="269" w:lineRule="auto"/>
        <w:rPr>
          <w:sz w:val="20"/>
          <w:szCs w:val="20"/>
          <w:color w:val="auto"/>
        </w:rPr>
      </w:pPr>
      <w:r>
        <w:rPr>
          <w:rFonts w:ascii="Arial" w:cs="Arial" w:eastAsia="Arial" w:hAnsi="Arial"/>
          <w:sz w:val="17"/>
          <w:szCs w:val="17"/>
          <w:color w:val="231F20"/>
        </w:rPr>
        <w:t xml:space="preserve">See Note 2 to our consolidated financial statements included elsewhere in this Annual Report for additional information on the </w:t>
      </w:r>
      <w:r>
        <w:rPr>
          <w:rFonts w:ascii="Arial" w:cs="Arial" w:eastAsia="Arial" w:hAnsi="Arial"/>
          <w:sz w:val="17"/>
          <w:szCs w:val="17"/>
          <w:color w:val="000000"/>
        </w:rPr>
        <w:t>significant accounting</w:t>
      </w:r>
      <w:r>
        <w:rPr>
          <w:rFonts w:ascii="Arial" w:cs="Arial" w:eastAsia="Arial" w:hAnsi="Arial"/>
          <w:sz w:val="17"/>
          <w:szCs w:val="17"/>
          <w:color w:val="231F20"/>
        </w:rPr>
        <w:t xml:space="preserve"> </w:t>
      </w:r>
      <w:r>
        <w:rPr>
          <w:rFonts w:ascii="Arial" w:cs="Arial" w:eastAsia="Arial" w:hAnsi="Arial"/>
          <w:sz w:val="17"/>
          <w:szCs w:val="17"/>
          <w:color w:val="000000"/>
        </w:rPr>
        <w:t xml:space="preserve">policies and methods used in the preparation of our consolidated </w:t>
      </w:r>
      <w:r>
        <w:rPr>
          <w:rFonts w:ascii="Arial" w:cs="Arial" w:eastAsia="Arial" w:hAnsi="Arial"/>
          <w:sz w:val="17"/>
          <w:szCs w:val="17"/>
          <w:color w:val="231F20"/>
        </w:rPr>
        <w:t>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Revenue Recognition</w:t>
      </w:r>
    </w:p>
    <w:p>
      <w:pPr>
        <w:spacing w:after="0" w:line="20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generate our revenue by providing marketers and advertising agencies with the ability to plan, buy and measure their digital advertising campaigns using our people-based DSP, Adelphic. Our platform enables marketers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to reach their target audience across desktop, mobile, connected TV, linear TV, in-game, streaming audio and digital billboards.</w:t>
      </w:r>
    </w:p>
    <w:p>
      <w:pPr>
        <w:spacing w:after="0" w:line="207" w:lineRule="exact"/>
        <w:rPr>
          <w:sz w:val="20"/>
          <w:szCs w:val="20"/>
          <w:color w:val="auto"/>
        </w:rPr>
      </w:pPr>
    </w:p>
    <w:p>
      <w:pPr>
        <w:ind w:right="340" w:firstLine="589"/>
        <w:spacing w:after="0" w:line="269" w:lineRule="auto"/>
        <w:rPr>
          <w:sz w:val="20"/>
          <w:szCs w:val="20"/>
          <w:color w:val="auto"/>
        </w:rPr>
      </w:pPr>
      <w:r>
        <w:rPr>
          <w:rFonts w:ascii="Arial" w:cs="Arial" w:eastAsia="Arial" w:hAnsi="Arial"/>
          <w:sz w:val="17"/>
          <w:szCs w:val="17"/>
          <w:color w:val="auto"/>
        </w:rPr>
        <w:t>We apply a five-step approach as defined in Financial Accounting Standards Board (“FASB”) Accounting Standards Codification (“ASC”) 606, Revenue from Contracts with Customers (“ASC 606”), in determining the amount and timing of revenue to be recognized:</w:t>
      </w:r>
    </w:p>
    <w:p>
      <w:pPr>
        <w:spacing w:after="0" w:line="65" w:lineRule="exact"/>
        <w:rPr>
          <w:sz w:val="20"/>
          <w:szCs w:val="20"/>
          <w:color w:val="auto"/>
        </w:rPr>
      </w:pPr>
    </w:p>
    <w:p>
      <w:pPr>
        <w:ind w:left="1160" w:hanging="581"/>
        <w:spacing w:after="0"/>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Identification of a contract with a customer;</w:t>
      </w:r>
    </w:p>
    <w:p>
      <w:pPr>
        <w:spacing w:after="0" w:line="106" w:lineRule="exact"/>
        <w:rPr>
          <w:rFonts w:ascii="Arial" w:cs="Arial" w:eastAsia="Arial" w:hAnsi="Arial"/>
          <w:sz w:val="17"/>
          <w:szCs w:val="17"/>
          <w:color w:val="231F20"/>
        </w:rPr>
      </w:pPr>
    </w:p>
    <w:p>
      <w:pPr>
        <w:ind w:left="1160" w:hanging="581"/>
        <w:spacing w:after="0"/>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Identification of the performance obligations in the contract;</w:t>
      </w:r>
    </w:p>
    <w:p>
      <w:pPr>
        <w:spacing w:after="0" w:line="106" w:lineRule="exact"/>
        <w:rPr>
          <w:rFonts w:ascii="Arial" w:cs="Arial" w:eastAsia="Arial" w:hAnsi="Arial"/>
          <w:sz w:val="17"/>
          <w:szCs w:val="17"/>
          <w:color w:val="231F20"/>
        </w:rPr>
      </w:pPr>
    </w:p>
    <w:p>
      <w:pPr>
        <w:ind w:left="1160" w:hanging="581"/>
        <w:spacing w:after="0"/>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Determination of the transaction price;</w:t>
      </w:r>
    </w:p>
    <w:p>
      <w:pPr>
        <w:spacing w:after="0" w:line="106" w:lineRule="exact"/>
        <w:rPr>
          <w:rFonts w:ascii="Arial" w:cs="Arial" w:eastAsia="Arial" w:hAnsi="Arial"/>
          <w:sz w:val="17"/>
          <w:szCs w:val="17"/>
          <w:color w:val="231F20"/>
        </w:rPr>
      </w:pPr>
    </w:p>
    <w:p>
      <w:pPr>
        <w:ind w:left="1160" w:hanging="581"/>
        <w:spacing w:after="0"/>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Allocation of the transaction price to the performance obligations in the contract; and</w:t>
      </w:r>
    </w:p>
    <w:p>
      <w:pPr>
        <w:spacing w:after="0" w:line="106" w:lineRule="exact"/>
        <w:rPr>
          <w:rFonts w:ascii="Arial" w:cs="Arial" w:eastAsia="Arial" w:hAnsi="Arial"/>
          <w:sz w:val="17"/>
          <w:szCs w:val="17"/>
          <w:color w:val="231F20"/>
        </w:rPr>
      </w:pPr>
    </w:p>
    <w:p>
      <w:pPr>
        <w:ind w:left="1160" w:hanging="581"/>
        <w:spacing w:after="0"/>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Recognition of revenue when or as the performance obligations are satisfied.</w:t>
      </w:r>
    </w:p>
    <w:p>
      <w:pPr>
        <w:spacing w:after="0" w:line="207" w:lineRule="exact"/>
        <w:rPr>
          <w:sz w:val="20"/>
          <w:szCs w:val="20"/>
          <w:color w:val="auto"/>
        </w:rPr>
      </w:pPr>
    </w:p>
    <w:p>
      <w:pPr>
        <w:ind w:right="60" w:firstLine="589"/>
        <w:spacing w:after="0" w:line="288" w:lineRule="auto"/>
        <w:rPr>
          <w:sz w:val="20"/>
          <w:szCs w:val="20"/>
          <w:color w:val="auto"/>
        </w:rPr>
      </w:pPr>
      <w:r>
        <w:rPr>
          <w:rFonts w:ascii="Arial" w:cs="Arial" w:eastAsia="Arial" w:hAnsi="Arial"/>
          <w:sz w:val="15"/>
          <w:szCs w:val="15"/>
          <w:color w:val="auto"/>
        </w:rPr>
        <w:t>We make our software platform available through different pricing options to tailor to multiple customer types and needs. These options consist of a percentage of spend option, a monthly subscription pricing option and a fixed CPM pricing option. “CPM” refers to a payment option in which customers pay a price for every 1,000 impressions an ad receives. We generate revenue when our software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(2) a flat monthly subscription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56" w:lineRule="exact"/>
        <w:rPr>
          <w:sz w:val="20"/>
          <w:szCs w:val="20"/>
          <w:color w:val="auto"/>
        </w:rPr>
      </w:pPr>
    </w:p>
    <w:p>
      <w:pPr>
        <w:ind w:right="180" w:firstLine="589"/>
        <w:spacing w:after="0" w:line="252" w:lineRule="auto"/>
        <w:rPr>
          <w:sz w:val="20"/>
          <w:szCs w:val="20"/>
          <w:color w:val="auto"/>
        </w:rPr>
      </w:pPr>
      <w:r>
        <w:rPr>
          <w:rFonts w:ascii="Arial" w:cs="Arial" w:eastAsia="Arial" w:hAnsi="Arial"/>
          <w:sz w:val="17"/>
          <w:szCs w:val="17"/>
          <w:color w:val="auto"/>
        </w:rPr>
        <w:t>We maintain agreements with our customers in the form of MSAs in connection with the percentage of spend and monthly subscription pricing options, as well as instances where we charge our customers a flat monthly fee for services in connection with data management and advanced reporting. We maintain insertion orders (“IO”) in connection with the fixed CPM pricing option, which set out the terms of the relationship and use of our software platform. The nature of our performance obligations is to enable customers to plan, buy and measure advertising campaigns using our platform and provide campaign execution services as requested.</w:t>
      </w:r>
    </w:p>
    <w:p>
      <w:pPr>
        <w:spacing w:after="0" w:line="181"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We recognize revenue at the point in time when a purchase by the customer occurs through our software platform. For the monthly subscription pricing option, we bill customers a platform fee represented by a fixed subscription amount, as well as fees for additional features such as data and advanced reporting, plus the cost of TAC. We recognize subscription fees as revenue over time on a ratable basis over the term of the agreement.</w:t>
      </w:r>
    </w:p>
    <w:p>
      <w:pPr>
        <w:spacing w:after="0" w:line="165" w:lineRule="exact"/>
        <w:rPr>
          <w:sz w:val="20"/>
          <w:szCs w:val="20"/>
          <w:color w:val="auto"/>
        </w:rPr>
      </w:pPr>
    </w:p>
    <w:p>
      <w:pPr>
        <w:ind w:right="180" w:firstLine="589"/>
        <w:spacing w:after="0" w:line="254" w:lineRule="auto"/>
        <w:rPr>
          <w:sz w:val="20"/>
          <w:szCs w:val="20"/>
          <w:color w:val="auto"/>
        </w:rPr>
      </w:pPr>
      <w:r>
        <w:rPr>
          <w:rFonts w:ascii="Arial" w:cs="Arial" w:eastAsia="Arial" w:hAnsi="Arial"/>
          <w:sz w:val="17"/>
          <w:szCs w:val="17"/>
          <w:color w:val="auto"/>
        </w:rPr>
        <w:t>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179" w:lineRule="exact"/>
        <w:rPr>
          <w:sz w:val="20"/>
          <w:szCs w:val="20"/>
          <w:color w:val="auto"/>
        </w:rPr>
      </w:pPr>
    </w:p>
    <w:p>
      <w:pPr>
        <w:ind w:right="160" w:firstLine="589"/>
        <w:spacing w:after="0" w:line="294" w:lineRule="auto"/>
        <w:rPr>
          <w:sz w:val="20"/>
          <w:szCs w:val="20"/>
          <w:color w:val="auto"/>
        </w:rPr>
      </w:pPr>
      <w:r>
        <w:rPr>
          <w:rFonts w:ascii="Arial" w:cs="Arial" w:eastAsia="Arial" w:hAnsi="Arial"/>
          <w:sz w:val="15"/>
          <w:szCs w:val="15"/>
          <w:color w:val="auto"/>
        </w:rPr>
        <w:t>In instances discussed above related to the percentage of spend pricing option, we typically act as an agent because we arrange for the transfer of such costs from the supplier to the customer through the use of our software platform and do not control such features prior to transfer to the customer. We do not have primary responsibility for meeting customer specifications and do not have discretion in establishing the price of TAC related to this pricing option. As we act as the agent in these arrangements, we report revenue on a net basis. In certain arrangements, we act as a principal in percentage of spend arrangements because (i) we control the advertising inventory before it is transferred to our clients; (ii) we bear sole responsibility for fulfillment of the advertising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0" w:name="page81"/>
    <w:bookmarkEnd w:id="80"/>
    <w:p>
      <w:pPr>
        <w:ind w:right="100"/>
        <w:spacing w:after="0" w:line="269" w:lineRule="auto"/>
        <w:rPr>
          <w:sz w:val="20"/>
          <w:szCs w:val="20"/>
          <w:color w:val="auto"/>
        </w:rPr>
      </w:pPr>
      <w:r>
        <w:rPr>
          <w:rFonts w:ascii="Arial" w:cs="Arial" w:eastAsia="Arial" w:hAnsi="Arial"/>
          <w:sz w:val="17"/>
          <w:szCs w:val="17"/>
          <w:color w:val="auto"/>
        </w:rPr>
        <w:t>promise and inventory risks and (iii) we have full discretion in establishing prices. As we act as the principal in these arrangements, we report revenue and the related costs incurred on a gross basis.</w:t>
      </w:r>
    </w:p>
    <w:p>
      <w:pPr>
        <w:spacing w:after="0" w:line="166" w:lineRule="exact"/>
        <w:rPr>
          <w:sz w:val="20"/>
          <w:szCs w:val="20"/>
          <w:color w:val="auto"/>
        </w:rPr>
      </w:pPr>
    </w:p>
    <w:p>
      <w:pPr>
        <w:ind w:right="60" w:firstLine="589"/>
        <w:spacing w:after="0" w:line="252" w:lineRule="auto"/>
        <w:rPr>
          <w:sz w:val="20"/>
          <w:szCs w:val="20"/>
          <w:color w:val="auto"/>
        </w:rPr>
      </w:pPr>
      <w:r>
        <w:rPr>
          <w:rFonts w:ascii="Arial" w:cs="Arial" w:eastAsia="Arial" w:hAnsi="Arial"/>
          <w:sz w:val="17"/>
          <w:szCs w:val="17"/>
          <w:color w:val="auto"/>
        </w:rPr>
        <w:t>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As we act as the principal in these arrangements, we report revenue and the related costs incurred on a gross basis.</w:t>
      </w:r>
    </w:p>
    <w:p>
      <w:pPr>
        <w:spacing w:after="0" w:line="181" w:lineRule="exact"/>
        <w:rPr>
          <w:sz w:val="20"/>
          <w:szCs w:val="20"/>
          <w:color w:val="auto"/>
        </w:rPr>
      </w:pPr>
    </w:p>
    <w:p>
      <w:pPr>
        <w:jc w:val="both"/>
        <w:ind w:right="120" w:firstLine="589"/>
        <w:spacing w:after="0" w:line="258" w:lineRule="auto"/>
        <w:rPr>
          <w:sz w:val="20"/>
          <w:szCs w:val="20"/>
          <w:color w:val="auto"/>
        </w:rPr>
      </w:pPr>
      <w:r>
        <w:rPr>
          <w:rFonts w:ascii="Arial" w:cs="Arial" w:eastAsia="Arial" w:hAnsi="Arial"/>
          <w:sz w:val="17"/>
          <w:szCs w:val="17"/>
          <w:color w:val="auto"/>
        </w:rPr>
        <w:t>We invoice our customers on a monthly basis for all pricing options. Invoice payment terms, negotiated on a customer-by-customer basis, are typically 30 to 60 days. Advertising agency customers typically have sequential liability terms, which means payments are not due to us from our advertising agency customer until the advertising agency customer has received payment from its customer, the advertiser.</w:t>
      </w:r>
    </w:p>
    <w:p>
      <w:pPr>
        <w:spacing w:after="0" w:line="175" w:lineRule="exact"/>
        <w:rPr>
          <w:sz w:val="20"/>
          <w:szCs w:val="20"/>
          <w:color w:val="auto"/>
        </w:rPr>
      </w:pPr>
    </w:p>
    <w:p>
      <w:pPr>
        <w:ind w:right="60" w:firstLine="589"/>
        <w:spacing w:after="0" w:line="299" w:lineRule="auto"/>
        <w:rPr>
          <w:sz w:val="20"/>
          <w:szCs w:val="20"/>
          <w:color w:val="auto"/>
        </w:rPr>
      </w:pPr>
      <w:r>
        <w:rPr>
          <w:rFonts w:ascii="Arial" w:cs="Arial" w:eastAsia="Arial" w:hAnsi="Arial"/>
          <w:sz w:val="15"/>
          <w:szCs w:val="15"/>
          <w:color w:val="auto"/>
        </w:rPr>
        <w:t>There are no contract assets recorded on the consolidated balance sheets because our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147" w:lineRule="exact"/>
        <w:rPr>
          <w:sz w:val="20"/>
          <w:szCs w:val="20"/>
          <w:color w:val="auto"/>
        </w:rPr>
      </w:pPr>
    </w:p>
    <w:p>
      <w:pPr>
        <w:ind w:right="320" w:firstLine="589"/>
        <w:spacing w:after="0" w:line="337" w:lineRule="auto"/>
        <w:rPr>
          <w:sz w:val="20"/>
          <w:szCs w:val="20"/>
          <w:color w:val="auto"/>
        </w:rPr>
      </w:pPr>
      <w:r>
        <w:rPr>
          <w:rFonts w:ascii="Arial" w:cs="Arial" w:eastAsia="Arial" w:hAnsi="Arial"/>
          <w:sz w:val="15"/>
          <w:szCs w:val="15"/>
          <w:color w:val="auto"/>
        </w:rPr>
        <w:t>ASC 606 provides various optional practical expedients. We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Internal Use Software</w:t>
      </w:r>
    </w:p>
    <w:p>
      <w:pPr>
        <w:spacing w:after="0" w:line="207" w:lineRule="exact"/>
        <w:rPr>
          <w:sz w:val="20"/>
          <w:szCs w:val="20"/>
          <w:color w:val="auto"/>
        </w:rPr>
      </w:pPr>
    </w:p>
    <w:p>
      <w:pPr>
        <w:ind w:firstLine="589"/>
        <w:spacing w:after="0" w:line="308" w:lineRule="auto"/>
        <w:rPr>
          <w:sz w:val="20"/>
          <w:szCs w:val="20"/>
          <w:color w:val="auto"/>
        </w:rPr>
      </w:pPr>
      <w:r>
        <w:rPr>
          <w:rFonts w:ascii="Arial" w:cs="Arial" w:eastAsia="Arial" w:hAnsi="Arial"/>
          <w:sz w:val="15"/>
          <w:szCs w:val="15"/>
          <w:color w:val="231F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spacing w:after="0" w:line="141"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231F20"/>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JOBS Act Accounting Election</w:t>
      </w:r>
    </w:p>
    <w:p>
      <w:pPr>
        <w:spacing w:after="0" w:line="211" w:lineRule="exact"/>
        <w:rPr>
          <w:sz w:val="20"/>
          <w:szCs w:val="20"/>
          <w:color w:val="auto"/>
        </w:rPr>
      </w:pPr>
    </w:p>
    <w:p>
      <w:pPr>
        <w:ind w:right="80" w:firstLine="865"/>
        <w:spacing w:after="0" w:line="268" w:lineRule="auto"/>
        <w:rPr>
          <w:sz w:val="20"/>
          <w:szCs w:val="20"/>
          <w:color w:val="auto"/>
        </w:rPr>
      </w:pPr>
      <w:r>
        <w:rPr>
          <w:rFonts w:ascii="Arial" w:cs="Arial" w:eastAsia="Arial" w:hAnsi="Arial"/>
          <w:sz w:val="16"/>
          <w:szCs w:val="16"/>
          <w:color w:val="231F20"/>
        </w:rPr>
        <w:t>On April 5, 2012, the JOBS Act was signed into law.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shares of common stock held by non-affiliates and issues less than $1 billion of non-convertible debt over a three-year period. We will remain an emerging growth company until December 31, 2026, or sooner if we no longer qualify. We may take advantage of this extended transition period until the first to occur of the date that we (i) are no longer an “emerging growth company” or (ii) affirmatively and irrevocably opt out of this extended transition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1" w:name="page82"/>
    <w:bookmarkEnd w:id="81"/>
    <w:p>
      <w:pPr>
        <w:ind w:firstLine="865"/>
        <w:spacing w:after="0" w:line="268" w:lineRule="auto"/>
        <w:rPr>
          <w:sz w:val="20"/>
          <w:szCs w:val="20"/>
          <w:color w:val="auto"/>
        </w:rPr>
      </w:pPr>
      <w:r>
        <w:rPr>
          <w:rFonts w:ascii="Arial" w:cs="Arial" w:eastAsia="Arial" w:hAnsi="Arial"/>
          <w:sz w:val="16"/>
          <w:szCs w:val="16"/>
          <w:color w:val="231F20"/>
        </w:rPr>
        <w:t>We have elected to take advantage of the benefits of this extended transition period.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consolidated financial statements. See Note 2 to our consolidated financial statements included elsewhere in this Annual Report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Recently Issued Accounting Pronouncements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5"/>
          <w:szCs w:val="15"/>
          <w:color w:val="231F20"/>
        </w:rPr>
        <w:t>For information regarding recently issued accounting pronouncements, see Note 2 to our consolidated financial statements included elsewhere in this Annual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31F20"/>
        </w:rPr>
        <w:t>Report.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1" w:lineRule="exact"/>
        <w:rPr>
          <w:sz w:val="20"/>
          <w:szCs w:val="20"/>
          <w:color w:val="auto"/>
        </w:rPr>
      </w:pPr>
    </w:p>
    <w:p>
      <w:pPr>
        <w:ind w:right="360" w:firstLine="589"/>
        <w:spacing w:after="0" w:line="269" w:lineRule="auto"/>
        <w:rPr>
          <w:sz w:val="20"/>
          <w:szCs w:val="20"/>
          <w:color w:val="auto"/>
        </w:rPr>
      </w:pPr>
      <w:r>
        <w:rPr>
          <w:rFonts w:ascii="Arial" w:cs="Arial" w:eastAsia="Arial" w:hAnsi="Arial"/>
          <w:sz w:val="17"/>
          <w:szCs w:val="17"/>
          <w:color w:val="231F20"/>
        </w:rPr>
        <w:t>Our operations are primarily within the United States, and we are exposed to market risks in the ordinary course of our business, including the effects of interest rate changes, foreign currency fluctuations and inflation.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Interest Rate Risk</w:t>
      </w:r>
    </w:p>
    <w:p>
      <w:pPr>
        <w:spacing w:after="0" w:line="20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7"/>
          <w:szCs w:val="17"/>
          <w:color w:val="231F20"/>
        </w:rPr>
        <w:t>We are exposed to market risk from changes in interest rates on our Loan Agreement, which accrues interest at a variable rate. We have not used any derivative financial instruments to manage our interest rate risk exposure. Based upon the principal balance owed on our revolving credit facility as of December 31, 2021, a hypothetical one percentage point increase or decrease in the interest rate under our revolving credit facility would result in a de minimis change in interest expense for the year ended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Inflation Risk</w:t>
      </w:r>
    </w:p>
    <w:p>
      <w:pPr>
        <w:spacing w:after="0" w:line="207" w:lineRule="exact"/>
        <w:rPr>
          <w:sz w:val="20"/>
          <w:szCs w:val="20"/>
          <w:color w:val="auto"/>
        </w:rPr>
      </w:pPr>
    </w:p>
    <w:p>
      <w:pPr>
        <w:ind w:right="140" w:firstLine="589"/>
        <w:spacing w:after="0" w:line="258" w:lineRule="auto"/>
        <w:rPr>
          <w:sz w:val="20"/>
          <w:szCs w:val="20"/>
          <w:color w:val="auto"/>
        </w:rPr>
      </w:pPr>
      <w:r>
        <w:rPr>
          <w:rFonts w:ascii="Arial" w:cs="Arial" w:eastAsia="Arial" w:hAnsi="Arial"/>
          <w:sz w:val="17"/>
          <w:szCs w:val="17"/>
          <w:color w:val="231F20"/>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7"/>
        </w:trPr>
        <w:tc>
          <w:tcPr>
            <w:tcW w:w="924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2000" w:type="dxa"/>
            <w:vAlign w:val="bottom"/>
          </w:tcPr>
          <w:p>
            <w:pPr>
              <w:spacing w:after="0"/>
              <w:rPr>
                <w:sz w:val="18"/>
                <w:szCs w:val="18"/>
                <w:color w:val="auto"/>
              </w:rPr>
            </w:pPr>
          </w:p>
        </w:tc>
      </w:tr>
      <w:tr>
        <w:trPr>
          <w:trHeight w:val="403"/>
        </w:trPr>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2"/>
          </w:tcPr>
          <w:p>
            <w:pPr>
              <w:ind w:left="480"/>
              <w:spacing w:after="0"/>
              <w:rPr>
                <w:sz w:val="20"/>
                <w:szCs w:val="20"/>
                <w:color w:val="auto"/>
              </w:rPr>
            </w:pPr>
            <w:r>
              <w:rPr>
                <w:rFonts w:ascii="Arial" w:cs="Arial" w:eastAsia="Arial" w:hAnsi="Arial"/>
                <w:sz w:val="17"/>
                <w:szCs w:val="17"/>
                <w:b w:val="1"/>
                <w:bCs w:val="1"/>
                <w:color w:val="auto"/>
              </w:rPr>
              <w:t>INDEX TO FINANCIAL STATEMENTS</w:t>
            </w:r>
          </w:p>
        </w:tc>
        <w:tc>
          <w:tcPr>
            <w:tcW w:w="2000" w:type="dxa"/>
            <w:vAlign w:val="bottom"/>
          </w:tcPr>
          <w:p>
            <w:pPr>
              <w:spacing w:after="0"/>
              <w:rPr>
                <w:sz w:val="24"/>
                <w:szCs w:val="24"/>
                <w:color w:val="auto"/>
              </w:rPr>
            </w:pPr>
          </w:p>
        </w:tc>
      </w:tr>
      <w:tr>
        <w:trPr>
          <w:trHeight w:val="415"/>
        </w:trPr>
        <w:tc>
          <w:tcPr>
            <w:tcW w:w="9240" w:type="dxa"/>
            <w:vAlign w:val="bottom"/>
            <w:gridSpan w:val="8"/>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EE"/>
              </w:rPr>
              <w:t xml:space="preserve"> </w:t>
            </w:r>
            <w:r>
              <w:rPr>
                <w:rFonts w:ascii="Arial" w:cs="Arial" w:eastAsia="Arial" w:hAnsi="Arial"/>
                <w:sz w:val="17"/>
                <w:szCs w:val="17"/>
                <w:color w:val="000000"/>
              </w:rPr>
              <w:t>ID No.34)</w:t>
            </w:r>
          </w:p>
        </w:tc>
        <w:tc>
          <w:tcPr>
            <w:tcW w:w="20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320"/>
        </w:trPr>
        <w:tc>
          <w:tcPr>
            <w:tcW w:w="3940" w:type="dxa"/>
            <w:vAlign w:val="bottom"/>
            <w:tcBorders>
              <w:top w:val="single" w:sz="8" w:color="0000EE"/>
            </w:tcBorders>
            <w:gridSpan w:val="5"/>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Consolidated Balance Sheets</w:t>
              </w:r>
            </w:hyperlink>
          </w:p>
        </w:tc>
        <w:tc>
          <w:tcPr>
            <w:tcW w:w="530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19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20"/>
        </w:trPr>
        <w:tc>
          <w:tcPr>
            <w:tcW w:w="9240" w:type="dxa"/>
            <w:vAlign w:val="bottom"/>
            <w:gridSpan w:val="8"/>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Consolidated Statements of Operations</w:t>
              </w:r>
            </w:hyperlink>
          </w:p>
        </w:tc>
        <w:tc>
          <w:tcPr>
            <w:tcW w:w="20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
        </w:trPr>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20"/>
        </w:trPr>
        <w:tc>
          <w:tcPr>
            <w:tcW w:w="396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87">
              <w:r>
                <w:rPr>
                  <w:rFonts w:ascii="Arial" w:cs="Arial" w:eastAsia="Arial" w:hAnsi="Arial"/>
                  <w:sz w:val="17"/>
                  <w:szCs w:val="17"/>
                  <w:color w:val="0000EE"/>
                  <w:w w:val="88"/>
                </w:rPr>
                <w:t>Consolidated Statements of Comprehensive Income (Loss)</w:t>
              </w:r>
            </w:hyperlink>
          </w:p>
        </w:tc>
        <w:tc>
          <w:tcPr>
            <w:tcW w:w="528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320"/>
        </w:trPr>
        <w:tc>
          <w:tcPr>
            <w:tcW w:w="9240" w:type="dxa"/>
            <w:vAlign w:val="bottom"/>
            <w:gridSpan w:val="8"/>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Consolidated Statements of Convertible Preferred Units and Equity (Deficit)</w:t>
              </w:r>
            </w:hyperlink>
          </w:p>
        </w:tc>
        <w:tc>
          <w:tcPr>
            <w:tcW w:w="20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320"/>
        </w:trPr>
        <w:tc>
          <w:tcPr>
            <w:tcW w:w="268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87"/>
              </w:rPr>
            </w:pPr>
            <w:hyperlink w:anchor="page91">
              <w:r>
                <w:rPr>
                  <w:rFonts w:ascii="Arial" w:cs="Arial" w:eastAsia="Arial" w:hAnsi="Arial"/>
                  <w:sz w:val="17"/>
                  <w:szCs w:val="17"/>
                  <w:color w:val="0000EE"/>
                  <w:w w:val="87"/>
                </w:rPr>
                <w:t>Consolidated Statements of Cash Flows</w:t>
              </w:r>
            </w:hyperlink>
          </w:p>
        </w:tc>
        <w:tc>
          <w:tcPr>
            <w:tcW w:w="2460" w:type="dxa"/>
            <w:vAlign w:val="bottom"/>
            <w:tcBorders>
              <w:top w:val="single" w:sz="8" w:color="0000EE"/>
            </w:tcBorders>
            <w:gridSpan w:val="4"/>
          </w:tcPr>
          <w:p>
            <w:pPr>
              <w:spacing w:after="0"/>
              <w:rPr>
                <w:sz w:val="24"/>
                <w:szCs w:val="24"/>
                <w:color w:val="auto"/>
              </w:rPr>
            </w:pPr>
          </w:p>
        </w:tc>
        <w:tc>
          <w:tcPr>
            <w:tcW w:w="4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20"/>
        </w:trPr>
        <w:tc>
          <w:tcPr>
            <w:tcW w:w="294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93">
              <w:r>
                <w:rPr>
                  <w:rFonts w:ascii="Arial" w:cs="Arial" w:eastAsia="Arial" w:hAnsi="Arial"/>
                  <w:sz w:val="17"/>
                  <w:szCs w:val="17"/>
                  <w:color w:val="0000EE"/>
                  <w:w w:val="88"/>
                </w:rPr>
                <w:t>Notes to Consolidated Financial Statements</w:t>
              </w:r>
            </w:hyperlink>
          </w:p>
        </w:tc>
        <w:tc>
          <w:tcPr>
            <w:tcW w:w="630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835"/>
        </w:trPr>
        <w:tc>
          <w:tcPr>
            <w:tcW w:w="9240" w:type="dxa"/>
            <w:vAlign w:val="bottom"/>
            <w:gridSpan w:val="8"/>
          </w:tcPr>
          <w:p>
            <w:pPr>
              <w:ind w:left="5540"/>
              <w:spacing w:after="0"/>
              <w:rPr>
                <w:sz w:val="20"/>
                <w:szCs w:val="20"/>
                <w:color w:val="auto"/>
              </w:rPr>
            </w:pPr>
            <w:r>
              <w:rPr>
                <w:rFonts w:ascii="Arial" w:cs="Arial" w:eastAsia="Arial" w:hAnsi="Arial"/>
                <w:sz w:val="17"/>
                <w:szCs w:val="17"/>
                <w:color w:val="auto"/>
              </w:rPr>
              <w:t>77</w:t>
            </w:r>
          </w:p>
        </w:tc>
        <w:tc>
          <w:tcPr>
            <w:tcW w:w="2000" w:type="dxa"/>
            <w:vAlign w:val="bottom"/>
          </w:tcPr>
          <w:p>
            <w:pPr>
              <w:spacing w:after="0"/>
              <w:rPr>
                <w:sz w:val="24"/>
                <w:szCs w:val="24"/>
                <w:color w:val="auto"/>
              </w:rPr>
            </w:pPr>
          </w:p>
        </w:tc>
      </w:tr>
      <w:tr>
        <w:trPr>
          <w:trHeight w:val="106"/>
        </w:trPr>
        <w:tc>
          <w:tcPr>
            <w:tcW w:w="19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231F20"/>
        </w:rPr>
        <w:t>REPORT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Viant Technology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1"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We have audited the accompanying consolidated balance sheets of Viant Technology Inc. and subsidiaries (the "Company") as of December 31, 2021 and 2020, the related consolidated statements of operations, comprehensive income (loss), convertible preferred units and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231F20"/>
        </w:rPr>
        <w:t>/s/ 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10, 2022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7"/>
          <w:szCs w:val="17"/>
          <w:b w:val="1"/>
          <w:bCs w:val="1"/>
          <w:color w:val="auto"/>
        </w:rPr>
        <w:t>VIANT TECHNOLOGY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share/unit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3"/>
                <w:szCs w:val="13"/>
                <w:b w:val="1"/>
                <w:bCs w:val="1"/>
                <w:color w:val="auto"/>
              </w:rPr>
              <w:t>As of December 31,</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0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46"/>
              <w:spacing w:after="0" w:line="144"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93"/>
              <w:spacing w:after="0" w:line="144"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w:t>
            </w:r>
          </w:p>
        </w:tc>
        <w:tc>
          <w:tcPr>
            <w:tcW w:w="1000" w:type="dxa"/>
            <w:vAlign w:val="bottom"/>
            <w:shd w:val="clear" w:color="auto" w:fill="CFF0FC"/>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238,480</w:t>
            </w:r>
          </w:p>
        </w:tc>
        <w:tc>
          <w:tcPr>
            <w:tcW w:w="2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9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40"/>
              <w:spacing w:after="0"/>
              <w:rPr>
                <w:sz w:val="20"/>
                <w:szCs w:val="20"/>
                <w:color w:val="auto"/>
              </w:rPr>
            </w:pPr>
            <w:r>
              <w:rPr>
                <w:rFonts w:ascii="Arial" w:cs="Arial" w:eastAsia="Arial" w:hAnsi="Arial"/>
                <w:sz w:val="13"/>
                <w:szCs w:val="13"/>
                <w:color w:val="auto"/>
              </w:rPr>
              <w:t>Accounts receivable, net of allowances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110,739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89,767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2,967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00" w:type="dxa"/>
            <w:vAlign w:val="bottom"/>
          </w:tcPr>
          <w:p>
            <w:pPr>
              <w:ind w:left="460"/>
              <w:spacing w:after="0" w:line="144" w:lineRule="exact"/>
              <w:rPr>
                <w:sz w:val="20"/>
                <w:szCs w:val="20"/>
                <w:color w:val="auto"/>
              </w:rPr>
            </w:pPr>
            <w:r>
              <w:rPr>
                <w:rFonts w:ascii="Arial" w:cs="Arial" w:eastAsia="Arial" w:hAnsi="Arial"/>
                <w:sz w:val="13"/>
                <w:szCs w:val="13"/>
                <w:color w:val="auto"/>
              </w:rPr>
              <w:t>Total current assets</w:t>
            </w:r>
          </w:p>
        </w:tc>
        <w:tc>
          <w:tcPr>
            <w:tcW w:w="10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352,186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103,883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Property, equipment, and software, net</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22,331</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1,786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12,422</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assets</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00" w:type="dxa"/>
            <w:vAlign w:val="bottom"/>
            <w:tcBorders>
              <w:bottom w:val="single" w:sz="8" w:color="CFF0FC"/>
            </w:tcBorders>
            <w:shd w:val="clear" w:color="auto" w:fill="CFF0FC"/>
          </w:tcPr>
          <w:p>
            <w:pPr>
              <w:spacing w:after="0" w:line="144" w:lineRule="exact"/>
              <w:rPr>
                <w:sz w:val="20"/>
                <w:szCs w:val="20"/>
                <w:color w:val="auto"/>
              </w:rPr>
            </w:pPr>
            <w:r>
              <w:rPr>
                <w:rFonts w:ascii="Arial" w:cs="Arial" w:eastAsia="Arial" w:hAnsi="Arial"/>
                <w:sz w:val="13"/>
                <w:szCs w:val="13"/>
                <w:color w:val="auto"/>
              </w:rPr>
              <w:t>Total assets</w:t>
            </w:r>
          </w:p>
        </w:tc>
        <w:tc>
          <w:tcPr>
            <w:tcW w:w="100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389,131</w:t>
            </w:r>
          </w:p>
        </w:tc>
        <w:tc>
          <w:tcPr>
            <w:tcW w:w="2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133,520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convertible preferred units and stockholders' equity/members' equity</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Liabilities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FF0FC"/>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32,877</w:t>
            </w:r>
          </w:p>
        </w:tc>
        <w:tc>
          <w:tcPr>
            <w:tcW w:w="2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9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34,086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Accrued compensation</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40"/>
              <w:spacing w:after="0"/>
              <w:rPr>
                <w:sz w:val="20"/>
                <w:szCs w:val="20"/>
                <w:color w:val="auto"/>
              </w:rPr>
            </w:pPr>
            <w:r>
              <w:rPr>
                <w:rFonts w:ascii="Arial" w:cs="Arial" w:eastAsia="Arial" w:hAnsi="Arial"/>
                <w:sz w:val="13"/>
                <w:szCs w:val="13"/>
                <w:color w:val="auto"/>
              </w:rPr>
              <w:t>Current portion of long-term debt</w:t>
            </w:r>
          </w:p>
        </w:tc>
        <w:tc>
          <w:tcPr>
            <w:tcW w:w="10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Current portion of deferred revenue</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40"/>
              <w:spacing w:after="0"/>
              <w:rPr>
                <w:sz w:val="20"/>
                <w:szCs w:val="20"/>
                <w:color w:val="auto"/>
              </w:rPr>
            </w:pPr>
            <w:r>
              <w:rPr>
                <w:rFonts w:ascii="Arial" w:cs="Arial" w:eastAsia="Arial" w:hAnsi="Arial"/>
                <w:sz w:val="13"/>
                <w:szCs w:val="13"/>
                <w:color w:val="auto"/>
              </w:rPr>
              <w:t>Accrued member tax distributions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current liabilities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2,526</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00" w:type="dxa"/>
            <w:vAlign w:val="bottom"/>
          </w:tcPr>
          <w:p>
            <w:pPr>
              <w:ind w:left="460"/>
              <w:spacing w:after="0" w:line="144" w:lineRule="exact"/>
              <w:rPr>
                <w:sz w:val="20"/>
                <w:szCs w:val="20"/>
                <w:color w:val="auto"/>
              </w:rPr>
            </w:pPr>
            <w:r>
              <w:rPr>
                <w:rFonts w:ascii="Arial" w:cs="Arial" w:eastAsia="Arial" w:hAnsi="Arial"/>
                <w:sz w:val="13"/>
                <w:szCs w:val="13"/>
                <w:color w:val="auto"/>
              </w:rPr>
              <w:t>Total current liabilities</w:t>
            </w:r>
          </w:p>
        </w:tc>
        <w:tc>
          <w:tcPr>
            <w:tcW w:w="10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83,058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79,656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17,500</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Long-term portion of deferred revenue</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5,234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long-term liabilities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765</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00" w:type="dxa"/>
            <w:vAlign w:val="bottom"/>
            <w:tcBorders>
              <w:bottom w:val="single" w:sz="8" w:color="CFF0FC"/>
            </w:tcBorders>
          </w:tcPr>
          <w:p>
            <w:pPr>
              <w:ind w:left="680"/>
              <w:spacing w:after="0" w:line="144" w:lineRule="exact"/>
              <w:rPr>
                <w:sz w:val="20"/>
                <w:szCs w:val="20"/>
                <w:color w:val="auto"/>
              </w:rPr>
            </w:pPr>
            <w:r>
              <w:rPr>
                <w:rFonts w:ascii="Arial" w:cs="Arial" w:eastAsia="Arial" w:hAnsi="Arial"/>
                <w:sz w:val="13"/>
                <w:szCs w:val="13"/>
                <w:color w:val="auto"/>
              </w:rPr>
              <w:t>Total liabilities</w:t>
            </w: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106,557</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105,903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Commitments and contingencies (Note 13)</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b w:val="1"/>
                <w:bCs w:val="1"/>
                <w:color w:val="auto"/>
              </w:rPr>
              <w:t>Convertible preferred units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0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2019 convertible preferred units, no par value; none issued and outstanding as of</w:t>
            </w: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700" w:type="dxa"/>
            <w:vAlign w:val="bottom"/>
            <w:shd w:val="clear" w:color="auto" w:fill="CFF0FC"/>
          </w:tcPr>
          <w:p>
            <w:pPr>
              <w:ind w:left="100"/>
              <w:spacing w:after="0" w:line="139" w:lineRule="exact"/>
              <w:rPr>
                <w:sz w:val="20"/>
                <w:szCs w:val="20"/>
                <w:color w:val="auto"/>
              </w:rPr>
            </w:pPr>
            <w:r>
              <w:rPr>
                <w:rFonts w:ascii="Arial" w:cs="Arial" w:eastAsia="Arial" w:hAnsi="Arial"/>
                <w:sz w:val="13"/>
                <w:szCs w:val="13"/>
                <w:color w:val="auto"/>
              </w:rPr>
              <w:t>December 31, 2021 and 600,000 units authorized, issued and outstanding as of</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December 31, 2020; liquidation preference $5,444 as of December 31, 2020</w:t>
            </w:r>
          </w:p>
        </w:tc>
        <w:tc>
          <w:tcPr>
            <w:tcW w:w="10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b w:val="1"/>
                <w:bCs w:val="1"/>
                <w:color w:val="auto"/>
              </w:rPr>
              <w:t>Members' equity</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0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Common units, no par value; none issued and outstanding as of</w:t>
            </w: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700" w:type="dxa"/>
            <w:vAlign w:val="bottom"/>
            <w:shd w:val="clear" w:color="auto" w:fill="CFF0FC"/>
          </w:tcPr>
          <w:p>
            <w:pPr>
              <w:ind w:left="100"/>
              <w:spacing w:after="0" w:line="139" w:lineRule="exact"/>
              <w:rPr>
                <w:sz w:val="20"/>
                <w:szCs w:val="20"/>
                <w:color w:val="auto"/>
              </w:rPr>
            </w:pPr>
            <w:r>
              <w:rPr>
                <w:rFonts w:ascii="Arial" w:cs="Arial" w:eastAsia="Arial" w:hAnsi="Arial"/>
                <w:sz w:val="13"/>
                <w:szCs w:val="13"/>
                <w:color w:val="auto"/>
              </w:rPr>
              <w:t>December 31, 2021 and 400,000 units authorized, issued and outstanding</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as of December 31, 2020</w:t>
            </w:r>
          </w:p>
        </w:tc>
        <w:tc>
          <w:tcPr>
            <w:tcW w:w="10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0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92,187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Accumulated deficit</w:t>
            </w:r>
          </w:p>
        </w:tc>
        <w:tc>
          <w:tcPr>
            <w:tcW w:w="10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(72,070)</w:t>
            </w: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0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Preferred stock, $0.001 par value, 10,000,000 shares authorized, none issued and</w:t>
            </w: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outstanding as of December 31, 2021</w:t>
            </w:r>
          </w:p>
        </w:tc>
        <w:tc>
          <w:tcPr>
            <w:tcW w:w="10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7700" w:type="dxa"/>
            <w:vAlign w:val="bottom"/>
          </w:tcPr>
          <w:p>
            <w:pPr>
              <w:spacing w:after="0" w:line="133" w:lineRule="exact"/>
              <w:rPr>
                <w:sz w:val="20"/>
                <w:szCs w:val="20"/>
                <w:color w:val="auto"/>
              </w:rPr>
            </w:pPr>
            <w:r>
              <w:rPr>
                <w:rFonts w:ascii="Arial" w:cs="Arial" w:eastAsia="Arial" w:hAnsi="Arial"/>
                <w:sz w:val="13"/>
                <w:szCs w:val="13"/>
                <w:color w:val="auto"/>
              </w:rPr>
              <w:t>Class A common stock, $0.001 par value; 450,000,000 shares authorized and</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700" w:type="dxa"/>
            <w:vAlign w:val="bottom"/>
          </w:tcPr>
          <w:p>
            <w:pPr>
              <w:ind w:left="100"/>
              <w:spacing w:after="0" w:line="139" w:lineRule="exact"/>
              <w:rPr>
                <w:sz w:val="20"/>
                <w:szCs w:val="20"/>
                <w:color w:val="auto"/>
              </w:rPr>
            </w:pPr>
            <w:r>
              <w:rPr>
                <w:rFonts w:ascii="Arial" w:cs="Arial" w:eastAsia="Arial" w:hAnsi="Arial"/>
                <w:sz w:val="13"/>
                <w:szCs w:val="13"/>
                <w:color w:val="auto"/>
              </w:rPr>
              <w:t>13,920,868 shares issued and 13,704,638 shares outstanding as of</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00"/>
              <w:spacing w:after="0"/>
              <w:rPr>
                <w:sz w:val="20"/>
                <w:szCs w:val="20"/>
                <w:color w:val="auto"/>
              </w:rPr>
            </w:pPr>
            <w:r>
              <w:rPr>
                <w:rFonts w:ascii="Arial" w:cs="Arial" w:eastAsia="Arial" w:hAnsi="Arial"/>
                <w:sz w:val="13"/>
                <w:szCs w:val="13"/>
                <w:color w:val="auto"/>
              </w:rPr>
              <w:t>December 31, 2021</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770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Class B common stock, $0.001 par value; 150,000,000 shares authorized and</w:t>
            </w: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47,107,130 shares issued and outstanding as of December 31, 2021</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82,888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Accumulated deficit</w:t>
            </w:r>
          </w:p>
        </w:tc>
        <w:tc>
          <w:tcPr>
            <w:tcW w:w="10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(20,139)</w:t>
            </w: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Treasury stock, at cost; 216,230 shares as of December 31, 2021</w:t>
            </w:r>
          </w:p>
        </w:tc>
        <w:tc>
          <w:tcPr>
            <w:tcW w:w="10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(2,648)</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700" w:type="dxa"/>
            <w:vAlign w:val="bottom"/>
            <w:tcBorders>
              <w:top w:val="single" w:sz="8" w:color="CFF0FC"/>
            </w:tcBorders>
            <w:shd w:val="clear" w:color="auto" w:fill="CFF0FC"/>
          </w:tcPr>
          <w:p>
            <w:pPr>
              <w:ind w:left="460"/>
              <w:spacing w:after="0" w:line="144" w:lineRule="exact"/>
              <w:rPr>
                <w:sz w:val="20"/>
                <w:szCs w:val="20"/>
                <w:color w:val="auto"/>
              </w:rPr>
            </w:pPr>
            <w:r>
              <w:rPr>
                <w:rFonts w:ascii="Arial" w:cs="Arial" w:eastAsia="Arial" w:hAnsi="Arial"/>
                <w:sz w:val="13"/>
                <w:szCs w:val="13"/>
                <w:color w:val="auto"/>
              </w:rPr>
              <w:t>Total stockholders' equity attributable to Viant Technology Inc./members' equity</w:t>
            </w: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60,162</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20,117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222,412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700" w:type="dxa"/>
            <w:vAlign w:val="bottom"/>
            <w:tcBorders>
              <w:top w:val="single" w:sz="8" w:color="CFF0FC"/>
            </w:tcBorders>
            <w:shd w:val="clear" w:color="auto" w:fill="CFF0FC"/>
          </w:tcPr>
          <w:p>
            <w:pPr>
              <w:spacing w:after="0" w:line="144" w:lineRule="exact"/>
              <w:rPr>
                <w:sz w:val="20"/>
                <w:szCs w:val="20"/>
                <w:color w:val="auto"/>
              </w:rPr>
            </w:pPr>
            <w:r>
              <w:rPr>
                <w:rFonts w:ascii="Arial" w:cs="Arial" w:eastAsia="Arial" w:hAnsi="Arial"/>
                <w:sz w:val="13"/>
                <w:szCs w:val="13"/>
                <w:color w:val="auto"/>
              </w:rPr>
              <w:t>Total equity</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282,574</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20,117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00" w:type="dxa"/>
            <w:vAlign w:val="bottom"/>
          </w:tcPr>
          <w:p>
            <w:pPr>
              <w:ind w:left="460"/>
              <w:spacing w:after="0" w:line="144" w:lineRule="exact"/>
              <w:rPr>
                <w:sz w:val="20"/>
                <w:szCs w:val="20"/>
                <w:color w:val="auto"/>
              </w:rPr>
            </w:pPr>
            <w:r>
              <w:rPr>
                <w:rFonts w:ascii="Arial" w:cs="Arial" w:eastAsia="Arial" w:hAnsi="Arial"/>
                <w:sz w:val="13"/>
                <w:szCs w:val="13"/>
                <w:color w:val="auto"/>
              </w:rPr>
              <w:t>Total liabilities, convertible preferred units and stockholders' equity/members' equity</w:t>
            </w:r>
          </w:p>
        </w:tc>
        <w:tc>
          <w:tcPr>
            <w:tcW w:w="1000" w:type="dxa"/>
            <w:vAlign w:val="bottom"/>
            <w:tcBorders>
              <w:bottom w:val="single" w:sz="8" w:color="auto"/>
            </w:tcBorders>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389,131</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133,520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VIANT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share/unit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4"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224,127</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165,251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164,892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Platform operations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129,604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88,260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28,887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Technology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25,372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46,904</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266,922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143,484</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152,097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(42,795)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21,767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Pr>
          <w:p>
            <w:pPr>
              <w:ind w:left="240"/>
              <w:spacing w:after="0"/>
              <w:rPr>
                <w:sz w:val="20"/>
                <w:szCs w:val="20"/>
                <w:color w:val="auto"/>
              </w:rPr>
            </w:pPr>
            <w:r>
              <w:rPr>
                <w:rFonts w:ascii="Arial" w:cs="Arial" w:eastAsia="Arial" w:hAnsi="Arial"/>
                <w:sz w:val="17"/>
                <w:szCs w:val="17"/>
                <w:color w:val="auto"/>
              </w:rPr>
              <w:t>Other expense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Gain on extinguishment of debt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(6,110)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color w:val="auto"/>
              </w:rPr>
              <w:t>Total other expense (income), net</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(5,186)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(37,609)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7"/>
                <w:szCs w:val="17"/>
                <w:color w:val="auto"/>
              </w:rPr>
              <w:t>Less: Net loss attributable to noncontrolling interests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(29,867)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 attributable to Viant Technology Inc.</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8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(7,742)</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Earnings (loss) per Class A common stock/unit: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(0.63)</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(0.63)</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20.64</w:t>
            </w:r>
          </w:p>
        </w:tc>
        <w:tc>
          <w:tcPr>
            <w:tcW w:w="24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Class A common stock/units outstanding: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12,364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VIANT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2"/>
              </w:rPr>
              <w:t>Year Ended December 31, 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7"/>
          </w:tcPr>
          <w:p>
            <w:pPr>
              <w:ind w:left="240"/>
              <w:spacing w:after="0"/>
              <w:rPr>
                <w:sz w:val="20"/>
                <w:szCs w:val="20"/>
                <w:color w:val="auto"/>
              </w:rPr>
            </w:pPr>
            <w:r>
              <w:rPr>
                <w:rFonts w:ascii="Arial" w:cs="Arial" w:eastAsia="Arial" w:hAnsi="Arial"/>
                <w:sz w:val="13"/>
                <w:szCs w:val="13"/>
                <w:b w:val="1"/>
                <w:bCs w:val="1"/>
                <w:color w:val="auto"/>
              </w:rPr>
              <w:t>Year Ended December 31, 2020</w:t>
            </w:r>
          </w:p>
        </w:tc>
        <w:tc>
          <w:tcPr>
            <w:tcW w:w="120" w:type="dxa"/>
            <w:vAlign w:val="bottom"/>
          </w:tcPr>
          <w:p>
            <w:pPr>
              <w:spacing w:after="0"/>
              <w:rPr>
                <w:sz w:val="13"/>
                <w:szCs w:val="13"/>
                <w:color w:val="auto"/>
              </w:rPr>
            </w:pPr>
          </w:p>
        </w:tc>
        <w:tc>
          <w:tcPr>
            <w:tcW w:w="2400" w:type="dxa"/>
            <w:vAlign w:val="bottom"/>
            <w:gridSpan w:val="7"/>
          </w:tcPr>
          <w:p>
            <w:pPr>
              <w:ind w:left="220"/>
              <w:spacing w:after="0"/>
              <w:rPr>
                <w:sz w:val="20"/>
                <w:szCs w:val="20"/>
                <w:color w:val="auto"/>
              </w:rPr>
            </w:pPr>
            <w:r>
              <w:rPr>
                <w:rFonts w:ascii="Arial" w:cs="Arial" w:eastAsia="Arial" w:hAnsi="Arial"/>
                <w:sz w:val="13"/>
                <w:szCs w:val="13"/>
                <w:b w:val="1"/>
                <w:bCs w:val="1"/>
                <w:color w:val="auto"/>
              </w:rPr>
              <w:t>Year Ended December 31, 2019</w:t>
            </w:r>
          </w:p>
        </w:tc>
        <w:tc>
          <w:tcPr>
            <w:tcW w:w="0" w:type="dxa"/>
            <w:vAlign w:val="bottom"/>
          </w:tcPr>
          <w:p>
            <w:pPr>
              <w:spacing w:after="0"/>
              <w:rPr>
                <w:sz w:val="1"/>
                <w:szCs w:val="1"/>
                <w:color w:val="auto"/>
              </w:rPr>
            </w:pPr>
          </w:p>
        </w:tc>
      </w:tr>
      <w:tr>
        <w:trPr>
          <w:trHeight w:val="136"/>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380"/>
              <w:spacing w:after="0" w:line="136" w:lineRule="exact"/>
              <w:rPr>
                <w:sz w:val="20"/>
                <w:szCs w:val="20"/>
                <w:color w:val="auto"/>
              </w:rPr>
            </w:pPr>
            <w:r>
              <w:rPr>
                <w:rFonts w:ascii="Arial" w:cs="Arial" w:eastAsia="Arial" w:hAnsi="Arial"/>
                <w:sz w:val="13"/>
                <w:szCs w:val="13"/>
                <w:b w:val="1"/>
                <w:bCs w:val="1"/>
                <w:color w:val="auto"/>
              </w:rPr>
              <w:t>Viant</w:t>
            </w:r>
          </w:p>
        </w:tc>
        <w:tc>
          <w:tcPr>
            <w:tcW w:w="1000" w:type="dxa"/>
            <w:vAlign w:val="bottom"/>
            <w:tcBorders>
              <w:top w:val="single" w:sz="8" w:color="auto"/>
            </w:tcBorders>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2"/>
              </w:rPr>
              <w:t>Noncontrolling</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40"/>
              <w:spacing w:after="0" w:line="136" w:lineRule="exact"/>
              <w:rPr>
                <w:sz w:val="20"/>
                <w:szCs w:val="20"/>
                <w:color w:val="auto"/>
              </w:rPr>
            </w:pPr>
            <w:r>
              <w:rPr>
                <w:rFonts w:ascii="Arial" w:cs="Arial" w:eastAsia="Arial" w:hAnsi="Arial"/>
                <w:sz w:val="13"/>
                <w:szCs w:val="13"/>
                <w:b w:val="1"/>
                <w:bCs w:val="1"/>
                <w:color w:val="auto"/>
              </w:rPr>
              <w:t>Viant</w:t>
            </w:r>
          </w:p>
        </w:tc>
        <w:tc>
          <w:tcPr>
            <w:tcW w:w="88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w w:val="92"/>
              </w:rPr>
              <w:t>Noncontrolling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40"/>
              <w:spacing w:after="0" w:line="136" w:lineRule="exact"/>
              <w:rPr>
                <w:sz w:val="20"/>
                <w:szCs w:val="20"/>
                <w:color w:val="auto"/>
              </w:rPr>
            </w:pPr>
            <w:r>
              <w:rPr>
                <w:rFonts w:ascii="Arial" w:cs="Arial" w:eastAsia="Arial" w:hAnsi="Arial"/>
                <w:sz w:val="13"/>
                <w:szCs w:val="13"/>
                <w:b w:val="1"/>
                <w:bCs w:val="1"/>
                <w:color w:val="auto"/>
              </w:rPr>
              <w:t>Viant</w:t>
            </w:r>
          </w:p>
        </w:tc>
        <w:tc>
          <w:tcPr>
            <w:tcW w:w="106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3"/>
                <w:szCs w:val="13"/>
                <w:b w:val="1"/>
                <w:bCs w:val="1"/>
                <w:color w:val="auto"/>
              </w:rPr>
              <w:t>Noncontrolling</w:t>
            </w: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2"/>
                <w:szCs w:val="12"/>
                <w:color w:val="auto"/>
              </w:rPr>
            </w:pPr>
          </w:p>
        </w:tc>
        <w:tc>
          <w:tcPr>
            <w:tcW w:w="1000" w:type="dxa"/>
            <w:vAlign w:val="bottom"/>
            <w:gridSpan w:val="4"/>
          </w:tcPr>
          <w:p>
            <w:pPr>
              <w:ind w:left="160"/>
              <w:spacing w:after="0" w:line="139" w:lineRule="exact"/>
              <w:rPr>
                <w:sz w:val="20"/>
                <w:szCs w:val="20"/>
                <w:color w:val="auto"/>
              </w:rPr>
            </w:pPr>
            <w:r>
              <w:rPr>
                <w:rFonts w:ascii="Arial" w:cs="Arial" w:eastAsia="Arial" w:hAnsi="Arial"/>
                <w:sz w:val="13"/>
                <w:szCs w:val="13"/>
                <w:b w:val="1"/>
                <w:bCs w:val="1"/>
                <w:color w:val="auto"/>
              </w:rPr>
              <w:t>Technology</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02"/>
              <w:spacing w:after="0"/>
              <w:rPr>
                <w:sz w:val="20"/>
                <w:szCs w:val="20"/>
                <w:color w:val="auto"/>
              </w:rPr>
            </w:pPr>
            <w:r>
              <w:rPr>
                <w:rFonts w:ascii="Arial" w:cs="Arial" w:eastAsia="Arial" w:hAnsi="Arial"/>
                <w:sz w:val="13"/>
                <w:szCs w:val="13"/>
                <w:b w:val="1"/>
                <w:bCs w:val="1"/>
                <w:color w:val="auto"/>
              </w:rPr>
              <w:t>Total</w:t>
            </w:r>
          </w:p>
        </w:tc>
        <w:tc>
          <w:tcPr>
            <w:tcW w:w="140" w:type="dxa"/>
            <w:vAlign w:val="bottom"/>
            <w:vMerge w:val="restart"/>
          </w:tcPr>
          <w:p>
            <w:pPr>
              <w:spacing w:after="0"/>
              <w:rPr>
                <w:sz w:val="12"/>
                <w:szCs w:val="12"/>
                <w:color w:val="auto"/>
              </w:rPr>
            </w:pPr>
          </w:p>
        </w:tc>
        <w:tc>
          <w:tcPr>
            <w:tcW w:w="920" w:type="dxa"/>
            <w:vAlign w:val="bottom"/>
            <w:gridSpan w:val="4"/>
          </w:tcPr>
          <w:p>
            <w:pPr>
              <w:ind w:left="80"/>
              <w:spacing w:after="0" w:line="139" w:lineRule="exact"/>
              <w:rPr>
                <w:sz w:val="20"/>
                <w:szCs w:val="20"/>
                <w:color w:val="auto"/>
              </w:rPr>
            </w:pPr>
            <w:r>
              <w:rPr>
                <w:rFonts w:ascii="Arial" w:cs="Arial" w:eastAsia="Arial" w:hAnsi="Arial"/>
                <w:sz w:val="13"/>
                <w:szCs w:val="13"/>
                <w:b w:val="1"/>
                <w:bCs w:val="1"/>
                <w:color w:val="auto"/>
              </w:rPr>
              <w:t>Technology</w:t>
            </w:r>
          </w:p>
        </w:tc>
        <w:tc>
          <w:tcPr>
            <w:tcW w:w="160" w:type="dxa"/>
            <w:vAlign w:val="bottom"/>
          </w:tcPr>
          <w:p>
            <w:pPr>
              <w:spacing w:after="0"/>
              <w:rPr>
                <w:sz w:val="12"/>
                <w:szCs w:val="12"/>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2"/>
                <w:szCs w:val="12"/>
                <w:color w:val="auto"/>
              </w:rPr>
            </w:pPr>
          </w:p>
        </w:tc>
        <w:tc>
          <w:tcPr>
            <w:tcW w:w="620" w:type="dxa"/>
            <w:vAlign w:val="bottom"/>
            <w:vMerge w:val="restart"/>
          </w:tcPr>
          <w:p>
            <w:pPr>
              <w:jc w:val="right"/>
              <w:ind w:right="102"/>
              <w:spacing w:after="0"/>
              <w:rPr>
                <w:sz w:val="20"/>
                <w:szCs w:val="20"/>
                <w:color w:val="auto"/>
              </w:rPr>
            </w:pPr>
            <w:r>
              <w:rPr>
                <w:rFonts w:ascii="Arial" w:cs="Arial" w:eastAsia="Arial" w:hAnsi="Arial"/>
                <w:sz w:val="13"/>
                <w:szCs w:val="13"/>
                <w:b w:val="1"/>
                <w:bCs w:val="1"/>
                <w:color w:val="auto"/>
              </w:rPr>
              <w:t>Total</w:t>
            </w:r>
          </w:p>
        </w:tc>
        <w:tc>
          <w:tcPr>
            <w:tcW w:w="220" w:type="dxa"/>
            <w:vAlign w:val="bottom"/>
            <w:vMerge w:val="restart"/>
          </w:tcPr>
          <w:p>
            <w:pPr>
              <w:spacing w:after="0"/>
              <w:rPr>
                <w:sz w:val="12"/>
                <w:szCs w:val="12"/>
                <w:color w:val="auto"/>
              </w:rPr>
            </w:pPr>
          </w:p>
        </w:tc>
        <w:tc>
          <w:tcPr>
            <w:tcW w:w="8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Technology</w:t>
            </w:r>
          </w:p>
        </w:tc>
        <w:tc>
          <w:tcPr>
            <w:tcW w:w="140" w:type="dxa"/>
            <w:vAlign w:val="bottom"/>
          </w:tcPr>
          <w:p>
            <w:pPr>
              <w:spacing w:after="0"/>
              <w:rPr>
                <w:sz w:val="12"/>
                <w:szCs w:val="12"/>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Interest</w:t>
            </w:r>
          </w:p>
        </w:tc>
        <w:tc>
          <w:tcPr>
            <w:tcW w:w="200" w:type="dxa"/>
            <w:vAlign w:val="bottom"/>
            <w:vMerge w:val="restart"/>
          </w:tcPr>
          <w:p>
            <w:pPr>
              <w:spacing w:after="0"/>
              <w:rPr>
                <w:sz w:val="12"/>
                <w:szCs w:val="12"/>
                <w:color w:val="auto"/>
              </w:rPr>
            </w:pPr>
          </w:p>
        </w:tc>
        <w:tc>
          <w:tcPr>
            <w:tcW w:w="540" w:type="dxa"/>
            <w:vAlign w:val="bottom"/>
            <w:vMerge w:val="restart"/>
          </w:tcPr>
          <w:p>
            <w:pPr>
              <w:jc w:val="right"/>
              <w:ind w:right="40"/>
              <w:spacing w:after="0"/>
              <w:rPr>
                <w:sz w:val="20"/>
                <w:szCs w:val="20"/>
                <w:color w:val="auto"/>
              </w:rPr>
            </w:pPr>
            <w:r>
              <w:rPr>
                <w:rFonts w:ascii="Arial" w:cs="Arial" w:eastAsia="Arial" w:hAnsi="Arial"/>
                <w:sz w:val="13"/>
                <w:szCs w:val="13"/>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Inc.</w:t>
            </w:r>
          </w:p>
        </w:tc>
        <w:tc>
          <w:tcPr>
            <w:tcW w:w="2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Inc.</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Inc.</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2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(7,742)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(29,867)</w:t>
            </w: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8"/>
              </w:rPr>
              <w:t>$ (37,609)</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$ 20,638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9,924</w:t>
            </w: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$ 9,924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3"/>
              </w:rPr>
              <w:t>Foreign currency translation adjustments</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7"/>
              </w:rPr>
              <w:t>Total other comprehensive income (loss)</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20" w:type="dxa"/>
            <w:vAlign w:val="bottom"/>
            <w:shd w:val="clear" w:color="auto" w:fill="CFF0FC"/>
          </w:tcPr>
          <w:p>
            <w:pPr>
              <w:spacing w:after="0"/>
              <w:rPr>
                <w:sz w:val="20"/>
                <w:szCs w:val="20"/>
                <w:color w:val="auto"/>
              </w:rPr>
            </w:pPr>
            <w:r>
              <w:rPr>
                <w:rFonts w:ascii="Arial" w:cs="Arial" w:eastAsia="Arial" w:hAnsi="Arial"/>
                <w:sz w:val="17"/>
                <w:szCs w:val="17"/>
                <w:color w:val="auto"/>
              </w:rPr>
              <w:t>Comprehensive income (loss)</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(7,742)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(29,867)</w:t>
            </w: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8"/>
              </w:rPr>
              <w:t>$ (37,609)</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ind w:left="3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$ 20,638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9,943</w:t>
            </w: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$ 9,943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VIANT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UNITS AND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1260" w:type="dxa"/>
            <w:vAlign w:val="bottom"/>
            <w:tcBorders>
              <w:right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3"/>
                <w:szCs w:val="13"/>
                <w:color w:val="auto"/>
              </w:rPr>
            </w:pPr>
          </w:p>
        </w:tc>
        <w:tc>
          <w:tcPr>
            <w:tcW w:w="800" w:type="dxa"/>
            <w:vAlign w:val="bottom"/>
            <w:gridSpan w:val="3"/>
          </w:tcPr>
          <w:p>
            <w:pPr>
              <w:jc w:val="center"/>
              <w:ind w:left="113"/>
              <w:spacing w:after="0"/>
              <w:rPr>
                <w:sz w:val="20"/>
                <w:szCs w:val="20"/>
                <w:color w:val="auto"/>
              </w:rPr>
            </w:pPr>
            <w:r>
              <w:rPr>
                <w:rFonts w:ascii="Arial" w:cs="Arial" w:eastAsia="Arial" w:hAnsi="Arial"/>
                <w:sz w:val="13"/>
                <w:szCs w:val="13"/>
                <w:b w:val="1"/>
                <w:bCs w:val="1"/>
                <w:color w:val="auto"/>
                <w:w w:val="95"/>
              </w:rPr>
              <w:t>Common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left="133"/>
              <w:spacing w:after="0"/>
              <w:rPr>
                <w:sz w:val="20"/>
                <w:szCs w:val="20"/>
                <w:color w:val="auto"/>
              </w:rPr>
            </w:pPr>
            <w:r>
              <w:rPr>
                <w:rFonts w:ascii="Arial" w:cs="Arial" w:eastAsia="Arial" w:hAnsi="Arial"/>
                <w:sz w:val="13"/>
                <w:szCs w:val="13"/>
                <w:b w:val="1"/>
                <w:bCs w:val="1"/>
                <w:color w:val="auto"/>
                <w:w w:val="92"/>
              </w:rPr>
              <w:t>Class A</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left="133"/>
              <w:spacing w:after="0"/>
              <w:rPr>
                <w:sz w:val="20"/>
                <w:szCs w:val="20"/>
                <w:color w:val="auto"/>
              </w:rPr>
            </w:pPr>
            <w:r>
              <w:rPr>
                <w:rFonts w:ascii="Arial" w:cs="Arial" w:eastAsia="Arial" w:hAnsi="Arial"/>
                <w:sz w:val="13"/>
                <w:szCs w:val="13"/>
                <w:b w:val="1"/>
                <w:bCs w:val="1"/>
                <w:color w:val="auto"/>
                <w:w w:val="92"/>
              </w:rPr>
              <w:t>Class B</w:t>
            </w:r>
          </w:p>
        </w:tc>
        <w:tc>
          <w:tcPr>
            <w:tcW w:w="220" w:type="dxa"/>
            <w:vAlign w:val="bottom"/>
          </w:tcPr>
          <w:p>
            <w:pPr>
              <w:spacing w:after="0"/>
              <w:rPr>
                <w:sz w:val="13"/>
                <w:szCs w:val="13"/>
                <w:color w:val="auto"/>
              </w:rPr>
            </w:pPr>
          </w:p>
        </w:tc>
        <w:tc>
          <w:tcPr>
            <w:tcW w:w="760" w:type="dxa"/>
            <w:vAlign w:val="bottom"/>
            <w:gridSpan w:val="3"/>
          </w:tcPr>
          <w:p>
            <w:pPr>
              <w:jc w:val="center"/>
              <w:ind w:left="73"/>
              <w:spacing w:after="0"/>
              <w:rPr>
                <w:sz w:val="20"/>
                <w:szCs w:val="20"/>
                <w:color w:val="auto"/>
              </w:rPr>
            </w:pPr>
            <w:r>
              <w:rPr>
                <w:rFonts w:ascii="Arial" w:cs="Arial" w:eastAsia="Arial" w:hAnsi="Arial"/>
                <w:sz w:val="13"/>
                <w:szCs w:val="13"/>
                <w:b w:val="1"/>
                <w:bCs w:val="1"/>
                <w:color w:val="auto"/>
                <w:w w:val="97"/>
              </w:rPr>
              <w:t>Additional</w:t>
            </w:r>
          </w:p>
        </w:tc>
        <w:tc>
          <w:tcPr>
            <w:tcW w:w="9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9"/>
              </w:rPr>
              <w:t>Members'</w:t>
            </w:r>
          </w:p>
        </w:tc>
        <w:tc>
          <w:tcPr>
            <w:tcW w:w="820" w:type="dxa"/>
            <w:vAlign w:val="bottom"/>
            <w:gridSpan w:val="3"/>
          </w:tcPr>
          <w:p>
            <w:pPr>
              <w:ind w:left="260"/>
              <w:spacing w:after="0"/>
              <w:rPr>
                <w:sz w:val="20"/>
                <w:szCs w:val="20"/>
                <w:color w:val="auto"/>
              </w:rPr>
            </w:pPr>
            <w:r>
              <w:rPr>
                <w:rFonts w:ascii="Arial" w:cs="Arial" w:eastAsia="Arial" w:hAnsi="Arial"/>
                <w:sz w:val="13"/>
                <w:szCs w:val="13"/>
                <w:b w:val="1"/>
                <w:bCs w:val="1"/>
                <w:color w:val="auto"/>
                <w:w w:val="98"/>
              </w:rPr>
              <w:t>Treasury</w:t>
            </w:r>
          </w:p>
        </w:tc>
        <w:tc>
          <w:tcPr>
            <w:tcW w:w="200" w:type="dxa"/>
            <w:vAlign w:val="bottom"/>
          </w:tcPr>
          <w:p>
            <w:pPr>
              <w:spacing w:after="0"/>
              <w:rPr>
                <w:sz w:val="13"/>
                <w:szCs w:val="13"/>
                <w:color w:val="auto"/>
              </w:rPr>
            </w:pPr>
          </w:p>
        </w:tc>
        <w:tc>
          <w:tcPr>
            <w:tcW w:w="10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1260" w:type="dxa"/>
            <w:vAlign w:val="bottom"/>
            <w:tcBorders>
              <w:right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rPr>
              <w:t>Preferred Units</w:t>
            </w:r>
          </w:p>
        </w:tc>
        <w:tc>
          <w:tcPr>
            <w:tcW w:w="60" w:type="dxa"/>
            <w:vAlign w:val="bottom"/>
          </w:tcPr>
          <w:p>
            <w:pPr>
              <w:spacing w:after="0"/>
              <w:rPr>
                <w:sz w:val="13"/>
                <w:szCs w:val="13"/>
                <w:color w:val="auto"/>
              </w:rPr>
            </w:pPr>
          </w:p>
        </w:tc>
        <w:tc>
          <w:tcPr>
            <w:tcW w:w="800" w:type="dxa"/>
            <w:vAlign w:val="bottom"/>
            <w:gridSpan w:val="3"/>
          </w:tcPr>
          <w:p>
            <w:pPr>
              <w:jc w:val="center"/>
              <w:ind w:left="113"/>
              <w:spacing w:after="0"/>
              <w:rPr>
                <w:sz w:val="20"/>
                <w:szCs w:val="20"/>
                <w:color w:val="auto"/>
              </w:rPr>
            </w:pPr>
            <w:r>
              <w:rPr>
                <w:rFonts w:ascii="Arial" w:cs="Arial" w:eastAsia="Arial" w:hAnsi="Arial"/>
                <w:sz w:val="13"/>
                <w:szCs w:val="13"/>
                <w:b w:val="1"/>
                <w:bCs w:val="1"/>
                <w:color w:val="auto"/>
                <w:w w:val="92"/>
              </w:rPr>
              <w:t>Units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2"/>
              </w:rPr>
              <w:t>Common Stock</w:t>
            </w: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33"/>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gridSpan w:val="3"/>
          </w:tcPr>
          <w:p>
            <w:pPr>
              <w:ind w:left="360"/>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w w:val="98"/>
              </w:rPr>
              <w:t>Units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Units</w:t>
            </w:r>
          </w:p>
        </w:tc>
        <w:tc>
          <w:tcPr>
            <w:tcW w:w="620" w:type="dxa"/>
            <w:vAlign w:val="bottom"/>
            <w:tcBorders>
              <w:top w:val="single" w:sz="8" w:color="auto"/>
            </w:tcBorders>
            <w:gridSpan w:val="3"/>
          </w:tcPr>
          <w:p>
            <w:pPr>
              <w:jc w:val="right"/>
              <w:spacing w:after="0" w:line="144"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36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w w:val="98"/>
              </w:rPr>
              <w:t>Units</w:t>
            </w:r>
          </w:p>
        </w:tc>
        <w:tc>
          <w:tcPr>
            <w:tcW w:w="620" w:type="dxa"/>
            <w:vAlign w:val="bottom"/>
            <w:tcBorders>
              <w:top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98"/>
              </w:rPr>
              <w:t>Units</w:t>
            </w:r>
          </w:p>
        </w:tc>
        <w:tc>
          <w:tcPr>
            <w:tcW w:w="640" w:type="dxa"/>
            <w:vAlign w:val="bottom"/>
            <w:tcBorders>
              <w:top w:val="single" w:sz="8" w:color="auto"/>
            </w:tcBorders>
            <w:gridSpan w:val="3"/>
          </w:tcPr>
          <w:p>
            <w:pPr>
              <w:ind w:left="160"/>
              <w:spacing w:after="0" w:line="144"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3"/>
              <w:spacing w:after="0" w:line="144" w:lineRule="exact"/>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Equity</w:t>
            </w:r>
          </w:p>
        </w:tc>
        <w:tc>
          <w:tcPr>
            <w:tcW w:w="40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87"/>
              </w:rPr>
              <w:t>Shares</w:t>
            </w:r>
          </w:p>
        </w:tc>
        <w:tc>
          <w:tcPr>
            <w:tcW w:w="620" w:type="dxa"/>
            <w:vAlign w:val="bottom"/>
            <w:tcBorders>
              <w:top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2"/>
                <w:szCs w:val="12"/>
                <w:color w:val="auto"/>
              </w:rPr>
            </w:pPr>
          </w:p>
        </w:tc>
        <w:tc>
          <w:tcPr>
            <w:tcW w:w="580" w:type="dxa"/>
            <w:vAlign w:val="bottom"/>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3"/>
        </w:trPr>
        <w:tc>
          <w:tcPr>
            <w:tcW w:w="12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3"/>
                <w:szCs w:val="13"/>
                <w:b w:val="1"/>
                <w:bCs w:val="1"/>
                <w:color w:val="auto"/>
              </w:rPr>
              <w:t>Balance as of</w:t>
            </w:r>
          </w:p>
        </w:tc>
        <w:tc>
          <w:tcPr>
            <w:tcW w:w="3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December 31, 2018</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$ 45,000</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ind w:left="500"/>
              <w:spacing w:after="0"/>
              <w:rPr>
                <w:sz w:val="20"/>
                <w:szCs w:val="20"/>
                <w:color w:val="auto"/>
              </w:rPr>
            </w:pPr>
            <w:r>
              <w:rPr>
                <w:rFonts w:ascii="Arial" w:cs="Arial" w:eastAsia="Arial" w:hAnsi="Arial"/>
                <w:sz w:val="13"/>
                <w:szCs w:val="13"/>
                <w:color w:val="auto"/>
                <w:w w:val="91"/>
              </w:rPr>
              <w:t>—</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   (83,197)</w:t>
            </w:r>
          </w:p>
        </w:tc>
        <w:tc>
          <w:tcPr>
            <w:tcW w:w="40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ind w:left="600"/>
              <w:spacing w:after="0"/>
              <w:rPr>
                <w:sz w:val="20"/>
                <w:szCs w:val="20"/>
                <w:color w:val="auto"/>
              </w:rPr>
            </w:pPr>
            <w:r>
              <w:rPr>
                <w:rFonts w:ascii="Arial" w:cs="Arial" w:eastAsia="Arial" w:hAnsi="Arial"/>
                <w:sz w:val="13"/>
                <w:szCs w:val="13"/>
                <w:color w:val="auto"/>
                <w:w w:val="91"/>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 (83,197)</w:t>
            </w:r>
          </w:p>
        </w:tc>
        <w:tc>
          <w:tcPr>
            <w:tcW w:w="0" w:type="dxa"/>
            <w:vAlign w:val="bottom"/>
          </w:tcPr>
          <w:p>
            <w:pPr>
              <w:spacing w:after="0"/>
              <w:rPr>
                <w:sz w:val="1"/>
                <w:szCs w:val="1"/>
                <w:color w:val="auto"/>
              </w:rPr>
            </w:pPr>
          </w:p>
        </w:tc>
      </w:tr>
      <w:tr>
        <w:trPr>
          <w:trHeight w:val="133"/>
        </w:trPr>
        <w:tc>
          <w:tcPr>
            <w:tcW w:w="1240" w:type="dxa"/>
            <w:vAlign w:val="bottom"/>
          </w:tcPr>
          <w:p>
            <w:pPr>
              <w:ind w:left="240"/>
              <w:spacing w:after="0" w:line="133" w:lineRule="exact"/>
              <w:rPr>
                <w:sz w:val="20"/>
                <w:szCs w:val="20"/>
                <w:color w:val="auto"/>
              </w:rPr>
            </w:pPr>
            <w:r>
              <w:rPr>
                <w:rFonts w:ascii="Arial" w:cs="Arial" w:eastAsia="Arial" w:hAnsi="Arial"/>
                <w:sz w:val="13"/>
                <w:szCs w:val="13"/>
                <w:color w:val="auto"/>
              </w:rPr>
              <w:t>Unit-based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40" w:type="dxa"/>
            <w:vAlign w:val="bottom"/>
          </w:tcPr>
          <w:p>
            <w:pPr>
              <w:ind w:left="340"/>
              <w:spacing w:after="0"/>
              <w:rPr>
                <w:sz w:val="20"/>
                <w:szCs w:val="20"/>
                <w:color w:val="auto"/>
              </w:rPr>
            </w:pPr>
            <w:r>
              <w:rPr>
                <w:rFonts w:ascii="Arial" w:cs="Arial" w:eastAsia="Arial" w:hAnsi="Arial"/>
                <w:sz w:val="13"/>
                <w:szCs w:val="13"/>
                <w:color w:val="auto"/>
              </w:rPr>
              <w:t>compensation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1,090</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1,090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Vesting of</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common units</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1240" w:type="dxa"/>
            <w:vAlign w:val="bottom"/>
          </w:tcPr>
          <w:p>
            <w:pPr>
              <w:ind w:left="240"/>
              <w:spacing w:after="0" w:line="133" w:lineRule="exact"/>
              <w:rPr>
                <w:sz w:val="20"/>
                <w:szCs w:val="20"/>
                <w:color w:val="auto"/>
              </w:rPr>
            </w:pPr>
            <w:r>
              <w:rPr>
                <w:rFonts w:ascii="Arial" w:cs="Arial" w:eastAsia="Arial" w:hAnsi="Arial"/>
                <w:sz w:val="13"/>
                <w:szCs w:val="13"/>
                <w:color w:val="auto"/>
              </w:rPr>
              <w:t>Foreign currency</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ind w:left="340"/>
              <w:spacing w:after="0"/>
              <w:rPr>
                <w:sz w:val="20"/>
                <w:szCs w:val="20"/>
                <w:color w:val="auto"/>
              </w:rPr>
            </w:pPr>
            <w:r>
              <w:rPr>
                <w:rFonts w:ascii="Arial" w:cs="Arial" w:eastAsia="Arial" w:hAnsi="Arial"/>
                <w:sz w:val="13"/>
                <w:szCs w:val="13"/>
                <w:color w:val="auto"/>
              </w:rPr>
              <w:t>adjustments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Retirement of</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240"/>
              <w:spacing w:after="0" w:line="139" w:lineRule="exact"/>
              <w:rPr>
                <w:sz w:val="20"/>
                <w:szCs w:val="20"/>
                <w:color w:val="auto"/>
              </w:rPr>
            </w:pPr>
            <w:r>
              <w:rPr>
                <w:rFonts w:ascii="Arial" w:cs="Arial" w:eastAsia="Arial" w:hAnsi="Arial"/>
                <w:sz w:val="13"/>
                <w:szCs w:val="13"/>
                <w:color w:val="auto"/>
              </w:rPr>
              <w:t>2016</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convertible</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preferred units</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held by related</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party</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(600)</w:t>
            </w:r>
          </w:p>
        </w:tc>
        <w:tc>
          <w:tcPr>
            <w:tcW w:w="780" w:type="dxa"/>
            <w:vAlign w:val="bottom"/>
            <w:tcBorders>
              <w:right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(45,000)</w:t>
            </w: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45,000</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45,000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240"/>
              <w:spacing w:after="0" w:line="133" w:lineRule="exact"/>
              <w:rPr>
                <w:sz w:val="20"/>
                <w:szCs w:val="20"/>
                <w:color w:val="auto"/>
              </w:rPr>
            </w:pPr>
            <w:r>
              <w:rPr>
                <w:rFonts w:ascii="Arial" w:cs="Arial" w:eastAsia="Arial" w:hAnsi="Arial"/>
                <w:sz w:val="13"/>
                <w:szCs w:val="13"/>
                <w:color w:val="auto"/>
              </w:rPr>
              <w:t>Forgiveness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long-term debt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and accrued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interest with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related party,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240"/>
              <w:spacing w:after="0" w:line="139" w:lineRule="exact"/>
              <w:rPr>
                <w:sz w:val="20"/>
                <w:szCs w:val="20"/>
                <w:color w:val="auto"/>
              </w:rPr>
            </w:pPr>
            <w:r>
              <w:rPr>
                <w:rFonts w:ascii="Arial" w:cs="Arial" w:eastAsia="Arial" w:hAnsi="Arial"/>
                <w:sz w:val="13"/>
                <w:szCs w:val="13"/>
                <w:color w:val="auto"/>
              </w:rPr>
              <w:t>net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of transaction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ind w:left="340"/>
              <w:spacing w:after="0"/>
              <w:rPr>
                <w:sz w:val="20"/>
                <w:szCs w:val="20"/>
                <w:color w:val="auto"/>
              </w:rPr>
            </w:pPr>
            <w:r>
              <w:rPr>
                <w:rFonts w:ascii="Arial" w:cs="Arial" w:eastAsia="Arial" w:hAnsi="Arial"/>
                <w:sz w:val="13"/>
                <w:szCs w:val="13"/>
                <w:color w:val="auto"/>
              </w:rPr>
              <w:t>costs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44,069</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44,069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w w:val="98"/>
              </w:rPr>
              <w:t>Issuance of 2019</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convertible</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preferred units</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to a related</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party</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1240" w:type="dxa"/>
            <w:vAlign w:val="bottom"/>
          </w:tcPr>
          <w:p>
            <w:pPr>
              <w:ind w:left="240"/>
              <w:spacing w:after="0" w:line="133" w:lineRule="exact"/>
              <w:rPr>
                <w:sz w:val="20"/>
                <w:szCs w:val="20"/>
                <w:color w:val="auto"/>
              </w:rPr>
            </w:pPr>
            <w:r>
              <w:rPr>
                <w:rFonts w:ascii="Arial" w:cs="Arial" w:eastAsia="Arial" w:hAnsi="Arial"/>
                <w:sz w:val="13"/>
                <w:szCs w:val="13"/>
                <w:color w:val="auto"/>
              </w:rPr>
              <w:t>Beneficial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conversion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feature 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240"/>
              <w:spacing w:after="0" w:line="139" w:lineRule="exact"/>
              <w:rPr>
                <w:sz w:val="20"/>
                <w:szCs w:val="20"/>
                <w:color w:val="auto"/>
              </w:rPr>
            </w:pPr>
            <w:r>
              <w:rPr>
                <w:rFonts w:ascii="Arial" w:cs="Arial" w:eastAsia="Arial" w:hAnsi="Arial"/>
                <w:sz w:val="13"/>
                <w:szCs w:val="13"/>
                <w:color w:val="auto"/>
              </w:rPr>
              <w:t>2019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convertible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ind w:left="340"/>
              <w:spacing w:after="0"/>
              <w:rPr>
                <w:sz w:val="20"/>
                <w:szCs w:val="20"/>
                <w:color w:val="auto"/>
              </w:rPr>
            </w:pPr>
            <w:r>
              <w:rPr>
                <w:rFonts w:ascii="Arial" w:cs="Arial" w:eastAsia="Arial" w:hAnsi="Arial"/>
                <w:sz w:val="13"/>
                <w:szCs w:val="13"/>
                <w:color w:val="auto"/>
              </w:rPr>
              <w:t>preferred units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27,558</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27,558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Deemed</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240"/>
              <w:spacing w:after="0" w:line="139" w:lineRule="exact"/>
              <w:rPr>
                <w:sz w:val="20"/>
                <w:szCs w:val="20"/>
                <w:color w:val="auto"/>
              </w:rPr>
            </w:pPr>
            <w:r>
              <w:rPr>
                <w:rFonts w:ascii="Arial" w:cs="Arial" w:eastAsia="Arial" w:hAnsi="Arial"/>
                <w:sz w:val="13"/>
                <w:szCs w:val="13"/>
                <w:color w:val="auto"/>
              </w:rPr>
              <w:t>dividend</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related to</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beneficial</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conversion</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240"/>
              <w:spacing w:after="0" w:line="139" w:lineRule="exact"/>
              <w:rPr>
                <w:sz w:val="20"/>
                <w:szCs w:val="20"/>
                <w:color w:val="auto"/>
              </w:rPr>
            </w:pPr>
            <w:r>
              <w:rPr>
                <w:rFonts w:ascii="Arial" w:cs="Arial" w:eastAsia="Arial" w:hAnsi="Arial"/>
                <w:sz w:val="13"/>
                <w:szCs w:val="13"/>
                <w:color w:val="auto"/>
              </w:rPr>
              <w:t>feature</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on 2019</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240"/>
              <w:spacing w:after="0" w:line="139" w:lineRule="exact"/>
              <w:rPr>
                <w:sz w:val="20"/>
                <w:szCs w:val="20"/>
                <w:color w:val="auto"/>
              </w:rPr>
            </w:pPr>
            <w:r>
              <w:rPr>
                <w:rFonts w:ascii="Arial" w:cs="Arial" w:eastAsia="Arial" w:hAnsi="Arial"/>
                <w:sz w:val="13"/>
                <w:szCs w:val="13"/>
                <w:color w:val="auto"/>
              </w:rPr>
              <w:t>convertible</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preferred units</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(27,558)</w:t>
            </w: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(27,558)</w:t>
            </w:r>
          </w:p>
        </w:tc>
        <w:tc>
          <w:tcPr>
            <w:tcW w:w="0" w:type="dxa"/>
            <w:vAlign w:val="bottom"/>
          </w:tcPr>
          <w:p>
            <w:pPr>
              <w:spacing w:after="0"/>
              <w:rPr>
                <w:sz w:val="1"/>
                <w:szCs w:val="1"/>
                <w:color w:val="auto"/>
              </w:rPr>
            </w:pPr>
          </w:p>
        </w:tc>
      </w:tr>
      <w:tr>
        <w:trPr>
          <w:trHeight w:val="133"/>
        </w:trPr>
        <w:tc>
          <w:tcPr>
            <w:tcW w:w="1240" w:type="dxa"/>
            <w:vAlign w:val="bottom"/>
          </w:tcPr>
          <w:p>
            <w:pPr>
              <w:ind w:left="240"/>
              <w:spacing w:after="0" w:line="133" w:lineRule="exact"/>
              <w:rPr>
                <w:sz w:val="20"/>
                <w:szCs w:val="20"/>
                <w:color w:val="auto"/>
              </w:rPr>
            </w:pPr>
            <w:r>
              <w:rPr>
                <w:rFonts w:ascii="Arial" w:cs="Arial" w:eastAsia="Arial" w:hAnsi="Arial"/>
                <w:sz w:val="13"/>
                <w:szCs w:val="13"/>
                <w:color w:val="auto"/>
              </w:rPr>
              <w:t>Accrued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40" w:type="dxa"/>
            <w:vAlign w:val="bottom"/>
          </w:tcPr>
          <w:p>
            <w:pPr>
              <w:ind w:left="340"/>
              <w:spacing w:after="0" w:line="139" w:lineRule="exact"/>
              <w:rPr>
                <w:sz w:val="20"/>
                <w:szCs w:val="20"/>
                <w:color w:val="auto"/>
              </w:rPr>
            </w:pPr>
            <w:r>
              <w:rPr>
                <w:rFonts w:ascii="Arial" w:cs="Arial" w:eastAsia="Arial" w:hAnsi="Arial"/>
                <w:sz w:val="13"/>
                <w:szCs w:val="13"/>
                <w:color w:val="auto"/>
              </w:rPr>
              <w:t>member tax</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tcPr>
          <w:p>
            <w:pPr>
              <w:ind w:left="340"/>
              <w:spacing w:after="0"/>
              <w:rPr>
                <w:sz w:val="20"/>
                <w:szCs w:val="20"/>
                <w:color w:val="auto"/>
              </w:rPr>
            </w:pPr>
            <w:r>
              <w:rPr>
                <w:rFonts w:ascii="Arial" w:cs="Arial" w:eastAsia="Arial" w:hAnsi="Arial"/>
                <w:sz w:val="13"/>
                <w:szCs w:val="13"/>
                <w:color w:val="auto"/>
              </w:rPr>
              <w:t>distributions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(1,700)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1"/>
        </w:trPr>
        <w:tc>
          <w:tcPr>
            <w:tcW w:w="1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36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9,924</w:t>
            </w:r>
          </w:p>
        </w:tc>
        <w:tc>
          <w:tcPr>
            <w:tcW w:w="2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9,924</w:t>
            </w:r>
          </w:p>
        </w:tc>
        <w:tc>
          <w:tcPr>
            <w:tcW w:w="60" w:type="dxa"/>
            <w:vAlign w:val="bottom"/>
            <w:shd w:val="clear" w:color="auto" w:fill="CFF0FC"/>
          </w:tcPr>
          <w:p>
            <w:pPr>
              <w:spacing w:after="0"/>
              <w:rPr>
                <w:sz w:val="13"/>
                <w:szCs w:val="13"/>
                <w:color w:val="auto"/>
              </w:rPr>
            </w:pPr>
          </w:p>
        </w:tc>
      </w:tr>
      <w:tr>
        <w:trPr>
          <w:trHeight w:val="123"/>
        </w:trPr>
        <w:tc>
          <w:tcPr>
            <w:tcW w:w="142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as of</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3"/>
                <w:szCs w:val="13"/>
                <w:b w:val="1"/>
                <w:bCs w:val="1"/>
                <w:color w:val="auto"/>
              </w:rPr>
              <w:t>December 31, 2019</w:t>
            </w:r>
          </w:p>
        </w:tc>
        <w:tc>
          <w:tcPr>
            <w:tcW w:w="360" w:type="dxa"/>
            <w:vAlign w:val="bottom"/>
          </w:tcPr>
          <w:p>
            <w:pPr>
              <w:jc w:val="right"/>
              <w:spacing w:after="0"/>
              <w:rPr>
                <w:sz w:val="20"/>
                <w:szCs w:val="20"/>
                <w:color w:val="auto"/>
              </w:rPr>
            </w:pPr>
            <w:r>
              <w:rPr>
                <w:rFonts w:ascii="Arial" w:cs="Arial" w:eastAsia="Arial" w:hAnsi="Arial"/>
                <w:sz w:val="13"/>
                <w:szCs w:val="13"/>
                <w:color w:val="auto"/>
              </w:rPr>
              <w:t>600</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7,500</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400</w:t>
            </w:r>
          </w:p>
        </w:tc>
        <w:tc>
          <w:tcPr>
            <w:tcW w:w="180" w:type="dxa"/>
            <w:vAlign w:val="bottom"/>
          </w:tcPr>
          <w:p>
            <w:pPr>
              <w:spacing w:after="0"/>
              <w:rPr>
                <w:sz w:val="13"/>
                <w:szCs w:val="13"/>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15,205</w:t>
            </w:r>
          </w:p>
        </w:tc>
        <w:tc>
          <w:tcPr>
            <w:tcW w:w="2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15,205</w:t>
            </w:r>
          </w:p>
        </w:tc>
        <w:tc>
          <w:tcPr>
            <w:tcW w:w="60" w:type="dxa"/>
            <w:vAlign w:val="bottom"/>
          </w:tcPr>
          <w:p>
            <w:pPr>
              <w:spacing w:after="0"/>
              <w:rPr>
                <w:sz w:val="13"/>
                <w:szCs w:val="13"/>
                <w:color w:val="auto"/>
              </w:rPr>
            </w:pPr>
          </w:p>
        </w:tc>
      </w:tr>
      <w:tr>
        <w:trPr>
          <w:trHeight w:val="133"/>
        </w:trPr>
        <w:tc>
          <w:tcPr>
            <w:tcW w:w="142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Accrued</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member tax</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distributions</w:t>
            </w: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(10,726)</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(10,726)</w:t>
            </w:r>
          </w:p>
        </w:tc>
      </w:tr>
      <w:tr>
        <w:trPr>
          <w:trHeight w:val="151"/>
        </w:trPr>
        <w:tc>
          <w:tcPr>
            <w:tcW w:w="1420" w:type="dxa"/>
            <w:vAlign w:val="bottom"/>
          </w:tcPr>
          <w:p>
            <w:pPr>
              <w:ind w:left="240"/>
              <w:spacing w:after="0"/>
              <w:rPr>
                <w:sz w:val="20"/>
                <w:szCs w:val="20"/>
                <w:color w:val="auto"/>
              </w:rPr>
            </w:pPr>
            <w:r>
              <w:rPr>
                <w:rFonts w:ascii="Arial" w:cs="Arial" w:eastAsia="Arial" w:hAnsi="Arial"/>
                <w:sz w:val="13"/>
                <w:szCs w:val="13"/>
                <w:color w:val="auto"/>
              </w:rPr>
              <w:t>Member dividends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(5,000)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(5,000)</w:t>
            </w:r>
          </w:p>
        </w:tc>
      </w:tr>
      <w:tr>
        <w:trPr>
          <w:trHeight w:val="151"/>
        </w:trPr>
        <w:tc>
          <w:tcPr>
            <w:tcW w:w="1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36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20,638</w:t>
            </w:r>
          </w:p>
        </w:tc>
        <w:tc>
          <w:tcPr>
            <w:tcW w:w="2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20,638</w:t>
            </w:r>
          </w:p>
        </w:tc>
        <w:tc>
          <w:tcPr>
            <w:tcW w:w="60" w:type="dxa"/>
            <w:vAlign w:val="bottom"/>
            <w:shd w:val="clear" w:color="auto" w:fill="CFF0FC"/>
          </w:tcPr>
          <w:p>
            <w:pPr>
              <w:spacing w:after="0"/>
              <w:rPr>
                <w:sz w:val="13"/>
                <w:szCs w:val="13"/>
                <w:color w:val="auto"/>
              </w:rPr>
            </w:pPr>
          </w:p>
        </w:tc>
      </w:tr>
      <w:tr>
        <w:trPr>
          <w:trHeight w:val="123"/>
        </w:trPr>
        <w:tc>
          <w:tcPr>
            <w:tcW w:w="142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as of</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360" w:type="dxa"/>
            <w:vAlign w:val="bottom"/>
          </w:tcPr>
          <w:p>
            <w:pPr>
              <w:jc w:val="right"/>
              <w:spacing w:after="0"/>
              <w:rPr>
                <w:sz w:val="20"/>
                <w:szCs w:val="20"/>
                <w:color w:val="auto"/>
              </w:rPr>
            </w:pPr>
            <w:r>
              <w:rPr>
                <w:rFonts w:ascii="Arial" w:cs="Arial" w:eastAsia="Arial" w:hAnsi="Arial"/>
                <w:sz w:val="13"/>
                <w:szCs w:val="13"/>
                <w:color w:val="auto"/>
              </w:rPr>
              <w:t>600</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7,500</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400</w:t>
            </w:r>
          </w:p>
        </w:tc>
        <w:tc>
          <w:tcPr>
            <w:tcW w:w="180" w:type="dxa"/>
            <w:vAlign w:val="bottom"/>
          </w:tcPr>
          <w:p>
            <w:pPr>
              <w:spacing w:after="0"/>
              <w:rPr>
                <w:sz w:val="13"/>
                <w:szCs w:val="13"/>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20,117</w:t>
            </w:r>
          </w:p>
        </w:tc>
        <w:tc>
          <w:tcPr>
            <w:tcW w:w="2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20,117</w:t>
            </w:r>
          </w:p>
        </w:tc>
        <w:tc>
          <w:tcPr>
            <w:tcW w:w="60" w:type="dxa"/>
            <w:vAlign w:val="bottom"/>
          </w:tcPr>
          <w:p>
            <w:pPr>
              <w:spacing w:after="0"/>
              <w:rPr>
                <w:sz w:val="13"/>
                <w:szCs w:val="13"/>
                <w:color w:val="auto"/>
              </w:rPr>
            </w:pPr>
          </w:p>
        </w:tc>
      </w:tr>
      <w:tr>
        <w:trPr>
          <w:trHeight w:val="133"/>
        </w:trPr>
        <w:tc>
          <w:tcPr>
            <w:tcW w:w="142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Net income</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prior to</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Reorganization</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Transactions</w:t>
            </w: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w:t>
            </w:r>
          </w:p>
        </w:tc>
        <w:tc>
          <w:tcPr>
            <w:tcW w:w="60" w:type="dxa"/>
            <w:vAlign w:val="bottom"/>
            <w:shd w:val="clear" w:color="auto" w:fill="CFF0FC"/>
          </w:tcPr>
          <w:p>
            <w:pPr>
              <w:spacing w:after="0"/>
              <w:rPr>
                <w:sz w:val="13"/>
                <w:szCs w:val="13"/>
                <w:color w:val="auto"/>
              </w:rPr>
            </w:pPr>
          </w:p>
        </w:tc>
      </w:tr>
      <w:tr>
        <w:trPr>
          <w:trHeight w:val="133"/>
        </w:trPr>
        <w:tc>
          <w:tcPr>
            <w:tcW w:w="1420" w:type="dxa"/>
            <w:vAlign w:val="bottom"/>
          </w:tcPr>
          <w:p>
            <w:pPr>
              <w:ind w:left="240"/>
              <w:spacing w:after="0" w:line="133" w:lineRule="exact"/>
              <w:rPr>
                <w:sz w:val="20"/>
                <w:szCs w:val="20"/>
                <w:color w:val="auto"/>
              </w:rPr>
            </w:pPr>
            <w:r>
              <w:rPr>
                <w:rFonts w:ascii="Arial" w:cs="Arial" w:eastAsia="Arial" w:hAnsi="Arial"/>
                <w:sz w:val="13"/>
                <w:szCs w:val="13"/>
                <w:color w:val="auto"/>
              </w:rPr>
              <w:t>Effect of</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Reorganization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1420" w:type="dxa"/>
            <w:vAlign w:val="bottom"/>
          </w:tcPr>
          <w:p>
            <w:pPr>
              <w:ind w:left="340"/>
              <w:spacing w:after="0"/>
              <w:rPr>
                <w:sz w:val="20"/>
                <w:szCs w:val="20"/>
                <w:color w:val="auto"/>
              </w:rPr>
            </w:pPr>
            <w:r>
              <w:rPr>
                <w:rFonts w:ascii="Arial" w:cs="Arial" w:eastAsia="Arial" w:hAnsi="Arial"/>
                <w:sz w:val="13"/>
                <w:szCs w:val="13"/>
                <w:color w:val="auto"/>
              </w:rPr>
              <w:t>Transactions</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(600)</w:t>
            </w: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(7,500)</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(400)</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48,936</w:t>
            </w:r>
          </w:p>
        </w:tc>
        <w:tc>
          <w:tcPr>
            <w:tcW w:w="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28,237</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(20,786)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7,500</w:t>
            </w:r>
          </w:p>
        </w:tc>
        <w:tc>
          <w:tcPr>
            <w:tcW w:w="60" w:type="dxa"/>
            <w:vAlign w:val="bottom"/>
          </w:tcPr>
          <w:p>
            <w:pPr>
              <w:spacing w:after="0"/>
              <w:rPr>
                <w:sz w:val="13"/>
                <w:szCs w:val="13"/>
                <w:color w:val="auto"/>
              </w:rPr>
            </w:pPr>
          </w:p>
        </w:tc>
      </w:tr>
      <w:tr>
        <w:trPr>
          <w:trHeight w:val="133"/>
        </w:trPr>
        <w:tc>
          <w:tcPr>
            <w:tcW w:w="142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Issuance of</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Class A</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common stock</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in initial public</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offering, net of</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underwriting</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offering costs</w:t>
            </w: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(1,500)</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228,175</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228,185</w:t>
            </w:r>
          </w:p>
        </w:tc>
        <w:tc>
          <w:tcPr>
            <w:tcW w:w="60" w:type="dxa"/>
            <w:vAlign w:val="bottom"/>
            <w:shd w:val="clear" w:color="auto" w:fill="CFF0FC"/>
          </w:tcPr>
          <w:p>
            <w:pPr>
              <w:spacing w:after="0"/>
              <w:rPr>
                <w:sz w:val="13"/>
                <w:szCs w:val="13"/>
                <w:color w:val="auto"/>
              </w:rPr>
            </w:pPr>
          </w:p>
        </w:tc>
      </w:tr>
      <w:tr>
        <w:trPr>
          <w:trHeight w:val="133"/>
        </w:trPr>
        <w:tc>
          <w:tcPr>
            <w:tcW w:w="1420" w:type="dxa"/>
            <w:vAlign w:val="bottom"/>
          </w:tcPr>
          <w:p>
            <w:pPr>
              <w:ind w:left="240"/>
              <w:spacing w:after="0" w:line="133" w:lineRule="exact"/>
              <w:rPr>
                <w:sz w:val="20"/>
                <w:szCs w:val="20"/>
                <w:color w:val="auto"/>
              </w:rPr>
            </w:pPr>
            <w:r>
              <w:rPr>
                <w:rFonts w:ascii="Arial" w:cs="Arial" w:eastAsia="Arial" w:hAnsi="Arial"/>
                <w:sz w:val="13"/>
                <w:szCs w:val="13"/>
                <w:color w:val="auto"/>
              </w:rPr>
              <w:t>Exchange of Class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B common stock</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for Class A</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1420" w:type="dxa"/>
            <w:vAlign w:val="bottom"/>
          </w:tcPr>
          <w:p>
            <w:pPr>
              <w:ind w:left="340"/>
              <w:spacing w:after="0"/>
              <w:rPr>
                <w:sz w:val="20"/>
                <w:szCs w:val="20"/>
                <w:color w:val="auto"/>
              </w:rPr>
            </w:pPr>
            <w:r>
              <w:rPr>
                <w:rFonts w:ascii="Arial" w:cs="Arial" w:eastAsia="Arial" w:hAnsi="Arial"/>
                <w:sz w:val="13"/>
                <w:szCs w:val="13"/>
                <w:color w:val="auto"/>
              </w:rPr>
              <w:t>common stock</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329</w:t>
            </w:r>
          </w:p>
        </w:tc>
        <w:tc>
          <w:tcPr>
            <w:tcW w:w="20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(329)</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142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Issuance of</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common stock</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60"/>
              <w:spacing w:after="0" w:line="139" w:lineRule="exact"/>
              <w:rPr>
                <w:sz w:val="20"/>
                <w:szCs w:val="20"/>
                <w:color w:val="auto"/>
              </w:rPr>
            </w:pPr>
            <w:r>
              <w:rPr>
                <w:rFonts w:ascii="Arial" w:cs="Arial" w:eastAsia="Arial" w:hAnsi="Arial"/>
                <w:sz w:val="13"/>
                <w:szCs w:val="13"/>
                <w:color w:val="auto"/>
              </w:rPr>
              <w:t>in connection</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with equity-</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based</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2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compensation</w:t>
            </w: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plans</w:t>
            </w: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w:t>
            </w: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1420" w:type="dxa"/>
            <w:vAlign w:val="bottom"/>
          </w:tcPr>
          <w:p>
            <w:pPr>
              <w:ind w:left="240"/>
              <w:spacing w:after="0" w:line="133" w:lineRule="exact"/>
              <w:rPr>
                <w:sz w:val="20"/>
                <w:szCs w:val="20"/>
                <w:color w:val="auto"/>
              </w:rPr>
            </w:pPr>
            <w:r>
              <w:rPr>
                <w:rFonts w:ascii="Arial" w:cs="Arial" w:eastAsia="Arial" w:hAnsi="Arial"/>
                <w:sz w:val="13"/>
                <w:szCs w:val="13"/>
                <w:color w:val="auto"/>
              </w:rPr>
              <w:t>Repurchase of</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1420" w:type="dxa"/>
            <w:vAlign w:val="bottom"/>
          </w:tcPr>
          <w:p>
            <w:pPr>
              <w:ind w:left="360"/>
              <w:spacing w:after="0" w:line="139" w:lineRule="exact"/>
              <w:rPr>
                <w:sz w:val="20"/>
                <w:szCs w:val="20"/>
                <w:color w:val="auto"/>
              </w:rPr>
            </w:pPr>
            <w:r>
              <w:rPr>
                <w:rFonts w:ascii="Arial" w:cs="Arial" w:eastAsia="Arial" w:hAnsi="Arial"/>
                <w:sz w:val="13"/>
                <w:szCs w:val="13"/>
                <w:color w:val="auto"/>
              </w:rPr>
              <w:t>treasury shares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60"/>
              <w:spacing w:after="0" w:line="139" w:lineRule="exact"/>
              <w:rPr>
                <w:sz w:val="20"/>
                <w:szCs w:val="20"/>
                <w:color w:val="auto"/>
              </w:rPr>
            </w:pPr>
            <w:r>
              <w:rPr>
                <w:rFonts w:ascii="Arial" w:cs="Arial" w:eastAsia="Arial" w:hAnsi="Arial"/>
                <w:sz w:val="13"/>
                <w:szCs w:val="13"/>
                <w:color w:val="auto"/>
              </w:rPr>
              <w:t>in connection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with the taxes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paid related to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net share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20" w:type="dxa"/>
            <w:vAlign w:val="bottom"/>
          </w:tcPr>
          <w:p>
            <w:pPr>
              <w:ind w:left="340"/>
              <w:spacing w:after="0" w:line="139" w:lineRule="exact"/>
              <w:rPr>
                <w:sz w:val="20"/>
                <w:szCs w:val="20"/>
                <w:color w:val="auto"/>
              </w:rPr>
            </w:pPr>
            <w:r>
              <w:rPr>
                <w:rFonts w:ascii="Arial" w:cs="Arial" w:eastAsia="Arial" w:hAnsi="Arial"/>
                <w:sz w:val="13"/>
                <w:szCs w:val="13"/>
                <w:color w:val="auto"/>
              </w:rPr>
              <w:t>settlement of</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1420" w:type="dxa"/>
            <w:vAlign w:val="bottom"/>
          </w:tcPr>
          <w:p>
            <w:pPr>
              <w:ind w:left="340"/>
              <w:spacing w:after="0"/>
              <w:rPr>
                <w:sz w:val="20"/>
                <w:szCs w:val="20"/>
                <w:color w:val="auto"/>
              </w:rPr>
            </w:pPr>
            <w:r>
              <w:rPr>
                <w:rFonts w:ascii="Arial" w:cs="Arial" w:eastAsia="Arial" w:hAnsi="Arial"/>
                <w:sz w:val="13"/>
                <w:szCs w:val="13"/>
                <w:color w:val="auto"/>
              </w:rPr>
              <w:t>equity awards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(915)</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(15,045)</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(15,045)</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14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Reissuance of</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treasury</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stock in</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connection</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with equity-</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based</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compensation</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plans</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(12,397)</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12,397</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1440" w:type="dxa"/>
            <w:vAlign w:val="bottom"/>
          </w:tcPr>
          <w:p>
            <w:pPr>
              <w:ind w:left="240"/>
              <w:spacing w:after="0" w:line="133" w:lineRule="exact"/>
              <w:rPr>
                <w:sz w:val="20"/>
                <w:szCs w:val="20"/>
                <w:color w:val="auto"/>
              </w:rPr>
            </w:pPr>
            <w:r>
              <w:rPr>
                <w:rFonts w:ascii="Arial" w:cs="Arial" w:eastAsia="Arial" w:hAnsi="Arial"/>
                <w:sz w:val="13"/>
                <w:szCs w:val="13"/>
                <w:color w:val="auto"/>
              </w:rPr>
              <w:t>Allocation of</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1440" w:type="dxa"/>
            <w:vAlign w:val="bottom"/>
          </w:tcPr>
          <w:p>
            <w:pPr>
              <w:ind w:left="340"/>
              <w:spacing w:after="0" w:line="139" w:lineRule="exact"/>
              <w:rPr>
                <w:sz w:val="20"/>
                <w:szCs w:val="20"/>
                <w:color w:val="auto"/>
              </w:rPr>
            </w:pPr>
            <w:r>
              <w:rPr>
                <w:rFonts w:ascii="Arial" w:cs="Arial" w:eastAsia="Arial" w:hAnsi="Arial"/>
                <w:sz w:val="13"/>
                <w:szCs w:val="13"/>
                <w:color w:val="auto"/>
              </w:rPr>
              <w:t>equity to</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1440" w:type="dxa"/>
            <w:vAlign w:val="bottom"/>
          </w:tcPr>
          <w:p>
            <w:pPr>
              <w:ind w:left="340"/>
              <w:spacing w:after="0" w:line="139" w:lineRule="exact"/>
              <w:rPr>
                <w:sz w:val="20"/>
                <w:szCs w:val="20"/>
                <w:color w:val="auto"/>
              </w:rPr>
            </w:pPr>
            <w:r>
              <w:rPr>
                <w:rFonts w:ascii="Arial" w:cs="Arial" w:eastAsia="Arial" w:hAnsi="Arial"/>
                <w:sz w:val="13"/>
                <w:szCs w:val="13"/>
                <w:color w:val="auto"/>
              </w:rPr>
              <w:t>noncontrolling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1440" w:type="dxa"/>
            <w:vAlign w:val="bottom"/>
          </w:tcPr>
          <w:p>
            <w:pPr>
              <w:ind w:left="340"/>
              <w:spacing w:after="0"/>
              <w:rPr>
                <w:sz w:val="20"/>
                <w:szCs w:val="20"/>
                <w:color w:val="auto"/>
              </w:rPr>
            </w:pPr>
            <w:r>
              <w:rPr>
                <w:rFonts w:ascii="Arial" w:cs="Arial" w:eastAsia="Arial" w:hAnsi="Arial"/>
                <w:sz w:val="13"/>
                <w:szCs w:val="13"/>
                <w:color w:val="auto"/>
              </w:rPr>
              <w:t>interests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(252,948)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spacing w:after="0"/>
              <w:rPr>
                <w:sz w:val="20"/>
                <w:szCs w:val="20"/>
                <w:color w:val="auto"/>
              </w:rPr>
            </w:pPr>
            <w:r>
              <w:rPr>
                <w:rFonts w:ascii="Arial" w:cs="Arial" w:eastAsia="Arial" w:hAnsi="Arial"/>
                <w:sz w:val="13"/>
                <w:szCs w:val="13"/>
                <w:color w:val="auto"/>
              </w:rPr>
              <w:t>252,948</w:t>
            </w:r>
          </w:p>
        </w:tc>
        <w:tc>
          <w:tcPr>
            <w:tcW w:w="2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14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Accrued</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member tax</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distributions</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(413)</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(413)</w:t>
            </w:r>
          </w:p>
        </w:tc>
      </w:tr>
      <w:tr>
        <w:trPr>
          <w:trHeight w:val="133"/>
        </w:trPr>
        <w:tc>
          <w:tcPr>
            <w:tcW w:w="1440" w:type="dxa"/>
            <w:vAlign w:val="bottom"/>
          </w:tcPr>
          <w:p>
            <w:pPr>
              <w:ind w:left="240"/>
              <w:spacing w:after="0" w:line="133" w:lineRule="exact"/>
              <w:rPr>
                <w:sz w:val="20"/>
                <w:szCs w:val="20"/>
                <w:color w:val="auto"/>
              </w:rPr>
            </w:pPr>
            <w:r>
              <w:rPr>
                <w:rFonts w:ascii="Arial" w:cs="Arial" w:eastAsia="Arial" w:hAnsi="Arial"/>
                <w:sz w:val="13"/>
                <w:szCs w:val="13"/>
                <w:color w:val="auto"/>
              </w:rPr>
              <w:t>Stock-based</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1440" w:type="dxa"/>
            <w:vAlign w:val="bottom"/>
          </w:tcPr>
          <w:p>
            <w:pPr>
              <w:ind w:left="340"/>
              <w:spacing w:after="0"/>
              <w:rPr>
                <w:sz w:val="20"/>
                <w:szCs w:val="20"/>
                <w:color w:val="auto"/>
              </w:rPr>
            </w:pPr>
            <w:r>
              <w:rPr>
                <w:rFonts w:ascii="Arial" w:cs="Arial" w:eastAsia="Arial" w:hAnsi="Arial"/>
                <w:sz w:val="13"/>
                <w:szCs w:val="13"/>
                <w:color w:val="auto"/>
              </w:rPr>
              <w:t>compensation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79,839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79,839</w:t>
            </w:r>
          </w:p>
        </w:tc>
        <w:tc>
          <w:tcPr>
            <w:tcW w:w="60" w:type="dxa"/>
            <w:vAlign w:val="bottom"/>
          </w:tcPr>
          <w:p>
            <w:pPr>
              <w:spacing w:after="0"/>
              <w:rPr>
                <w:sz w:val="13"/>
                <w:szCs w:val="13"/>
                <w:color w:val="auto"/>
              </w:rPr>
            </w:pPr>
          </w:p>
        </w:tc>
      </w:tr>
      <w:tr>
        <w:trPr>
          <w:trHeight w:val="133"/>
        </w:trPr>
        <w:tc>
          <w:tcPr>
            <w:tcW w:w="144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color w:val="auto"/>
              </w:rPr>
              <w:t>Net loss</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subsequent to</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38"/>
        </w:trPr>
        <w:tc>
          <w:tcPr>
            <w:tcW w:w="1440" w:type="dxa"/>
            <w:vAlign w:val="bottom"/>
            <w:shd w:val="clear" w:color="auto" w:fill="CFF0FC"/>
          </w:tcPr>
          <w:p>
            <w:pPr>
              <w:ind w:left="340"/>
              <w:spacing w:after="0" w:line="139" w:lineRule="exact"/>
              <w:rPr>
                <w:sz w:val="20"/>
                <w:szCs w:val="20"/>
                <w:color w:val="auto"/>
              </w:rPr>
            </w:pPr>
            <w:r>
              <w:rPr>
                <w:rFonts w:ascii="Arial" w:cs="Arial" w:eastAsia="Arial" w:hAnsi="Arial"/>
                <w:sz w:val="13"/>
                <w:szCs w:val="13"/>
                <w:color w:val="auto"/>
              </w:rPr>
              <w:t>Reorganization</w:t>
            </w: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14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Transactions</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(7,742)</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(30,536)</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(38,278)</w:t>
            </w:r>
          </w:p>
        </w:tc>
      </w:tr>
      <w:tr>
        <w:trPr>
          <w:trHeight w:val="123"/>
        </w:trPr>
        <w:tc>
          <w:tcPr>
            <w:tcW w:w="1440" w:type="dxa"/>
            <w:vAlign w:val="bottom"/>
          </w:tcPr>
          <w:p>
            <w:pPr>
              <w:spacing w:after="0" w:line="123" w:lineRule="exact"/>
              <w:rPr>
                <w:sz w:val="20"/>
                <w:szCs w:val="20"/>
                <w:color w:val="auto"/>
              </w:rPr>
            </w:pPr>
            <w:r>
              <w:rPr>
                <w:rFonts w:ascii="Arial" w:cs="Arial" w:eastAsia="Arial" w:hAnsi="Arial"/>
                <w:sz w:val="13"/>
                <w:szCs w:val="13"/>
                <w:b w:val="1"/>
                <w:bCs w:val="1"/>
                <w:color w:val="auto"/>
              </w:rPr>
              <w:t>Balance as of</w:t>
            </w:r>
          </w:p>
        </w:tc>
        <w:tc>
          <w:tcPr>
            <w:tcW w:w="3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9"/>
        </w:trPr>
        <w:tc>
          <w:tcPr>
            <w:tcW w:w="144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108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color w:val="auto"/>
              </w:rPr>
              <w:t>—   $  —</w:t>
            </w:r>
          </w:p>
        </w:tc>
        <w:tc>
          <w:tcPr>
            <w:tcW w:w="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760" w:type="dxa"/>
            <w:vAlign w:val="bottom"/>
            <w:gridSpan w:val="3"/>
          </w:tcPr>
          <w:p>
            <w:pPr>
              <w:ind w:left="200"/>
              <w:spacing w:after="0"/>
              <w:rPr>
                <w:sz w:val="20"/>
                <w:szCs w:val="20"/>
                <w:color w:val="auto"/>
              </w:rPr>
            </w:pPr>
            <w:r>
              <w:rPr>
                <w:rFonts w:ascii="Arial" w:cs="Arial" w:eastAsia="Arial" w:hAnsi="Arial"/>
                <w:sz w:val="13"/>
                <w:szCs w:val="13"/>
                <w:color w:val="auto"/>
              </w:rPr>
              <w:t>$  —</w:t>
            </w:r>
          </w:p>
        </w:tc>
        <w:tc>
          <w:tcPr>
            <w:tcW w:w="480" w:type="dxa"/>
            <w:vAlign w:val="bottom"/>
          </w:tcPr>
          <w:p>
            <w:pPr>
              <w:jc w:val="right"/>
              <w:spacing w:after="0"/>
              <w:rPr>
                <w:sz w:val="20"/>
                <w:szCs w:val="20"/>
                <w:color w:val="auto"/>
              </w:rPr>
            </w:pPr>
            <w:r>
              <w:rPr>
                <w:rFonts w:ascii="Arial" w:cs="Arial" w:eastAsia="Arial" w:hAnsi="Arial"/>
                <w:sz w:val="13"/>
                <w:szCs w:val="13"/>
                <w:color w:val="auto"/>
              </w:rPr>
              <w:t>13,921</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  14</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47,107</w:t>
            </w:r>
          </w:p>
        </w:tc>
        <w:tc>
          <w:tcPr>
            <w:tcW w:w="2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  47</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  82,888</w:t>
            </w:r>
          </w:p>
        </w:tc>
        <w:tc>
          <w:tcPr>
            <w:tcW w:w="120" w:type="dxa"/>
            <w:vAlign w:val="bottom"/>
          </w:tcPr>
          <w:p>
            <w:pPr>
              <w:spacing w:after="0"/>
              <w:rPr>
                <w:sz w:val="13"/>
                <w:szCs w:val="13"/>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3"/>
                <w:szCs w:val="13"/>
                <w:color w:val="auto"/>
              </w:rPr>
              <w:t>$ (20,139)  $</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(216)</w:t>
            </w:r>
          </w:p>
        </w:tc>
        <w:tc>
          <w:tcPr>
            <w:tcW w:w="1320" w:type="dxa"/>
            <w:vAlign w:val="bottom"/>
            <w:gridSpan w:val="4"/>
          </w:tcPr>
          <w:p>
            <w:pPr>
              <w:jc w:val="right"/>
              <w:spacing w:after="0"/>
              <w:rPr>
                <w:sz w:val="20"/>
                <w:szCs w:val="20"/>
                <w:color w:val="auto"/>
              </w:rPr>
            </w:pPr>
            <w:r>
              <w:rPr>
                <w:rFonts w:ascii="Arial" w:cs="Arial" w:eastAsia="Arial" w:hAnsi="Arial"/>
                <w:sz w:val="13"/>
                <w:szCs w:val="13"/>
                <w:color w:val="auto"/>
              </w:rPr>
              <w:t>$ (2,648)  $ 222,412</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$ 282,574</w:t>
            </w:r>
          </w:p>
        </w:tc>
        <w:tc>
          <w:tcPr>
            <w:tcW w:w="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VIANT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6"/>
              </w:rPr>
              <w:t>Year Ended December 31,</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5"/>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7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20"/>
                <w:szCs w:val="20"/>
                <w:color w:val="auto"/>
              </w:rPr>
            </w:pPr>
            <w:r>
              <w:rPr>
                <w:rFonts w:ascii="Arial" w:cs="Arial" w:eastAsia="Arial" w:hAnsi="Arial"/>
                <w:sz w:val="15"/>
                <w:szCs w:val="15"/>
                <w:color w:val="auto"/>
              </w:rPr>
              <w:t>Net income (loss)</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(37,609)</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20,638</w:t>
            </w:r>
          </w:p>
        </w:tc>
        <w:tc>
          <w:tcPr>
            <w:tcW w:w="1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Depreciation and amortization</w:t>
            </w: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11,141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Stock/Unit-based compensation</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68,822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Provision for (recovery of) doubtful accounts</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(584)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Loss on disposal of assets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Gain on extinguishment of debt</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(6,110)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spacing w:after="0"/>
              <w:rPr>
                <w:sz w:val="20"/>
                <w:szCs w:val="20"/>
                <w:color w:val="auto"/>
              </w:rPr>
            </w:pPr>
            <w:r>
              <w:rPr>
                <w:rFonts w:ascii="Arial" w:cs="Arial" w:eastAsia="Arial" w:hAnsi="Arial"/>
                <w:sz w:val="15"/>
                <w:szCs w:val="15"/>
                <w:color w:val="auto"/>
              </w:rPr>
              <w:t>Changes in operating assets and liabilities: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(20,865)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(21,099)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(20,200)</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Prepaid expenses and other assets</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(750)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(252)</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Accounts payable</w:t>
            </w: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8,995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Accrued liabilities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9,728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1,736</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Accrued compensation</w:t>
            </w: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(1,107)</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revenue</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(1,786)</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(1,694)</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(4,607)</w:t>
            </w: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Other liabilities</w:t>
            </w: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(355)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(953)</w:t>
            </w:r>
          </w:p>
        </w:tc>
        <w:tc>
          <w:tcPr>
            <w:tcW w:w="0" w:type="dxa"/>
            <w:vAlign w:val="bottom"/>
          </w:tcPr>
          <w:p>
            <w:pPr>
              <w:spacing w:after="0"/>
              <w:rPr>
                <w:sz w:val="1"/>
                <w:szCs w:val="1"/>
                <w:color w:val="auto"/>
              </w:rPr>
            </w:pPr>
          </w:p>
        </w:tc>
      </w:tr>
      <w:tr>
        <w:trPr>
          <w:trHeight w:val="197"/>
        </w:trPr>
        <w:tc>
          <w:tcPr>
            <w:tcW w:w="670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7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28,665</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18,875</w:t>
            </w: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13,033</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Purchases of property and equipment</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(441)</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(434)</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Capitalized software development costs</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(6,931)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(7,407)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(7,390)</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ind w:left="460"/>
              <w:spacing w:after="0"/>
              <w:rPr>
                <w:sz w:val="20"/>
                <w:szCs w:val="20"/>
                <w:color w:val="auto"/>
              </w:rPr>
            </w:pPr>
            <w:r>
              <w:rPr>
                <w:rFonts w:ascii="Arial" w:cs="Arial" w:eastAsia="Arial" w:hAnsi="Arial"/>
                <w:sz w:val="15"/>
                <w:szCs w:val="15"/>
                <w:color w:val="auto"/>
              </w:rPr>
              <w:t>Net cash used in investing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(7,372)</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(7,841)</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(7,813)</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borrowings on line of credit</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Proceeds from borrowings on debt with related party</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Paycheck Protection Program Loan</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6,035</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Repayments of debt with related party</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issuance of 2019 convertible preferred units to a related party</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Transaction costs paid on behalf of related party</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(3,561)</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issuance of common stock, net of underwriting discounts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232,500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Payment of member tax distributions</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(7,289)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(5,547)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Payment of member dividends</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(5,000)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Payment of offering costs</w:t>
            </w:r>
          </w:p>
        </w:tc>
        <w:tc>
          <w:tcPr>
            <w:tcW w:w="7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(2,608)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(1,708)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Taxes paid related to net share settlement of equity awards</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(15,045)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60"/>
              <w:spacing w:after="0"/>
              <w:rPr>
                <w:sz w:val="20"/>
                <w:szCs w:val="20"/>
                <w:color w:val="auto"/>
              </w:rPr>
            </w:pPr>
            <w:r>
              <w:rPr>
                <w:rFonts w:ascii="Arial" w:cs="Arial" w:eastAsia="Arial" w:hAnsi="Arial"/>
                <w:sz w:val="15"/>
                <w:szCs w:val="15"/>
                <w:color w:val="auto"/>
              </w:rPr>
              <w:t>Net cash provided by (used in) financing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8"/>
              </w:rPr>
              <w:t>207,558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(6,220)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(3,061)</w:t>
            </w: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spacing w:after="0"/>
              <w:rPr>
                <w:sz w:val="20"/>
                <w:szCs w:val="20"/>
                <w:color w:val="auto"/>
              </w:rPr>
            </w:pPr>
            <w:r>
              <w:rPr>
                <w:rFonts w:ascii="Arial" w:cs="Arial" w:eastAsia="Arial" w:hAnsi="Arial"/>
                <w:sz w:val="15"/>
                <w:szCs w:val="15"/>
                <w:color w:val="auto"/>
              </w:rPr>
              <w:t>Effect of exchange rate changes on cash</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20"/>
                <w:szCs w:val="20"/>
                <w:color w:val="auto"/>
              </w:rPr>
            </w:pPr>
            <w:r>
              <w:rPr>
                <w:rFonts w:ascii="Arial" w:cs="Arial" w:eastAsia="Arial" w:hAnsi="Arial"/>
                <w:sz w:val="15"/>
                <w:szCs w:val="15"/>
                <w:b w:val="1"/>
                <w:bCs w:val="1"/>
                <w:color w:val="auto"/>
              </w:rPr>
              <w:t>Net increase in cash</w:t>
            </w:r>
          </w:p>
        </w:tc>
        <w:tc>
          <w:tcPr>
            <w:tcW w:w="7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8"/>
              </w:rPr>
              <w:t>228,851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at beginning of period</w:t>
            </w:r>
          </w:p>
        </w:tc>
        <w:tc>
          <w:tcPr>
            <w:tcW w:w="7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9,629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4,815</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r>
              <w:rPr>
                <w:rFonts w:ascii="Arial" w:cs="Arial" w:eastAsia="Arial" w:hAnsi="Arial"/>
                <w:sz w:val="15"/>
                <w:szCs w:val="15"/>
                <w:b w:val="1"/>
                <w:bCs w:val="1"/>
                <w:color w:val="auto"/>
              </w:rPr>
              <w:t>Cash at end of period</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238,480</w:t>
            </w:r>
          </w:p>
        </w:tc>
        <w:tc>
          <w:tcPr>
            <w:tcW w:w="1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9,629</w:t>
            </w:r>
          </w:p>
        </w:tc>
        <w:tc>
          <w:tcPr>
            <w:tcW w:w="18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7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Cash paid for interest</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1,065</w:t>
            </w:r>
          </w:p>
        </w:tc>
        <w:tc>
          <w:tcPr>
            <w:tcW w:w="1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non-cash investing and financing</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activities: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Additions of property and equipment paid by landlord pursuant to tenant improvement allowance</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Retirement of 2016 convertible preferred units with related party</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tcPr>
          <w:p>
            <w:pPr>
              <w:ind w:left="240"/>
              <w:spacing w:after="0"/>
              <w:rPr>
                <w:sz w:val="20"/>
                <w:szCs w:val="20"/>
                <w:color w:val="auto"/>
              </w:rPr>
            </w:pPr>
            <w:r>
              <w:rPr>
                <w:rFonts w:ascii="Arial" w:cs="Arial" w:eastAsia="Arial" w:hAnsi="Arial"/>
                <w:sz w:val="15"/>
                <w:szCs w:val="15"/>
                <w:color w:val="auto"/>
              </w:rPr>
              <w:t>Forgiveness of long-term debt and accrued interest by related party</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Beneficial conversion feature and deemed dividend related to 2019 convertible preferred units</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240"/>
              <w:spacing w:after="0"/>
              <w:rPr>
                <w:sz w:val="20"/>
                <w:szCs w:val="20"/>
                <w:color w:val="auto"/>
              </w:rPr>
            </w:pPr>
            <w:r>
              <w:rPr>
                <w:rFonts w:ascii="Arial" w:cs="Arial" w:eastAsia="Arial" w:hAnsi="Arial"/>
                <w:sz w:val="15"/>
                <w:szCs w:val="15"/>
                <w:color w:val="auto"/>
              </w:rPr>
              <w:t>Accrued member tax distributions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6,878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1"/>
        </w:trPr>
        <w:tc>
          <w:tcPr>
            <w:tcW w:w="65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offering costs recorded in accounts payable and accrued liabilities</w:t>
            </w:r>
          </w:p>
        </w:tc>
        <w:tc>
          <w:tcPr>
            <w:tcW w:w="2160" w:type="dxa"/>
            <w:vAlign w:val="bottom"/>
            <w:shd w:val="clear" w:color="auto" w:fill="CFF0FC"/>
          </w:tcPr>
          <w:p>
            <w:pPr>
              <w:jc w:val="right"/>
              <w:ind w:right="605"/>
              <w:spacing w:after="0"/>
              <w:rPr>
                <w:sz w:val="20"/>
                <w:szCs w:val="20"/>
                <w:color w:val="auto"/>
              </w:rPr>
            </w:pPr>
            <w:r>
              <w:rPr>
                <w:rFonts w:ascii="Arial" w:cs="Arial" w:eastAsia="Arial" w:hAnsi="Arial"/>
                <w:sz w:val="15"/>
                <w:szCs w:val="15"/>
                <w:color w:val="auto"/>
              </w:rPr>
              <w:t>—</w:t>
            </w:r>
          </w:p>
        </w:tc>
        <w:tc>
          <w:tcPr>
            <w:tcW w:w="16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rPr>
              <w:t>529</w:t>
            </w:r>
          </w:p>
        </w:tc>
        <w:tc>
          <w:tcPr>
            <w:tcW w:w="980" w:type="dxa"/>
            <w:vAlign w:val="bottom"/>
            <w:shd w:val="clear" w:color="auto" w:fill="CFF0FC"/>
          </w:tcPr>
          <w:p>
            <w:pPr>
              <w:ind w:left="720"/>
              <w:spacing w:after="0"/>
              <w:rPr>
                <w:sz w:val="20"/>
                <w:szCs w:val="20"/>
                <w:color w:val="auto"/>
              </w:rPr>
            </w:pPr>
            <w:r>
              <w:rPr>
                <w:rFonts w:ascii="Arial" w:cs="Arial" w:eastAsia="Arial" w:hAnsi="Arial"/>
                <w:sz w:val="15"/>
                <w:szCs w:val="15"/>
                <w:color w:val="auto"/>
              </w:rPr>
              <w:t>—</w:t>
            </w:r>
          </w:p>
        </w:tc>
      </w:tr>
      <w:tr>
        <w:trPr>
          <w:trHeight w:val="198"/>
        </w:trPr>
        <w:tc>
          <w:tcPr>
            <w:tcW w:w="6500" w:type="dxa"/>
            <w:vAlign w:val="bottom"/>
          </w:tcPr>
          <w:p>
            <w:pPr>
              <w:ind w:left="240"/>
              <w:spacing w:after="0"/>
              <w:rPr>
                <w:sz w:val="20"/>
                <w:szCs w:val="20"/>
                <w:color w:val="auto"/>
              </w:rPr>
            </w:pPr>
            <w:r>
              <w:rPr>
                <w:rFonts w:ascii="Arial" w:cs="Arial" w:eastAsia="Arial" w:hAnsi="Arial"/>
                <w:sz w:val="15"/>
                <w:szCs w:val="15"/>
                <w:color w:val="auto"/>
              </w:rPr>
              <w:t>Stock-based compensation included in capitalized software development costs</w:t>
            </w:r>
          </w:p>
        </w:tc>
        <w:tc>
          <w:tcPr>
            <w:tcW w:w="2160" w:type="dxa"/>
            <w:vAlign w:val="bottom"/>
          </w:tcPr>
          <w:p>
            <w:pPr>
              <w:jc w:val="right"/>
              <w:ind w:right="605"/>
              <w:spacing w:after="0"/>
              <w:rPr>
                <w:sz w:val="20"/>
                <w:szCs w:val="20"/>
                <w:color w:val="auto"/>
              </w:rPr>
            </w:pPr>
            <w:r>
              <w:rPr>
                <w:rFonts w:ascii="Arial" w:cs="Arial" w:eastAsia="Arial" w:hAnsi="Arial"/>
                <w:sz w:val="15"/>
                <w:szCs w:val="15"/>
                <w:color w:val="auto"/>
              </w:rPr>
              <w:t>11,017</w:t>
            </w:r>
          </w:p>
        </w:tc>
        <w:tc>
          <w:tcPr>
            <w:tcW w:w="1600" w:type="dxa"/>
            <w:vAlign w:val="bottom"/>
          </w:tcPr>
          <w:p>
            <w:pPr>
              <w:jc w:val="right"/>
              <w:ind w:right="645"/>
              <w:spacing w:after="0"/>
              <w:rPr>
                <w:sz w:val="20"/>
                <w:szCs w:val="20"/>
                <w:color w:val="auto"/>
              </w:rPr>
            </w:pPr>
            <w:r>
              <w:rPr>
                <w:rFonts w:ascii="Arial" w:cs="Arial" w:eastAsia="Arial" w:hAnsi="Arial"/>
                <w:sz w:val="15"/>
                <w:szCs w:val="15"/>
                <w:color w:val="auto"/>
              </w:rPr>
              <w:t>—</w:t>
            </w: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r>
      <w:tr>
        <w:trPr>
          <w:trHeight w:val="204"/>
        </w:trPr>
        <w:tc>
          <w:tcPr>
            <w:tcW w:w="65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Capitalized assets financed by accounts payable and accrued liabilities</w:t>
            </w:r>
          </w:p>
        </w:tc>
        <w:tc>
          <w:tcPr>
            <w:tcW w:w="2160" w:type="dxa"/>
            <w:vAlign w:val="bottom"/>
            <w:shd w:val="clear" w:color="auto" w:fill="CFF0FC"/>
          </w:tcPr>
          <w:p>
            <w:pPr>
              <w:jc w:val="right"/>
              <w:ind w:right="605"/>
              <w:spacing w:after="0"/>
              <w:rPr>
                <w:sz w:val="20"/>
                <w:szCs w:val="20"/>
                <w:color w:val="auto"/>
              </w:rPr>
            </w:pPr>
            <w:r>
              <w:rPr>
                <w:rFonts w:ascii="Arial" w:cs="Arial" w:eastAsia="Arial" w:hAnsi="Arial"/>
                <w:sz w:val="15"/>
                <w:szCs w:val="15"/>
                <w:color w:val="auto"/>
              </w:rPr>
              <w:t>356</w:t>
            </w:r>
          </w:p>
        </w:tc>
        <w:tc>
          <w:tcPr>
            <w:tcW w:w="16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ind w:left="720"/>
              <w:spacing w:after="0"/>
              <w:rPr>
                <w:sz w:val="20"/>
                <w:szCs w:val="20"/>
                <w:color w:val="auto"/>
              </w:rPr>
            </w:pPr>
            <w:r>
              <w:rPr>
                <w:rFonts w:ascii="Arial" w:cs="Arial" w:eastAsia="Arial" w:hAnsi="Arial"/>
                <w:sz w:val="15"/>
                <w:szCs w:val="15"/>
                <w:color w:val="auto"/>
              </w:rPr>
              <w:t>—</w:t>
            </w:r>
          </w:p>
        </w:tc>
      </w:tr>
      <w:tr>
        <w:trPr>
          <w:trHeight w:val="195"/>
        </w:trPr>
        <w:tc>
          <w:tcPr>
            <w:tcW w:w="6500" w:type="dxa"/>
            <w:vAlign w:val="bottom"/>
          </w:tcPr>
          <w:p>
            <w:pPr>
              <w:ind w:left="240"/>
              <w:spacing w:after="0"/>
              <w:rPr>
                <w:sz w:val="20"/>
                <w:szCs w:val="20"/>
                <w:color w:val="auto"/>
              </w:rPr>
            </w:pPr>
            <w:r>
              <w:rPr>
                <w:rFonts w:ascii="Arial" w:cs="Arial" w:eastAsia="Arial" w:hAnsi="Arial"/>
                <w:sz w:val="15"/>
                <w:szCs w:val="15"/>
                <w:color w:val="auto"/>
              </w:rPr>
              <w:t>Noncash gain on extinguishment of debt related to Paycheck Protection Program loan</w:t>
            </w:r>
          </w:p>
        </w:tc>
        <w:tc>
          <w:tcPr>
            <w:tcW w:w="2160" w:type="dxa"/>
            <w:vAlign w:val="bottom"/>
          </w:tcPr>
          <w:p>
            <w:pPr>
              <w:jc w:val="right"/>
              <w:ind w:right="605"/>
              <w:spacing w:after="0"/>
              <w:rPr>
                <w:sz w:val="20"/>
                <w:szCs w:val="20"/>
                <w:color w:val="auto"/>
              </w:rPr>
            </w:pPr>
            <w:r>
              <w:rPr>
                <w:rFonts w:ascii="Arial" w:cs="Arial" w:eastAsia="Arial" w:hAnsi="Arial"/>
                <w:sz w:val="15"/>
                <w:szCs w:val="15"/>
                <w:color w:val="auto"/>
              </w:rPr>
              <w:t>6,110</w:t>
            </w:r>
          </w:p>
        </w:tc>
        <w:tc>
          <w:tcPr>
            <w:tcW w:w="1600" w:type="dxa"/>
            <w:vAlign w:val="bottom"/>
          </w:tcPr>
          <w:p>
            <w:pPr>
              <w:jc w:val="right"/>
              <w:ind w:right="645"/>
              <w:spacing w:after="0"/>
              <w:rPr>
                <w:sz w:val="20"/>
                <w:szCs w:val="20"/>
                <w:color w:val="auto"/>
              </w:rPr>
            </w:pPr>
            <w:r>
              <w:rPr>
                <w:rFonts w:ascii="Arial" w:cs="Arial" w:eastAsia="Arial" w:hAnsi="Arial"/>
                <w:sz w:val="15"/>
                <w:szCs w:val="15"/>
                <w:color w:val="auto"/>
              </w:rPr>
              <w:t>—</w:t>
            </w: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7"/>
          <w:szCs w:val="17"/>
          <w:b w:val="1"/>
          <w:bCs w:val="1"/>
          <w:color w:val="auto"/>
        </w:rPr>
        <w:t>VIANT TECHNOLOGY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1. Nature of Operations</w:t>
      </w:r>
    </w:p>
    <w:p>
      <w:pPr>
        <w:spacing w:after="0" w:line="110" w:lineRule="exact"/>
        <w:rPr>
          <w:sz w:val="20"/>
          <w:szCs w:val="20"/>
          <w:color w:val="auto"/>
        </w:rPr>
      </w:pPr>
    </w:p>
    <w:p>
      <w:pPr>
        <w:ind w:right="60" w:firstLine="425"/>
        <w:spacing w:after="0" w:line="275" w:lineRule="auto"/>
        <w:rPr>
          <w:sz w:val="20"/>
          <w:szCs w:val="20"/>
          <w:color w:val="auto"/>
        </w:rPr>
      </w:pPr>
      <w:r>
        <w:rPr>
          <w:rFonts w:ascii="Arial" w:cs="Arial" w:eastAsia="Arial" w:hAnsi="Arial"/>
          <w:sz w:val="16"/>
          <w:szCs w:val="16"/>
          <w:color w:val="231F20"/>
        </w:rPr>
        <w:t xml:space="preserve">Viant Technology Inc. (the “Company,” “we,” “us,” “our” or “Viant”) was incorporated in the State of Delaware on October 9, 2020 </w:t>
      </w:r>
      <w:r>
        <w:rPr>
          <w:rFonts w:ascii="Arial" w:cs="Arial" w:eastAsia="Arial" w:hAnsi="Arial"/>
          <w:sz w:val="16"/>
          <w:szCs w:val="16"/>
          <w:color w:val="000000"/>
        </w:rPr>
        <w:t>for the purpose of</w:t>
      </w:r>
      <w:r>
        <w:rPr>
          <w:rFonts w:ascii="Arial" w:cs="Arial" w:eastAsia="Arial" w:hAnsi="Arial"/>
          <w:sz w:val="16"/>
          <w:szCs w:val="16"/>
          <w:color w:val="231F20"/>
        </w:rPr>
        <w:t xml:space="preserve"> </w:t>
      </w:r>
      <w:r>
        <w:rPr>
          <w:rFonts w:ascii="Arial" w:cs="Arial" w:eastAsia="Arial" w:hAnsi="Arial"/>
          <w:sz w:val="16"/>
          <w:szCs w:val="16"/>
          <w:color w:val="000000"/>
        </w:rPr>
        <w:t xml:space="preserve">facilitating an Initial Public Offering (“IPO”) and other related transactions. </w:t>
      </w:r>
      <w:r>
        <w:rPr>
          <w:rFonts w:ascii="Arial" w:cs="Arial" w:eastAsia="Arial" w:hAnsi="Arial"/>
          <w:sz w:val="16"/>
          <w:szCs w:val="16"/>
          <w:color w:val="231F20"/>
        </w:rPr>
        <w:t>The Company operates a demand side platform (“DSP”), Adelphic, an enterprise software</w:t>
      </w:r>
      <w:r>
        <w:rPr>
          <w:rFonts w:ascii="Arial" w:cs="Arial" w:eastAsia="Arial" w:hAnsi="Arial"/>
          <w:sz w:val="16"/>
          <w:szCs w:val="16"/>
          <w:color w:val="000000"/>
        </w:rPr>
        <w:t xml:space="preserve"> </w:t>
      </w:r>
      <w:r>
        <w:rPr>
          <w:rFonts w:ascii="Arial" w:cs="Arial" w:eastAsia="Arial" w:hAnsi="Arial"/>
          <w:sz w:val="16"/>
          <w:szCs w:val="16"/>
          <w:color w:val="231F20"/>
        </w:rPr>
        <w:t>platform that is used by marketers and their advertising agencies to centralize the planning, buying and measurement of their advertising across channels, including desktop, mobile, connected TV, linear TV, in-game, streaming audio and digital billboards.</w:t>
      </w:r>
    </w:p>
    <w:p>
      <w:pPr>
        <w:spacing w:after="0" w:line="163" w:lineRule="exact"/>
        <w:rPr>
          <w:sz w:val="20"/>
          <w:szCs w:val="20"/>
          <w:color w:val="auto"/>
        </w:rPr>
      </w:pPr>
    </w:p>
    <w:p>
      <w:pPr>
        <w:ind w:right="300" w:firstLine="425"/>
        <w:spacing w:after="0" w:line="258" w:lineRule="auto"/>
        <w:rPr>
          <w:sz w:val="20"/>
          <w:szCs w:val="20"/>
          <w:color w:val="auto"/>
        </w:rPr>
      </w:pPr>
      <w:r>
        <w:rPr>
          <w:rFonts w:ascii="Arial" w:cs="Arial" w:eastAsia="Arial" w:hAnsi="Arial"/>
          <w:sz w:val="17"/>
          <w:szCs w:val="17"/>
          <w:color w:val="231F20"/>
        </w:rPr>
        <w:t>On February 9, 2021, the Securities and Exchange Commission (“SEC”) declared effective the Company’s Form S-1 related to the IPO of its Class A common stock. The closing date of the IPO was February 12, 2021, and in connection with the closing and the corporate reorganization (the “Reorganization Transactions”), the following actions were taken:</w:t>
      </w:r>
    </w:p>
    <w:p>
      <w:pPr>
        <w:spacing w:after="0" w:line="74" w:lineRule="exact"/>
        <w:rPr>
          <w:sz w:val="20"/>
          <w:szCs w:val="20"/>
          <w:color w:val="auto"/>
        </w:rPr>
      </w:pPr>
    </w:p>
    <w:p>
      <w:pPr>
        <w:ind w:left="840" w:right="140" w:hanging="424"/>
        <w:spacing w:after="0" w:line="269" w:lineRule="auto"/>
        <w:tabs>
          <w:tab w:leader="none" w:pos="84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65" w:lineRule="exact"/>
        <w:rPr>
          <w:rFonts w:ascii="Arial" w:cs="Arial" w:eastAsia="Arial" w:hAnsi="Arial"/>
          <w:sz w:val="17"/>
          <w:szCs w:val="17"/>
          <w:color w:val="231F20"/>
        </w:rPr>
      </w:pPr>
    </w:p>
    <w:p>
      <w:pPr>
        <w:ind w:left="840" w:right="400" w:hanging="424"/>
        <w:spacing w:after="0" w:line="258"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4" w:lineRule="exact"/>
        <w:rPr>
          <w:rFonts w:ascii="Arial" w:cs="Arial" w:eastAsia="Arial" w:hAnsi="Arial"/>
          <w:sz w:val="17"/>
          <w:szCs w:val="17"/>
          <w:color w:val="auto"/>
        </w:rPr>
      </w:pPr>
    </w:p>
    <w:p>
      <w:pPr>
        <w:ind w:left="840" w:right="80" w:hanging="424"/>
        <w:spacing w:after="0" w:line="270"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66" w:lineRule="exact"/>
        <w:rPr>
          <w:rFonts w:ascii="Arial" w:cs="Arial" w:eastAsia="Arial" w:hAnsi="Arial"/>
          <w:sz w:val="16"/>
          <w:szCs w:val="16"/>
          <w:color w:val="auto"/>
        </w:rPr>
      </w:pPr>
    </w:p>
    <w:p>
      <w:pPr>
        <w:ind w:left="840" w:right="160" w:hanging="424"/>
        <w:spacing w:after="0" w:line="269"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65" w:lineRule="exact"/>
        <w:rPr>
          <w:rFonts w:ascii="Arial" w:cs="Arial" w:eastAsia="Arial" w:hAnsi="Arial"/>
          <w:sz w:val="17"/>
          <w:szCs w:val="17"/>
          <w:color w:val="auto"/>
        </w:rPr>
      </w:pPr>
    </w:p>
    <w:p>
      <w:pPr>
        <w:ind w:left="840" w:right="20" w:hanging="424"/>
        <w:spacing w:after="0" w:line="269"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5" w:lineRule="exact"/>
        <w:rPr>
          <w:rFonts w:ascii="Arial" w:cs="Arial" w:eastAsia="Arial" w:hAnsi="Arial"/>
          <w:sz w:val="17"/>
          <w:szCs w:val="17"/>
          <w:color w:val="auto"/>
        </w:rPr>
      </w:pPr>
    </w:p>
    <w:p>
      <w:pPr>
        <w:ind w:left="840" w:hanging="424"/>
        <w:spacing w:after="0" w:line="254"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78" w:lineRule="exact"/>
        <w:rPr>
          <w:rFonts w:ascii="Arial" w:cs="Arial" w:eastAsia="Arial" w:hAnsi="Arial"/>
          <w:sz w:val="17"/>
          <w:szCs w:val="17"/>
          <w:color w:val="auto"/>
        </w:rPr>
      </w:pPr>
    </w:p>
    <w:p>
      <w:pPr>
        <w:ind w:left="840" w:right="20" w:hanging="424"/>
        <w:spacing w:after="0" w:line="254"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78" w:lineRule="exact"/>
        <w:rPr>
          <w:rFonts w:ascii="Arial" w:cs="Arial" w:eastAsia="Arial" w:hAnsi="Arial"/>
          <w:sz w:val="17"/>
          <w:szCs w:val="17"/>
          <w:color w:val="auto"/>
        </w:rPr>
      </w:pPr>
    </w:p>
    <w:p>
      <w:pPr>
        <w:ind w:left="840" w:hanging="424"/>
        <w:spacing w:after="0"/>
        <w:tabs>
          <w:tab w:leader="none" w:pos="840" w:val="left"/>
        </w:tabs>
        <w:numPr>
          <w:ilvl w:val="0"/>
          <w:numId w:val="43"/>
        </w:numPr>
        <w:rPr>
          <w:rFonts w:ascii="Arial" w:cs="Arial" w:eastAsia="Arial" w:hAnsi="Arial"/>
          <w:sz w:val="15"/>
          <w:szCs w:val="15"/>
          <w:color w:val="231F20"/>
        </w:rPr>
      </w:pPr>
      <w:r>
        <w:rPr>
          <w:rFonts w:ascii="Arial" w:cs="Arial" w:eastAsia="Arial" w:hAnsi="Arial"/>
          <w:sz w:val="15"/>
          <w:szCs w:val="15"/>
          <w:color w:val="231F20"/>
        </w:rPr>
        <w:t>The Company entered into a Registration Rights Agreement with the Class B stockholders to provide for certain rights and restrictions after the IPO;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ind w:left="840" w:right="100" w:hanging="424"/>
        <w:spacing w:after="0" w:line="269" w:lineRule="auto"/>
        <w:tabs>
          <w:tab w:leader="none" w:pos="840" w:val="left"/>
        </w:tabs>
        <w:numPr>
          <w:ilvl w:val="0"/>
          <w:numId w:val="44"/>
        </w:numPr>
        <w:rPr>
          <w:rFonts w:ascii="Arial" w:cs="Arial" w:eastAsia="Arial" w:hAnsi="Arial"/>
          <w:sz w:val="17"/>
          <w:szCs w:val="17"/>
          <w:color w:val="231F20"/>
        </w:rPr>
      </w:pPr>
      <w:r>
        <w:rPr>
          <w:rFonts w:ascii="Arial" w:cs="Arial" w:eastAsia="Arial" w:hAnsi="Arial"/>
          <w:sz w:val="17"/>
          <w:szCs w:val="17"/>
          <w:color w:val="231F20"/>
        </w:rPr>
        <w:t>Viant Technology LLC’s 2020 Equity Based Incentive Compensation Plan (the “Phantom Unit Plan”) was terminated and replaced with the Company’s 2021 Long Term Incentive Plan (the “LTIP”).</w:t>
      </w:r>
    </w:p>
    <w:p>
      <w:pPr>
        <w:spacing w:after="0" w:line="166" w:lineRule="exact"/>
        <w:rPr>
          <w:sz w:val="20"/>
          <w:szCs w:val="20"/>
          <w:color w:val="auto"/>
        </w:rPr>
      </w:pPr>
    </w:p>
    <w:p>
      <w:pPr>
        <w:ind w:right="100" w:firstLine="425"/>
        <w:spacing w:after="0" w:line="289" w:lineRule="auto"/>
        <w:rPr>
          <w:sz w:val="20"/>
          <w:szCs w:val="20"/>
          <w:color w:val="auto"/>
        </w:rPr>
      </w:pPr>
      <w:r>
        <w:rPr>
          <w:rFonts w:ascii="Arial" w:cs="Arial" w:eastAsia="Arial" w:hAnsi="Arial"/>
          <w:sz w:val="15"/>
          <w:szCs w:val="15"/>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consolidated financial statements and records a noncontrolling interest related to the Class B units held by the Class B stockholders on its consolidated balance sheets, statements of operations and statements of comprehensive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06" w:lineRule="exact"/>
        <w:rPr>
          <w:sz w:val="20"/>
          <w:szCs w:val="20"/>
          <w:color w:val="auto"/>
        </w:rPr>
      </w:pPr>
    </w:p>
    <w:p>
      <w:pPr>
        <w:ind w:right="120" w:firstLine="425"/>
        <w:spacing w:after="0" w:line="252"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(“GAAP”) and include the operations of the Company, Viant Technology LLC and its wholly owned subsidiaries. Viant Technology LLC is considered a variable interest entity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81" w:lineRule="exact"/>
        <w:rPr>
          <w:sz w:val="20"/>
          <w:szCs w:val="20"/>
          <w:color w:val="auto"/>
        </w:rPr>
      </w:pPr>
    </w:p>
    <w:p>
      <w:pPr>
        <w:ind w:firstLine="425"/>
        <w:spacing w:after="0" w:line="326" w:lineRule="auto"/>
        <w:rPr>
          <w:sz w:val="20"/>
          <w:szCs w:val="20"/>
          <w:color w:val="auto"/>
        </w:rPr>
      </w:pPr>
      <w:r>
        <w:rPr>
          <w:rFonts w:ascii="Arial" w:cs="Arial" w:eastAsia="Arial" w:hAnsi="Arial"/>
          <w:sz w:val="14"/>
          <w:szCs w:val="14"/>
          <w:color w:val="auto"/>
        </w:rPr>
        <w:t>Viant Technology LLC has been determined to be the predecessor for accounting purposes and, accordingly, the consolidated financial statements for periods prior to the IPO and the related Reorganization Transactions have been adjusted to combine the previously separate entities for presentation purposes. Amounts for the period prior to February 12, 2021 presented in the consolidated financial statements and notes to consolidated financial statements herein represent the historical operations of Viant Technology LLC. The amounts as of December 31, 2021 and for the period from February 12, 2021 reflect the consolidated operations of the Company.</w:t>
      </w:r>
    </w:p>
    <w:p>
      <w:pPr>
        <w:spacing w:after="0" w:line="132" w:lineRule="exact"/>
        <w:rPr>
          <w:sz w:val="20"/>
          <w:szCs w:val="20"/>
          <w:color w:val="auto"/>
        </w:rPr>
      </w:pPr>
    </w:p>
    <w:p>
      <w:pPr>
        <w:ind w:firstLine="425"/>
        <w:spacing w:after="0" w:line="258" w:lineRule="auto"/>
        <w:rPr>
          <w:sz w:val="20"/>
          <w:szCs w:val="20"/>
          <w:color w:val="auto"/>
        </w:rPr>
      </w:pPr>
      <w:r>
        <w:rPr>
          <w:rFonts w:ascii="Arial" w:cs="Arial" w:eastAsia="Arial" w:hAnsi="Arial"/>
          <w:sz w:val="17"/>
          <w:szCs w:val="17"/>
          <w:color w:val="auto"/>
        </w:rPr>
        <w:t>Management believes that the accompanying consolidated financial statements reflect the adjustments necessary for the fair statement of its consolidated balance sheet as of December 31, 2021 and 2020, results of operations for the years ended December 31, 2021, 2020 and 2019, and cash flows for the years ended December 31, 202,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7" w:lineRule="exact"/>
        <w:rPr>
          <w:sz w:val="20"/>
          <w:szCs w:val="20"/>
          <w:color w:val="auto"/>
        </w:rPr>
      </w:pPr>
    </w:p>
    <w:p>
      <w:pPr>
        <w:ind w:right="400" w:firstLine="425"/>
        <w:spacing w:after="0" w:line="258" w:lineRule="auto"/>
        <w:rPr>
          <w:sz w:val="20"/>
          <w:szCs w:val="20"/>
          <w:color w:val="auto"/>
        </w:rPr>
      </w:pPr>
      <w:r>
        <w:rPr>
          <w:rFonts w:ascii="Arial" w:cs="Arial" w:eastAsia="Arial" w:hAnsi="Arial"/>
          <w:sz w:val="17"/>
          <w:szCs w:val="17"/>
          <w:color w:val="231F20"/>
        </w:rPr>
        <w:t>The preparation of our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75" w:lineRule="exact"/>
        <w:rPr>
          <w:sz w:val="20"/>
          <w:szCs w:val="20"/>
          <w:color w:val="auto"/>
        </w:rPr>
      </w:pPr>
    </w:p>
    <w:p>
      <w:pPr>
        <w:ind w:right="20" w:firstLine="425"/>
        <w:spacing w:after="0" w:line="294" w:lineRule="auto"/>
        <w:rPr>
          <w:sz w:val="20"/>
          <w:szCs w:val="20"/>
          <w:color w:val="auto"/>
        </w:rPr>
      </w:pPr>
      <w:r>
        <w:rPr>
          <w:rFonts w:ascii="Arial" w:cs="Arial" w:eastAsia="Arial" w:hAnsi="Arial"/>
          <w:sz w:val="15"/>
          <w:szCs w:val="15"/>
          <w:color w:val="auto"/>
        </w:rPr>
        <w:t>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120" w:firstLine="425"/>
        <w:spacing w:after="0" w:line="258" w:lineRule="auto"/>
        <w:rPr>
          <w:sz w:val="20"/>
          <w:szCs w:val="20"/>
          <w:color w:val="auto"/>
        </w:rPr>
      </w:pPr>
      <w:r>
        <w:rPr>
          <w:rFonts w:ascii="Arial" w:cs="Arial" w:eastAsia="Arial" w:hAnsi="Arial"/>
          <w:sz w:val="17"/>
          <w:szCs w:val="17"/>
          <w:color w:val="auto"/>
        </w:rPr>
        <w:t>As of December 31, 2021,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07" w:lineRule="exact"/>
        <w:rPr>
          <w:sz w:val="20"/>
          <w:szCs w:val="20"/>
          <w:color w:val="auto"/>
        </w:rPr>
      </w:pPr>
    </w:p>
    <w:p>
      <w:pPr>
        <w:ind w:right="20" w:firstLine="425"/>
        <w:spacing w:after="0" w:line="289" w:lineRule="auto"/>
        <w:rPr>
          <w:sz w:val="20"/>
          <w:szCs w:val="20"/>
          <w:color w:val="auto"/>
        </w:rPr>
      </w:pPr>
      <w:r>
        <w:rPr>
          <w:rFonts w:ascii="Arial" w:cs="Arial" w:eastAsia="Arial" w:hAnsi="Arial"/>
          <w:sz w:val="15"/>
          <w:szCs w:val="15"/>
          <w:color w:val="auto"/>
        </w:rPr>
        <w:t>The Company has a single reportable operating segment which operates an enterprise software platform, Adelphic, that enables marketers and their advertising agencies to automate and centralize the planning, buying and measurement of their video, audio and display ads across all channels, including desktop, mobile, connected TV, linear TV, in-game, streaming audio and digital billboards in the United States.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comprised of the chief executive officer and chief operating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7" w:lineRule="exact"/>
        <w:rPr>
          <w:sz w:val="20"/>
          <w:szCs w:val="20"/>
          <w:color w:val="auto"/>
        </w:rPr>
      </w:pPr>
    </w:p>
    <w:p>
      <w:pPr>
        <w:ind w:right="180" w:firstLine="425"/>
        <w:spacing w:after="0" w:line="258" w:lineRule="auto"/>
        <w:rPr>
          <w:sz w:val="20"/>
          <w:szCs w:val="20"/>
          <w:color w:val="auto"/>
        </w:rPr>
      </w:pPr>
      <w:r>
        <w:rPr>
          <w:rFonts w:ascii="Arial" w:cs="Arial" w:eastAsia="Arial" w:hAnsi="Arial"/>
          <w:sz w:val="17"/>
          <w:szCs w:val="17"/>
          <w:color w:val="auto"/>
        </w:rPr>
        <w:t>The Company generates its revenue by providing marketers and advertising agencies with the ability to plan, buy and measure their digital advertising campaigns using its people-based DSP, Adelphic. Our platform enables marketers to reach their target audience across desktop, mobile, connected TV, linear TV, in-game, streaming audio and digital billboards.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Company applies a five-step approach as defined in Financial Accounting Standards Board (“FASB”) Accounting Standards Codification (“ASC”) 606,</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Revenue from Contracts with Customers (“ASC 606”), in determining the amount and timing of revenue to be recognized:</w:t>
      </w:r>
    </w:p>
    <w:p>
      <w:pPr>
        <w:spacing w:after="0" w:line="94" w:lineRule="exact"/>
        <w:rPr>
          <w:sz w:val="20"/>
          <w:szCs w:val="20"/>
          <w:color w:val="auto"/>
        </w:rPr>
      </w:pPr>
    </w:p>
    <w:p>
      <w:pPr>
        <w:ind w:left="840" w:hanging="424"/>
        <w:spacing w:after="0"/>
        <w:tabs>
          <w:tab w:leader="none" w:pos="84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Identification of a contract with a customer;</w:t>
      </w:r>
    </w:p>
    <w:p>
      <w:pPr>
        <w:spacing w:after="0" w:line="106" w:lineRule="exact"/>
        <w:rPr>
          <w:rFonts w:ascii="Arial" w:cs="Arial" w:eastAsia="Arial" w:hAnsi="Arial"/>
          <w:sz w:val="17"/>
          <w:szCs w:val="17"/>
          <w:color w:val="231F20"/>
        </w:rPr>
      </w:pPr>
    </w:p>
    <w:p>
      <w:pPr>
        <w:ind w:left="840" w:hanging="424"/>
        <w:spacing w:after="0"/>
        <w:tabs>
          <w:tab w:leader="none" w:pos="84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Identification of the performance obligations in the contract;</w:t>
      </w:r>
    </w:p>
    <w:p>
      <w:pPr>
        <w:spacing w:after="0" w:line="106" w:lineRule="exact"/>
        <w:rPr>
          <w:rFonts w:ascii="Arial" w:cs="Arial" w:eastAsia="Arial" w:hAnsi="Arial"/>
          <w:sz w:val="17"/>
          <w:szCs w:val="17"/>
          <w:color w:val="231F20"/>
        </w:rPr>
      </w:pPr>
    </w:p>
    <w:p>
      <w:pPr>
        <w:ind w:left="840" w:hanging="424"/>
        <w:spacing w:after="0"/>
        <w:tabs>
          <w:tab w:leader="none" w:pos="84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Determination of the transaction price;</w:t>
      </w:r>
    </w:p>
    <w:p>
      <w:pPr>
        <w:spacing w:after="0" w:line="106" w:lineRule="exact"/>
        <w:rPr>
          <w:rFonts w:ascii="Arial" w:cs="Arial" w:eastAsia="Arial" w:hAnsi="Arial"/>
          <w:sz w:val="17"/>
          <w:szCs w:val="17"/>
          <w:color w:val="231F20"/>
        </w:rPr>
      </w:pPr>
    </w:p>
    <w:p>
      <w:pPr>
        <w:ind w:left="840" w:hanging="424"/>
        <w:spacing w:after="0"/>
        <w:tabs>
          <w:tab w:leader="none" w:pos="84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Allocation of the transaction price to the performance obligations in the contract; and</w:t>
      </w:r>
    </w:p>
    <w:p>
      <w:pPr>
        <w:spacing w:after="0" w:line="106" w:lineRule="exact"/>
        <w:rPr>
          <w:rFonts w:ascii="Arial" w:cs="Arial" w:eastAsia="Arial" w:hAnsi="Arial"/>
          <w:sz w:val="17"/>
          <w:szCs w:val="17"/>
          <w:color w:val="231F20"/>
        </w:rPr>
      </w:pPr>
    </w:p>
    <w:p>
      <w:pPr>
        <w:ind w:left="840" w:hanging="424"/>
        <w:spacing w:after="0"/>
        <w:tabs>
          <w:tab w:leader="none" w:pos="84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Recognition of revenue when or as the performance obligations are satisfied.</w:t>
      </w:r>
    </w:p>
    <w:p>
      <w:pPr>
        <w:spacing w:after="0" w:line="207" w:lineRule="exact"/>
        <w:rPr>
          <w:sz w:val="20"/>
          <w:szCs w:val="20"/>
          <w:color w:val="auto"/>
        </w:rPr>
      </w:pPr>
    </w:p>
    <w:p>
      <w:pPr>
        <w:ind w:right="80" w:firstLine="425"/>
        <w:spacing w:after="0" w:line="288" w:lineRule="auto"/>
        <w:rPr>
          <w:sz w:val="20"/>
          <w:szCs w:val="20"/>
          <w:color w:val="auto"/>
        </w:rPr>
      </w:pPr>
      <w:r>
        <w:rPr>
          <w:rFonts w:ascii="Arial" w:cs="Arial" w:eastAsia="Arial" w:hAnsi="Arial"/>
          <w:sz w:val="15"/>
          <w:szCs w:val="15"/>
          <w:color w:val="auto"/>
        </w:rPr>
        <w:t>We make our software platform available through different pricing options to tailor to multiple customer types and customer needs. These options consist of a percentage of spend option, a monthly subscription pricing option and a fixed cost per mille (“CPM”) pricing option. CPM refers to a payment option in which customers pay a price for every 1,000 impressions an ad receives. We generate revenue when our software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(2) a flat monthly subscription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56" w:lineRule="exact"/>
        <w:rPr>
          <w:sz w:val="20"/>
          <w:szCs w:val="20"/>
          <w:color w:val="auto"/>
        </w:rPr>
      </w:pPr>
    </w:p>
    <w:p>
      <w:pPr>
        <w:ind w:right="80" w:firstLine="425"/>
        <w:spacing w:after="0" w:line="252" w:lineRule="auto"/>
        <w:rPr>
          <w:sz w:val="20"/>
          <w:szCs w:val="20"/>
          <w:color w:val="auto"/>
        </w:rPr>
      </w:pPr>
      <w:r>
        <w:rPr>
          <w:rFonts w:ascii="Arial" w:cs="Arial" w:eastAsia="Arial" w:hAnsi="Arial"/>
          <w:sz w:val="17"/>
          <w:szCs w:val="17"/>
          <w:color w:val="auto"/>
        </w:rPr>
        <w:t>We maintain agreements with our customers in the form of master service agreements (“MSA”) in connection with the percentage of spend and monthly subscription pricing options, as well as instances where we charge our customers a flat monthly fee for services in connection with data management and advanced reporting. We maintain insertion orders (“IO”) in connection with the fixed CPM pricing option, which set out the terms of the relationship and use of our software platform. The nature of our performance obligations is to enable customers to plan, buy and measure advertising campaigns using our platform and provide campaign execution services as requested.</w:t>
      </w:r>
    </w:p>
    <w:p>
      <w:pPr>
        <w:spacing w:after="0" w:line="181" w:lineRule="exact"/>
        <w:rPr>
          <w:sz w:val="20"/>
          <w:szCs w:val="20"/>
          <w:color w:val="auto"/>
        </w:rPr>
      </w:pPr>
    </w:p>
    <w:p>
      <w:pPr>
        <w:ind w:firstLine="425"/>
        <w:spacing w:after="0" w:line="281" w:lineRule="auto"/>
        <w:rPr>
          <w:sz w:val="20"/>
          <w:szCs w:val="20"/>
          <w:color w:val="auto"/>
        </w:rPr>
      </w:pPr>
      <w:r>
        <w:rPr>
          <w:rFonts w:ascii="Arial" w:cs="Arial" w:eastAsia="Arial" w:hAnsi="Arial"/>
          <w:sz w:val="16"/>
          <w:szCs w:val="16"/>
          <w:color w:val="auto"/>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as defined below. We recognize revenue at the point in time when a purchase by the customer occurs through our software platform.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95" w:name="page96"/>
    <w:bookmarkEnd w:id="95"/>
    <w:p>
      <w:pPr>
        <w:ind w:right="20"/>
        <w:spacing w:after="0" w:line="337" w:lineRule="auto"/>
        <w:rPr>
          <w:sz w:val="20"/>
          <w:szCs w:val="20"/>
          <w:color w:val="auto"/>
        </w:rPr>
      </w:pPr>
      <w:r>
        <w:rPr>
          <w:rFonts w:ascii="Arial" w:cs="Arial" w:eastAsia="Arial" w:hAnsi="Arial"/>
          <w:sz w:val="15"/>
          <w:szCs w:val="15"/>
          <w:color w:val="auto"/>
        </w:rPr>
        <w:t>For the monthly subscription pricing option, we bill customers a platform fee represented by a fixed subscription amount, as well as fees for additional features such as data and advanced reporting, plus the cost of TAC. We recognize subscription fees as revenue over time on a ratable basis over the term of the agreement.</w:t>
      </w:r>
    </w:p>
    <w:p>
      <w:pPr>
        <w:spacing w:after="0" w:line="119" w:lineRule="exact"/>
        <w:rPr>
          <w:sz w:val="20"/>
          <w:szCs w:val="20"/>
          <w:color w:val="auto"/>
        </w:rPr>
      </w:pPr>
    </w:p>
    <w:p>
      <w:pPr>
        <w:ind w:right="40" w:firstLine="425"/>
        <w:spacing w:after="0" w:line="254" w:lineRule="auto"/>
        <w:rPr>
          <w:sz w:val="20"/>
          <w:szCs w:val="20"/>
          <w:color w:val="auto"/>
        </w:rPr>
      </w:pPr>
      <w:r>
        <w:rPr>
          <w:rFonts w:ascii="Arial" w:cs="Arial" w:eastAsia="Arial" w:hAnsi="Arial"/>
          <w:sz w:val="17"/>
          <w:szCs w:val="17"/>
          <w:color w:val="auto"/>
        </w:rPr>
        <w:t>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179" w:lineRule="exact"/>
        <w:rPr>
          <w:sz w:val="20"/>
          <w:szCs w:val="20"/>
          <w:color w:val="auto"/>
        </w:rPr>
      </w:pPr>
    </w:p>
    <w:p>
      <w:pPr>
        <w:ind w:firstLine="425"/>
        <w:spacing w:after="0" w:line="291" w:lineRule="auto"/>
        <w:rPr>
          <w:sz w:val="20"/>
          <w:szCs w:val="20"/>
          <w:color w:val="auto"/>
        </w:rPr>
      </w:pPr>
      <w:r>
        <w:rPr>
          <w:rFonts w:ascii="Arial" w:cs="Arial" w:eastAsia="Arial" w:hAnsi="Arial"/>
          <w:sz w:val="15"/>
          <w:szCs w:val="15"/>
          <w:color w:val="auto"/>
        </w:rPr>
        <w:t>In instances discussed above related to the percentage of spend pricing option, we typically act as an agent because we arrange for the transfer of such costs from the supplier to the customer through the use of our software platform and do not control such features prior to transfer to the customer. We do not have primary responsibility for meeting customer specifications and do not have discretion in establishing the price of TAC related to this pricing option. As we act as the agent in these arrangements, we report revenue on a net basis. In certain arrangements, we act as a principal in percentage of spend arrangements because (i) we control the advertising inventory before it is transferred to our clients; (ii) we bear sole responsibility for fulfillment of the advertising promise and inventory risks and (iii) we have full discretion in establishing prices. As we act as the principal in these arrangements, we report revenue and the related costs incurred on a gross basis.</w:t>
      </w:r>
    </w:p>
    <w:p>
      <w:pPr>
        <w:spacing w:after="0" w:line="154" w:lineRule="exact"/>
        <w:rPr>
          <w:sz w:val="20"/>
          <w:szCs w:val="20"/>
          <w:color w:val="auto"/>
        </w:rPr>
      </w:pPr>
    </w:p>
    <w:p>
      <w:pPr>
        <w:ind w:right="40" w:firstLine="425"/>
        <w:spacing w:after="0" w:line="252" w:lineRule="auto"/>
        <w:rPr>
          <w:sz w:val="20"/>
          <w:szCs w:val="20"/>
          <w:color w:val="auto"/>
        </w:rPr>
      </w:pPr>
      <w:r>
        <w:rPr>
          <w:rFonts w:ascii="Arial" w:cs="Arial" w:eastAsia="Arial" w:hAnsi="Arial"/>
          <w:sz w:val="17"/>
          <w:szCs w:val="17"/>
          <w:color w:val="auto"/>
        </w:rPr>
        <w:t>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As we act as the principal in these arrangements, we report revenue and the related costs incurred on a gross basis.</w:t>
      </w:r>
    </w:p>
    <w:p>
      <w:pPr>
        <w:spacing w:after="0" w:line="181" w:lineRule="exact"/>
        <w:rPr>
          <w:sz w:val="20"/>
          <w:szCs w:val="20"/>
          <w:color w:val="auto"/>
        </w:rPr>
      </w:pPr>
    </w:p>
    <w:p>
      <w:pPr>
        <w:ind w:right="580" w:firstLine="425"/>
        <w:spacing w:after="0" w:line="281" w:lineRule="auto"/>
        <w:rPr>
          <w:sz w:val="20"/>
          <w:szCs w:val="20"/>
          <w:color w:val="auto"/>
        </w:rPr>
      </w:pPr>
      <w:r>
        <w:rPr>
          <w:rFonts w:ascii="Arial" w:cs="Arial" w:eastAsia="Arial" w:hAnsi="Arial"/>
          <w:sz w:val="16"/>
          <w:szCs w:val="16"/>
          <w:color w:val="auto"/>
        </w:rPr>
        <w:t>The Company invoices its customers on a monthly basis for all pricing options.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 the advertiser.</w:t>
      </w:r>
    </w:p>
    <w:p>
      <w:pPr>
        <w:spacing w:after="0" w:line="159" w:lineRule="exact"/>
        <w:rPr>
          <w:sz w:val="20"/>
          <w:szCs w:val="20"/>
          <w:color w:val="auto"/>
        </w:rPr>
      </w:pPr>
    </w:p>
    <w:p>
      <w:pPr>
        <w:ind w:right="60" w:firstLine="425"/>
        <w:spacing w:after="0" w:line="299" w:lineRule="auto"/>
        <w:rPr>
          <w:sz w:val="20"/>
          <w:szCs w:val="20"/>
          <w:color w:val="auto"/>
        </w:rPr>
      </w:pPr>
      <w:r>
        <w:rPr>
          <w:rFonts w:ascii="Arial" w:cs="Arial" w:eastAsia="Arial" w:hAnsi="Arial"/>
          <w:sz w:val="15"/>
          <w:szCs w:val="15"/>
          <w:color w:val="auto"/>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147" w:lineRule="exact"/>
        <w:rPr>
          <w:sz w:val="20"/>
          <w:szCs w:val="20"/>
          <w:color w:val="auto"/>
        </w:rPr>
      </w:pPr>
    </w:p>
    <w:p>
      <w:pPr>
        <w:ind w:right="60" w:firstLine="425"/>
        <w:spacing w:after="0" w:line="337" w:lineRule="auto"/>
        <w:rPr>
          <w:sz w:val="20"/>
          <w:szCs w:val="20"/>
          <w:color w:val="auto"/>
        </w:rPr>
      </w:pPr>
      <w:r>
        <w:rPr>
          <w:rFonts w:ascii="Arial" w:cs="Arial" w:eastAsia="Arial" w:hAnsi="Arial"/>
          <w:sz w:val="15"/>
          <w:szCs w:val="15"/>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7" w:lineRule="exact"/>
        <w:rPr>
          <w:sz w:val="20"/>
          <w:szCs w:val="20"/>
          <w:color w:val="auto"/>
        </w:rPr>
      </w:pPr>
    </w:p>
    <w:p>
      <w:pPr>
        <w:ind w:right="200" w:firstLine="425"/>
        <w:spacing w:after="0" w:line="269" w:lineRule="auto"/>
        <w:rPr>
          <w:sz w:val="20"/>
          <w:szCs w:val="20"/>
          <w:color w:val="auto"/>
        </w:rPr>
      </w:pPr>
      <w:r>
        <w:rPr>
          <w:rFonts w:ascii="Arial" w:cs="Arial" w:eastAsia="Arial" w:hAnsi="Arial"/>
          <w:sz w:val="17"/>
          <w:szCs w:val="17"/>
          <w:color w:val="auto"/>
        </w:rPr>
        <w:t>We classify our operating expenses into the following four categories. Each expense category includes overhead such as rent and occupancy charges, which is allocated based on headcount.</w:t>
      </w:r>
    </w:p>
    <w:p>
      <w:pPr>
        <w:spacing w:after="0" w:line="166" w:lineRule="exact"/>
        <w:rPr>
          <w:sz w:val="20"/>
          <w:szCs w:val="20"/>
          <w:color w:val="auto"/>
        </w:rPr>
      </w:pPr>
    </w:p>
    <w:p>
      <w:pPr>
        <w:jc w:val="both"/>
        <w:ind w:right="500" w:firstLine="425"/>
        <w:spacing w:after="0" w:line="299" w:lineRule="auto"/>
        <w:rPr>
          <w:sz w:val="20"/>
          <w:szCs w:val="20"/>
          <w:color w:val="auto"/>
        </w:rPr>
      </w:pPr>
      <w:r>
        <w:rPr>
          <w:rFonts w:ascii="Arial" w:cs="Arial" w:eastAsia="Arial" w:hAnsi="Arial"/>
          <w:sz w:val="15"/>
          <w:szCs w:val="15"/>
          <w:i w:val="1"/>
          <w:iCs w:val="1"/>
          <w:color w:val="auto"/>
        </w:rPr>
        <w:t xml:space="preserve">Platform Operations. </w:t>
      </w:r>
      <w:r>
        <w:rPr>
          <w:rFonts w:ascii="Arial" w:cs="Arial" w:eastAsia="Arial" w:hAnsi="Arial"/>
          <w:sz w:val="15"/>
          <w:szCs w:val="15"/>
          <w:color w:val="auto"/>
        </w:rPr>
        <w:t>Platform operations expense represents our cost of revenues, which consists of TAC, hosting costs, personnel costs, depreciation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capitalized software development costs related to our platform, customer support costs and allocated overhead. TAC recorded in platform operations consists of amounts incurred and payable to suppliers for costs associated with our fixed CPM pricing option. Personnel costs within platform operations include salaries, bonuses, stock/unit-based compensation and employee benefit costs primarily attributable to personnel who directly support our platform.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96" w:name="page97"/>
    <w:bookmarkEnd w:id="96"/>
    <w:p>
      <w:pPr>
        <w:ind w:right="80" w:firstLine="425"/>
        <w:spacing w:after="0" w:line="258"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salaries, bonuses, stock/unit-based compensation,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75" w:lineRule="exact"/>
        <w:rPr>
          <w:sz w:val="20"/>
          <w:szCs w:val="20"/>
          <w:color w:val="auto"/>
        </w:rPr>
      </w:pPr>
    </w:p>
    <w:p>
      <w:pPr>
        <w:ind w:right="20" w:firstLine="425"/>
        <w:spacing w:after="0" w:line="258" w:lineRule="auto"/>
        <w:rPr>
          <w:sz w:val="20"/>
          <w:szCs w:val="20"/>
          <w:color w:val="auto"/>
        </w:rPr>
      </w:pPr>
      <w:r>
        <w:rPr>
          <w:rFonts w:ascii="Arial" w:cs="Arial" w:eastAsia="Arial" w:hAnsi="Arial"/>
          <w:sz w:val="17"/>
          <w:szCs w:val="17"/>
          <w:color w:val="auto"/>
        </w:rPr>
        <w:t>The Company incurred advertising costs of $4.1 million, $1.2 million, and $1.0 million for the years ended December 31, 2021, 2020 and 2019, respectively, related to the promotion of the Company, its brands, products and services to potential customers. Advertising costs are expensed as incurred and recorded in sales and marketing expense within the consolidated statements of operations.</w:t>
      </w:r>
    </w:p>
    <w:p>
      <w:pPr>
        <w:spacing w:after="0" w:line="175" w:lineRule="exact"/>
        <w:rPr>
          <w:sz w:val="20"/>
          <w:szCs w:val="20"/>
          <w:color w:val="auto"/>
        </w:rPr>
      </w:pPr>
    </w:p>
    <w:p>
      <w:pPr>
        <w:ind w:firstLine="425"/>
        <w:spacing w:after="0" w:line="272" w:lineRule="auto"/>
        <w:rPr>
          <w:sz w:val="20"/>
          <w:szCs w:val="20"/>
          <w:color w:val="auto"/>
        </w:rPr>
      </w:pPr>
      <w:r>
        <w:rPr>
          <w:rFonts w:ascii="Arial" w:cs="Arial" w:eastAsia="Arial" w:hAnsi="Arial"/>
          <w:sz w:val="16"/>
          <w:szCs w:val="16"/>
          <w:i w:val="1"/>
          <w:iCs w:val="1"/>
          <w:color w:val="auto"/>
        </w:rPr>
        <w:t xml:space="preserve">Technology and Development. </w:t>
      </w:r>
      <w:r>
        <w:rPr>
          <w:rFonts w:ascii="Arial" w:cs="Arial" w:eastAsia="Arial" w:hAnsi="Arial"/>
          <w:sz w:val="16"/>
          <w:szCs w:val="16"/>
          <w:color w:val="auto"/>
        </w:rPr>
        <w:t>Technology and development expense consists primarily of personnel costs, including salaries, bonuses, stock/unit-based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employee benefit costs associated with the ongoing development and maintenance of our software platform and allocated overhead. Technology and development costs are expensed as incurred, except to the extent that such costs are associated with software development that qualifies for capitalization, which are then recorded as capitalized software development costs included in property, equipment and software, net, on the consolidated balance sheets. We record depreciation for capitalized software not related to our platform within technology and development expense.</w:t>
      </w:r>
    </w:p>
    <w:p>
      <w:pPr>
        <w:spacing w:after="0" w:line="165" w:lineRule="exact"/>
        <w:rPr>
          <w:sz w:val="20"/>
          <w:szCs w:val="20"/>
          <w:color w:val="auto"/>
        </w:rPr>
      </w:pPr>
    </w:p>
    <w:p>
      <w:pPr>
        <w:ind w:firstLine="425"/>
        <w:spacing w:after="0" w:line="28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primarily of personnel costs, including salaries, bonuses, stock/unit-based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7" w:lineRule="exact"/>
        <w:rPr>
          <w:sz w:val="20"/>
          <w:szCs w:val="20"/>
          <w:color w:val="auto"/>
        </w:rPr>
      </w:pPr>
    </w:p>
    <w:p>
      <w:pPr>
        <w:ind w:firstLine="425"/>
        <w:spacing w:after="0" w:line="288" w:lineRule="auto"/>
        <w:rPr>
          <w:sz w:val="20"/>
          <w:szCs w:val="20"/>
          <w:color w:val="auto"/>
        </w:rPr>
      </w:pPr>
      <w:r>
        <w:rPr>
          <w:rFonts w:ascii="Arial" w:cs="Arial" w:eastAsia="Arial" w:hAnsi="Arial"/>
          <w:sz w:val="15"/>
          <w:szCs w:val="15"/>
          <w:color w:val="auto"/>
        </w:rPr>
        <w:t>Stock-based compensation relates to equity awards granted under the Company’s 2021 LTIP, which is measured and recognized in the consolidated financial statements based on the fair value of the equity awards granted. Since inception of the 2021 LTIP, the Company has only granted restricted stock units (“RSUs”) and nonqualified stock options. The fair value of RSUs is calculated using the closing market price of the Company’s Class A common stock on the date of grant. The fair value of nonqualified stock options is estimated using the Black Scholes option pricing model. The Black Scholes option pricing model is impacted by the fair value of the Company’s Class A common stock, as well as changes in certain assumptions, including but 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2021 LTIP under the straight-line attribution method over the requisite service period. The Company has elected the accounting policy to account for forfeitures within stock-based compensation as they occur.</w:t>
      </w:r>
    </w:p>
    <w:p>
      <w:pPr>
        <w:spacing w:after="0" w:line="55" w:lineRule="exact"/>
        <w:rPr>
          <w:sz w:val="20"/>
          <w:szCs w:val="20"/>
          <w:color w:val="auto"/>
        </w:rPr>
      </w:pPr>
    </w:p>
    <w:p>
      <w:pPr>
        <w:ind w:right="140" w:firstLine="425"/>
        <w:spacing w:after="0" w:line="294" w:lineRule="auto"/>
        <w:rPr>
          <w:sz w:val="20"/>
          <w:szCs w:val="20"/>
          <w:color w:val="auto"/>
        </w:rPr>
      </w:pPr>
      <w:r>
        <w:rPr>
          <w:rFonts w:ascii="Arial" w:cs="Arial" w:eastAsia="Arial" w:hAnsi="Arial"/>
          <w:sz w:val="15"/>
          <w:szCs w:val="15"/>
          <w:color w:val="auto"/>
        </w:rPr>
        <w:t>A portion of RSUs granted during the year ended December 31, 2021 to certain employees and board members, pursuant to the 2021 LTIP, vested upon expiration of the 180 day IPO lock-up period during the fiscal year ended December 31, 2021. The remainder of RSUs and nonqualified stock options granted to employees will vest through the applicable vesting dates. RSUs generally vest over a period of four years, contingent upon employment on the vesting date. RSUs awarded to board members upon their appointment will vest on the third anniversary of the grant date and RSUs awarded to board members annually will vest on the first anniversary of the grant date. Nonqualified stock options will generally vest based on 4 years of continuous service and have 10-year contractual terms.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Unit-Based Compensation</w:t>
      </w:r>
    </w:p>
    <w:p>
      <w:pPr>
        <w:spacing w:after="0" w:line="207" w:lineRule="exact"/>
        <w:rPr>
          <w:sz w:val="20"/>
          <w:szCs w:val="20"/>
          <w:color w:val="auto"/>
        </w:rPr>
      </w:pPr>
    </w:p>
    <w:p>
      <w:pPr>
        <w:ind w:right="20" w:firstLine="425"/>
        <w:spacing w:after="0" w:line="254" w:lineRule="auto"/>
        <w:rPr>
          <w:sz w:val="20"/>
          <w:szCs w:val="20"/>
          <w:color w:val="auto"/>
        </w:rPr>
      </w:pPr>
      <w:r>
        <w:rPr>
          <w:rFonts w:ascii="Arial" w:cs="Arial" w:eastAsia="Arial" w:hAnsi="Arial"/>
          <w:sz w:val="17"/>
          <w:szCs w:val="17"/>
          <w:color w:val="auto"/>
        </w:rPr>
        <w:t>The Company adopted the Limited Liability Company Agreement (the “Viant Technology LLC Agreement”) on October 4, 2016, under which it issued common unit awards, subject to vesting and other terms, to certain executives of the Company and to Viant Technology Equity Plan LLC, which issued incentive units in the form of profit interests to certain employees of the Company. The Company records compensation for all common unit awards and incentive units granted to employees of the Company, which is measured and recognized on a graded-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97" w:name="page98"/>
    <w:bookmarkEnd w:id="97"/>
    <w:p>
      <w:pPr>
        <w:ind w:right="320"/>
        <w:spacing w:after="0" w:line="269" w:lineRule="auto"/>
        <w:rPr>
          <w:sz w:val="20"/>
          <w:szCs w:val="20"/>
          <w:color w:val="auto"/>
        </w:rPr>
      </w:pPr>
      <w:r>
        <w:rPr>
          <w:rFonts w:ascii="Arial" w:cs="Arial" w:eastAsia="Arial" w:hAnsi="Arial"/>
          <w:sz w:val="17"/>
          <w:szCs w:val="17"/>
          <w:color w:val="auto"/>
        </w:rPr>
        <w:t>vesting attribution basis over the requisite service period based on the fair value of the awards at the grant date. The Company has elected the accounting policy to account for forfeitures within unit-based compensation as they occur.</w:t>
      </w:r>
    </w:p>
    <w:p>
      <w:pPr>
        <w:spacing w:after="0" w:line="166" w:lineRule="exact"/>
        <w:rPr>
          <w:sz w:val="20"/>
          <w:szCs w:val="20"/>
          <w:color w:val="auto"/>
        </w:rPr>
      </w:pPr>
    </w:p>
    <w:p>
      <w:pPr>
        <w:ind w:right="60" w:firstLine="425"/>
        <w:spacing w:after="0" w:line="268" w:lineRule="auto"/>
        <w:rPr>
          <w:sz w:val="20"/>
          <w:szCs w:val="20"/>
          <w:color w:val="auto"/>
        </w:rPr>
      </w:pPr>
      <w:r>
        <w:rPr>
          <w:rFonts w:ascii="Arial" w:cs="Arial" w:eastAsia="Arial" w:hAnsi="Arial"/>
          <w:sz w:val="16"/>
          <w:szCs w:val="16"/>
          <w:color w:val="auto"/>
        </w:rPr>
        <w:t>During the years ended December 31, 2020 and 2019, the Company was privately held with no active public market for our common units. Therefore, in determining the fair value of equity-based awards, the Company utilized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conducting the valuations, the Company considered all objective and subjective factors that it believed to be relevant in the valuation conducted, including management’s best estimate of our business condition, prospects and operating performance at the valuation dates. There are significant judgments and estimates inherent in these valuations. These judgments and estimates include assumptions regarding our future operating performance, industry growth, average selling price, and the timing of a potential initial public offering or other liquidity event.</w:t>
      </w:r>
    </w:p>
    <w:p>
      <w:pPr>
        <w:spacing w:after="0" w:line="172" w:lineRule="exact"/>
        <w:rPr>
          <w:sz w:val="20"/>
          <w:szCs w:val="20"/>
          <w:color w:val="auto"/>
        </w:rPr>
      </w:pPr>
    </w:p>
    <w:p>
      <w:pPr>
        <w:ind w:right="200" w:firstLine="425"/>
        <w:spacing w:after="0" w:line="294" w:lineRule="auto"/>
        <w:rPr>
          <w:sz w:val="20"/>
          <w:szCs w:val="20"/>
          <w:color w:val="auto"/>
        </w:rPr>
      </w:pPr>
      <w:r>
        <w:rPr>
          <w:rFonts w:ascii="Arial" w:cs="Arial" w:eastAsia="Arial" w:hAnsi="Arial"/>
          <w:sz w:val="15"/>
          <w:szCs w:val="15"/>
          <w:color w:val="auto"/>
        </w:rPr>
        <w:t>The Company determined the fair value of equity awards using a combination of the market and income approach. The market approach and the income approach are both acceptable valuation methods in accordance with the Practice Aid. There are two general methodologies under the market approach: (i) guideline public company method, and (ii) guideline merged and acquired company method. Both methods generate a marketable equity fair value indication using market-based information available to market participants. Under the income approach, the enterprise value can be estimated using the discounted cash flow method, which involves estimating the future cash flows of a business for a discrete period and discounting them to their present value.</w:t>
      </w:r>
    </w:p>
    <w:p>
      <w:pPr>
        <w:spacing w:after="0" w:line="151"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auto"/>
        </w:rPr>
        <w:t>As provided in the Practice Aid, there are several approaches for allocating enterprise value of a privately held company to the outstanding equity of the Company. The Company selected the Option Pricing Model (“OPM”) which treats common equity and preferred equity as call options on the enterprise’s value. The exercise prices associated with these call options vary according to the liquidation preference of the preferred equity, the preferred equity conversion price, the exercise prices of common equity options and other features of a company’s equity capital structure.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(Loss) Per Share</w:t>
      </w:r>
    </w:p>
    <w:p>
      <w:pPr>
        <w:spacing w:after="0" w:line="207" w:lineRule="exact"/>
        <w:rPr>
          <w:sz w:val="20"/>
          <w:szCs w:val="20"/>
          <w:color w:val="auto"/>
        </w:rPr>
      </w:pPr>
    </w:p>
    <w:p>
      <w:pPr>
        <w:ind w:right="20" w:firstLine="425"/>
        <w:spacing w:after="0" w:line="275" w:lineRule="auto"/>
        <w:rPr>
          <w:sz w:val="20"/>
          <w:szCs w:val="20"/>
          <w:color w:val="auto"/>
        </w:rPr>
      </w:pPr>
      <w:r>
        <w:rPr>
          <w:rFonts w:ascii="Arial" w:cs="Arial" w:eastAsia="Arial" w:hAnsi="Arial"/>
          <w:sz w:val="16"/>
          <w:szCs w:val="16"/>
          <w:color w:val="auto"/>
        </w:rPr>
        <w:t xml:space="preserve">Basic earnings (loss) per share is calculated by dividing the earnings (loss) attributable to Class A common stockholders by the number of weighted-average shares of Class A common stock outstanding. </w:t>
      </w:r>
      <w:r>
        <w:rPr>
          <w:rFonts w:ascii="Arial" w:cs="Arial" w:eastAsia="Arial" w:hAnsi="Arial"/>
          <w:sz w:val="16"/>
          <w:szCs w:val="16"/>
          <w:color w:val="231F20"/>
        </w:rPr>
        <w:t>The Company’s RSUs, nonqualified stock options and shares of Class B common stock do not share in the earnings or</w:t>
      </w:r>
      <w:r>
        <w:rPr>
          <w:rFonts w:ascii="Arial" w:cs="Arial" w:eastAsia="Arial" w:hAnsi="Arial"/>
          <w:sz w:val="16"/>
          <w:szCs w:val="16"/>
          <w:color w:val="auto"/>
        </w:rPr>
        <w:t xml:space="preserve"> </w:t>
      </w:r>
      <w:r>
        <w:rPr>
          <w:rFonts w:ascii="Arial" w:cs="Arial" w:eastAsia="Arial" w:hAnsi="Arial"/>
          <w:sz w:val="16"/>
          <w:szCs w:val="16"/>
          <w:color w:val="231F20"/>
        </w:rPr>
        <w:t>losses of the Company and are therefore not participating securities. As such, separate presentation of basic and diluted earnings (loss) per share of RSUs, nonqualified stock options and Class B common stock under the two-class method has not been presented.</w:t>
      </w:r>
    </w:p>
    <w:p>
      <w:pPr>
        <w:spacing w:after="0" w:line="163" w:lineRule="exact"/>
        <w:rPr>
          <w:sz w:val="20"/>
          <w:szCs w:val="20"/>
          <w:color w:val="auto"/>
        </w:rPr>
      </w:pPr>
    </w:p>
    <w:p>
      <w:pPr>
        <w:ind w:right="100" w:firstLine="425"/>
        <w:spacing w:after="0" w:line="294" w:lineRule="auto"/>
        <w:rPr>
          <w:sz w:val="20"/>
          <w:szCs w:val="20"/>
          <w:color w:val="auto"/>
        </w:rPr>
      </w:pPr>
      <w:r>
        <w:rPr>
          <w:rFonts w:ascii="Arial" w:cs="Arial" w:eastAsia="Arial" w:hAnsi="Arial"/>
          <w:sz w:val="15"/>
          <w:szCs w:val="15"/>
          <w:color w:val="auto"/>
        </w:rPr>
        <w:t>Diluted earnings per share adjusts the basic earnings (loss) per share calculation for the potential dilutive impact of common shares such as equity awards using the treasury-stock method. Diluted earnings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however, related amounts have been excluded from the computation of diluted earnings per share of Class A common stock because the effect would have been anti-dilutive under the if-converted method and treasury-stock method.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(Loss) Per Unit</w:t>
      </w:r>
    </w:p>
    <w:p>
      <w:pPr>
        <w:spacing w:after="0" w:line="207" w:lineRule="exact"/>
        <w:rPr>
          <w:sz w:val="20"/>
          <w:szCs w:val="20"/>
          <w:color w:val="auto"/>
        </w:rPr>
      </w:pPr>
    </w:p>
    <w:p>
      <w:pPr>
        <w:ind w:right="80" w:firstLine="425"/>
        <w:spacing w:after="0" w:line="300"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44" w:lineRule="exact"/>
        <w:rPr>
          <w:sz w:val="20"/>
          <w:szCs w:val="20"/>
          <w:color w:val="auto"/>
        </w:rPr>
      </w:pPr>
    </w:p>
    <w:p>
      <w:pPr>
        <w:jc w:val="both"/>
        <w:ind w:right="260" w:firstLine="425"/>
        <w:spacing w:after="0" w:line="258" w:lineRule="auto"/>
        <w:rPr>
          <w:sz w:val="20"/>
          <w:szCs w:val="20"/>
          <w:color w:val="auto"/>
        </w:rPr>
      </w:pPr>
      <w:r>
        <w:rPr>
          <w:rFonts w:ascii="Arial" w:cs="Arial" w:eastAsia="Arial" w:hAnsi="Arial"/>
          <w:sz w:val="17"/>
          <w:szCs w:val="17"/>
          <w:color w:val="auto"/>
        </w:rPr>
        <w:t>Diluted earnings per unit adjusts the basic earnings (loss) per unit attributable to common unitholders and the weighted-average number of units of common units outstanding for the potential dilutive impact of common units, using the treasury-stock method, and convertible preferred units using the if-converted method. Diluted earnings per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98" w:name="page99"/>
    <w:bookmarkEnd w:id="98"/>
    <w:p>
      <w:pPr>
        <w:ind w:right="60"/>
        <w:spacing w:after="0" w:line="269" w:lineRule="auto"/>
        <w:rPr>
          <w:sz w:val="20"/>
          <w:szCs w:val="20"/>
          <w:color w:val="auto"/>
        </w:rPr>
      </w:pPr>
      <w:r>
        <w:rPr>
          <w:rFonts w:ascii="Arial" w:cs="Arial" w:eastAsia="Arial" w:hAnsi="Arial"/>
          <w:sz w:val="17"/>
          <w:szCs w:val="17"/>
          <w:color w:val="auto"/>
        </w:rPr>
        <w:t>unit considers the impact of potentially dilutive securities except in periods in which there is a loss because the inclusion of the potential common units would have an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carrying amounts reflected in the consolidated balance sheets for cash approximate the fair value, consisting of cash on hand and at the bank.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 of Allowances</w:t>
      </w:r>
    </w:p>
    <w:p>
      <w:pPr>
        <w:spacing w:after="0" w:line="207" w:lineRule="exact"/>
        <w:rPr>
          <w:sz w:val="20"/>
          <w:szCs w:val="20"/>
          <w:color w:val="auto"/>
        </w:rPr>
      </w:pPr>
    </w:p>
    <w:p>
      <w:pPr>
        <w:ind w:firstLine="425"/>
        <w:spacing w:after="0" w:line="289" w:lineRule="auto"/>
        <w:rPr>
          <w:sz w:val="20"/>
          <w:szCs w:val="20"/>
          <w:color w:val="auto"/>
        </w:rPr>
      </w:pPr>
      <w:r>
        <w:rPr>
          <w:rFonts w:ascii="Arial" w:cs="Arial" w:eastAsia="Arial" w:hAnsi="Arial"/>
          <w:sz w:val="15"/>
          <w:szCs w:val="15"/>
          <w:color w:val="auto"/>
        </w:rPr>
        <w:t>Accounts receivable are recorded at the invoiced amount, net of an allowance for doubtful accounts, and are unsecured and do not bear interest. The Company performs credit evaluations of its customers and certain advertisers when the Company’s agreements with its customers contain sequential liability terms that provide that the customer payments are not due to the Company until the customer has received payment from its customers (advertisers).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customer information, subsequent collection history and other relevant data. Account balances are charged off against the allowance when the Company believes it is probable the receivable will not be recovered. Recoveries of accounts receivable previously written off are recorded when received.</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changes in the allowance for doubtful accounts:</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3"/>
          </w:tcPr>
          <w:p>
            <w:pPr>
              <w:jc w:val="right"/>
              <w:ind w:right="329"/>
              <w:spacing w:after="0" w:line="144" w:lineRule="exact"/>
              <w:rPr>
                <w:sz w:val="20"/>
                <w:szCs w:val="20"/>
                <w:color w:val="auto"/>
              </w:rPr>
            </w:pPr>
            <w:r>
              <w:rPr>
                <w:rFonts w:ascii="Arial" w:cs="Arial" w:eastAsia="Arial" w:hAnsi="Arial"/>
                <w:sz w:val="13"/>
                <w:szCs w:val="13"/>
                <w:b w:val="1"/>
                <w:bCs w:val="1"/>
                <w:color w:val="auto"/>
                <w:w w:val="95"/>
              </w:rPr>
              <w:t>(in thousands)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w:t>
            </w:r>
          </w:p>
        </w:tc>
        <w:tc>
          <w:tcPr>
            <w:tcW w:w="178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1,528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220"/>
              <w:spacing w:after="0"/>
              <w:rPr>
                <w:sz w:val="20"/>
                <w:szCs w:val="20"/>
                <w:color w:val="auto"/>
              </w:rPr>
            </w:pPr>
            <w:r>
              <w:rPr>
                <w:rFonts w:ascii="Arial" w:cs="Arial" w:eastAsia="Arial" w:hAnsi="Arial"/>
                <w:sz w:val="17"/>
                <w:szCs w:val="17"/>
                <w:color w:val="auto"/>
              </w:rPr>
              <w:t>Provision for (recovery of) doubtful accounts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(107)</w:t>
            </w:r>
          </w:p>
        </w:tc>
        <w:tc>
          <w:tcPr>
            <w:tcW w:w="7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Write-offs, net of recoveries</w:t>
            </w: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(174)</w:t>
            </w:r>
          </w:p>
        </w:tc>
        <w:tc>
          <w:tcPr>
            <w:tcW w:w="7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20" w:type="dxa"/>
            <w:vAlign w:val="bottom"/>
            <w:vMerge w:val="continue"/>
          </w:tcPr>
          <w:p>
            <w:pPr>
              <w:spacing w:after="0"/>
              <w:rPr>
                <w:sz w:val="17"/>
                <w:szCs w:val="17"/>
                <w:color w:val="auto"/>
              </w:rPr>
            </w:pPr>
          </w:p>
        </w:tc>
        <w:tc>
          <w:tcPr>
            <w:tcW w:w="178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7"/>
                <w:szCs w:val="17"/>
                <w:color w:val="auto"/>
              </w:rPr>
            </w:pPr>
          </w:p>
        </w:tc>
        <w:tc>
          <w:tcPr>
            <w:tcW w:w="700" w:type="dxa"/>
            <w:vAlign w:val="bottom"/>
          </w:tcPr>
          <w:p>
            <w:pPr>
              <w:jc w:val="right"/>
              <w:ind w:right="54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07"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auto"/>
        </w:rPr>
        <w:t>Deferred offering costs consisted primarily of accounting, legal, and other costs related to our IPO. As of December 31, 2020, the Company capitalized $2.2 million of deferred offering costs within prepaid expenses and other current assets in the consolidated balance sheet. Upon consummation of the IPO in February 2021, total deferred offering costs of $4.3 million were reclassified as additional paid-in capital within stockholders’ equity and recorded against the proceeds from the IPO.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207" w:lineRule="exact"/>
        <w:rPr>
          <w:sz w:val="20"/>
          <w:szCs w:val="20"/>
          <w:color w:val="auto"/>
        </w:rPr>
      </w:pPr>
    </w:p>
    <w:p>
      <w:pPr>
        <w:ind w:right="120" w:firstLine="425"/>
        <w:spacing w:after="0" w:line="269" w:lineRule="auto"/>
        <w:rPr>
          <w:sz w:val="20"/>
          <w:szCs w:val="20"/>
          <w:color w:val="auto"/>
        </w:rPr>
      </w:pPr>
      <w:r>
        <w:rPr>
          <w:rFonts w:ascii="Arial" w:cs="Arial" w:eastAsia="Arial" w:hAnsi="Arial"/>
          <w:sz w:val="17"/>
          <w:szCs w:val="17"/>
          <w:color w:val="auto"/>
        </w:rPr>
        <w:t>Property, equipment and software are recorded at historical cost, less accumulated depreciation. Depreciation is computed using the straight-line method based upon the following estimated useful lives: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1180" w:type="dxa"/>
            <w:vAlign w:val="bottom"/>
            <w:gridSpan w:val="2"/>
          </w:tcPr>
          <w:p>
            <w:pPr>
              <w:ind w:left="380"/>
              <w:spacing w:after="0"/>
              <w:rPr>
                <w:sz w:val="20"/>
                <w:szCs w:val="20"/>
                <w:color w:val="auto"/>
              </w:rPr>
            </w:pPr>
            <w:r>
              <w:rPr>
                <w:rFonts w:ascii="Arial" w:cs="Arial" w:eastAsia="Arial" w:hAnsi="Arial"/>
                <w:sz w:val="13"/>
                <w:szCs w:val="13"/>
                <w:b w:val="1"/>
                <w:bCs w:val="1"/>
                <w:color w:val="auto"/>
              </w:rPr>
              <w:t>Years</w:t>
            </w:r>
          </w:p>
        </w:tc>
      </w:tr>
      <w:tr>
        <w:trPr>
          <w:trHeight w:val="206"/>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Computer equipment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60" w:type="dxa"/>
            <w:vAlign w:val="bottom"/>
            <w:tcBorders>
              <w:top w:val="single" w:sz="8" w:color="CFF0FC"/>
            </w:tcBorders>
            <w:shd w:val="clear" w:color="auto" w:fill="CFF0FC"/>
          </w:tcPr>
          <w:p>
            <w:pPr>
              <w:spacing w:after="0"/>
              <w:rPr>
                <w:sz w:val="17"/>
                <w:szCs w:val="17"/>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7"/>
                <w:szCs w:val="17"/>
                <w:color w:val="auto"/>
              </w:rPr>
              <w:t>Purchased software</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r>
      <w:tr>
        <w:trPr>
          <w:trHeight w:val="214"/>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Capitalized software development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FF0FC"/>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7"/>
                <w:szCs w:val="17"/>
                <w:color w:val="auto"/>
              </w:rPr>
              <w:t>Furniture, fixtures and office equipment</w:t>
            </w: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r>
      <w:tr>
        <w:trPr>
          <w:trHeight w:val="214"/>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27800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144" w:lineRule="exact"/>
        <w:rPr>
          <w:sz w:val="20"/>
          <w:szCs w:val="20"/>
          <w:color w:val="auto"/>
        </w:rPr>
      </w:pPr>
    </w:p>
    <w:p>
      <w:pPr>
        <w:ind w:left="5540" w:right="1220" w:hanging="5539"/>
        <w:spacing w:after="0" w:line="516" w:lineRule="auto"/>
        <w:tabs>
          <w:tab w:leader="none" w:pos="4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Leasehold improvements are depreciated on a straight-line basis over the term of the lease, or the useful life of the assets, whichever is shorter.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-90805</wp:posOffset>
            </wp:positionV>
            <wp:extent cx="716724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99" w:name="page100"/>
    <w:bookmarkEnd w:id="99"/>
    <w:p>
      <w:pPr>
        <w:jc w:val="both"/>
        <w:ind w:right="240" w:firstLine="425"/>
        <w:spacing w:after="0" w:line="258" w:lineRule="auto"/>
        <w:rPr>
          <w:sz w:val="20"/>
          <w:szCs w:val="20"/>
          <w:color w:val="auto"/>
        </w:rPr>
      </w:pPr>
      <w:r>
        <w:rPr>
          <w:rFonts w:ascii="Arial" w:cs="Arial" w:eastAsia="Arial" w:hAnsi="Arial"/>
          <w:sz w:val="17"/>
          <w:szCs w:val="17"/>
          <w:color w:val="auto"/>
        </w:rPr>
        <w:t>Repair and maintenance costs are charged to expense as incurred, while replacements and improvements are capitalized. When assets are retired or otherwise disposed of, the cost and related accumulated depreciation are removed from the accounts and any resulting gain or loss is recorded in other expense (income), net within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Capitalized Software Development Costs</w:t>
      </w:r>
    </w:p>
    <w:p>
      <w:pPr>
        <w:spacing w:after="0" w:line="207" w:lineRule="exact"/>
        <w:rPr>
          <w:sz w:val="20"/>
          <w:szCs w:val="20"/>
          <w:color w:val="auto"/>
        </w:rPr>
      </w:pPr>
    </w:p>
    <w:p>
      <w:pPr>
        <w:ind w:right="40" w:firstLine="425"/>
        <w:spacing w:after="0" w:line="275" w:lineRule="auto"/>
        <w:rPr>
          <w:sz w:val="20"/>
          <w:szCs w:val="20"/>
          <w:color w:val="auto"/>
        </w:rPr>
      </w:pPr>
      <w:r>
        <w:rPr>
          <w:rFonts w:ascii="Arial" w:cs="Arial" w:eastAsia="Arial" w:hAnsi="Arial"/>
          <w:sz w:val="16"/>
          <w:szCs w:val="16"/>
          <w:color w:val="auto"/>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spacing w:after="0" w:line="163" w:lineRule="exact"/>
        <w:rPr>
          <w:sz w:val="20"/>
          <w:szCs w:val="20"/>
          <w:color w:val="auto"/>
        </w:rPr>
      </w:pPr>
    </w:p>
    <w:p>
      <w:pPr>
        <w:ind w:right="20" w:firstLine="425"/>
        <w:spacing w:after="0" w:line="268" w:lineRule="auto"/>
        <w:rPr>
          <w:sz w:val="20"/>
          <w:szCs w:val="20"/>
          <w:color w:val="auto"/>
        </w:rPr>
      </w:pPr>
      <w:r>
        <w:rPr>
          <w:rFonts w:ascii="Arial" w:cs="Arial" w:eastAsia="Arial" w:hAnsi="Arial"/>
          <w:sz w:val="16"/>
          <w:szCs w:val="16"/>
          <w:color w:val="auto"/>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Capitalized Interest</w:t>
      </w:r>
    </w:p>
    <w:p>
      <w:pPr>
        <w:spacing w:after="0" w:line="207" w:lineRule="exact"/>
        <w:rPr>
          <w:sz w:val="20"/>
          <w:szCs w:val="20"/>
          <w:color w:val="auto"/>
        </w:rPr>
      </w:pPr>
    </w:p>
    <w:p>
      <w:pPr>
        <w:ind w:right="20" w:firstLine="425"/>
        <w:spacing w:after="0" w:line="258" w:lineRule="auto"/>
        <w:rPr>
          <w:sz w:val="20"/>
          <w:szCs w:val="20"/>
          <w:color w:val="auto"/>
        </w:rPr>
      </w:pPr>
      <w:r>
        <w:rPr>
          <w:rFonts w:ascii="Arial" w:cs="Arial" w:eastAsia="Arial" w:hAnsi="Arial"/>
          <w:sz w:val="17"/>
          <w:szCs w:val="17"/>
          <w:color w:val="auto"/>
        </w:rPr>
        <w:t>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7" w:lineRule="exact"/>
        <w:rPr>
          <w:sz w:val="20"/>
          <w:szCs w:val="20"/>
          <w:color w:val="auto"/>
        </w:rPr>
      </w:pPr>
    </w:p>
    <w:p>
      <w:pPr>
        <w:ind w:right="120" w:firstLine="425"/>
        <w:spacing w:after="0" w:line="251" w:lineRule="auto"/>
        <w:rPr>
          <w:sz w:val="20"/>
          <w:szCs w:val="20"/>
          <w:color w:val="auto"/>
        </w:rPr>
      </w:pPr>
      <w:r>
        <w:rPr>
          <w:rFonts w:ascii="Arial" w:cs="Arial" w:eastAsia="Arial" w:hAnsi="Arial"/>
          <w:sz w:val="17"/>
          <w:szCs w:val="17"/>
          <w:color w:val="auto"/>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07" w:lineRule="exact"/>
        <w:rPr>
          <w:sz w:val="20"/>
          <w:szCs w:val="20"/>
          <w:color w:val="auto"/>
        </w:rPr>
      </w:pPr>
    </w:p>
    <w:p>
      <w:pPr>
        <w:ind w:firstLine="425"/>
        <w:spacing w:after="0" w:line="291" w:lineRule="auto"/>
        <w:rPr>
          <w:sz w:val="20"/>
          <w:szCs w:val="20"/>
          <w:color w:val="auto"/>
        </w:rPr>
      </w:pPr>
      <w:r>
        <w:rPr>
          <w:rFonts w:ascii="Arial" w:cs="Arial" w:eastAsia="Arial" w:hAnsi="Arial"/>
          <w:sz w:val="15"/>
          <w:szCs w:val="15"/>
          <w:color w:val="auto"/>
        </w:rPr>
        <w:t>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00" w:name="page101"/>
    <w:bookmarkEnd w:id="100"/>
    <w:p>
      <w:pPr>
        <w:ind w:right="160" w:firstLine="425"/>
        <w:spacing w:after="0" w:line="270" w:lineRule="auto"/>
        <w:rPr>
          <w:sz w:val="20"/>
          <w:szCs w:val="20"/>
          <w:color w:val="auto"/>
        </w:rPr>
      </w:pPr>
      <w:r>
        <w:rPr>
          <w:rFonts w:ascii="Arial" w:cs="Arial" w:eastAsia="Arial" w:hAnsi="Arial"/>
          <w:sz w:val="16"/>
          <w:szCs w:val="16"/>
          <w:color w:val="auto"/>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Paycheck Protection Program Loan</w:t>
      </w:r>
    </w:p>
    <w:p>
      <w:pPr>
        <w:spacing w:after="0" w:line="207" w:lineRule="exact"/>
        <w:rPr>
          <w:sz w:val="20"/>
          <w:szCs w:val="20"/>
          <w:color w:val="auto"/>
        </w:rPr>
      </w:pPr>
    </w:p>
    <w:p>
      <w:pPr>
        <w:ind w:firstLine="425"/>
        <w:spacing w:after="0" w:line="268" w:lineRule="auto"/>
        <w:rPr>
          <w:sz w:val="20"/>
          <w:szCs w:val="20"/>
          <w:color w:val="auto"/>
        </w:rPr>
      </w:pPr>
      <w:r>
        <w:rPr>
          <w:rFonts w:ascii="Arial" w:cs="Arial" w:eastAsia="Arial" w:hAnsi="Arial"/>
          <w:sz w:val="16"/>
          <w:szCs w:val="16"/>
          <w:color w:val="auto"/>
        </w:rPr>
        <w:t xml:space="preserve">On April 14, 2020, the Company received the proceeds from a loan in the amount of approximately $6.0 million (the “PPP Loan”) from PNC Bank, as lender, pursuant to the Paycheck Protection Program (“PPP”) of the Coronavirus Aid, Relief, and Economic Security Act (the “CARES Act”). The Company accounted for the PPP Loan as a financial liability in accordance with ASC Topic 470, Debt. Accordingly, the PPP Loan was recognized within long-term debt and current portion of long-term debt in the Company’s consolidated balance sheet and the related accrued interest was included within accrued liabilities in the Company’s consolidated balance sheet as of December 31, 2020. </w:t>
      </w:r>
      <w:r>
        <w:rPr>
          <w:rFonts w:ascii="Arial" w:cs="Arial" w:eastAsia="Arial" w:hAnsi="Arial"/>
          <w:sz w:val="16"/>
          <w:szCs w:val="16"/>
          <w:color w:val="231F20"/>
        </w:rPr>
        <w:t>In June 2021,</w:t>
      </w:r>
      <w:r>
        <w:rPr>
          <w:rFonts w:ascii="Arial" w:cs="Arial" w:eastAsia="Arial" w:hAnsi="Arial"/>
          <w:sz w:val="16"/>
          <w:szCs w:val="16"/>
          <w:color w:val="auto"/>
        </w:rPr>
        <w:t xml:space="preserve"> the Company received a notice of forgiveness of the PPP Loan in whole, including all accrued unpaid interest. The forgiveness of the loan is recognized as a gain on extinguishment of debt on the consolidated statement of operations for the year ended December 31, 2021. Refer to Note 7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jc w:val="both"/>
        <w:ind w:right="60" w:firstLine="425"/>
        <w:spacing w:after="0" w:line="254" w:lineRule="auto"/>
        <w:rPr>
          <w:sz w:val="20"/>
          <w:szCs w:val="20"/>
          <w:color w:val="auto"/>
        </w:rPr>
      </w:pPr>
      <w:r>
        <w:rPr>
          <w:rFonts w:ascii="Arial" w:cs="Arial" w:eastAsia="Arial" w:hAnsi="Arial"/>
          <w:sz w:val="17"/>
          <w:szCs w:val="17"/>
          <w:color w:val="auto"/>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spacing w:after="0" w:line="74" w:lineRule="exact"/>
        <w:rPr>
          <w:sz w:val="20"/>
          <w:szCs w:val="20"/>
          <w:color w:val="auto"/>
        </w:rPr>
      </w:pPr>
    </w:p>
    <w:p>
      <w:pPr>
        <w:ind w:left="840" w:hanging="424"/>
        <w:spacing w:after="0"/>
        <w:tabs>
          <w:tab w:leader="none" w:pos="840" w:val="left"/>
        </w:tabs>
        <w:numPr>
          <w:ilvl w:val="0"/>
          <w:numId w:val="47"/>
        </w:numPr>
        <w:rPr>
          <w:rFonts w:ascii="Arial" w:cs="Arial" w:eastAsia="Arial" w:hAnsi="Arial"/>
          <w:sz w:val="16"/>
          <w:szCs w:val="16"/>
          <w:color w:val="231F20"/>
        </w:rPr>
      </w:pPr>
      <w:r>
        <w:rPr>
          <w:rFonts w:ascii="Arial" w:cs="Arial" w:eastAsia="Arial" w:hAnsi="Arial"/>
          <w:sz w:val="16"/>
          <w:szCs w:val="16"/>
          <w:b w:val="1"/>
          <w:bCs w:val="1"/>
          <w:color w:val="auto"/>
        </w:rPr>
        <w:t>Level 1</w:t>
      </w:r>
      <w:r>
        <w:rPr>
          <w:rFonts w:ascii="Arial" w:cs="Arial" w:eastAsia="Arial" w:hAnsi="Arial"/>
          <w:sz w:val="16"/>
          <w:szCs w:val="16"/>
          <w:color w:val="auto"/>
        </w:rPr>
        <w:t>: Unadjusted quoted prices in active markets for identical assets or liabilities accessible to the reporting entity at the measurement date.</w:t>
      </w:r>
    </w:p>
    <w:p>
      <w:pPr>
        <w:spacing w:after="0" w:line="117" w:lineRule="exact"/>
        <w:rPr>
          <w:rFonts w:ascii="Arial" w:cs="Arial" w:eastAsia="Arial" w:hAnsi="Arial"/>
          <w:sz w:val="16"/>
          <w:szCs w:val="16"/>
          <w:color w:val="231F20"/>
        </w:rPr>
      </w:pPr>
    </w:p>
    <w:p>
      <w:pPr>
        <w:ind w:left="840" w:right="140" w:hanging="424"/>
        <w:spacing w:after="0" w:line="274" w:lineRule="auto"/>
        <w:tabs>
          <w:tab w:leader="none" w:pos="840" w:val="left"/>
        </w:tabs>
        <w:numPr>
          <w:ilvl w:val="0"/>
          <w:numId w:val="47"/>
        </w:numPr>
        <w:rPr>
          <w:rFonts w:ascii="Arial" w:cs="Arial" w:eastAsia="Arial" w:hAnsi="Arial"/>
          <w:sz w:val="17"/>
          <w:szCs w:val="17"/>
          <w:color w:val="231F20"/>
        </w:rPr>
      </w:pPr>
      <w:r>
        <w:rPr>
          <w:rFonts w:ascii="Arial" w:cs="Arial" w:eastAsia="Arial" w:hAnsi="Arial"/>
          <w:sz w:val="17"/>
          <w:szCs w:val="17"/>
          <w:b w:val="1"/>
          <w:bCs w:val="1"/>
          <w:color w:val="auto"/>
        </w:rPr>
        <w:t>Level 2</w:t>
      </w:r>
      <w:r>
        <w:rPr>
          <w:rFonts w:ascii="Arial" w:cs="Arial" w:eastAsia="Arial" w:hAnsi="Arial"/>
          <w:sz w:val="17"/>
          <w:szCs w:val="17"/>
          <w:color w:val="auto"/>
        </w:rPr>
        <w:t>: Other than quoted prices included in Level 1 inputs that are observable for the asset or liability, either directly or indirectly, for substantially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 term of the asset or liability.</w:t>
      </w:r>
    </w:p>
    <w:p>
      <w:pPr>
        <w:spacing w:after="0" w:line="56" w:lineRule="exact"/>
        <w:rPr>
          <w:rFonts w:ascii="Arial" w:cs="Arial" w:eastAsia="Arial" w:hAnsi="Arial"/>
          <w:sz w:val="17"/>
          <w:szCs w:val="17"/>
          <w:color w:val="231F20"/>
        </w:rPr>
      </w:pPr>
    </w:p>
    <w:p>
      <w:pPr>
        <w:ind w:left="840" w:hanging="424"/>
        <w:spacing w:after="0" w:line="274" w:lineRule="auto"/>
        <w:tabs>
          <w:tab w:leader="none" w:pos="840" w:val="left"/>
        </w:tabs>
        <w:numPr>
          <w:ilvl w:val="0"/>
          <w:numId w:val="47"/>
        </w:numPr>
        <w:rPr>
          <w:rFonts w:ascii="Arial" w:cs="Arial" w:eastAsia="Arial" w:hAnsi="Arial"/>
          <w:sz w:val="17"/>
          <w:szCs w:val="17"/>
          <w:color w:val="231F20"/>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for the asset or liability used to measure fair value to the extent that observable inputs are not available, thereby allowing for</w:t>
      </w:r>
      <w:r>
        <w:rPr>
          <w:rFonts w:ascii="Arial" w:cs="Arial" w:eastAsia="Arial" w:hAnsi="Arial"/>
          <w:sz w:val="17"/>
          <w:szCs w:val="17"/>
          <w:b w:val="1"/>
          <w:bCs w:val="1"/>
          <w:color w:val="auto"/>
        </w:rPr>
        <w:t xml:space="preserve"> </w:t>
      </w:r>
      <w:r>
        <w:rPr>
          <w:rFonts w:ascii="Arial" w:cs="Arial" w:eastAsia="Arial" w:hAnsi="Arial"/>
          <w:sz w:val="17"/>
          <w:szCs w:val="17"/>
          <w:color w:val="auto"/>
        </w:rPr>
        <w:t>situations in which there is little, if any, market activity for the asset or liability at the measurement date.</w:t>
      </w:r>
    </w:p>
    <w:p>
      <w:pPr>
        <w:spacing w:after="0" w:line="162"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auto"/>
        </w:rPr>
        <w:t>The carrying amounts of the Company’s cash, accounts receivable, accounts payable, accrued compensation and accrued liabilities approximate fair value due to the short-term nature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Recorded at Fair Value on a Recurring Basis</w:t>
      </w:r>
    </w:p>
    <w:p>
      <w:pPr>
        <w:spacing w:after="0" w:line="207" w:lineRule="exact"/>
        <w:rPr>
          <w:sz w:val="20"/>
          <w:szCs w:val="20"/>
          <w:color w:val="auto"/>
        </w:rPr>
      </w:pPr>
    </w:p>
    <w:p>
      <w:pPr>
        <w:jc w:val="both"/>
        <w:ind w:right="140" w:firstLine="425"/>
        <w:spacing w:after="0" w:line="258" w:lineRule="auto"/>
        <w:rPr>
          <w:sz w:val="20"/>
          <w:szCs w:val="20"/>
          <w:color w:val="auto"/>
        </w:rPr>
      </w:pPr>
      <w:r>
        <w:rPr>
          <w:rFonts w:ascii="Arial" w:cs="Arial" w:eastAsia="Arial" w:hAnsi="Arial"/>
          <w:sz w:val="17"/>
          <w:szCs w:val="17"/>
          <w:color w:val="auto"/>
        </w:rPr>
        <w:t>Certain financial instruments, including debt, are not measured at fair value on a recurring basis in the consolidated balance sheets. The fair value of debt was estimated using primarily level 2 inputs including quoted market prices or discounted cash flow analyses, based on estimated incremental borrowing rates for similar types of borrowing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Recorded at Fair Value on a Non-Recurring Basis</w:t>
      </w:r>
    </w:p>
    <w:p>
      <w:pPr>
        <w:spacing w:after="0" w:line="207" w:lineRule="exact"/>
        <w:rPr>
          <w:sz w:val="20"/>
          <w:szCs w:val="20"/>
          <w:color w:val="auto"/>
        </w:rPr>
      </w:pPr>
    </w:p>
    <w:p>
      <w:pPr>
        <w:ind w:right="40" w:firstLine="425"/>
        <w:spacing w:after="0" w:line="269" w:lineRule="auto"/>
        <w:rPr>
          <w:sz w:val="20"/>
          <w:szCs w:val="20"/>
          <w:color w:val="auto"/>
        </w:rPr>
      </w:pPr>
      <w:r>
        <w:rPr>
          <w:rFonts w:ascii="Arial" w:cs="Arial" w:eastAsia="Arial" w:hAnsi="Arial"/>
          <w:sz w:val="17"/>
          <w:szCs w:val="17"/>
          <w:color w:val="auto"/>
        </w:rPr>
        <w:t>Certain assets and liabilities, including goodwill and intangible assets, are subject to measurement at fair value on a non-recurring basis if there are indicators of impairment or if they are deemed to be impaired as a result of an impairment review.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1" w:name="page102"/>
    <w:bookmarkEnd w:id="101"/>
    <w:p>
      <w:pPr>
        <w:ind w:left="420"/>
        <w:spacing w:after="0"/>
        <w:rPr>
          <w:sz w:val="20"/>
          <w:szCs w:val="20"/>
          <w:color w:val="auto"/>
        </w:rPr>
      </w:pPr>
      <w:r>
        <w:rPr>
          <w:rFonts w:ascii="Arial" w:cs="Arial" w:eastAsia="Arial" w:hAnsi="Arial"/>
          <w:sz w:val="17"/>
          <w:szCs w:val="17"/>
          <w:color w:val="auto"/>
        </w:rPr>
        <w:t>There were no assets or liabilities measured at fair value using Level 3 inputs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ind w:right="20" w:firstLine="425"/>
        <w:spacing w:after="0" w:line="252" w:lineRule="auto"/>
        <w:rPr>
          <w:sz w:val="20"/>
          <w:szCs w:val="20"/>
          <w:color w:val="auto"/>
        </w:rPr>
      </w:pPr>
      <w:r>
        <w:rPr>
          <w:rFonts w:ascii="Arial" w:cs="Arial" w:eastAsia="Arial" w:hAnsi="Arial"/>
          <w:sz w:val="17"/>
          <w:szCs w:val="17"/>
          <w:color w:val="auto"/>
        </w:rPr>
        <w:t>Rent expense on operating leases of $4.4 million, $4.2 million and $4.7 million for the years ended December 31, 2021, 2020 and 2019, respectively, is recorded on a straight-line basis over the lease term. The difference between cash payments for rent and the expense recorded is reported as current and non-current deferred rent in the accompanying consolidated balance sheets. The current portion of deferred rent of $0.2 million and $0.4 million as of December 31, 2021 and 2020, respectively, is included in other current liabilities. The non-current portion of deferred rent of $0.8 million and $0.5 million as of December 31, 2021 and 2020, respectively, is included in other long-term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Risk</w:t>
      </w:r>
    </w:p>
    <w:p>
      <w:pPr>
        <w:spacing w:after="0" w:line="207" w:lineRule="exact"/>
        <w:rPr>
          <w:sz w:val="20"/>
          <w:szCs w:val="20"/>
          <w:color w:val="auto"/>
        </w:rPr>
      </w:pPr>
    </w:p>
    <w:p>
      <w:pPr>
        <w:ind w:right="20" w:firstLine="425"/>
        <w:spacing w:after="0" w:line="25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175" w:lineRule="exact"/>
        <w:rPr>
          <w:sz w:val="20"/>
          <w:szCs w:val="20"/>
          <w:color w:val="auto"/>
        </w:rPr>
      </w:pPr>
    </w:p>
    <w:p>
      <w:pPr>
        <w:jc w:val="both"/>
        <w:ind w:right="460" w:firstLine="425"/>
        <w:spacing w:after="0" w:line="258" w:lineRule="auto"/>
        <w:rPr>
          <w:sz w:val="20"/>
          <w:szCs w:val="20"/>
          <w:color w:val="auto"/>
        </w:rPr>
      </w:pPr>
      <w:r>
        <w:rPr>
          <w:rFonts w:ascii="Arial" w:cs="Arial" w:eastAsia="Arial" w:hAnsi="Arial"/>
          <w:sz w:val="17"/>
          <w:szCs w:val="17"/>
          <w:color w:val="auto"/>
        </w:rPr>
        <w:t>As of December 31, 2021, two individual customers accounted for 13.2% and 12.3% of consolidated accounts receivable. As of December 31, 2020, one individual customer accounted for 13.7% of consolidated accounts receivable. For the years ended December 31, 2021, 2020, and 2019, no individual customers accounted for more than 10% of consolidated revenue.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the Company’s concentrations of credit risk with respect to advertising agency holding companies as a percentage of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Company’s total revenues:</w:t>
      </w:r>
    </w:p>
    <w:tbl>
      <w:tblPr>
        <w:tblLayout w:type="fixed"/>
        <w:tblInd w:w="1700" w:type="dxa"/>
        <w:tblCellMar>
          <w:top w:w="0" w:type="dxa"/>
          <w:left w:w="0" w:type="dxa"/>
          <w:bottom w:w="0" w:type="dxa"/>
          <w:right w:w="0" w:type="dxa"/>
        </w:tblCellMar>
      </w:tblPr>
      <w:tr>
        <w:trPr>
          <w:trHeight w:val="137"/>
        </w:trPr>
        <w:tc>
          <w:tcPr>
            <w:tcW w:w="4040" w:type="dxa"/>
            <w:vAlign w:val="bottom"/>
          </w:tcPr>
          <w:p>
            <w:pPr>
              <w:spacing w:after="0"/>
              <w:rPr>
                <w:sz w:val="11"/>
                <w:szCs w:val="11"/>
                <w:color w:val="auto"/>
              </w:rPr>
            </w:pPr>
          </w:p>
        </w:tc>
        <w:tc>
          <w:tcPr>
            <w:tcW w:w="2440" w:type="dxa"/>
            <w:vAlign w:val="bottom"/>
            <w:gridSpan w:val="3"/>
          </w:tcPr>
          <w:p>
            <w:pPr>
              <w:jc w:val="center"/>
              <w:ind w:left="1125"/>
              <w:spacing w:after="0" w:line="137" w:lineRule="exact"/>
              <w:rPr>
                <w:sz w:val="20"/>
                <w:szCs w:val="20"/>
                <w:color w:val="auto"/>
              </w:rPr>
            </w:pPr>
            <w:r>
              <w:rPr>
                <w:rFonts w:ascii="Arial" w:cs="Arial" w:eastAsia="Arial" w:hAnsi="Arial"/>
                <w:sz w:val="13"/>
                <w:szCs w:val="13"/>
                <w:b w:val="1"/>
                <w:bCs w:val="1"/>
                <w:color w:val="auto"/>
                <w:w w:val="95"/>
              </w:rPr>
              <w:t>Year Ended</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Advertising Agency Holding Company</w:t>
            </w:r>
          </w:p>
        </w:tc>
        <w:tc>
          <w:tcPr>
            <w:tcW w:w="2440" w:type="dxa"/>
            <w:vAlign w:val="bottom"/>
            <w:tcBorders>
              <w:bottom w:val="single" w:sz="8" w:color="auto"/>
            </w:tcBorders>
            <w:gridSpan w:val="3"/>
          </w:tcPr>
          <w:p>
            <w:pPr>
              <w:jc w:val="center"/>
              <w:ind w:left="1145"/>
              <w:spacing w:after="0"/>
              <w:rPr>
                <w:sz w:val="20"/>
                <w:szCs w:val="20"/>
                <w:color w:val="auto"/>
              </w:rPr>
            </w:pPr>
            <w:r>
              <w:rPr>
                <w:rFonts w:ascii="Arial" w:cs="Arial" w:eastAsia="Arial" w:hAnsi="Arial"/>
                <w:sz w:val="13"/>
                <w:szCs w:val="13"/>
                <w:b w:val="1"/>
                <w:bCs w:val="1"/>
                <w:color w:val="auto"/>
                <w:w w:val="92"/>
              </w:rPr>
              <w:t>December 31,</w:t>
            </w: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40" w:type="dxa"/>
            <w:vAlign w:val="bottom"/>
            <w:tcBorders>
              <w:bottom w:val="single" w:sz="8" w:color="CFF0FC"/>
            </w:tcBorders>
            <w:vMerge w:val="continue"/>
          </w:tcPr>
          <w:p>
            <w:pPr>
              <w:spacing w:after="0"/>
              <w:rPr>
                <w:sz w:val="12"/>
                <w:szCs w:val="12"/>
                <w:color w:val="auto"/>
              </w:rPr>
            </w:pPr>
          </w:p>
        </w:tc>
        <w:tc>
          <w:tcPr>
            <w:tcW w:w="1820" w:type="dxa"/>
            <w:vAlign w:val="bottom"/>
            <w:tcBorders>
              <w:bottom w:val="single" w:sz="8" w:color="auto"/>
            </w:tcBorders>
          </w:tcPr>
          <w:p>
            <w:pPr>
              <w:jc w:val="right"/>
              <w:ind w:right="785"/>
              <w:spacing w:after="0" w:line="144"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80"/>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6"/>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A</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Arial" w:cs="Arial" w:eastAsia="Arial" w:hAnsi="Arial"/>
                <w:sz w:val="17"/>
                <w:szCs w:val="17"/>
                <w:color w:val="auto"/>
              </w:rPr>
              <w:t>B</w:t>
            </w:r>
          </w:p>
        </w:tc>
        <w:tc>
          <w:tcPr>
            <w:tcW w:w="1820" w:type="dxa"/>
            <w:vAlign w:val="bottom"/>
          </w:tcPr>
          <w:p>
            <w:pPr>
              <w:jc w:val="right"/>
              <w:spacing w:after="0"/>
              <w:rPr>
                <w:sz w:val="20"/>
                <w:szCs w:val="20"/>
                <w:color w:val="auto"/>
              </w:rPr>
            </w:pPr>
            <w:r>
              <w:rPr>
                <w:rFonts w:ascii="Arial" w:cs="Arial" w:eastAsia="Arial" w:hAnsi="Arial"/>
                <w:sz w:val="17"/>
                <w:szCs w:val="17"/>
                <w:color w:val="auto"/>
              </w:rPr>
              <w:t>14.2%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4"/>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C</w:t>
            </w:r>
          </w:p>
        </w:tc>
        <w:tc>
          <w:tcPr>
            <w:tcW w:w="1820" w:type="dxa"/>
            <w:vAlign w:val="bottom"/>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17"/>
          <w:szCs w:val="17"/>
          <w:color w:val="auto"/>
        </w:rPr>
        <w:t>* Less than 10% of total revenues.</w:t>
      </w:r>
    </w:p>
    <w:p>
      <w:pPr>
        <w:spacing w:after="0" w:line="195" w:lineRule="exact"/>
        <w:rPr>
          <w:sz w:val="20"/>
          <w:szCs w:val="20"/>
          <w:color w:val="auto"/>
        </w:rPr>
      </w:pPr>
    </w:p>
    <w:p>
      <w:pPr>
        <w:ind w:right="440"/>
        <w:spacing w:after="0" w:line="300" w:lineRule="auto"/>
        <w:rPr>
          <w:sz w:val="20"/>
          <w:szCs w:val="20"/>
          <w:color w:val="auto"/>
        </w:rPr>
      </w:pPr>
      <w:r>
        <w:rPr>
          <w:rFonts w:ascii="Arial" w:cs="Arial" w:eastAsia="Arial" w:hAnsi="Arial"/>
          <w:sz w:val="16"/>
          <w:szCs w:val="16"/>
          <w:color w:val="auto"/>
        </w:rPr>
        <w:t>As of December 31, 2021, one individual supplier accounted for 16.8% of consolidated accounts payable and accrued liabilities. As of December 31, 2020, three suppliers accounted for 15.5%, 11.5%, and 10.9% of consolidated accounts payable and accrued liabilities,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 and Translation</w:t>
      </w:r>
    </w:p>
    <w:p>
      <w:pPr>
        <w:spacing w:after="0" w:line="207"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auto"/>
        </w:rPr>
        <w:t>The Company’s UK subsidiary had a non-U.S. dollar functional currency. The UK subsidiary was dissolved in 2019. The Company translates assets and liabilities of non-U.S. dollar functional currency subsidiaries into U.S. dollars using exchange rates in effect at the end of each period and members’ equity at historical rates. Revenue and expenses for the subsidiary are translated using rates that approximate those in effect during the period. Foreign currency gains and losses from translation are recorded in cumulative translation adjustment within the consolidated balance sheets.</w:t>
      </w:r>
    </w:p>
    <w:p>
      <w:pPr>
        <w:spacing w:after="0" w:line="179" w:lineRule="exact"/>
        <w:rPr>
          <w:sz w:val="20"/>
          <w:szCs w:val="20"/>
          <w:color w:val="auto"/>
        </w:rPr>
      </w:pPr>
    </w:p>
    <w:p>
      <w:pPr>
        <w:ind w:right="360" w:firstLine="425"/>
        <w:spacing w:after="0" w:line="269" w:lineRule="auto"/>
        <w:rPr>
          <w:sz w:val="20"/>
          <w:szCs w:val="20"/>
          <w:color w:val="auto"/>
        </w:rPr>
      </w:pPr>
      <w:r>
        <w:rPr>
          <w:rFonts w:ascii="Arial" w:cs="Arial" w:eastAsia="Arial" w:hAnsi="Arial"/>
          <w:sz w:val="17"/>
          <w:szCs w:val="17"/>
          <w:color w:val="auto"/>
        </w:rPr>
        <w:t>The Company remeasures monetary assets or liabilities denominated in currencies other than the functional currency using exchange rates prevailing on the balance sheet date, and non-monetary assets and liabilities at historical rates.</w:t>
      </w:r>
    </w:p>
    <w:p>
      <w:pPr>
        <w:spacing w:after="0" w:line="166" w:lineRule="exact"/>
        <w:rPr>
          <w:sz w:val="20"/>
          <w:szCs w:val="20"/>
          <w:color w:val="auto"/>
        </w:rPr>
      </w:pPr>
    </w:p>
    <w:p>
      <w:pPr>
        <w:ind w:right="140" w:firstLine="425"/>
        <w:spacing w:after="0" w:line="300" w:lineRule="auto"/>
        <w:rPr>
          <w:sz w:val="20"/>
          <w:szCs w:val="20"/>
          <w:color w:val="auto"/>
        </w:rPr>
      </w:pPr>
      <w:r>
        <w:rPr>
          <w:rFonts w:ascii="Arial" w:cs="Arial" w:eastAsia="Arial" w:hAnsi="Arial"/>
          <w:sz w:val="16"/>
          <w:szCs w:val="16"/>
          <w:color w:val="auto"/>
        </w:rPr>
        <w:t>Foreign currency remeasurement and transaction gains and losses are included in other expense (income), net within the consolidated statements of operations and statements of comprehensive income (loss) and were de minimis during the years ended December 31, 2021, 2020 and 2019.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Relationships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2" w:name="page103"/>
    <w:bookmarkEnd w:id="102"/>
    <w:p>
      <w:pPr>
        <w:ind w:right="220" w:firstLine="425"/>
        <w:spacing w:after="0" w:line="269" w:lineRule="auto"/>
        <w:rPr>
          <w:sz w:val="20"/>
          <w:szCs w:val="20"/>
          <w:color w:val="auto"/>
        </w:rPr>
      </w:pPr>
      <w:r>
        <w:rPr>
          <w:rFonts w:ascii="Arial" w:cs="Arial" w:eastAsia="Arial" w:hAnsi="Arial"/>
          <w:sz w:val="17"/>
          <w:szCs w:val="17"/>
          <w:color w:val="auto"/>
        </w:rPr>
        <w:t>Four Brothers 2 LLC, the holder of Class B common stock as of December 31, 2021, is controlled by the Company’s co-founders, Tim Vanderhook and Chris Vanderhook, and therefore is considered a related party. Refer to Note 7, Note 8 and Note 15 for further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7" w:lineRule="exact"/>
        <w:rPr>
          <w:sz w:val="20"/>
          <w:szCs w:val="20"/>
          <w:color w:val="auto"/>
        </w:rPr>
      </w:pPr>
    </w:p>
    <w:p>
      <w:pPr>
        <w:ind w:firstLine="425"/>
        <w:spacing w:after="0" w:line="270" w:lineRule="auto"/>
        <w:rPr>
          <w:sz w:val="20"/>
          <w:szCs w:val="20"/>
          <w:color w:val="auto"/>
        </w:rPr>
      </w:pPr>
      <w:r>
        <w:rPr>
          <w:rFonts w:ascii="Arial" w:cs="Arial" w:eastAsia="Arial" w:hAnsi="Arial"/>
          <w:sz w:val="16"/>
          <w:szCs w:val="16"/>
          <w:color w:val="auto"/>
        </w:rPr>
        <w:t>The Company is the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Viant Technology Inc.'s 22.5% interest in Viant Technology LLC.</w:t>
      </w:r>
    </w:p>
    <w:p>
      <w:pPr>
        <w:spacing w:after="0" w:line="167" w:lineRule="exact"/>
        <w:rPr>
          <w:sz w:val="20"/>
          <w:szCs w:val="20"/>
          <w:color w:val="auto"/>
        </w:rPr>
      </w:pPr>
    </w:p>
    <w:p>
      <w:pPr>
        <w:ind w:firstLine="425"/>
        <w:spacing w:after="0" w:line="288" w:lineRule="auto"/>
        <w:rPr>
          <w:sz w:val="20"/>
          <w:szCs w:val="20"/>
          <w:color w:val="auto"/>
        </w:rPr>
      </w:pPr>
      <w:r>
        <w:rPr>
          <w:rFonts w:ascii="Arial" w:cs="Arial" w:eastAsia="Arial" w:hAnsi="Arial"/>
          <w:sz w:val="15"/>
          <w:szCs w:val="15"/>
          <w:color w:val="auto"/>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spacing w:after="0" w:line="156"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8" w:lineRule="exact"/>
        <w:rPr>
          <w:sz w:val="20"/>
          <w:szCs w:val="20"/>
          <w:color w:val="auto"/>
        </w:rPr>
      </w:pPr>
    </w:p>
    <w:p>
      <w:pPr>
        <w:ind w:right="20" w:firstLine="425"/>
        <w:spacing w:after="0" w:line="267" w:lineRule="auto"/>
        <w:rPr>
          <w:sz w:val="20"/>
          <w:szCs w:val="20"/>
          <w:color w:val="auto"/>
        </w:rPr>
      </w:pPr>
      <w:r>
        <w:rPr>
          <w:rFonts w:ascii="Arial" w:cs="Arial" w:eastAsia="Arial" w:hAnsi="Arial"/>
          <w:sz w:val="16"/>
          <w:szCs w:val="16"/>
          <w:color w:val="auto"/>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the Company would otherwise pay in the future to various taxing authorities. They may also decrease gains (or increase losses) on future dispositions of certain capital assets to the extent tax basis is allocated to those capital assets.</w:t>
      </w:r>
    </w:p>
    <w:p>
      <w:pPr>
        <w:spacing w:after="0" w:line="169" w:lineRule="exact"/>
        <w:rPr>
          <w:sz w:val="20"/>
          <w:szCs w:val="20"/>
          <w:color w:val="auto"/>
        </w:rPr>
      </w:pPr>
    </w:p>
    <w:p>
      <w:pPr>
        <w:ind w:right="80" w:firstLine="425"/>
        <w:spacing w:after="0" w:line="284" w:lineRule="auto"/>
        <w:rPr>
          <w:sz w:val="20"/>
          <w:szCs w:val="20"/>
          <w:color w:val="auto"/>
        </w:rPr>
      </w:pPr>
      <w:r>
        <w:rPr>
          <w:rFonts w:ascii="Arial" w:cs="Arial" w:eastAsia="Arial" w:hAnsi="Arial"/>
          <w:sz w:val="15"/>
          <w:szCs w:val="15"/>
          <w:color w:val="auto"/>
        </w:rPr>
        <w:t>In connection with the IPO, the Company entered into a Tax Receivable Agreement (“TRA”) with Viant Technology LLC and the holders of Class B units of Viant Technology LLC.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w:t>
      </w:r>
    </w:p>
    <w:p>
      <w:pPr>
        <w:spacing w:after="0" w:line="1" w:lineRule="exact"/>
        <w:rPr>
          <w:sz w:val="20"/>
          <w:szCs w:val="20"/>
          <w:color w:val="auto"/>
        </w:rPr>
      </w:pPr>
    </w:p>
    <w:p>
      <w:pPr>
        <w:ind w:right="160" w:firstLine="1"/>
        <w:spacing w:after="0" w:line="254" w:lineRule="auto"/>
        <w:tabs>
          <w:tab w:leader="none" w:pos="24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tax basis increases attributable to payments made under the TRA and (iii) deductions attributable to imputed interest pursuant to the TRA (the “TRA Payments”). The annual tax benefits are computed by calculating the income taxes due, including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3" w:name="page104"/>
    <w:bookmarkEnd w:id="103"/>
    <w:p>
      <w:pPr>
        <w:ind w:right="180"/>
        <w:spacing w:after="0" w:line="281" w:lineRule="auto"/>
        <w:rPr>
          <w:sz w:val="20"/>
          <w:szCs w:val="20"/>
          <w:color w:val="auto"/>
        </w:rPr>
      </w:pPr>
      <w:r>
        <w:rPr>
          <w:rFonts w:ascii="Arial" w:cs="Arial" w:eastAsia="Arial" w:hAnsi="Arial"/>
          <w:sz w:val="16"/>
          <w:szCs w:val="16"/>
          <w:color w:val="auto"/>
        </w:rPr>
        <w:t>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spacing w:after="0" w:line="360" w:lineRule="exact"/>
        <w:rPr>
          <w:sz w:val="20"/>
          <w:szCs w:val="20"/>
          <w:color w:val="auto"/>
        </w:rPr>
      </w:pPr>
    </w:p>
    <w:p>
      <w:pPr>
        <w:ind w:right="20" w:firstLine="425"/>
        <w:spacing w:after="0" w:line="251" w:lineRule="auto"/>
        <w:rPr>
          <w:sz w:val="20"/>
          <w:szCs w:val="20"/>
          <w:color w:val="auto"/>
        </w:rPr>
      </w:pPr>
      <w:r>
        <w:rPr>
          <w:rFonts w:ascii="Arial" w:cs="Arial" w:eastAsia="Arial" w:hAnsi="Arial"/>
          <w:sz w:val="17"/>
          <w:szCs w:val="17"/>
          <w:color w:val="auto"/>
        </w:rPr>
        <w:t>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the Company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w:t>
      </w:r>
    </w:p>
    <w:p>
      <w:pPr>
        <w:spacing w:after="0" w:line="182" w:lineRule="exact"/>
        <w:rPr>
          <w:sz w:val="20"/>
          <w:szCs w:val="20"/>
          <w:color w:val="auto"/>
        </w:rPr>
      </w:pPr>
    </w:p>
    <w:p>
      <w:pPr>
        <w:ind w:right="100" w:firstLine="425"/>
        <w:spacing w:after="0" w:line="294" w:lineRule="auto"/>
        <w:rPr>
          <w:sz w:val="20"/>
          <w:szCs w:val="20"/>
          <w:color w:val="auto"/>
        </w:rPr>
      </w:pPr>
      <w:r>
        <w:rPr>
          <w:rFonts w:ascii="Arial" w:cs="Arial" w:eastAsia="Arial" w:hAnsi="Arial"/>
          <w:sz w:val="15"/>
          <w:szCs w:val="15"/>
          <w:color w:val="auto"/>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106" w:lineRule="exact"/>
        <w:rPr>
          <w:sz w:val="20"/>
          <w:szCs w:val="20"/>
          <w:color w:val="auto"/>
        </w:rPr>
      </w:pPr>
    </w:p>
    <w:p>
      <w:pPr>
        <w:ind w:firstLine="425"/>
        <w:spacing w:after="0" w:line="299" w:lineRule="auto"/>
        <w:rPr>
          <w:sz w:val="20"/>
          <w:szCs w:val="20"/>
          <w:color w:val="auto"/>
        </w:rPr>
      </w:pPr>
      <w:r>
        <w:rPr>
          <w:rFonts w:ascii="Arial" w:cs="Arial" w:eastAsia="Arial" w:hAnsi="Arial"/>
          <w:sz w:val="15"/>
          <w:szCs w:val="15"/>
          <w:color w:val="auto"/>
        </w:rPr>
        <w:t>We account for treasury stock under the cost method. When treasury stock is re-issued at a price higher than its cost, the difference is recorded as a component of additional paid-in-capital in our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06" w:lineRule="exact"/>
        <w:rPr>
          <w:sz w:val="20"/>
          <w:szCs w:val="20"/>
          <w:color w:val="auto"/>
        </w:rPr>
      </w:pPr>
    </w:p>
    <w:p>
      <w:pPr>
        <w:ind w:right="100" w:firstLine="425"/>
        <w:spacing w:after="0" w:line="250" w:lineRule="auto"/>
        <w:rPr>
          <w:sz w:val="20"/>
          <w:szCs w:val="20"/>
          <w:color w:val="auto"/>
        </w:rPr>
      </w:pPr>
      <w:r>
        <w:rPr>
          <w:rFonts w:ascii="Arial" w:cs="Arial" w:eastAsia="Arial" w:hAnsi="Arial"/>
          <w:sz w:val="17"/>
          <w:szCs w:val="17"/>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85" w:lineRule="exact"/>
        <w:rPr>
          <w:sz w:val="20"/>
          <w:szCs w:val="20"/>
          <w:color w:val="auto"/>
        </w:rPr>
      </w:pPr>
    </w:p>
    <w:p>
      <w:pPr>
        <w:ind w:right="60" w:firstLine="425"/>
        <w:spacing w:after="0" w:line="254"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consolidated financial statements and that has a different effective date for public and private companies, the Company will disclose the date on which it will adopt the recently issued accounting standard.</w:t>
      </w:r>
    </w:p>
    <w:p>
      <w:pPr>
        <w:spacing w:after="0" w:line="179" w:lineRule="exact"/>
        <w:rPr>
          <w:sz w:val="20"/>
          <w:szCs w:val="20"/>
          <w:color w:val="auto"/>
        </w:rPr>
      </w:pPr>
    </w:p>
    <w:p>
      <w:pPr>
        <w:ind w:right="60" w:firstLine="425"/>
        <w:spacing w:after="0" w:line="254"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4" w:name="page105"/>
    <w:bookmarkEnd w:id="104"/>
    <w:p>
      <w:pPr>
        <w:spacing w:after="0" w:line="265" w:lineRule="auto"/>
        <w:rPr>
          <w:sz w:val="20"/>
          <w:szCs w:val="20"/>
          <w:color w:val="auto"/>
        </w:rPr>
      </w:pPr>
      <w:r>
        <w:rPr>
          <w:rFonts w:ascii="Arial" w:cs="Arial" w:eastAsia="Arial" w:hAnsi="Arial"/>
          <w:sz w:val="16"/>
          <w:szCs w:val="16"/>
          <w:color w:val="auto"/>
        </w:rPr>
        <w:t>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As a part of the Company’s election under the JOBS Act, the guidance is effective for the Company’s annual reporting period beginning after December 15, 2021 and interim reporting periods within the annual period beginning after December 15, 2022. The Company adopted Topic 842 effective January 1, 2022 utilizing the modified retrospective transition method. We expect the adoption of Topic 842 to have a material impact on the Company’s consolidated balance sheet because certain of our operating lease commitments will be recognized as right-of-use assets and lease liabilities. This new guidance is not expected to have a material impact upon the Company’s consolidated statement of operations. We have elected the package of practical expedients permitted under the transition guidance within Topic 842, which allowed us to carry forward prior conclusions about lease identification, classification and initial direct costs for leases entered into prior to adoption of Topic 842. Additionally, we elected to not separate lease and non-lease components for all of our leases. For leases with a term of 12 months or less, we elected the short-term lease exemption, which allowed us to not recognize right-of-use assets or lease liabilities for qualifying leases existing at transition and new leases we may enter into in the future.</w:t>
      </w:r>
    </w:p>
    <w:p>
      <w:pPr>
        <w:spacing w:after="0" w:line="177" w:lineRule="exact"/>
        <w:rPr>
          <w:sz w:val="20"/>
          <w:szCs w:val="20"/>
          <w:color w:val="auto"/>
        </w:rPr>
      </w:pPr>
    </w:p>
    <w:p>
      <w:pPr>
        <w:ind w:right="80" w:firstLine="425"/>
        <w:spacing w:after="0" w:line="252" w:lineRule="auto"/>
        <w:rPr>
          <w:sz w:val="20"/>
          <w:szCs w:val="20"/>
          <w:color w:val="auto"/>
        </w:rPr>
      </w:pPr>
      <w:r>
        <w:rPr>
          <w:rFonts w:ascii="Arial" w:cs="Arial" w:eastAsia="Arial" w:hAnsi="Arial"/>
          <w:sz w:val="17"/>
          <w:szCs w:val="17"/>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the consolidated financial statements.</w:t>
      </w:r>
    </w:p>
    <w:p>
      <w:pPr>
        <w:spacing w:after="0" w:line="181" w:lineRule="exact"/>
        <w:rPr>
          <w:sz w:val="20"/>
          <w:szCs w:val="20"/>
          <w:color w:val="auto"/>
        </w:rPr>
      </w:pPr>
    </w:p>
    <w:p>
      <w:pPr>
        <w:ind w:right="80" w:firstLine="425"/>
        <w:spacing w:after="0" w:line="254" w:lineRule="auto"/>
        <w:rPr>
          <w:sz w:val="20"/>
          <w:szCs w:val="20"/>
          <w:color w:val="auto"/>
        </w:rPr>
      </w:pPr>
      <w:r>
        <w:rPr>
          <w:rFonts w:ascii="Arial" w:cs="Arial" w:eastAsia="Arial" w:hAnsi="Arial"/>
          <w:sz w:val="17"/>
          <w:szCs w:val="17"/>
          <w:color w:val="auto"/>
        </w:rPr>
        <w:t>In October 2020, the FASB issued ASU No. 2020-10, Codification Improvements</w:t>
      </w:r>
      <w:r>
        <w:rPr>
          <w:rFonts w:ascii="Arial" w:cs="Arial" w:eastAsia="Arial" w:hAnsi="Arial"/>
          <w:sz w:val="17"/>
          <w:szCs w:val="17"/>
          <w:i w:val="1"/>
          <w:iCs w:val="1"/>
          <w:color w:val="auto"/>
        </w:rPr>
        <w:t>,</w:t>
      </w:r>
      <w:r>
        <w:rPr>
          <w:rFonts w:ascii="Arial" w:cs="Arial" w:eastAsia="Arial" w:hAnsi="Arial"/>
          <w:sz w:val="17"/>
          <w:szCs w:val="17"/>
          <w:color w:val="auto"/>
        </w:rPr>
        <w:t xml:space="preserve">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the consolidated financial statements.</w:t>
      </w:r>
    </w:p>
    <w:p>
      <w:pPr>
        <w:spacing w:after="0" w:line="179" w:lineRule="exact"/>
        <w:rPr>
          <w:sz w:val="20"/>
          <w:szCs w:val="20"/>
          <w:color w:val="auto"/>
        </w:rPr>
      </w:pPr>
    </w:p>
    <w:p>
      <w:pPr>
        <w:ind w:firstLine="425"/>
        <w:spacing w:after="0" w:line="288" w:lineRule="auto"/>
        <w:rPr>
          <w:sz w:val="20"/>
          <w:szCs w:val="20"/>
          <w:color w:val="auto"/>
        </w:rPr>
      </w:pPr>
      <w:r>
        <w:rPr>
          <w:rFonts w:ascii="Arial" w:cs="Arial" w:eastAsia="Arial" w:hAnsi="Arial"/>
          <w:sz w:val="15"/>
          <w:szCs w:val="15"/>
          <w:color w:val="auto"/>
        </w:rPr>
        <w:t>In May 2021, the FASB issued ASU No. 2021-04, Earnings Per Share (Topic 260), Debt—Modifications and Extinguishments (Subtopic 470-50), Compensation —Stock Compensation (Topic 718), and Derivatives and Hedging—Contracts in Entity’s Own Equity (Subtopic 815-40). The purpose of ASU 2021-04 is to clarify and reduce diversity in an issuer’s accounting for modifications or exchanges of freestanding equity-classified written call options that remain equity classified after modification or exchange. The ASU requires issuers to account for modifications or exchanges of freestanding equity-classified written call options that remain equity classified after the modification or exchange based on the economic substance of the modification or exchange. In accordance with ASU 2021-04, an issuer determines the accounting for the modification or exchange based on whether the transaction was done to issue equity, to issue or modify debt, or for other reasons. The guidance is effective for the Company’s annual reporting period beginning after December 15, 2021 and interim reporting periods within that annual reporting period. The Company is currently assessing the impact this guidance will have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7" w:lineRule="exact"/>
        <w:rPr>
          <w:sz w:val="20"/>
          <w:szCs w:val="20"/>
          <w:color w:val="auto"/>
        </w:rPr>
      </w:pPr>
    </w:p>
    <w:p>
      <w:pPr>
        <w:ind w:right="140" w:firstLine="425"/>
        <w:spacing w:after="0" w:line="251" w:lineRule="auto"/>
        <w:rPr>
          <w:sz w:val="20"/>
          <w:szCs w:val="20"/>
          <w:color w:val="auto"/>
        </w:rPr>
      </w:pPr>
      <w:r>
        <w:rPr>
          <w:rFonts w:ascii="Arial" w:cs="Arial" w:eastAsia="Arial" w:hAnsi="Arial"/>
          <w:sz w:val="17"/>
          <w:szCs w:val="17"/>
          <w:color w:val="auto"/>
        </w:rPr>
        <w:t>In September 2018, the FASB issued ASU No. 2018-15, Intangibles—Goodwill and Other—Internal 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 use software. Early adoption is permitted and can be applied prospectively to all implementation costs incurred after the date of adoption or retrospectively. The Company adopted this ASU prospectively on January 1, 2021, and the adoption of this ASU did not have a material impact on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05" w:name="page106"/>
    <w:bookmarkEnd w:id="105"/>
    <w:p>
      <w:pPr>
        <w:ind w:right="20" w:firstLine="425"/>
        <w:spacing w:after="0" w:line="308"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("ASU 2019-12"). ASU 2019-12 removes certain exceptions to the general principles in Topic 740 and also clarifies and amends existing guidance to improve consistent application. The Company adopted ASU 2019-12 prospectively on January 1, 2021, and the adoption of this ASU did not have a material impact on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3. Revenue</w:t>
      </w:r>
    </w:p>
    <w:p>
      <w:pPr>
        <w:spacing w:after="0" w:line="211" w:lineRule="exact"/>
        <w:rPr>
          <w:sz w:val="20"/>
          <w:szCs w:val="20"/>
          <w:color w:val="auto"/>
        </w:rPr>
      </w:pPr>
    </w:p>
    <w:p>
      <w:pPr>
        <w:jc w:val="both"/>
        <w:ind w:firstLine="425"/>
        <w:spacing w:after="0" w:line="308" w:lineRule="auto"/>
        <w:rPr>
          <w:sz w:val="20"/>
          <w:szCs w:val="20"/>
          <w:color w:val="auto"/>
        </w:rPr>
      </w:pPr>
      <w:r>
        <w:rPr>
          <w:rFonts w:ascii="Arial" w:cs="Arial" w:eastAsia="Arial" w:hAnsi="Arial"/>
          <w:sz w:val="15"/>
          <w:szCs w:val="15"/>
          <w:color w:val="231F20"/>
        </w:rPr>
        <w:t>The Company recognizes revenue in accordance with ASC 606. Refer to Note 2 of these notes to our consolidated financial statements for a description of our ASC 606 revenue recognition accounting policies. Although the Company maintains agreements with its customers in multiple contractual forms, the overall promise within each of the contract types is to provide customers the ability to plan, buy and measure their digital advertising campaigns using our platform.</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disaggregation of revenue was as follows:</w:t>
      </w:r>
    </w:p>
    <w:p>
      <w:pPr>
        <w:spacing w:after="0" w:line="73" w:lineRule="exact"/>
        <w:rPr>
          <w:sz w:val="20"/>
          <w:szCs w:val="20"/>
          <w:color w:val="auto"/>
        </w:rPr>
      </w:pPr>
    </w:p>
    <w:tbl>
      <w:tblPr>
        <w:tblLayout w:type="fixed"/>
        <w:tblInd w:w="11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145"/>
              <w:spacing w:after="0"/>
              <w:rPr>
                <w:sz w:val="20"/>
                <w:szCs w:val="20"/>
                <w:color w:val="auto"/>
              </w:rPr>
            </w:pPr>
            <w:r>
              <w:rPr>
                <w:rFonts w:ascii="Arial" w:cs="Arial" w:eastAsia="Arial" w:hAnsi="Arial"/>
                <w:sz w:val="13"/>
                <w:szCs w:val="13"/>
                <w:b w:val="1"/>
                <w:bCs w:val="1"/>
                <w:color w:val="auto"/>
                <w:w w:val="92"/>
              </w:rPr>
              <w:t>Year Ended December 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Revenue</w:t>
            </w:r>
          </w:p>
        </w:tc>
        <w:tc>
          <w:tcPr>
            <w:tcW w:w="228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2021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145"/>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jc w:val="right"/>
              <w:ind w:right="7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4"/>
        </w:trPr>
        <w:tc>
          <w:tcPr>
            <w:tcW w:w="212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center"/>
              <w:ind w:right="145"/>
              <w:spacing w:after="0" w:line="144"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Over time</w:t>
            </w:r>
          </w:p>
        </w:tc>
        <w:tc>
          <w:tcPr>
            <w:tcW w:w="2280" w:type="dxa"/>
            <w:vAlign w:val="bottom"/>
            <w:gridSpan w:val="2"/>
            <w:shd w:val="clear" w:color="auto" w:fill="CFF0FC"/>
          </w:tcPr>
          <w:p>
            <w:pPr>
              <w:jc w:val="right"/>
              <w:ind w:right="947"/>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3,880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4,612</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6,237</w:t>
            </w:r>
          </w:p>
        </w:tc>
        <w:tc>
          <w:tcPr>
            <w:tcW w:w="0" w:type="dxa"/>
            <w:vAlign w:val="bottom"/>
          </w:tcPr>
          <w:p>
            <w:pPr>
              <w:spacing w:after="0"/>
              <w:rPr>
                <w:sz w:val="1"/>
                <w:szCs w:val="1"/>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7"/>
                <w:szCs w:val="17"/>
                <w:color w:val="auto"/>
              </w:rPr>
              <w:t>Point in time</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220,247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25"/>
              <w:spacing w:after="0"/>
              <w:rPr>
                <w:sz w:val="20"/>
                <w:szCs w:val="20"/>
                <w:color w:val="auto"/>
              </w:rPr>
            </w:pPr>
            <w:r>
              <w:rPr>
                <w:rFonts w:ascii="Arial" w:cs="Arial" w:eastAsia="Arial" w:hAnsi="Arial"/>
                <w:sz w:val="17"/>
                <w:szCs w:val="17"/>
                <w:color w:val="auto"/>
              </w:rPr>
              <w:t>160,639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158,655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revenue</w:t>
            </w:r>
          </w:p>
        </w:tc>
        <w:tc>
          <w:tcPr>
            <w:tcW w:w="1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100" w:type="dxa"/>
            <w:vAlign w:val="bottom"/>
            <w:vMerge w:val="continue"/>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224,127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ind w:right="25"/>
              <w:spacing w:after="0"/>
              <w:rPr>
                <w:sz w:val="20"/>
                <w:szCs w:val="20"/>
                <w:color w:val="auto"/>
              </w:rPr>
            </w:pPr>
            <w:r>
              <w:rPr>
                <w:rFonts w:ascii="Arial" w:cs="Arial" w:eastAsia="Arial" w:hAnsi="Arial"/>
                <w:sz w:val="17"/>
                <w:szCs w:val="17"/>
                <w:color w:val="auto"/>
              </w:rPr>
              <w:t>165,251</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164,892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231F20"/>
        </w:rPr>
        <w:t>Remaining performance obligations for contracts with an original expected duration of greater than one year amounted to $6.6 million and $9.2 million as of December 31, 2021 and 2020, respectively, which primarily relate to deferred revenue and data management and advanced reporting services. As of December 31, 2021 and 2020, $1.3 million and $3.6 million, respectively, is expected to be recognized within one year, with the remaining amounts expected to be recognized thereafter.</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231F20"/>
        </w:rPr>
        <w:t>Contract Liabilities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follow table summarizes the changes in deferred revenue balances: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r>
      <w:tr>
        <w:trPr>
          <w:trHeight w:val="144"/>
        </w:trPr>
        <w:tc>
          <w:tcPr>
            <w:tcW w:w="3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3"/>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r>
      <w:tr>
        <w:trPr>
          <w:trHeight w:val="144"/>
        </w:trPr>
        <w:tc>
          <w:tcPr>
            <w:tcW w:w="3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8,337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10,030</w:t>
            </w:r>
          </w:p>
        </w:tc>
        <w:tc>
          <w:tcPr>
            <w:tcW w:w="80" w:type="dxa"/>
            <w:vAlign w:val="bottom"/>
            <w:shd w:val="clear" w:color="auto" w:fill="CFF0FC"/>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7"/>
                <w:szCs w:val="17"/>
                <w:color w:val="auto"/>
              </w:rPr>
              <w:t>Recognition of deferred revenue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(1,693)</w:t>
            </w:r>
          </w:p>
        </w:tc>
      </w:tr>
      <w:tr>
        <w:trPr>
          <w:trHeight w:val="214"/>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Deferral of revenue</w:t>
            </w:r>
          </w:p>
        </w:tc>
        <w:tc>
          <w:tcPr>
            <w:tcW w:w="16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7"/>
                <w:szCs w:val="17"/>
                <w:color w:val="auto"/>
              </w:rPr>
              <w:t>Ending balance</w:t>
            </w:r>
          </w:p>
        </w:tc>
        <w:tc>
          <w:tcPr>
            <w:tcW w:w="1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3"/>
              <w:spacing w:after="0"/>
              <w:rPr>
                <w:sz w:val="20"/>
                <w:szCs w:val="20"/>
                <w:color w:val="auto"/>
              </w:rPr>
            </w:pPr>
            <w:r>
              <w:rPr>
                <w:rFonts w:ascii="Arial" w:cs="Arial" w:eastAsia="Arial" w:hAnsi="Arial"/>
                <w:sz w:val="17"/>
                <w:szCs w:val="17"/>
                <w:color w:val="auto"/>
              </w:rPr>
              <w:t>6,551</w:t>
            </w:r>
          </w:p>
        </w:tc>
        <w:tc>
          <w:tcPr>
            <w:tcW w:w="1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8,337</w:t>
            </w:r>
          </w:p>
        </w:tc>
        <w:tc>
          <w:tcPr>
            <w:tcW w:w="8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0" w:lineRule="exact"/>
        <w:rPr>
          <w:sz w:val="20"/>
          <w:szCs w:val="20"/>
          <w:color w:val="auto"/>
        </w:rPr>
      </w:pPr>
    </w:p>
    <w:p>
      <w:pPr>
        <w:ind w:right="300" w:firstLine="425"/>
        <w:spacing w:after="0" w:line="258" w:lineRule="auto"/>
        <w:rPr>
          <w:sz w:val="20"/>
          <w:szCs w:val="20"/>
          <w:color w:val="auto"/>
        </w:rPr>
      </w:pPr>
      <w:r>
        <w:rPr>
          <w:rFonts w:ascii="Arial" w:cs="Arial" w:eastAsia="Arial" w:hAnsi="Arial"/>
          <w:sz w:val="17"/>
          <w:szCs w:val="17"/>
          <w:color w:val="231F20"/>
        </w:rPr>
        <w:t>The revenue recognized from the contract liabilities consisted of the Company satisfying performance obligations during the normal course of business. Deferred revenue that is anticipated to be recognized during the succeeding 12-month period is recorded in current portion of deferred revenue and the remaining amount is recorded as non-current portion of deferred revenue within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4. Property, Equipment and Software, Net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Major classes of property, equipment and software were as follows: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106" w:name="page107"/>
    <w:bookmarkEnd w:id="106"/>
    <w:tbl>
      <w:tblPr>
        <w:tblLayout w:type="fixed"/>
        <w:tblInd w:w="420" w:type="dxa"/>
        <w:tblCellMar>
          <w:top w:w="0" w:type="dxa"/>
          <w:left w:w="0" w:type="dxa"/>
          <w:bottom w:w="0" w:type="dxa"/>
          <w:right w:w="0" w:type="dxa"/>
        </w:tblCellMar>
      </w:tblPr>
      <w:tr>
        <w:trPr>
          <w:trHeight w:val="159"/>
        </w:trPr>
        <w:tc>
          <w:tcPr>
            <w:tcW w:w="1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7"/>
          </w:tcPr>
          <w:p>
            <w:pPr>
              <w:jc w:val="right"/>
              <w:ind w:right="74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360"/>
              <w:spacing w:after="0" w:line="144"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jc w:val="right"/>
              <w:ind w:right="40"/>
              <w:spacing w:after="0" w:line="14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Capitalized software development costs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61,490</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ind w:left="1280"/>
              <w:spacing w:after="0"/>
              <w:rPr>
                <w:sz w:val="20"/>
                <w:szCs w:val="20"/>
                <w:color w:val="auto"/>
              </w:rPr>
            </w:pPr>
            <w:r>
              <w:rPr>
                <w:rFonts w:ascii="Arial" w:cs="Arial" w:eastAsia="Arial" w:hAnsi="Arial"/>
                <w:sz w:val="17"/>
                <w:szCs w:val="17"/>
                <w:color w:val="auto"/>
              </w:rPr>
              <w:t>Computer equipment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Purchased software</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ind w:left="1280"/>
              <w:spacing w:after="0"/>
              <w:rPr>
                <w:sz w:val="20"/>
                <w:szCs w:val="20"/>
                <w:color w:val="auto"/>
              </w:rPr>
            </w:pPr>
            <w:r>
              <w:rPr>
                <w:rFonts w:ascii="Arial" w:cs="Arial" w:eastAsia="Arial" w:hAnsi="Arial"/>
                <w:sz w:val="17"/>
                <w:szCs w:val="17"/>
                <w:color w:val="auto"/>
              </w:rPr>
              <w:t>Furniture, fixtures and office equipment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20" w:type="dxa"/>
            <w:vAlign w:val="bottom"/>
            <w:gridSpan w:val="2"/>
          </w:tcPr>
          <w:p>
            <w:pPr>
              <w:ind w:left="1280"/>
              <w:spacing w:after="0"/>
              <w:rPr>
                <w:sz w:val="20"/>
                <w:szCs w:val="20"/>
                <w:color w:val="auto"/>
              </w:rPr>
            </w:pPr>
            <w:r>
              <w:rPr>
                <w:rFonts w:ascii="Arial" w:cs="Arial" w:eastAsia="Arial" w:hAnsi="Arial"/>
                <w:sz w:val="17"/>
                <w:szCs w:val="17"/>
                <w:color w:val="auto"/>
              </w:rPr>
              <w:t>Total property, equipment and software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66,682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48,436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6"/>
              <w:spacing w:after="0"/>
              <w:rPr>
                <w:sz w:val="20"/>
                <w:szCs w:val="20"/>
                <w:color w:val="auto"/>
              </w:rPr>
            </w:pPr>
            <w:r>
              <w:rPr>
                <w:rFonts w:ascii="Arial" w:cs="Arial" w:eastAsia="Arial" w:hAnsi="Arial"/>
                <w:sz w:val="17"/>
                <w:szCs w:val="17"/>
                <w:color w:val="auto"/>
                <w:w w:val="97"/>
              </w:rPr>
              <w:t>(44,351)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(34,607)</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1280"/>
              <w:spacing w:after="0"/>
              <w:rPr>
                <w:sz w:val="20"/>
                <w:szCs w:val="20"/>
                <w:color w:val="auto"/>
              </w:rPr>
            </w:pPr>
            <w:r>
              <w:rPr>
                <w:rFonts w:ascii="Arial" w:cs="Arial" w:eastAsia="Arial" w:hAnsi="Arial"/>
                <w:sz w:val="17"/>
                <w:szCs w:val="17"/>
                <w:color w:val="auto"/>
              </w:rPr>
              <w:t>Total property, equipment and software, net</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22,331</w:t>
            </w:r>
          </w:p>
        </w:tc>
        <w:tc>
          <w:tcPr>
            <w:tcW w:w="1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7"/>
                <w:szCs w:val="17"/>
                <w:color w:val="231F20"/>
                <w:w w:val="91"/>
              </w:rPr>
              <w:t>Depreciation recorded in the consolidated statements of operations was as follows:</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5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3"/>
                <w:szCs w:val="13"/>
                <w:b w:val="1"/>
                <w:bCs w:val="1"/>
                <w:color w:val="auto"/>
                <w:w w:val="95"/>
              </w:rPr>
              <w:t>Year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8"/>
              <w:spacing w:after="0" w:line="144"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0"/>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w w:val="95"/>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Platform operations</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7,688</w:t>
            </w:r>
          </w:p>
        </w:tc>
        <w:tc>
          <w:tcPr>
            <w:tcW w:w="26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6,638</w:t>
            </w: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ind w:left="12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Technology and development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1,599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1,608</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ind w:left="12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3"/>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80" w:type="dxa"/>
            <w:vAlign w:val="bottom"/>
          </w:tcPr>
          <w:p>
            <w:pPr>
              <w:spacing w:after="0"/>
              <w:rPr>
                <w:sz w:val="17"/>
                <w:szCs w:val="17"/>
                <w:color w:val="auto"/>
              </w:rPr>
            </w:pPr>
          </w:p>
        </w:tc>
        <w:tc>
          <w:tcPr>
            <w:tcW w:w="4440" w:type="dxa"/>
            <w:vAlign w:val="bottom"/>
            <w:vMerge w:val="continue"/>
            <w:shd w:val="clear" w:color="auto" w:fill="CFF0FC"/>
          </w:tcPr>
          <w:p>
            <w:pPr>
              <w:spacing w:after="0"/>
              <w:rPr>
                <w:sz w:val="17"/>
                <w:szCs w:val="17"/>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9,912</w:t>
            </w:r>
          </w:p>
        </w:tc>
        <w:tc>
          <w:tcPr>
            <w:tcW w:w="260" w:type="dxa"/>
            <w:vAlign w:val="bottom"/>
            <w:gridSpan w:val="2"/>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8,877</w:t>
            </w: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Interest cost recorded in the consolidated balance sheets and consolidated statements of operations was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0"/>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0"/>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r>
      <w:tr>
        <w:trPr>
          <w:trHeight w:val="144"/>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5"/>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Amount charged to expense</w:t>
            </w:r>
          </w:p>
        </w:tc>
        <w:tc>
          <w:tcPr>
            <w:tcW w:w="760" w:type="dxa"/>
            <w:vAlign w:val="bottom"/>
            <w:gridSpan w:val="2"/>
            <w:shd w:val="clear" w:color="auto" w:fill="CFF0FC"/>
          </w:tcPr>
          <w:p>
            <w:pPr>
              <w:jc w:val="right"/>
              <w:ind w:right="4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865</w:t>
            </w:r>
          </w:p>
        </w:tc>
        <w:tc>
          <w:tcPr>
            <w:tcW w:w="38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4,105</w:t>
            </w:r>
          </w:p>
        </w:tc>
        <w:tc>
          <w:tcPr>
            <w:tcW w:w="80" w:type="dxa"/>
            <w:vAlign w:val="bottom"/>
            <w:shd w:val="clear" w:color="auto" w:fill="CFF0FC"/>
          </w:tcPr>
          <w:p>
            <w:pPr>
              <w:spacing w:after="0"/>
              <w:rPr>
                <w:sz w:val="18"/>
                <w:szCs w:val="18"/>
                <w:color w:val="auto"/>
              </w:rPr>
            </w:pPr>
          </w:p>
        </w:tc>
      </w:tr>
      <w:tr>
        <w:trPr>
          <w:trHeight w:val="214"/>
        </w:trPr>
        <w:tc>
          <w:tcPr>
            <w:tcW w:w="4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2"/>
              </w:rPr>
              <w:t>Amount capitalized within property, equipment and software, net</w:t>
            </w: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FF0FC"/>
            </w:tcBorders>
          </w:tcPr>
          <w:p>
            <w:pPr>
              <w:spacing w:after="0"/>
              <w:rPr>
                <w:sz w:val="18"/>
                <w:szCs w:val="18"/>
                <w:color w:val="auto"/>
              </w:rPr>
            </w:pPr>
          </w:p>
        </w:tc>
      </w:tr>
      <w:tr>
        <w:trPr>
          <w:trHeight w:val="206"/>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Total interest cost</w:t>
            </w:r>
          </w:p>
        </w:tc>
        <w:tc>
          <w:tcPr>
            <w:tcW w:w="760" w:type="dxa"/>
            <w:vAlign w:val="bottom"/>
            <w:gridSpan w:val="2"/>
            <w:shd w:val="clear" w:color="auto" w:fill="CFF0FC"/>
          </w:tcPr>
          <w:p>
            <w:pPr>
              <w:jc w:val="right"/>
              <w:ind w:right="4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885</w:t>
            </w:r>
          </w:p>
        </w:tc>
        <w:tc>
          <w:tcPr>
            <w:tcW w:w="38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1,087</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4,149</w:t>
            </w:r>
          </w:p>
        </w:tc>
        <w:tc>
          <w:tcPr>
            <w:tcW w:w="80" w:type="dxa"/>
            <w:vAlign w:val="bottom"/>
            <w:shd w:val="clear" w:color="auto" w:fill="CFF0FC"/>
          </w:tcPr>
          <w:p>
            <w:pPr>
              <w:spacing w:after="0"/>
              <w:rPr>
                <w:sz w:val="17"/>
                <w:szCs w:val="17"/>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5. Goodwill and Intangible Assets, Net</w:t>
      </w:r>
    </w:p>
    <w:p>
      <w:pPr>
        <w:spacing w:after="0" w:line="211" w:lineRule="exact"/>
        <w:rPr>
          <w:sz w:val="20"/>
          <w:szCs w:val="20"/>
          <w:color w:val="auto"/>
        </w:rPr>
      </w:pPr>
    </w:p>
    <w:p>
      <w:pPr>
        <w:ind w:right="360" w:firstLine="425"/>
        <w:spacing w:after="0" w:line="308" w:lineRule="auto"/>
        <w:rPr>
          <w:sz w:val="20"/>
          <w:szCs w:val="20"/>
          <w:color w:val="auto"/>
        </w:rPr>
      </w:pPr>
      <w:r>
        <w:rPr>
          <w:rFonts w:ascii="Arial" w:cs="Arial" w:eastAsia="Arial" w:hAnsi="Arial"/>
          <w:sz w:val="15"/>
          <w:szCs w:val="15"/>
          <w:color w:val="231F20"/>
        </w:rPr>
        <w:t>The Company’s goodwill balance of $12.4 million as of December 31, 2021 and 2020</w:t>
      </w:r>
      <w:r>
        <w:rPr>
          <w:rFonts w:ascii="Arial" w:cs="Arial" w:eastAsia="Arial" w:hAnsi="Arial"/>
          <w:sz w:val="15"/>
          <w:szCs w:val="15"/>
          <w:color w:val="000000"/>
        </w:rPr>
        <w:t>, was recorded as part of the Company’s February 2017 acquisition of</w:t>
      </w:r>
      <w:r>
        <w:rPr>
          <w:rFonts w:ascii="Arial" w:cs="Arial" w:eastAsia="Arial" w:hAnsi="Arial"/>
          <w:sz w:val="15"/>
          <w:szCs w:val="15"/>
          <w:color w:val="231F20"/>
        </w:rPr>
        <w:t xml:space="preserve"> </w:t>
      </w:r>
      <w:r>
        <w:rPr>
          <w:rFonts w:ascii="Arial" w:cs="Arial" w:eastAsia="Arial" w:hAnsi="Arial"/>
          <w:sz w:val="15"/>
          <w:szCs w:val="15"/>
          <w:color w:val="000000"/>
        </w:rPr>
        <w:t>Adelphic. The goodwill balance was determined based on the excess of the purchase price paid over the fair value of the identifiable net assets acquired, and represents its future revenue and earnings potential and certain other assets acquired that do not meet the recognition criteria, such as assembled workforce.</w:t>
      </w:r>
    </w:p>
    <w:p>
      <w:pPr>
        <w:spacing w:after="0" w:line="141" w:lineRule="exact"/>
        <w:rPr>
          <w:sz w:val="20"/>
          <w:szCs w:val="20"/>
          <w:color w:val="auto"/>
        </w:rPr>
      </w:pPr>
    </w:p>
    <w:p>
      <w:pPr>
        <w:ind w:right="40" w:firstLine="425"/>
        <w:spacing w:after="0" w:line="337" w:lineRule="auto"/>
        <w:rPr>
          <w:sz w:val="20"/>
          <w:szCs w:val="20"/>
          <w:color w:val="auto"/>
        </w:rPr>
      </w:pPr>
      <w:r>
        <w:rPr>
          <w:rFonts w:ascii="Arial" w:cs="Arial" w:eastAsia="Arial" w:hAnsi="Arial"/>
          <w:sz w:val="15"/>
          <w:szCs w:val="15"/>
          <w:color w:val="auto"/>
        </w:rPr>
        <w:t>The Company performed an impairment test of its goodwill as of the first day of the fourth fiscal quarter in accordance with its accounting policy. The results of this test indicated that the Company’s goodwill was not impaired. No goodwill impairment was recorded for the years ended December 31, 2021, 2020 or 2019.</w:t>
      </w:r>
    </w:p>
    <w:p>
      <w:pPr>
        <w:spacing w:after="0" w:line="119"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auto"/>
        </w:rPr>
        <w:t>Intangible assets primarily consist of acquired developed technology, customer relationships, trade names and trademarks resulting from business combinations and acquired patent intangible assets,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07" w:name="page108"/>
    <w:bookmarkEnd w:id="107"/>
    <w:p>
      <w:pPr>
        <w:ind w:right="80"/>
        <w:spacing w:after="0" w:line="269" w:lineRule="auto"/>
        <w:rPr>
          <w:sz w:val="20"/>
          <w:szCs w:val="20"/>
          <w:color w:val="auto"/>
        </w:rPr>
      </w:pPr>
      <w:r>
        <w:rPr>
          <w:rFonts w:ascii="Arial" w:cs="Arial" w:eastAsia="Arial" w:hAnsi="Arial"/>
          <w:sz w:val="17"/>
          <w:szCs w:val="17"/>
          <w:color w:val="auto"/>
        </w:rPr>
        <w:t>the economic benefits are consumed. No impairment was recorded for intangible assets or other long lived assets during the years ended December 31, 2021, 2020 or 2019.</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balances of intangibles assets and accumulated amortization are as follows:</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rPr>
              <w:t>As of December 31, 2021</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1240" w:type="dxa"/>
            <w:vAlign w:val="bottom"/>
            <w:gridSpan w:val="2"/>
          </w:tcPr>
          <w:p>
            <w:pPr>
              <w:jc w:val="center"/>
              <w:ind w:right="220"/>
              <w:spacing w:after="0" w:line="123" w:lineRule="exact"/>
              <w:rPr>
                <w:sz w:val="20"/>
                <w:szCs w:val="20"/>
                <w:color w:val="auto"/>
              </w:rPr>
            </w:pPr>
            <w:r>
              <w:rPr>
                <w:rFonts w:ascii="Arial" w:cs="Arial" w:eastAsia="Arial" w:hAnsi="Arial"/>
                <w:sz w:val="13"/>
                <w:szCs w:val="13"/>
                <w:b w:val="1"/>
                <w:bCs w:val="1"/>
                <w:color w:val="auto"/>
                <w:w w:val="93"/>
              </w:rPr>
              <w:t>Remaining</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9"/>
        </w:trPr>
        <w:tc>
          <w:tcPr>
            <w:tcW w:w="526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Useful Life</w:t>
            </w:r>
          </w:p>
        </w:tc>
        <w:tc>
          <w:tcPr>
            <w:tcW w:w="18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Amortization</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(in years)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technology</w:t>
            </w:r>
          </w:p>
        </w:tc>
        <w:tc>
          <w:tcPr>
            <w:tcW w:w="1020" w:type="dxa"/>
            <w:vAlign w:val="bottom"/>
            <w:shd w:val="clear" w:color="auto" w:fill="CFF0FC"/>
          </w:tcPr>
          <w:p>
            <w:pPr>
              <w:jc w:val="right"/>
              <w:ind w:right="287"/>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(4,169)</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020" w:type="dxa"/>
            <w:vAlign w:val="bottom"/>
          </w:tcPr>
          <w:p>
            <w:pPr>
              <w:jc w:val="right"/>
              <w:ind w:right="287"/>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(1,615)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Trademarks/tradenames</w:t>
            </w:r>
          </w:p>
        </w:tc>
        <w:tc>
          <w:tcPr>
            <w:tcW w:w="1020" w:type="dxa"/>
            <w:vAlign w:val="bottom"/>
            <w:shd w:val="clear" w:color="auto" w:fill="CFF0FC"/>
          </w:tcPr>
          <w:p>
            <w:pPr>
              <w:jc w:val="right"/>
              <w:ind w:right="287"/>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(1,057)</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(6,841)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1240" w:type="dxa"/>
            <w:vAlign w:val="bottom"/>
            <w:gridSpan w:val="2"/>
          </w:tcPr>
          <w:p>
            <w:pPr>
              <w:jc w:val="center"/>
              <w:ind w:right="220"/>
              <w:spacing w:after="0" w:line="123" w:lineRule="exact"/>
              <w:rPr>
                <w:sz w:val="20"/>
                <w:szCs w:val="20"/>
                <w:color w:val="auto"/>
              </w:rPr>
            </w:pPr>
            <w:r>
              <w:rPr>
                <w:rFonts w:ascii="Arial" w:cs="Arial" w:eastAsia="Arial" w:hAnsi="Arial"/>
                <w:sz w:val="13"/>
                <w:szCs w:val="13"/>
                <w:b w:val="1"/>
                <w:bCs w:val="1"/>
                <w:color w:val="auto"/>
                <w:w w:val="93"/>
              </w:rPr>
              <w:t>Remaining</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9"/>
        </w:trPr>
        <w:tc>
          <w:tcPr>
            <w:tcW w:w="526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Useful Life</w:t>
            </w:r>
          </w:p>
        </w:tc>
        <w:tc>
          <w:tcPr>
            <w:tcW w:w="18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Amortization</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(in years)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technology</w:t>
            </w:r>
          </w:p>
        </w:tc>
        <w:tc>
          <w:tcPr>
            <w:tcW w:w="1020" w:type="dxa"/>
            <w:vAlign w:val="bottom"/>
            <w:shd w:val="clear" w:color="auto" w:fill="CFF0FC"/>
          </w:tcPr>
          <w:p>
            <w:pPr>
              <w:jc w:val="right"/>
              <w:ind w:right="287"/>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(3,469)</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020" w:type="dxa"/>
            <w:vAlign w:val="bottom"/>
          </w:tcPr>
          <w:p>
            <w:pPr>
              <w:jc w:val="right"/>
              <w:ind w:right="287"/>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(1,287)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Trademarks/tradenames</w:t>
            </w:r>
          </w:p>
        </w:tc>
        <w:tc>
          <w:tcPr>
            <w:tcW w:w="1020" w:type="dxa"/>
            <w:vAlign w:val="bottom"/>
            <w:shd w:val="clear" w:color="auto" w:fill="CFF0FC"/>
          </w:tcPr>
          <w:p>
            <w:pPr>
              <w:jc w:val="right"/>
              <w:ind w:right="287"/>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(856)</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(5,612)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recorded in the consolidated statements of operations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right"/>
              <w:ind w:right="296"/>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line="144"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62"/>
              <w:spacing w:after="0" w:line="144" w:lineRule="exact"/>
              <w:rPr>
                <w:sz w:val="20"/>
                <w:szCs w:val="20"/>
                <w:color w:val="auto"/>
              </w:rPr>
            </w:pPr>
            <w:r>
              <w:rPr>
                <w:rFonts w:ascii="Arial" w:cs="Arial" w:eastAsia="Arial" w:hAnsi="Arial"/>
                <w:sz w:val="13"/>
                <w:szCs w:val="13"/>
                <w:b w:val="1"/>
                <w:bCs w:val="1"/>
                <w:color w:val="auto"/>
              </w:rPr>
              <w:t>2020</w:t>
            </w:r>
          </w:p>
        </w:tc>
        <w:tc>
          <w:tcPr>
            <w:tcW w:w="1120" w:type="dxa"/>
            <w:vAlign w:val="bottom"/>
            <w:tcBorders>
              <w:bottom w:val="single" w:sz="8" w:color="auto"/>
            </w:tcBorders>
            <w:gridSpan w:val="3"/>
          </w:tcPr>
          <w:p>
            <w:pPr>
              <w:jc w:val="right"/>
              <w:ind w:right="256"/>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w w:val="95"/>
              </w:rPr>
              <w:t>(in thousands)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Platform operations</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700</w:t>
            </w:r>
          </w:p>
        </w:tc>
        <w:tc>
          <w:tcPr>
            <w:tcW w:w="30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700</w:t>
            </w:r>
          </w:p>
        </w:tc>
        <w:tc>
          <w:tcPr>
            <w:tcW w:w="640" w:type="dxa"/>
            <w:vAlign w:val="bottom"/>
            <w:tcBorders>
              <w:right w:val="single" w:sz="8" w:color="CFF0FC"/>
            </w:tcBorders>
            <w:gridSpan w:val="2"/>
            <w:shd w:val="clear" w:color="auto" w:fill="CFF0FC"/>
          </w:tcPr>
          <w:p>
            <w:pPr>
              <w:jc w:val="right"/>
              <w:ind w:right="296"/>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3"/>
          </w:tcPr>
          <w:p>
            <w:pPr>
              <w:ind w:left="1700"/>
              <w:spacing w:after="0"/>
              <w:rPr>
                <w:sz w:val="20"/>
                <w:szCs w:val="20"/>
                <w:color w:val="auto"/>
              </w:rPr>
            </w:pPr>
            <w:r>
              <w:rPr>
                <w:rFonts w:ascii="Arial" w:cs="Arial" w:eastAsia="Arial" w:hAnsi="Arial"/>
                <w:sz w:val="17"/>
                <w:szCs w:val="17"/>
                <w:color w:val="auto"/>
              </w:rPr>
              <w:t>Sales and marketing</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Technology and development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3"/>
          </w:tcPr>
          <w:p>
            <w:pPr>
              <w:ind w:left="1700"/>
              <w:spacing w:after="0"/>
              <w:rPr>
                <w:sz w:val="20"/>
                <w:szCs w:val="20"/>
                <w:color w:val="auto"/>
              </w:rPr>
            </w:pPr>
            <w:r>
              <w:rPr>
                <w:rFonts w:ascii="Arial" w:cs="Arial" w:eastAsia="Arial" w:hAnsi="Arial"/>
                <w:sz w:val="17"/>
                <w:szCs w:val="17"/>
                <w:color w:val="auto"/>
              </w:rPr>
              <w:t>General and administrative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529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529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00" w:type="dxa"/>
            <w:vAlign w:val="bottom"/>
          </w:tcPr>
          <w:p>
            <w:pPr>
              <w:spacing w:after="0"/>
              <w:rPr>
                <w:sz w:val="17"/>
                <w:szCs w:val="17"/>
                <w:color w:val="auto"/>
              </w:rPr>
            </w:pPr>
          </w:p>
        </w:tc>
        <w:tc>
          <w:tcPr>
            <w:tcW w:w="2920" w:type="dxa"/>
            <w:vAlign w:val="bottom"/>
            <w:gridSpan w:val="2"/>
            <w:vMerge w:val="continue"/>
            <w:shd w:val="clear" w:color="auto" w:fill="CFF0FC"/>
          </w:tcPr>
          <w:p>
            <w:pPr>
              <w:spacing w:after="0"/>
              <w:rPr>
                <w:sz w:val="17"/>
                <w:szCs w:val="17"/>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1,229</w:t>
            </w:r>
          </w:p>
        </w:tc>
        <w:tc>
          <w:tcPr>
            <w:tcW w:w="30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1,229</w:t>
            </w:r>
          </w:p>
        </w:tc>
        <w:tc>
          <w:tcPr>
            <w:tcW w:w="640" w:type="dxa"/>
            <w:vAlign w:val="bottom"/>
            <w:tcBorders>
              <w:right w:val="single" w:sz="8" w:color="CFF0FC"/>
            </w:tcBorders>
            <w:gridSpan w:val="2"/>
            <w:shd w:val="clear" w:color="auto" w:fill="CFF0FC"/>
          </w:tcPr>
          <w:p>
            <w:pPr>
              <w:jc w:val="right"/>
              <w:ind w:right="296"/>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1,232</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520" w:type="dxa"/>
            <w:vAlign w:val="bottom"/>
            <w:gridSpan w:val="5"/>
          </w:tcPr>
          <w:p>
            <w:pPr>
              <w:ind w:left="420"/>
              <w:spacing w:after="0"/>
              <w:rPr>
                <w:sz w:val="20"/>
                <w:szCs w:val="20"/>
                <w:color w:val="auto"/>
              </w:rPr>
            </w:pPr>
            <w:r>
              <w:rPr>
                <w:rFonts w:ascii="Arial" w:cs="Arial" w:eastAsia="Arial" w:hAnsi="Arial"/>
                <w:sz w:val="17"/>
                <w:szCs w:val="17"/>
                <w:color w:val="231F20"/>
                <w:w w:val="91"/>
              </w:rPr>
              <w:t xml:space="preserve">Estimated future </w:t>
            </w:r>
            <w:r>
              <w:rPr>
                <w:rFonts w:ascii="Arial" w:cs="Arial" w:eastAsia="Arial" w:hAnsi="Arial"/>
                <w:sz w:val="17"/>
                <w:szCs w:val="17"/>
                <w:color w:val="000000"/>
                <w:w w:val="91"/>
              </w:rPr>
              <w:t>amortization</w:t>
            </w:r>
            <w:r>
              <w:rPr>
                <w:rFonts w:ascii="Arial" w:cs="Arial" w:eastAsia="Arial" w:hAnsi="Arial"/>
                <w:sz w:val="17"/>
                <w:szCs w:val="17"/>
                <w:color w:val="231F20"/>
                <w:w w:val="91"/>
              </w:rPr>
              <w:t xml:space="preserve"> of intangible assets as of December 31, 2021 is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ending December 31,</w:t>
            </w:r>
          </w:p>
        </w:tc>
        <w:tc>
          <w:tcPr>
            <w:tcW w:w="16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60" w:type="dxa"/>
            <w:vAlign w:val="bottom"/>
            <w:shd w:val="clear" w:color="auto" w:fill="CFF0FC"/>
          </w:tcPr>
          <w:p>
            <w:pPr>
              <w:jc w:val="right"/>
              <w:ind w:right="1959"/>
              <w:spacing w:after="0"/>
              <w:rPr>
                <w:sz w:val="20"/>
                <w:szCs w:val="20"/>
                <w:color w:val="auto"/>
              </w:rPr>
            </w:pPr>
            <w:r>
              <w:rPr>
                <w:rFonts w:ascii="Arial" w:cs="Arial" w:eastAsia="Arial" w:hAnsi="Arial"/>
                <w:sz w:val="17"/>
                <w:szCs w:val="17"/>
                <w:color w:val="auto"/>
                <w:w w:val="79"/>
              </w:rPr>
              <w:t>2022</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22"/>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1,119</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20" w:type="dxa"/>
            <w:vAlign w:val="bottom"/>
            <w:gridSpan w:val="3"/>
          </w:tcPr>
          <w:p>
            <w:pPr>
              <w:jc w:val="right"/>
              <w:ind w:right="1959"/>
              <w:spacing w:after="0"/>
              <w:rPr>
                <w:sz w:val="20"/>
                <w:szCs w:val="20"/>
                <w:color w:val="auto"/>
              </w:rPr>
            </w:pPr>
            <w:r>
              <w:rPr>
                <w:rFonts w:ascii="Arial" w:cs="Arial" w:eastAsia="Arial" w:hAnsi="Arial"/>
                <w:sz w:val="17"/>
                <w:szCs w:val="17"/>
                <w:color w:val="auto"/>
              </w:rPr>
              <w:t>2023</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spacing w:after="0"/>
              <w:rPr>
                <w:sz w:val="18"/>
                <w:szCs w:val="18"/>
                <w:color w:val="auto"/>
              </w:rPr>
            </w:pPr>
          </w:p>
        </w:tc>
        <w:tc>
          <w:tcPr>
            <w:tcW w:w="2360" w:type="dxa"/>
            <w:vAlign w:val="bottom"/>
            <w:shd w:val="clear" w:color="auto" w:fill="CFF0FC"/>
          </w:tcPr>
          <w:p>
            <w:pPr>
              <w:jc w:val="right"/>
              <w:ind w:right="1959"/>
              <w:spacing w:after="0"/>
              <w:rPr>
                <w:sz w:val="20"/>
                <w:szCs w:val="20"/>
                <w:color w:val="auto"/>
              </w:rPr>
            </w:pPr>
            <w:r>
              <w:rPr>
                <w:rFonts w:ascii="Arial" w:cs="Arial" w:eastAsia="Arial" w:hAnsi="Arial"/>
                <w:sz w:val="17"/>
                <w:szCs w:val="17"/>
                <w:color w:val="auto"/>
                <w:w w:val="79"/>
              </w:rPr>
              <w:t>2024</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3"/>
          </w:tcPr>
          <w:p>
            <w:pPr>
              <w:jc w:val="right"/>
              <w:ind w:right="1959"/>
              <w:spacing w:after="0"/>
              <w:rPr>
                <w:sz w:val="20"/>
                <w:szCs w:val="20"/>
                <w:color w:val="auto"/>
              </w:rPr>
            </w:pPr>
            <w:r>
              <w:rPr>
                <w:rFonts w:ascii="Arial" w:cs="Arial" w:eastAsia="Arial" w:hAnsi="Arial"/>
                <w:sz w:val="17"/>
                <w:szCs w:val="17"/>
                <w:color w:val="auto"/>
              </w:rPr>
              <w:t>2025</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spacing w:after="0"/>
              <w:rPr>
                <w:sz w:val="18"/>
                <w:szCs w:val="18"/>
                <w:color w:val="auto"/>
              </w:rPr>
            </w:pPr>
          </w:p>
        </w:tc>
        <w:tc>
          <w:tcPr>
            <w:tcW w:w="2360" w:type="dxa"/>
            <w:vAlign w:val="bottom"/>
            <w:shd w:val="clear" w:color="auto" w:fill="CFF0FC"/>
          </w:tcPr>
          <w:p>
            <w:pPr>
              <w:jc w:val="right"/>
              <w:ind w:right="1959"/>
              <w:spacing w:after="0"/>
              <w:rPr>
                <w:sz w:val="20"/>
                <w:szCs w:val="20"/>
                <w:color w:val="auto"/>
              </w:rPr>
            </w:pPr>
            <w:r>
              <w:rPr>
                <w:rFonts w:ascii="Arial" w:cs="Arial" w:eastAsia="Arial" w:hAnsi="Arial"/>
                <w:sz w:val="17"/>
                <w:szCs w:val="17"/>
                <w:color w:val="auto"/>
                <w:w w:val="79"/>
              </w:rPr>
              <w:t>2026</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22"/>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1,786</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476"/>
              <w:spacing w:after="0"/>
              <w:rPr>
                <w:sz w:val="20"/>
                <w:szCs w:val="20"/>
                <w:color w:val="auto"/>
              </w:rPr>
            </w:pPr>
            <w:r>
              <w:rPr>
                <w:rFonts w:ascii="Arial" w:cs="Arial" w:eastAsia="Arial" w:hAnsi="Arial"/>
                <w:sz w:val="17"/>
                <w:szCs w:val="17"/>
                <w:color w:val="auto"/>
              </w:rPr>
              <w:t>103</w:t>
            </w: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231F20"/>
        </w:rPr>
        <w:t>6. Accrued Liabilities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Company’s accrued liabilities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As of December 31,</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3"/>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left="423"/>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Accrued traffic acquisition costs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30,942</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80" w:type="dxa"/>
            <w:vAlign w:val="bottom"/>
            <w:gridSpan w:val="2"/>
          </w:tcPr>
          <w:p>
            <w:pPr>
              <w:ind w:left="1700"/>
              <w:spacing w:after="0"/>
              <w:rPr>
                <w:sz w:val="20"/>
                <w:szCs w:val="20"/>
                <w:color w:val="auto"/>
              </w:rPr>
            </w:pPr>
            <w:r>
              <w:rPr>
                <w:rFonts w:ascii="Arial" w:cs="Arial" w:eastAsia="Arial" w:hAnsi="Arial"/>
                <w:sz w:val="17"/>
                <w:szCs w:val="17"/>
                <w:color w:val="auto"/>
              </w:rPr>
              <w:t>Other accrued liabilities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7"/>
                <w:szCs w:val="17"/>
                <w:color w:val="auto"/>
              </w:rPr>
              <w:t>3,144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accrued liabilities</w:t>
            </w: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00" w:type="dxa"/>
            <w:vAlign w:val="bottom"/>
          </w:tcPr>
          <w:p>
            <w:pPr>
              <w:spacing w:after="0"/>
              <w:rPr>
                <w:sz w:val="17"/>
                <w:szCs w:val="17"/>
                <w:color w:val="auto"/>
              </w:rPr>
            </w:pPr>
          </w:p>
        </w:tc>
        <w:tc>
          <w:tcPr>
            <w:tcW w:w="4680" w:type="dxa"/>
            <w:vAlign w:val="bottom"/>
            <w:vMerge w:val="continue"/>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34,086</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7"/>
                <w:szCs w:val="17"/>
                <w:b w:val="1"/>
                <w:bCs w:val="1"/>
                <w:color w:val="231F20"/>
              </w:rPr>
              <w:t>7. Long-Term Debt and Revolving Credit Facility</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3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380" w:type="dxa"/>
            <w:vAlign w:val="bottom"/>
            <w:gridSpan w:val="2"/>
          </w:tcPr>
          <w:p>
            <w:pPr>
              <w:ind w:left="420"/>
              <w:spacing w:after="0"/>
              <w:rPr>
                <w:sz w:val="20"/>
                <w:szCs w:val="20"/>
                <w:color w:val="auto"/>
              </w:rPr>
            </w:pPr>
            <w:r>
              <w:rPr>
                <w:rFonts w:ascii="Arial" w:cs="Arial" w:eastAsia="Arial" w:hAnsi="Arial"/>
                <w:sz w:val="17"/>
                <w:szCs w:val="17"/>
                <w:color w:val="231F20"/>
              </w:rPr>
              <w:t>The Company’s debt and revolving credit facilities consisted of the following:</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As of December 31,</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3"/>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left="423"/>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Revolving credit facility</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17,500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80" w:type="dxa"/>
            <w:vAlign w:val="bottom"/>
            <w:gridSpan w:val="2"/>
          </w:tcPr>
          <w:p>
            <w:pPr>
              <w:ind w:left="1700"/>
              <w:spacing w:after="0"/>
              <w:rPr>
                <w:sz w:val="20"/>
                <w:szCs w:val="20"/>
                <w:color w:val="auto"/>
              </w:rPr>
            </w:pPr>
            <w:r>
              <w:rPr>
                <w:rFonts w:ascii="Arial" w:cs="Arial" w:eastAsia="Arial" w:hAnsi="Arial"/>
                <w:sz w:val="17"/>
                <w:szCs w:val="17"/>
                <w:color w:val="auto"/>
              </w:rPr>
              <w:t>PPP Loan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debt</w:t>
            </w:r>
          </w:p>
        </w:tc>
        <w:tc>
          <w:tcPr>
            <w:tcW w:w="7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7"/>
                <w:szCs w:val="17"/>
                <w:color w:val="auto"/>
              </w:rPr>
              <w:t>17,500</w:t>
            </w: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23,535</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80" w:type="dxa"/>
            <w:vAlign w:val="bottom"/>
            <w:gridSpan w:val="2"/>
          </w:tcPr>
          <w:p>
            <w:pPr>
              <w:ind w:left="1700"/>
              <w:spacing w:after="0"/>
              <w:rPr>
                <w:sz w:val="20"/>
                <w:szCs w:val="20"/>
                <w:color w:val="auto"/>
              </w:rPr>
            </w:pPr>
            <w:r>
              <w:rPr>
                <w:rFonts w:ascii="Arial" w:cs="Arial" w:eastAsia="Arial" w:hAnsi="Arial"/>
                <w:sz w:val="17"/>
                <w:szCs w:val="17"/>
                <w:color w:val="auto"/>
              </w:rPr>
              <w:t>Less: Current portion of long-term debt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(3,353)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long-term debt</w:t>
            </w: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00" w:type="dxa"/>
            <w:vAlign w:val="bottom"/>
          </w:tcPr>
          <w:p>
            <w:pPr>
              <w:spacing w:after="0"/>
              <w:rPr>
                <w:sz w:val="17"/>
                <w:szCs w:val="17"/>
                <w:color w:val="auto"/>
              </w:rPr>
            </w:pPr>
          </w:p>
        </w:tc>
        <w:tc>
          <w:tcPr>
            <w:tcW w:w="4680" w:type="dxa"/>
            <w:vAlign w:val="bottom"/>
            <w:vMerge w:val="continue"/>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17,500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firstLine="425"/>
        <w:spacing w:after="0" w:line="254" w:lineRule="auto"/>
        <w:rPr>
          <w:sz w:val="20"/>
          <w:szCs w:val="20"/>
          <w:color w:val="auto"/>
        </w:rPr>
      </w:pPr>
      <w:r>
        <w:rPr>
          <w:rFonts w:ascii="Arial" w:cs="Arial" w:eastAsia="Arial" w:hAnsi="Arial"/>
          <w:sz w:val="17"/>
          <w:szCs w:val="17"/>
          <w:color w:val="231F20"/>
        </w:rPr>
        <w:t xml:space="preserve">As of December 31, 2020, the current portion of long-term debt related to the PPP Loan. The carrying value of the revolving credit facility as of December 31, 2021 and December 31, 2020 approximated its fair value </w:t>
      </w:r>
      <w:r>
        <w:rPr>
          <w:rFonts w:ascii="Arial" w:cs="Arial" w:eastAsia="Arial" w:hAnsi="Arial"/>
          <w:sz w:val="17"/>
          <w:szCs w:val="17"/>
          <w:color w:val="000000"/>
        </w:rPr>
        <w:t>as the interest rate is variable and approximates prevailing market interest rates for similar debt arrangements.</w:t>
      </w:r>
      <w:r>
        <w:rPr>
          <w:rFonts w:ascii="Arial" w:cs="Arial" w:eastAsia="Arial" w:hAnsi="Arial"/>
          <w:sz w:val="17"/>
          <w:szCs w:val="17"/>
          <w:color w:val="231F20"/>
        </w:rPr>
        <w:t xml:space="preserve"> The carrying value of the PPP Loan as of December 31, 2020 approximated its fair value, which was estimated using </w:t>
      </w:r>
      <w:r>
        <w:rPr>
          <w:rFonts w:ascii="Arial" w:cs="Arial" w:eastAsia="Arial" w:hAnsi="Arial"/>
          <w:sz w:val="17"/>
          <w:szCs w:val="17"/>
          <w:color w:val="000000"/>
        </w:rPr>
        <w:t>quoted market prices, based</w:t>
      </w:r>
      <w:r>
        <w:rPr>
          <w:rFonts w:ascii="Arial" w:cs="Arial" w:eastAsia="Arial" w:hAnsi="Arial"/>
          <w:sz w:val="17"/>
          <w:szCs w:val="17"/>
          <w:color w:val="231F20"/>
        </w:rPr>
        <w:t xml:space="preserve"> </w:t>
      </w:r>
      <w:r>
        <w:rPr>
          <w:rFonts w:ascii="Arial" w:cs="Arial" w:eastAsia="Arial" w:hAnsi="Arial"/>
          <w:sz w:val="17"/>
          <w:szCs w:val="17"/>
          <w:color w:val="000000"/>
        </w:rPr>
        <w:t>on estimated incremental borrowing rates for similar types of borrowing arrangements.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31F20"/>
        </w:rPr>
        <w:t>2019 Former Holdco Transaction</w:t>
      </w:r>
    </w:p>
    <w:p>
      <w:pPr>
        <w:spacing w:after="0" w:line="207" w:lineRule="exact"/>
        <w:rPr>
          <w:sz w:val="20"/>
          <w:szCs w:val="20"/>
          <w:color w:val="auto"/>
        </w:rPr>
      </w:pPr>
    </w:p>
    <w:p>
      <w:pPr>
        <w:ind w:right="300" w:firstLine="557"/>
        <w:spacing w:after="0" w:line="254" w:lineRule="auto"/>
        <w:rPr>
          <w:sz w:val="20"/>
          <w:szCs w:val="20"/>
          <w:color w:val="auto"/>
        </w:rPr>
      </w:pPr>
      <w:r>
        <w:rPr>
          <w:rFonts w:ascii="Arial" w:cs="Arial" w:eastAsia="Arial" w:hAnsi="Arial"/>
          <w:sz w:val="17"/>
          <w:szCs w:val="17"/>
          <w:color w:val="231F20"/>
        </w:rPr>
        <w:t>On March 2, 2016, Viant Technology LLC entered into a secured loan agreement with its related party, the Former Holdco, which at that time was a 60% stakeholder of Viant Technology LLC. The notes accrued interest at a rate of 7% per year, payable quarterly. Any interest not paid when due was compounded as a component of the principal amount then outstanding. The notes were subject to an original maturity of March 2, 2021, unless earlier purchased, redeemed or otherwise settled.</w:t>
      </w:r>
    </w:p>
    <w:p>
      <w:pPr>
        <w:spacing w:after="0" w:line="179" w:lineRule="exact"/>
        <w:rPr>
          <w:sz w:val="20"/>
          <w:szCs w:val="20"/>
          <w:color w:val="auto"/>
        </w:rPr>
      </w:pPr>
    </w:p>
    <w:p>
      <w:pPr>
        <w:ind w:right="1900" w:firstLine="557"/>
        <w:spacing w:after="0" w:line="270" w:lineRule="auto"/>
        <w:rPr>
          <w:sz w:val="20"/>
          <w:szCs w:val="20"/>
          <w:color w:val="auto"/>
        </w:rPr>
      </w:pPr>
      <w:r>
        <w:rPr>
          <w:rFonts w:ascii="Arial" w:cs="Arial" w:eastAsia="Arial" w:hAnsi="Arial"/>
          <w:sz w:val="16"/>
          <w:szCs w:val="16"/>
          <w:color w:val="231F20"/>
        </w:rPr>
        <w:t>On October 4, 2016, certain members of Viant Technology LLC and the Former Holdco entered into a put/call agreement in which certain employees received the right, but not the obligation to cause the Former Holdco to purchase all or a portion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231F20"/>
        </w:rPr>
        <w:t>the employees’ unrestricted common units beginning on March 31, 2019 and on each annual anniversary of that date. Viant Technology LLC was not a party to</w:t>
      </w:r>
    </w:p>
    <w:p>
      <w:pPr>
        <w:spacing w:after="0" w:line="29"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231F20"/>
        </w:rPr>
        <w:t>this put/call agreement and did not account for this agreement within its consolidated financial statements. No call or put rights were exercised during the year ended December 31, 2019.</w:t>
      </w:r>
    </w:p>
    <w:p>
      <w:pPr>
        <w:spacing w:after="0" w:line="203" w:lineRule="exact"/>
        <w:rPr>
          <w:sz w:val="20"/>
          <w:szCs w:val="20"/>
          <w:color w:val="auto"/>
        </w:rPr>
      </w:pPr>
    </w:p>
    <w:p>
      <w:pPr>
        <w:ind w:right="380" w:firstLine="557"/>
        <w:spacing w:after="0" w:line="281" w:lineRule="auto"/>
        <w:rPr>
          <w:sz w:val="20"/>
          <w:szCs w:val="20"/>
          <w:color w:val="auto"/>
        </w:rPr>
      </w:pPr>
      <w:r>
        <w:rPr>
          <w:rFonts w:ascii="Arial" w:cs="Arial" w:eastAsia="Arial" w:hAnsi="Arial"/>
          <w:sz w:val="16"/>
          <w:szCs w:val="16"/>
          <w:color w:val="231F20"/>
        </w:rPr>
        <w:t>On September 15, 2019, Viant Technology LLC’s co-founders entered into a Unit Repurchase Agreement (the “Agreement”) in connection with the 2019 Former Holdco transaction with the Former Holdco to repay a portion of the outstanding principal amount, to cancel any remaining loan obligations, cancel all outstanding put/call options and to retire the outstanding equity interest in Viant Technology LLC held by the Former Holdco.</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color w:val="231F20"/>
        </w:rPr>
        <w:t>Under the terms of the Agreement, on October 31, 2019, Viant Technology LLC paid the Former Holdco $25.0</w:t>
      </w:r>
    </w:p>
    <w:p>
      <w:pPr>
        <w:spacing w:after="0" w:line="18"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231F20"/>
        </w:rPr>
        <w:t>million, deemed the “purchase price,” toward the repayment in full of principal, interest or other amounts owed by Viant Technology LLC to the Former Holdco and its affiliates. Additionally, Viant Technology LLC paid approximately $3.5 million for professional service fees associated with the transaction paid on behalf of the Former Holdco. In return, the Former Holdco, on behalf of itself and its affiliates, cancelled and forgave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09" w:name="page110"/>
    <w:bookmarkEnd w:id="109"/>
    <w:p>
      <w:pPr>
        <w:jc w:val="both"/>
        <w:ind w:right="1140"/>
        <w:spacing w:after="0" w:line="258" w:lineRule="auto"/>
        <w:rPr>
          <w:sz w:val="20"/>
          <w:szCs w:val="20"/>
          <w:color w:val="auto"/>
        </w:rPr>
      </w:pPr>
      <w:r>
        <w:rPr>
          <w:rFonts w:ascii="Arial" w:cs="Arial" w:eastAsia="Arial" w:hAnsi="Arial"/>
          <w:sz w:val="17"/>
          <w:szCs w:val="17"/>
          <w:color w:val="231F20"/>
        </w:rPr>
        <w:t>additional amounts owed by Viant Technology LLC pursuant to the March 2, 2016 loan agreement or any other loans. The Agreement also resulted in the termination of all outstanding put/call agreements. Upon closing of this transaction, the Former Holdco’s ownership in Viant Technology LLC was automatically transferred to Viant Technology LLC.</w:t>
      </w:r>
    </w:p>
    <w:p>
      <w:pPr>
        <w:spacing w:after="0" w:line="175" w:lineRule="exact"/>
        <w:rPr>
          <w:sz w:val="20"/>
          <w:szCs w:val="20"/>
          <w:color w:val="auto"/>
        </w:rPr>
      </w:pPr>
    </w:p>
    <w:p>
      <w:pPr>
        <w:ind w:right="40" w:firstLine="557"/>
        <w:spacing w:after="0" w:line="270" w:lineRule="auto"/>
        <w:rPr>
          <w:sz w:val="20"/>
          <w:szCs w:val="20"/>
          <w:color w:val="auto"/>
        </w:rPr>
      </w:pPr>
      <w:r>
        <w:rPr>
          <w:rFonts w:ascii="Arial" w:cs="Arial" w:eastAsia="Arial" w:hAnsi="Arial"/>
          <w:sz w:val="16"/>
          <w:szCs w:val="16"/>
          <w:color w:val="231F20"/>
        </w:rPr>
        <w:t>In accordance with the Agreement, the purchase price consisted of $17.5 million of cash generated from the execution of the PNC Bank line of credit and $7.5 million of cash received from the sale of the 2019 convertible preferred units to Four Brothers 2 LLC, representing 100% of Viant Technology</w:t>
      </w:r>
    </w:p>
    <w:p>
      <w:pPr>
        <w:spacing w:after="0" w:line="1"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231F20"/>
        </w:rPr>
        <w:t>LLC’s outstanding convertible preferred units. As a result of this transaction, along with the payment of approximately $3.5 million in professional services paid on behalf of the Former Holdco, Viant Technology LLC settled $72.6 million of outstanding principal and accrued interest on the long-term promissory note and recorded additional paid-in capital of $47.6 million representing the forgiveness of outstanding debt and $45.0 million representing the retirement of the 2016 convertible preferred units resulting from the cancellation of Viant Technology LLC’s equity interest held by the Former Holdco.</w:t>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Revolving Credit Facility</w:t>
      </w:r>
    </w:p>
    <w:p>
      <w:pPr>
        <w:spacing w:after="0" w:line="106" w:lineRule="exact"/>
        <w:rPr>
          <w:sz w:val="20"/>
          <w:szCs w:val="20"/>
          <w:color w:val="auto"/>
        </w:rPr>
      </w:pPr>
    </w:p>
    <w:p>
      <w:pPr>
        <w:jc w:val="both"/>
        <w:ind w:right="220" w:firstLine="425"/>
        <w:spacing w:after="0" w:line="258" w:lineRule="auto"/>
        <w:rPr>
          <w:sz w:val="20"/>
          <w:szCs w:val="20"/>
          <w:color w:val="auto"/>
        </w:rPr>
      </w:pPr>
      <w:r>
        <w:rPr>
          <w:rFonts w:ascii="Arial" w:cs="Arial" w:eastAsia="Arial" w:hAnsi="Arial"/>
          <w:sz w:val="17"/>
          <w:szCs w:val="17"/>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75" w:lineRule="exact"/>
        <w:rPr>
          <w:sz w:val="20"/>
          <w:szCs w:val="20"/>
          <w:color w:val="auto"/>
        </w:rPr>
      </w:pPr>
    </w:p>
    <w:p>
      <w:pPr>
        <w:ind w:firstLine="425"/>
        <w:spacing w:after="0" w:line="284" w:lineRule="auto"/>
        <w:rPr>
          <w:sz w:val="20"/>
          <w:szCs w:val="20"/>
          <w:color w:val="auto"/>
        </w:rPr>
      </w:pPr>
      <w:r>
        <w:rPr>
          <w:rFonts w:ascii="Arial" w:cs="Arial" w:eastAsia="Arial" w:hAnsi="Arial"/>
          <w:sz w:val="15"/>
          <w:szCs w:val="15"/>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for the year ended December 31, 2021 was 3.24%. The applicable margin as of December 31, 2021 was equal to 0.75% for Domestic Rate Loans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231F20"/>
        </w:rPr>
        <w:t>1.75% for LIBOR Rate Loans. The applicable margin that commenced October 15, 2021 is between 0.75% to 1.25% for Domestic Rate Loans and between 1.75% and</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231F20"/>
        </w:rPr>
        <w:t>2.25% for LIBOR Rate Loans based on maintaining certain undrawn availability ratios. The facility fee for undrawn amounts under the Loan Agreement is 0.375% per annum. We will also be required to pay customary letter of credit fees, as necessary.</w:t>
      </w:r>
    </w:p>
    <w:p>
      <w:pPr>
        <w:spacing w:after="0" w:line="178" w:lineRule="exact"/>
        <w:rPr>
          <w:sz w:val="20"/>
          <w:szCs w:val="20"/>
          <w:color w:val="auto"/>
        </w:rPr>
      </w:pPr>
    </w:p>
    <w:p>
      <w:pPr>
        <w:ind w:right="40" w:firstLine="425"/>
        <w:spacing w:after="0" w:line="319" w:lineRule="auto"/>
        <w:rPr>
          <w:sz w:val="20"/>
          <w:szCs w:val="20"/>
          <w:color w:val="auto"/>
        </w:rPr>
      </w:pPr>
      <w:r>
        <w:rPr>
          <w:rFonts w:ascii="Arial" w:cs="Arial" w:eastAsia="Arial" w:hAnsi="Arial"/>
          <w:sz w:val="14"/>
          <w:szCs w:val="14"/>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December 31, 2021, we are in compliance with all covenants.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PPP Loan</w:t>
      </w:r>
    </w:p>
    <w:p>
      <w:pPr>
        <w:spacing w:after="0" w:line="207" w:lineRule="exact"/>
        <w:rPr>
          <w:sz w:val="20"/>
          <w:szCs w:val="20"/>
          <w:color w:val="auto"/>
        </w:rPr>
      </w:pPr>
    </w:p>
    <w:p>
      <w:pPr>
        <w:jc w:val="both"/>
        <w:ind w:right="60" w:firstLine="425"/>
        <w:spacing w:after="0" w:line="285" w:lineRule="auto"/>
        <w:rPr>
          <w:sz w:val="20"/>
          <w:szCs w:val="20"/>
          <w:color w:val="auto"/>
        </w:rPr>
      </w:pPr>
      <w:r>
        <w:rPr>
          <w:rFonts w:ascii="Arial" w:cs="Arial" w:eastAsia="Arial" w:hAnsi="Arial"/>
          <w:sz w:val="15"/>
          <w:szCs w:val="15"/>
          <w:color w:val="231F20"/>
        </w:rPr>
        <w:t>On April 14, 2020, the Company received the proceeds from the PPP Loan in the amount of approximately $6.0 million from PNC Bank, as lender, pursuant to the PPP of the CARES Act. The PPP Loan, which is evidenced by a note dated April 11, 2020, bears interest at an annual rate of 1.0% and matures on April 11, 2022. No interest or principal is due during the first fifteen months after April 11, 2020, although interest will continue to accrue over this fifteen-month deferral period. The</w:t>
      </w:r>
    </w:p>
    <w:p>
      <w:pPr>
        <w:spacing w:after="0" w:line="2" w:lineRule="exact"/>
        <w:rPr>
          <w:sz w:val="20"/>
          <w:szCs w:val="20"/>
          <w:color w:val="auto"/>
        </w:rPr>
      </w:pPr>
    </w:p>
    <w:p>
      <w:pPr>
        <w:ind w:left="320" w:hanging="319"/>
        <w:spacing w:after="0"/>
        <w:tabs>
          <w:tab w:leader="none" w:pos="320" w:val="left"/>
        </w:tabs>
        <w:numPr>
          <w:ilvl w:val="0"/>
          <w:numId w:val="49"/>
        </w:numPr>
        <w:rPr>
          <w:rFonts w:ascii="Arial" w:cs="Arial" w:eastAsia="Arial" w:hAnsi="Arial"/>
          <w:sz w:val="15"/>
          <w:szCs w:val="15"/>
          <w:color w:val="231F20"/>
        </w:rPr>
      </w:pPr>
      <w:r>
        <w:rPr>
          <w:rFonts w:ascii="Arial" w:cs="Arial" w:eastAsia="Arial" w:hAnsi="Arial"/>
          <w:sz w:val="15"/>
          <w:szCs w:val="15"/>
          <w:color w:val="231F20"/>
        </w:rPr>
        <w:t>Loan may be prepaid without penalty, at the option of the Company, at any time prior to maturity. The promissory note evidencing the PPP Loan contains</w:t>
      </w:r>
    </w:p>
    <w:p>
      <w:pPr>
        <w:spacing w:after="0" w:line="28" w:lineRule="exact"/>
        <w:rPr>
          <w:rFonts w:ascii="Arial" w:cs="Arial" w:eastAsia="Arial" w:hAnsi="Arial"/>
          <w:sz w:val="15"/>
          <w:szCs w:val="15"/>
          <w:color w:val="231F20"/>
        </w:rPr>
      </w:pPr>
    </w:p>
    <w:p>
      <w:pPr>
        <w:jc w:val="both"/>
        <w:ind w:right="280"/>
        <w:spacing w:after="0" w:line="250" w:lineRule="auto"/>
        <w:rPr>
          <w:rFonts w:ascii="Arial" w:cs="Arial" w:eastAsia="Arial" w:hAnsi="Arial"/>
          <w:sz w:val="15"/>
          <w:szCs w:val="15"/>
          <w:color w:val="231F20"/>
        </w:rPr>
      </w:pPr>
      <w:r>
        <w:rPr>
          <w:rFonts w:ascii="Arial" w:cs="Arial" w:eastAsia="Arial" w:hAnsi="Arial"/>
          <w:sz w:val="17"/>
          <w:szCs w:val="17"/>
          <w:color w:val="231F20"/>
        </w:rPr>
        <w:t>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0" w:name="page111"/>
    <w:bookmarkEnd w:id="110"/>
    <w:p>
      <w:pPr>
        <w:ind w:right="120" w:firstLine="425"/>
        <w:spacing w:after="0" w:line="252" w:lineRule="auto"/>
        <w:rPr>
          <w:sz w:val="20"/>
          <w:szCs w:val="20"/>
          <w:color w:val="auto"/>
        </w:rPr>
      </w:pPr>
      <w:r>
        <w:rPr>
          <w:rFonts w:ascii="Arial" w:cs="Arial" w:eastAsia="Arial" w:hAnsi="Arial"/>
          <w:sz w:val="17"/>
          <w:szCs w:val="17"/>
          <w:color w:val="231F20"/>
        </w:rPr>
        <w:t xml:space="preserve">Proceeds from loans granted under the CARES Act are to be used for payroll, costs to continue employee group health care benefits, rent, utilities and certain other qualified costs (collectively, “qualifying expenses”). The Company has used the PPP Loan proceeds for qualifying expenses. In June 2021, </w:t>
      </w:r>
      <w:r>
        <w:rPr>
          <w:rFonts w:ascii="Arial" w:cs="Arial" w:eastAsia="Arial" w:hAnsi="Arial"/>
          <w:sz w:val="17"/>
          <w:szCs w:val="17"/>
          <w:color w:val="000000"/>
        </w:rPr>
        <w:t>the Company</w:t>
      </w:r>
      <w:r>
        <w:rPr>
          <w:rFonts w:ascii="Arial" w:cs="Arial" w:eastAsia="Arial" w:hAnsi="Arial"/>
          <w:sz w:val="17"/>
          <w:szCs w:val="17"/>
          <w:color w:val="231F20"/>
        </w:rPr>
        <w:t xml:space="preserve"> </w:t>
      </w:r>
      <w:r>
        <w:rPr>
          <w:rFonts w:ascii="Arial" w:cs="Arial" w:eastAsia="Arial" w:hAnsi="Arial"/>
          <w:sz w:val="17"/>
          <w:szCs w:val="17"/>
          <w:color w:val="000000"/>
        </w:rPr>
        <w:t>received notice of forgiveness of the PPP Loan in whole, including all accrued unpaid interest. The Company recorded the forgiveness of approximately $6.0 million of principal and $0.1 million of accrued interest, which is included in gain on extinguishment of debt on the consolidated statement of operations for the year ended December 31, 2021.</w:t>
      </w:r>
    </w:p>
    <w:p>
      <w:pPr>
        <w:spacing w:after="0" w:line="177" w:lineRule="exact"/>
        <w:rPr>
          <w:sz w:val="20"/>
          <w:szCs w:val="20"/>
          <w:color w:val="auto"/>
        </w:rPr>
      </w:pPr>
    </w:p>
    <w:p>
      <w:pPr>
        <w:ind w:left="420" w:right="7580" w:hanging="419"/>
        <w:spacing w:after="0" w:line="562" w:lineRule="auto"/>
        <w:tabs>
          <w:tab w:leader="none" w:pos="163" w:val="left"/>
        </w:tabs>
        <w:numPr>
          <w:ilvl w:val="0"/>
          <w:numId w:val="50"/>
        </w:numPr>
        <w:rPr>
          <w:rFonts w:ascii="Arial" w:cs="Arial" w:eastAsia="Arial" w:hAnsi="Arial"/>
          <w:sz w:val="15"/>
          <w:szCs w:val="15"/>
          <w:b w:val="1"/>
          <w:bCs w:val="1"/>
          <w:color w:val="231F20"/>
        </w:rPr>
      </w:pPr>
      <w:r>
        <w:rPr>
          <w:rFonts w:ascii="Arial" w:cs="Arial" w:eastAsia="Arial" w:hAnsi="Arial"/>
          <w:sz w:val="15"/>
          <w:szCs w:val="15"/>
          <w:b w:val="1"/>
          <w:bCs w:val="1"/>
          <w:color w:val="231F20"/>
        </w:rPr>
        <w:t xml:space="preserve">Convertible Preferred Units and Common Units </w:t>
      </w:r>
      <w:r>
        <w:rPr>
          <w:rFonts w:ascii="Arial" w:cs="Arial" w:eastAsia="Arial" w:hAnsi="Arial"/>
          <w:sz w:val="15"/>
          <w:szCs w:val="15"/>
          <w:b w:val="1"/>
          <w:bCs w:val="1"/>
          <w:i w:val="1"/>
          <w:iCs w:val="1"/>
          <w:color w:val="231F20"/>
        </w:rPr>
        <w:t>2016 and 2019 Convertible Preferred Units</w:t>
      </w:r>
    </w:p>
    <w:p>
      <w:pPr>
        <w:spacing w:after="0" w:line="1" w:lineRule="exact"/>
        <w:rPr>
          <w:sz w:val="20"/>
          <w:szCs w:val="20"/>
          <w:color w:val="auto"/>
        </w:rPr>
      </w:pPr>
    </w:p>
    <w:p>
      <w:pPr>
        <w:ind w:right="280" w:firstLine="425"/>
        <w:spacing w:after="0" w:line="337" w:lineRule="auto"/>
        <w:rPr>
          <w:sz w:val="20"/>
          <w:szCs w:val="20"/>
          <w:color w:val="auto"/>
        </w:rPr>
      </w:pPr>
      <w:r>
        <w:rPr>
          <w:rFonts w:ascii="Arial" w:cs="Arial" w:eastAsia="Arial" w:hAnsi="Arial"/>
          <w:sz w:val="15"/>
          <w:szCs w:val="15"/>
          <w:color w:val="231F20"/>
        </w:rPr>
        <w:t>Pursuant to the Unit Repurchase Agreement completed on October 31, 2019, the 600,000 2016 convertible preferred units representing the Former Holdco’s ownership interest were retired by Viant Technology LLC, and Viant Technology LLC sold 600,000 2019 convertible preferred units to Four Brothers 2 LLC.</w:t>
      </w:r>
    </w:p>
    <w:p>
      <w:pPr>
        <w:spacing w:after="0" w:line="119" w:lineRule="exact"/>
        <w:rPr>
          <w:sz w:val="20"/>
          <w:szCs w:val="20"/>
          <w:color w:val="auto"/>
        </w:rPr>
      </w:pPr>
    </w:p>
    <w:p>
      <w:pPr>
        <w:ind w:right="320" w:firstLine="425"/>
        <w:spacing w:after="0" w:line="269" w:lineRule="auto"/>
        <w:rPr>
          <w:sz w:val="20"/>
          <w:szCs w:val="20"/>
          <w:color w:val="auto"/>
        </w:rPr>
      </w:pPr>
      <w:r>
        <w:rPr>
          <w:rFonts w:ascii="Arial" w:cs="Arial" w:eastAsia="Arial" w:hAnsi="Arial"/>
          <w:sz w:val="17"/>
          <w:szCs w:val="17"/>
          <w:color w:val="231F20"/>
        </w:rPr>
        <w:t>The 2016 convertible preferred units held by the Former Holdco had a liquidation preference of $190.65 per unit. Each preferred unit was convertible at the option of the holder at any time into one common unit by written notice to Viant Technology LLC.</w:t>
      </w:r>
    </w:p>
    <w:p>
      <w:pPr>
        <w:spacing w:after="0" w:line="166" w:lineRule="exact"/>
        <w:rPr>
          <w:sz w:val="20"/>
          <w:szCs w:val="20"/>
          <w:color w:val="auto"/>
        </w:rPr>
      </w:pPr>
    </w:p>
    <w:p>
      <w:pPr>
        <w:ind w:right="280" w:firstLine="425"/>
        <w:spacing w:after="0" w:line="254" w:lineRule="auto"/>
        <w:rPr>
          <w:sz w:val="20"/>
          <w:szCs w:val="20"/>
          <w:color w:val="auto"/>
        </w:rPr>
      </w:pPr>
      <w:r>
        <w:rPr>
          <w:rFonts w:ascii="Arial" w:cs="Arial" w:eastAsia="Arial" w:hAnsi="Arial"/>
          <w:sz w:val="17"/>
          <w:szCs w:val="17"/>
          <w:color w:val="231F20"/>
        </w:rPr>
        <w:t>The liquidation preference provisions of the 2016 convertible preferred units held by the Former Holdco were considered contingent redemption provisions because there were certain elements that were not solely within the control of Viant Technology LLC, such as a change in control of Viant Technology LLC. Accordingly, Viant Technology LLC has presented these 2016 convertible preferred units within the mezzanine portion of the accompanying consolidated balance sheets.</w:t>
      </w:r>
    </w:p>
    <w:p>
      <w:pPr>
        <w:spacing w:after="0" w:line="179" w:lineRule="exact"/>
        <w:rPr>
          <w:sz w:val="20"/>
          <w:szCs w:val="20"/>
          <w:color w:val="auto"/>
        </w:rPr>
      </w:pPr>
    </w:p>
    <w:p>
      <w:pPr>
        <w:ind w:right="20" w:firstLine="425"/>
        <w:spacing w:after="0" w:line="275" w:lineRule="auto"/>
        <w:rPr>
          <w:sz w:val="20"/>
          <w:szCs w:val="20"/>
          <w:color w:val="auto"/>
        </w:rPr>
      </w:pPr>
      <w:r>
        <w:rPr>
          <w:rFonts w:ascii="Arial" w:cs="Arial" w:eastAsia="Arial" w:hAnsi="Arial"/>
          <w:sz w:val="16"/>
          <w:szCs w:val="16"/>
          <w:color w:val="231F20"/>
        </w:rPr>
        <w:t>The 2019 convertible preferred units held by Four Brothers 2 LLC have a liquidation preference equal to the initial capital contribution plus an annual preferred return available to the holders only upon liquidation, which is calculated on a daily basis by multiplying the accrued stated value of the unit on the first day of each calendar quarter by 0.028% (10% divided by 360). The accrued stated value is calculated as $12.50 per preferred unit plus the accrued return. Each preferred unit may be converted at the option of the holder at any time into one common unit by written notice to Viant Technology LLC.</w:t>
      </w:r>
    </w:p>
    <w:p>
      <w:pPr>
        <w:spacing w:after="0" w:line="163" w:lineRule="exact"/>
        <w:rPr>
          <w:sz w:val="20"/>
          <w:szCs w:val="20"/>
          <w:color w:val="auto"/>
        </w:rPr>
      </w:pPr>
    </w:p>
    <w:p>
      <w:pPr>
        <w:ind w:right="20" w:firstLine="425"/>
        <w:spacing w:after="0" w:line="308" w:lineRule="auto"/>
        <w:rPr>
          <w:sz w:val="20"/>
          <w:szCs w:val="20"/>
          <w:color w:val="auto"/>
        </w:rPr>
      </w:pPr>
      <w:r>
        <w:rPr>
          <w:rFonts w:ascii="Arial" w:cs="Arial" w:eastAsia="Arial" w:hAnsi="Arial"/>
          <w:sz w:val="15"/>
          <w:szCs w:val="15"/>
          <w:color w:val="231F20"/>
        </w:rPr>
        <w:t>The liquidation preference provisions of the 2019 convertible preferred units held by Four Brothers 2 LLC are considered contingent redemption provisions because there are certain elements that are not solely within the control of Viant Technology LLC, such as a change in control of Viant Technology LLC. Accordingly, the Company has presented the 2019 convertible preferred stock within the mezzanine portion of the accompanying consolidated balance sheets.</w:t>
      </w:r>
    </w:p>
    <w:p>
      <w:pPr>
        <w:spacing w:after="0" w:line="141" w:lineRule="exact"/>
        <w:rPr>
          <w:sz w:val="20"/>
          <w:szCs w:val="20"/>
          <w:color w:val="auto"/>
        </w:rPr>
      </w:pPr>
    </w:p>
    <w:p>
      <w:pPr>
        <w:ind w:right="280" w:firstLine="425"/>
        <w:spacing w:after="0" w:line="272" w:lineRule="auto"/>
        <w:rPr>
          <w:sz w:val="20"/>
          <w:szCs w:val="20"/>
          <w:color w:val="auto"/>
        </w:rPr>
      </w:pPr>
      <w:r>
        <w:rPr>
          <w:rFonts w:ascii="Arial" w:cs="Arial" w:eastAsia="Arial" w:hAnsi="Arial"/>
          <w:sz w:val="16"/>
          <w:szCs w:val="16"/>
          <w:color w:val="231F20"/>
        </w:rPr>
        <w:t>The 2019 convertible preferred units were issued at an implied discount of $27.6 million, representing a beneficial conversion feature recorded in additional paid-in capital of the same amount. A beneficial conversion feature is measured as the difference between the effective conversion price of the 2019 convertible preferred units, $12.50 per unit, and the fair value of the common units into which the preferred units are convertible at issuance, $58.43 per unit. Since the 2019 convertible preferred units are perpetual in that they have no stated maturity date and are immediately convertible at any time, the discount upon issuance was immediately and fully amortized as a deemed dividend on the issuance date.</w:t>
      </w:r>
    </w:p>
    <w:p>
      <w:pPr>
        <w:spacing w:after="0" w:line="165" w:lineRule="exact"/>
        <w:rPr>
          <w:sz w:val="20"/>
          <w:szCs w:val="20"/>
          <w:color w:val="auto"/>
        </w:rPr>
      </w:pPr>
    </w:p>
    <w:p>
      <w:pPr>
        <w:ind w:right="20" w:firstLine="425"/>
        <w:spacing w:after="0" w:line="254" w:lineRule="auto"/>
        <w:rPr>
          <w:sz w:val="20"/>
          <w:szCs w:val="20"/>
          <w:color w:val="auto"/>
        </w:rPr>
      </w:pPr>
      <w:r>
        <w:rPr>
          <w:rFonts w:ascii="Arial" w:cs="Arial" w:eastAsia="Arial" w:hAnsi="Arial"/>
          <w:sz w:val="17"/>
          <w:szCs w:val="17"/>
          <w:color w:val="231F20"/>
        </w:rPr>
        <w:t>The fair value of common units was derived using the Black-Scholes-Merton option valuation model, which incorporated a combination of the market approach and income approach weighted at 50% to each approach. The valuation model requires the Company to make assumptions and judgments regarding the variables used in the calculation. These variables include the expected term, expected volatility, expected risk-free interest rate and other relevant inputs. Expected term is based on the estimated liquidation event occurrence.</w:t>
      </w:r>
    </w:p>
    <w:p>
      <w:pPr>
        <w:spacing w:after="0" w:line="179"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231F20"/>
        </w:rPr>
        <w:t>Expected volatility is based on 3.25-year historical volatility of guideline companies commensurate with the time period. The expected risk-free rate is based on the yield of 3-year U.S. Treasury notes as of the valuation date.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429" w:right="379" w:bottom="1440" w:gutter="0" w:footer="0" w:header="0"/>
        </w:sectPr>
      </w:pPr>
    </w:p>
    <w:bookmarkStart w:id="111" w:name="page112"/>
    <w:bookmarkEnd w:id="111"/>
    <w:tbl>
      <w:tblPr>
        <w:tblLayout w:type="fixed"/>
        <w:tblInd w:w="420" w:type="dxa"/>
        <w:tblCellMar>
          <w:top w:w="0" w:type="dxa"/>
          <w:left w:w="0" w:type="dxa"/>
          <w:bottom w:w="0" w:type="dxa"/>
          <w:right w:w="0" w:type="dxa"/>
        </w:tblCellMar>
      </w:tblPr>
      <w:tr>
        <w:trPr>
          <w:trHeight w:val="213"/>
        </w:trPr>
        <w:tc>
          <w:tcPr>
            <w:tcW w:w="7520" w:type="dxa"/>
            <w:vAlign w:val="bottom"/>
            <w:gridSpan w:val="2"/>
          </w:tcPr>
          <w:p>
            <w:pPr>
              <w:spacing w:after="0"/>
              <w:rPr>
                <w:sz w:val="20"/>
                <w:szCs w:val="20"/>
                <w:color w:val="auto"/>
              </w:rPr>
            </w:pPr>
            <w:r>
              <w:rPr>
                <w:rFonts w:ascii="Arial" w:cs="Arial" w:eastAsia="Arial" w:hAnsi="Arial"/>
                <w:sz w:val="17"/>
                <w:szCs w:val="17"/>
                <w:color w:val="231F20"/>
                <w:w w:val="94"/>
              </w:rPr>
              <w:t>The following outlines the option valuation assumptions used in the fair value calculation of common units:</w:t>
            </w:r>
          </w:p>
        </w:tc>
        <w:tc>
          <w:tcPr>
            <w:tcW w:w="1060" w:type="dxa"/>
            <w:vAlign w:val="bottom"/>
          </w:tcPr>
          <w:p>
            <w:pPr>
              <w:spacing w:after="0"/>
              <w:rPr>
                <w:sz w:val="18"/>
                <w:szCs w:val="18"/>
                <w:color w:val="auto"/>
              </w:rPr>
            </w:pPr>
          </w:p>
        </w:tc>
      </w:tr>
      <w:tr>
        <w:trPr>
          <w:trHeight w:val="202"/>
        </w:trPr>
        <w:tc>
          <w:tcPr>
            <w:tcW w:w="18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4"/>
        </w:trPr>
        <w:tc>
          <w:tcPr>
            <w:tcW w:w="184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w:t>
            </w:r>
          </w:p>
        </w:tc>
      </w:tr>
      <w:tr>
        <w:trPr>
          <w:trHeight w:val="214"/>
        </w:trPr>
        <w:tc>
          <w:tcPr>
            <w:tcW w:w="18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Volatility</w:t>
            </w:r>
          </w:p>
        </w:tc>
        <w:tc>
          <w:tcPr>
            <w:tcW w:w="10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4"/>
        </w:trPr>
        <w:tc>
          <w:tcPr>
            <w:tcW w:w="184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7"/>
                <w:szCs w:val="17"/>
                <w:color w:val="auto"/>
              </w:rPr>
              <w:t>Expected term</w:t>
            </w:r>
          </w:p>
        </w:tc>
        <w:tc>
          <w:tcPr>
            <w:tcW w:w="106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&lt; 2 years</w:t>
            </w:r>
          </w:p>
        </w:tc>
      </w:tr>
      <w:tr>
        <w:trPr>
          <w:trHeight w:val="214"/>
        </w:trPr>
        <w:tc>
          <w:tcPr>
            <w:tcW w:w="18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Discount for lack of marketability</w:t>
            </w: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22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Common Units</w:t>
      </w:r>
    </w:p>
    <w:p>
      <w:pPr>
        <w:spacing w:after="0" w:line="207" w:lineRule="exact"/>
        <w:rPr>
          <w:sz w:val="20"/>
          <w:szCs w:val="20"/>
          <w:color w:val="auto"/>
        </w:rPr>
      </w:pPr>
    </w:p>
    <w:p>
      <w:pPr>
        <w:ind w:right="300" w:firstLine="425"/>
        <w:spacing w:after="0" w:line="254" w:lineRule="auto"/>
        <w:rPr>
          <w:sz w:val="20"/>
          <w:szCs w:val="20"/>
          <w:color w:val="auto"/>
        </w:rPr>
      </w:pPr>
      <w:r>
        <w:rPr>
          <w:rFonts w:ascii="Arial" w:cs="Arial" w:eastAsia="Arial" w:hAnsi="Arial"/>
          <w:sz w:val="17"/>
          <w:szCs w:val="17"/>
          <w:color w:val="231F20"/>
        </w:rPr>
        <w:t>There were 400,000 common units authorized, issued and outstanding as of December 31, 2020 and 2019. Distributions to members, as determined and approved by the board of managers, are made to holders of preferred and common units in proportion to their holdings of common units then outstanding on an as-converted basis. All profit and loss allocations, including those made as a result of a capital transaction, will be made pursuant to the provisions of the Viant Technology LLC Agreement.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Member Dividend Distributions</w:t>
      </w:r>
    </w:p>
    <w:p>
      <w:pPr>
        <w:spacing w:after="0" w:line="207" w:lineRule="exact"/>
        <w:rPr>
          <w:sz w:val="20"/>
          <w:szCs w:val="20"/>
          <w:color w:val="auto"/>
        </w:rPr>
      </w:pPr>
    </w:p>
    <w:p>
      <w:pPr>
        <w:ind w:right="80" w:firstLine="425"/>
        <w:spacing w:after="0" w:line="258" w:lineRule="auto"/>
        <w:rPr>
          <w:sz w:val="20"/>
          <w:szCs w:val="20"/>
          <w:color w:val="auto"/>
        </w:rPr>
      </w:pPr>
      <w:r>
        <w:rPr>
          <w:rFonts w:ascii="Arial" w:cs="Arial" w:eastAsia="Arial" w:hAnsi="Arial"/>
          <w:sz w:val="17"/>
          <w:szCs w:val="17"/>
          <w:color w:val="auto"/>
        </w:rPr>
        <w:t>In October 2020, Viant Technology LLC’s board of managers declared and approved a distribution of $5.0 million to the holders of preferred and common units in accordance with the provisions of the Viant Technology LLC Agreement, resulting in payment of $3.0 million to the preferred unitholders and $2.0 million to the common unitholders.</w:t>
      </w:r>
    </w:p>
    <w:p>
      <w:pPr>
        <w:spacing w:after="0" w:line="175" w:lineRule="exact"/>
        <w:rPr>
          <w:sz w:val="20"/>
          <w:szCs w:val="20"/>
          <w:color w:val="auto"/>
        </w:rPr>
      </w:pPr>
    </w:p>
    <w:p>
      <w:pPr>
        <w:ind w:right="460" w:firstLine="425"/>
        <w:spacing w:after="0" w:line="300" w:lineRule="auto"/>
        <w:rPr>
          <w:sz w:val="20"/>
          <w:szCs w:val="20"/>
          <w:color w:val="auto"/>
        </w:rPr>
      </w:pPr>
      <w:r>
        <w:rPr>
          <w:rFonts w:ascii="Arial" w:cs="Arial" w:eastAsia="Arial" w:hAnsi="Arial"/>
          <w:sz w:val="16"/>
          <w:szCs w:val="16"/>
          <w:color w:val="231F20"/>
        </w:rPr>
        <w:t>In connection with the IPO in February 2021, the preferred and common units of Viant Technology LLC were converted to Class B units and thus have no balance as of December 31, 2021. See Note 11—Earnings (Loss) Per Share/Unit for additional information regarding the conversion.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Stock/Unit-Based Compensation</w:t>
      </w:r>
    </w:p>
    <w:p>
      <w:pPr>
        <w:spacing w:after="0" w:line="211" w:lineRule="exact"/>
        <w:rPr>
          <w:sz w:val="20"/>
          <w:szCs w:val="20"/>
          <w:color w:val="auto"/>
        </w:rPr>
      </w:pPr>
    </w:p>
    <w:p>
      <w:pPr>
        <w:ind w:right="120" w:firstLine="425"/>
        <w:spacing w:after="0" w:line="258" w:lineRule="auto"/>
        <w:rPr>
          <w:sz w:val="20"/>
          <w:szCs w:val="20"/>
          <w:color w:val="auto"/>
        </w:rPr>
      </w:pPr>
      <w:r>
        <w:rPr>
          <w:rFonts w:ascii="Arial" w:cs="Arial" w:eastAsia="Arial" w:hAnsi="Arial"/>
          <w:sz w:val="17"/>
          <w:szCs w:val="17"/>
          <w:color w:val="auto"/>
        </w:rPr>
        <w:t>During the years ended December 31, 2020 and 2019, employees and other service providers were eligible to be granted profit interests in the form of common units under an equity incentive plan or other arrangement approved by the board of managers. The recipients of the common units were not required to make any capital contributions in exchange for their units.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Stock/Unit-based compensation recorded in the consolidated statements of operations was as follows:</w:t>
      </w:r>
    </w:p>
    <w:p>
      <w:pPr>
        <w:spacing w:after="0" w:line="18" w:lineRule="exact"/>
        <w:rPr>
          <w:sz w:val="20"/>
          <w:szCs w:val="20"/>
          <w:color w:val="auto"/>
        </w:rPr>
      </w:pPr>
    </w:p>
    <w:tbl>
      <w:tblPr>
        <w:tblLayout w:type="fixed"/>
        <w:tblInd w:w="11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92"/>
              </w:rPr>
              <w:t>Year Ended December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4"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41"/>
              <w:spacing w:after="0" w:line="144"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1"/>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Platform operations</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13,096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ind w:left="78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spacing w:after="0"/>
              <w:rPr>
                <w:sz w:val="20"/>
                <w:szCs w:val="20"/>
                <w:color w:val="auto"/>
              </w:rPr>
            </w:pPr>
            <w:r>
              <w:rPr>
                <w:rFonts w:ascii="Arial" w:cs="Arial" w:eastAsia="Arial" w:hAnsi="Arial"/>
                <w:sz w:val="17"/>
                <w:szCs w:val="17"/>
                <w:color w:val="auto"/>
              </w:rPr>
              <w:t>Sales and marketing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Technology and development</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12,373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17,714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vMerge w:val="continue"/>
            <w:shd w:val="clear" w:color="auto" w:fill="CFF0FC"/>
          </w:tcPr>
          <w:p>
            <w:pPr>
              <w:spacing w:after="0"/>
              <w:rPr>
                <w:sz w:val="17"/>
                <w:szCs w:val="17"/>
                <w:color w:val="auto"/>
              </w:rPr>
            </w:pP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68,822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ind w:left="780"/>
              <w:spacing w:after="0"/>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Unit-Based Compensation</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Incentive Units</w:t>
      </w:r>
    </w:p>
    <w:p>
      <w:pPr>
        <w:spacing w:after="0" w:line="207"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auto"/>
        </w:rPr>
        <w:t>The board of managers determined the terms of each grant including vesting requirements. Incentive units generally vested over a four-year period from the date of grant.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2" w:name="page113"/>
    <w:bookmarkEnd w:id="112"/>
    <w:p>
      <w:pPr>
        <w:ind w:left="420"/>
        <w:spacing w:after="0"/>
        <w:rPr>
          <w:sz w:val="20"/>
          <w:szCs w:val="20"/>
          <w:color w:val="auto"/>
        </w:rPr>
      </w:pPr>
      <w:r>
        <w:rPr>
          <w:rFonts w:ascii="Arial" w:cs="Arial" w:eastAsia="Arial" w:hAnsi="Arial"/>
          <w:sz w:val="17"/>
          <w:szCs w:val="17"/>
          <w:color w:val="auto"/>
        </w:rPr>
        <w:t>The following table summarizes the incentive unit activity for the periods presented:</w:t>
      </w:r>
    </w:p>
    <w:p>
      <w:pPr>
        <w:spacing w:after="0" w:line="275" w:lineRule="exact"/>
        <w:rPr>
          <w:sz w:val="20"/>
          <w:szCs w:val="20"/>
          <w:color w:val="auto"/>
        </w:rPr>
      </w:pPr>
    </w:p>
    <w:p>
      <w:pPr>
        <w:ind w:left="7500"/>
        <w:spacing w:after="0"/>
        <w:rPr>
          <w:sz w:val="20"/>
          <w:szCs w:val="20"/>
          <w:color w:val="auto"/>
        </w:rPr>
      </w:pPr>
      <w:r>
        <w:rPr>
          <w:rFonts w:ascii="Arial" w:cs="Arial" w:eastAsia="Arial" w:hAnsi="Arial"/>
          <w:sz w:val="13"/>
          <w:szCs w:val="13"/>
          <w:b w:val="1"/>
          <w:bCs w:val="1"/>
          <w:color w:val="auto"/>
        </w:rPr>
        <w:t>Year Ended December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320" w:type="dxa"/>
            <w:vAlign w:val="bottom"/>
            <w:tcBorders>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Incentive units outstanding, beginning of period</w:t>
            </w:r>
          </w:p>
        </w:tc>
        <w:tc>
          <w:tcPr>
            <w:tcW w:w="7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160,000</w:t>
            </w:r>
          </w:p>
        </w:tc>
        <w:tc>
          <w:tcPr>
            <w:tcW w:w="80" w:type="dxa"/>
            <w:vAlign w:val="bottom"/>
            <w:shd w:val="clear" w:color="auto" w:fill="CFF0FC"/>
          </w:tcPr>
          <w:p>
            <w:pPr>
              <w:spacing w:after="0"/>
              <w:rPr>
                <w:sz w:val="17"/>
                <w:szCs w:val="17"/>
                <w:color w:val="auto"/>
              </w:rPr>
            </w:pPr>
          </w:p>
        </w:tc>
      </w:tr>
      <w:tr>
        <w:trPr>
          <w:trHeight w:val="214"/>
        </w:trPr>
        <w:tc>
          <w:tcPr>
            <w:tcW w:w="610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1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Forfeited</w:t>
            </w:r>
          </w:p>
        </w:tc>
        <w:tc>
          <w:tcPr>
            <w:tcW w:w="126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(4,000)</w:t>
            </w:r>
          </w:p>
        </w:tc>
      </w:tr>
      <w:tr>
        <w:trPr>
          <w:trHeight w:val="214"/>
        </w:trPr>
        <w:tc>
          <w:tcPr>
            <w:tcW w:w="6100" w:type="dxa"/>
            <w:vAlign w:val="bottom"/>
            <w:gridSpan w:val="3"/>
          </w:tcPr>
          <w:p>
            <w:pPr>
              <w:spacing w:after="0"/>
              <w:rPr>
                <w:sz w:val="20"/>
                <w:szCs w:val="20"/>
                <w:color w:val="auto"/>
              </w:rPr>
            </w:pPr>
            <w:r>
              <w:rPr>
                <w:rFonts w:ascii="Arial" w:cs="Arial" w:eastAsia="Arial" w:hAnsi="Arial"/>
                <w:sz w:val="17"/>
                <w:szCs w:val="17"/>
                <w:color w:val="auto"/>
              </w:rPr>
              <w:t>Vested</w:t>
            </w:r>
          </w:p>
        </w:tc>
        <w:tc>
          <w:tcPr>
            <w:tcW w:w="1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(160,000)</w:t>
            </w:r>
          </w:p>
        </w:tc>
      </w:tr>
      <w:tr>
        <w:trPr>
          <w:trHeight w:val="206"/>
        </w:trPr>
        <w:tc>
          <w:tcPr>
            <w:tcW w:w="20" w:type="dxa"/>
            <w:vAlign w:val="bottom"/>
          </w:tcPr>
          <w:p>
            <w:pPr>
              <w:spacing w:after="0"/>
              <w:rPr>
                <w:sz w:val="17"/>
                <w:szCs w:val="17"/>
                <w:color w:val="auto"/>
              </w:rPr>
            </w:pPr>
          </w:p>
        </w:tc>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Incentive units outstanding, end of period</w:t>
            </w: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ind w:right="420" w:firstLine="425"/>
        <w:spacing w:after="0" w:line="269" w:lineRule="auto"/>
        <w:rPr>
          <w:sz w:val="20"/>
          <w:szCs w:val="20"/>
          <w:color w:val="auto"/>
        </w:rPr>
      </w:pPr>
      <w:r>
        <w:rPr>
          <w:rFonts w:ascii="Arial" w:cs="Arial" w:eastAsia="Arial" w:hAnsi="Arial"/>
          <w:sz w:val="17"/>
          <w:szCs w:val="17"/>
          <w:color w:val="auto"/>
        </w:rPr>
        <w:t>The weighted average grant date fair value for all units granted, forfeited, vested and outstanding as presented in the table above was $7.80 per unit. As of December 31, 2019, the Company had recognized all unit-based compensation related to incentive units.</w:t>
      </w:r>
    </w:p>
    <w:p>
      <w:pPr>
        <w:spacing w:after="0" w:line="166" w:lineRule="exact"/>
        <w:rPr>
          <w:sz w:val="20"/>
          <w:szCs w:val="20"/>
          <w:color w:val="auto"/>
        </w:rPr>
      </w:pPr>
    </w:p>
    <w:p>
      <w:pPr>
        <w:ind w:right="40" w:firstLine="425"/>
        <w:spacing w:after="0" w:line="281" w:lineRule="auto"/>
        <w:rPr>
          <w:sz w:val="20"/>
          <w:szCs w:val="20"/>
          <w:color w:val="auto"/>
        </w:rPr>
      </w:pPr>
      <w:r>
        <w:rPr>
          <w:rFonts w:ascii="Arial" w:cs="Arial" w:eastAsia="Arial" w:hAnsi="Arial"/>
          <w:sz w:val="16"/>
          <w:szCs w:val="16"/>
          <w:color w:val="auto"/>
        </w:rPr>
        <w:t>In accordance with the terms of the Viant Technology LLC Agreement, any common units that fail to vest or are forfeited shall be reallocated to the Company’s two executive directors, provided the executive directors remain employed by the Company or its affiliates. In 2019, certain grantees forfeited 4,000 units that were then reallocated to the Company’s executive directors in accordance with the terms of the Viant Technology LLC Agreement.</w:t>
      </w:r>
    </w:p>
    <w:p>
      <w:pPr>
        <w:spacing w:after="0" w:line="159" w:lineRule="exact"/>
        <w:rPr>
          <w:sz w:val="20"/>
          <w:szCs w:val="20"/>
          <w:color w:val="auto"/>
        </w:rPr>
      </w:pPr>
    </w:p>
    <w:p>
      <w:pPr>
        <w:ind w:right="40" w:firstLine="425"/>
        <w:spacing w:after="0" w:line="297" w:lineRule="auto"/>
        <w:rPr>
          <w:sz w:val="20"/>
          <w:szCs w:val="20"/>
          <w:color w:val="auto"/>
        </w:rPr>
      </w:pPr>
      <w:r>
        <w:rPr>
          <w:rFonts w:ascii="Arial" w:cs="Arial" w:eastAsia="Arial" w:hAnsi="Arial"/>
          <w:sz w:val="15"/>
          <w:szCs w:val="15"/>
          <w:color w:val="auto"/>
        </w:rPr>
        <w:t>In conjunction with the unit repurchase and long-term debt settlement discussed in Note 7, all unvested incentive units immediately vested on October 31, 2019 and the Company recognized $0.6 million of accelerated unit-based compensation on that date. As of December 31, 2020 and 2019, all 400,000 incentive units were vested and outstanding. In connection with the IPO during the year ended December 31, 2021, the incentive units converted to Class B common stock.</w:t>
      </w:r>
    </w:p>
    <w:p>
      <w:pPr>
        <w:spacing w:after="0" w:line="1" w:lineRule="exact"/>
        <w:rPr>
          <w:sz w:val="20"/>
          <w:szCs w:val="20"/>
          <w:color w:val="auto"/>
        </w:rPr>
      </w:pPr>
    </w:p>
    <w:p>
      <w:pPr>
        <w:ind w:right="160" w:firstLine="425"/>
        <w:spacing w:after="0" w:line="258" w:lineRule="auto"/>
        <w:rPr>
          <w:sz w:val="20"/>
          <w:szCs w:val="20"/>
          <w:color w:val="auto"/>
        </w:rPr>
      </w:pPr>
      <w:r>
        <w:rPr>
          <w:rFonts w:ascii="Arial" w:cs="Arial" w:eastAsia="Arial" w:hAnsi="Arial"/>
          <w:sz w:val="17"/>
          <w:szCs w:val="17"/>
          <w:color w:val="231F20"/>
        </w:rPr>
        <w:t xml:space="preserve">The valuation of incentive unit awards incorporated the income approach and the market approach in </w:t>
      </w:r>
      <w:r>
        <w:rPr>
          <w:rFonts w:ascii="Arial" w:cs="Arial" w:eastAsia="Arial" w:hAnsi="Arial"/>
          <w:sz w:val="17"/>
          <w:szCs w:val="17"/>
          <w:color w:val="000000"/>
        </w:rPr>
        <w:t>determining the fair value. The Company applied a 50%</w:t>
      </w:r>
      <w:r>
        <w:rPr>
          <w:rFonts w:ascii="Arial" w:cs="Arial" w:eastAsia="Arial" w:hAnsi="Arial"/>
          <w:sz w:val="17"/>
          <w:szCs w:val="17"/>
          <w:color w:val="231F20"/>
        </w:rPr>
        <w:t xml:space="preserve"> </w:t>
      </w:r>
      <w:r>
        <w:rPr>
          <w:rFonts w:ascii="Arial" w:cs="Arial" w:eastAsia="Arial" w:hAnsi="Arial"/>
          <w:sz w:val="17"/>
          <w:szCs w:val="17"/>
          <w:color w:val="000000"/>
        </w:rPr>
        <w:t xml:space="preserve">weight to each approach, utilizing the OPM to allocate value </w:t>
      </w:r>
      <w:r>
        <w:rPr>
          <w:rFonts w:ascii="Arial" w:cs="Arial" w:eastAsia="Arial" w:hAnsi="Arial"/>
          <w:sz w:val="17"/>
          <w:szCs w:val="17"/>
          <w:color w:val="231F20"/>
        </w:rPr>
        <w:t>to different classes of equity. The following outlines the option valuation assumptions used in the fair</w:t>
      </w:r>
      <w:r>
        <w:rPr>
          <w:rFonts w:ascii="Arial" w:cs="Arial" w:eastAsia="Arial" w:hAnsi="Arial"/>
          <w:sz w:val="17"/>
          <w:szCs w:val="17"/>
          <w:color w:val="000000"/>
        </w:rPr>
        <w:t xml:space="preserve"> </w:t>
      </w:r>
      <w:r>
        <w:rPr>
          <w:rFonts w:ascii="Arial" w:cs="Arial" w:eastAsia="Arial" w:hAnsi="Arial"/>
          <w:sz w:val="17"/>
          <w:szCs w:val="17"/>
          <w:color w:val="231F20"/>
        </w:rPr>
        <w:t>value calculation of incentive units: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14"/>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2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w:t>
            </w:r>
          </w:p>
        </w:tc>
      </w:tr>
      <w:tr>
        <w:trPr>
          <w:trHeight w:val="214"/>
        </w:trPr>
        <w:tc>
          <w:tcPr>
            <w:tcW w:w="4120" w:type="dxa"/>
            <w:vAlign w:val="bottom"/>
          </w:tcPr>
          <w:p>
            <w:pPr>
              <w:spacing w:after="0"/>
              <w:rPr>
                <w:sz w:val="20"/>
                <w:szCs w:val="20"/>
                <w:color w:val="auto"/>
              </w:rPr>
            </w:pPr>
            <w:r>
              <w:rPr>
                <w:rFonts w:ascii="Arial" w:cs="Arial" w:eastAsia="Arial" w:hAnsi="Arial"/>
                <w:sz w:val="17"/>
                <w:szCs w:val="17"/>
                <w:color w:val="auto"/>
              </w:rPr>
              <w:t>Volatility</w:t>
            </w:r>
          </w:p>
        </w:tc>
        <w:tc>
          <w:tcPr>
            <w:tcW w:w="262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14"/>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Expected Term</w:t>
            </w:r>
          </w:p>
        </w:tc>
        <w:tc>
          <w:tcPr>
            <w:tcW w:w="262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rPr>
              <w:t>2.5 years</w:t>
            </w:r>
          </w:p>
        </w:tc>
      </w:tr>
      <w:tr>
        <w:trPr>
          <w:trHeight w:val="214"/>
        </w:trPr>
        <w:tc>
          <w:tcPr>
            <w:tcW w:w="4120" w:type="dxa"/>
            <w:vAlign w:val="bottom"/>
          </w:tcPr>
          <w:p>
            <w:pPr>
              <w:spacing w:after="0"/>
              <w:rPr>
                <w:sz w:val="20"/>
                <w:szCs w:val="20"/>
                <w:color w:val="auto"/>
              </w:rPr>
            </w:pPr>
            <w:r>
              <w:rPr>
                <w:rFonts w:ascii="Arial" w:cs="Arial" w:eastAsia="Arial" w:hAnsi="Arial"/>
                <w:sz w:val="17"/>
                <w:szCs w:val="17"/>
                <w:color w:val="auto"/>
              </w:rPr>
              <w:t>Discount for lack of marketability</w:t>
            </w:r>
          </w:p>
        </w:tc>
        <w:tc>
          <w:tcPr>
            <w:tcW w:w="2620" w:type="dxa"/>
            <w:vAlign w:val="bottom"/>
          </w:tcPr>
          <w:p>
            <w:pPr>
              <w:jc w:val="right"/>
              <w:spacing w:after="0"/>
              <w:rPr>
                <w:sz w:val="20"/>
                <w:szCs w:val="20"/>
                <w:color w:val="auto"/>
              </w:rPr>
            </w:pPr>
            <w:r>
              <w:rPr>
                <w:rFonts w:ascii="Arial" w:cs="Arial" w:eastAsia="Arial" w:hAnsi="Arial"/>
                <w:sz w:val="17"/>
                <w:szCs w:val="17"/>
                <w:color w:val="auto"/>
              </w:rPr>
              <w:t>55%</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Phantom Unit Plan and 2021 LTIP</w:t>
      </w:r>
    </w:p>
    <w:p>
      <w:pPr>
        <w:spacing w:after="0" w:line="207" w:lineRule="exact"/>
        <w:rPr>
          <w:sz w:val="20"/>
          <w:szCs w:val="20"/>
          <w:color w:val="auto"/>
        </w:rPr>
      </w:pPr>
    </w:p>
    <w:p>
      <w:pPr>
        <w:ind w:firstLine="425"/>
        <w:spacing w:after="0" w:line="272" w:lineRule="auto"/>
        <w:rPr>
          <w:sz w:val="20"/>
          <w:szCs w:val="20"/>
          <w:color w:val="auto"/>
        </w:rPr>
      </w:pPr>
      <w:r>
        <w:rPr>
          <w:rFonts w:ascii="Arial" w:cs="Arial" w:eastAsia="Arial" w:hAnsi="Arial"/>
          <w:sz w:val="16"/>
          <w:szCs w:val="16"/>
          <w:color w:val="auto"/>
        </w:rPr>
        <w:t>On January 1, 2020, Viant Technology LLC formalized the 2020 Equity Based Incentive Compensation Plan (the “Phantom Unit Plan”), under which Viant Technology LLC was authorized to issue 12,500,000 phantom units. Upon the occurrence of a liquidation event, the units will participate in any increase in the fair value of the entity above the stated distribution threshold of $100 million. The units vest on a quarterly basis over four years, and all units granted to an employee, whether vested or unvested, automatically forfeit upon termination of employment for any reason. Based on the terms of the Phantom Unit Plan and unit award grants, no compensation cost was recorded in the consolidated statement of operations for the year ended December 31, 2020.</w:t>
      </w:r>
    </w:p>
    <w:p>
      <w:pPr>
        <w:spacing w:after="0" w:line="165" w:lineRule="exact"/>
        <w:rPr>
          <w:sz w:val="20"/>
          <w:szCs w:val="20"/>
          <w:color w:val="auto"/>
        </w:rPr>
      </w:pPr>
    </w:p>
    <w:p>
      <w:pPr>
        <w:ind w:right="60" w:firstLine="425"/>
        <w:spacing w:after="0" w:line="252" w:lineRule="auto"/>
        <w:rPr>
          <w:sz w:val="20"/>
          <w:szCs w:val="20"/>
          <w:color w:val="auto"/>
        </w:rPr>
      </w:pPr>
      <w:r>
        <w:rPr>
          <w:rFonts w:ascii="Arial" w:cs="Arial" w:eastAsia="Arial" w:hAnsi="Arial"/>
          <w:sz w:val="17"/>
          <w:szCs w:val="17"/>
          <w:color w:val="auto"/>
        </w:rPr>
        <w:t>In connection with the IPO, which occurred on February 12, 2021, the Phantom Unit Plan was replaced by the 2021 LTIP. The aggregate maximum number of shares of the Company’s Class A common stock that may be issued pursuant to stock awards under the 2021 LTIP, or the Share Reserve, is 11,787,112 shares of Class A common stock. The Share Reserve will automatically increase on January 1 of each year commencing on January 1, 2022 and ending with a final increase on January 1, 2031 in an amount equal to 5% of the total number of shares of capital stock outstanding on December 31st of the preceding calendar year; provided, however, that the Company’s board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13" w:name="page114"/>
    <w:bookmarkEnd w:id="113"/>
    <w:p>
      <w:pPr>
        <w:ind w:right="340"/>
        <w:spacing w:after="0" w:line="269" w:lineRule="auto"/>
        <w:rPr>
          <w:sz w:val="20"/>
          <w:szCs w:val="20"/>
          <w:color w:val="auto"/>
        </w:rPr>
      </w:pPr>
      <w:r>
        <w:rPr>
          <w:rFonts w:ascii="Arial" w:cs="Arial" w:eastAsia="Arial" w:hAnsi="Arial"/>
          <w:sz w:val="17"/>
          <w:szCs w:val="17"/>
          <w:color w:val="auto"/>
        </w:rPr>
        <w:t>of directors may provide that there will not be a January 1st increase in the Share Reserve in a given year or that the increase will be less than 5% of the shares of capital stock outstanding on the preceding December 31</w:t>
      </w:r>
      <w:r>
        <w:rPr>
          <w:rFonts w:ascii="Arial" w:cs="Arial" w:eastAsia="Arial" w:hAnsi="Arial"/>
          <w:sz w:val="14"/>
          <w:szCs w:val="14"/>
          <w:color w:val="auto"/>
        </w:rPr>
        <w:t>st</w:t>
      </w:r>
      <w:r>
        <w:rPr>
          <w:rFonts w:ascii="Arial" w:cs="Arial" w:eastAsia="Arial" w:hAnsi="Arial"/>
          <w:sz w:val="17"/>
          <w:szCs w:val="17"/>
          <w:color w:val="auto"/>
        </w:rPr>
        <w:t>.</w:t>
      </w:r>
    </w:p>
    <w:p>
      <w:pPr>
        <w:spacing w:after="0" w:line="166" w:lineRule="exact"/>
        <w:rPr>
          <w:sz w:val="20"/>
          <w:szCs w:val="20"/>
          <w:color w:val="auto"/>
        </w:rPr>
      </w:pPr>
    </w:p>
    <w:p>
      <w:pPr>
        <w:ind w:right="260" w:firstLine="425"/>
        <w:spacing w:after="0" w:line="254" w:lineRule="auto"/>
        <w:rPr>
          <w:sz w:val="20"/>
          <w:szCs w:val="20"/>
          <w:color w:val="auto"/>
        </w:rPr>
      </w:pPr>
      <w:r>
        <w:rPr>
          <w:rFonts w:ascii="Arial" w:cs="Arial" w:eastAsia="Arial" w:hAnsi="Arial"/>
          <w:sz w:val="17"/>
          <w:szCs w:val="17"/>
          <w:color w:val="auto"/>
        </w:rPr>
        <w:t>On February 12, 2021, 6.2 million RSUs were granted under the Company’s 2021 LTIP. The Company is authorized to grant RSUs, incentive stock options, nonqualified stock options, stock appreciation rights, restricted stock awards, and performance stock awards under its 2021 LTIP. As of December 31, 2021, the Company has currently only granted RSUs and nonqualified stock options. Under the Company’s 2021 LTIP, 6.7 million shares remained available for grant as of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Stock-Based Compensation</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RSUs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following summarizes RSU activity:</w:t>
      </w:r>
    </w:p>
    <w:tbl>
      <w:tblPr>
        <w:tblLayout w:type="fixed"/>
        <w:tblInd w:w="56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Weighted-Average</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Weighted-Average</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17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9"/>
              </w:rPr>
              <w:t>Grant-Date Fair</w:t>
            </w:r>
          </w:p>
        </w:tc>
        <w:tc>
          <w:tcPr>
            <w:tcW w:w="188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4"/>
              </w:rPr>
              <w:t>Remaining Contractual</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3"/>
              </w:rPr>
              <w:t>Aggregate Intrinsic Value</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Value</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Term</w:t>
            </w:r>
          </w:p>
        </w:tc>
        <w:tc>
          <w:tcPr>
            <w:tcW w:w="1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00" w:type="dxa"/>
            <w:vAlign w:val="bottom"/>
          </w:tcPr>
          <w:p>
            <w:pPr>
              <w:spacing w:after="0"/>
              <w:rPr>
                <w:sz w:val="13"/>
                <w:szCs w:val="13"/>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 years)</w:t>
            </w: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194"/>
        </w:trPr>
        <w:tc>
          <w:tcPr>
            <w:tcW w:w="32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RSUs outstanding as of</w:t>
            </w:r>
          </w:p>
        </w:tc>
        <w:tc>
          <w:tcPr>
            <w:tcW w:w="1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2020</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spacing w:after="0"/>
              <w:rPr>
                <w:sz w:val="20"/>
                <w:szCs w:val="20"/>
                <w:color w:val="auto"/>
              </w:rPr>
            </w:pPr>
            <w:r>
              <w:rPr>
                <w:rFonts w:ascii="Arial" w:cs="Arial" w:eastAsia="Arial" w:hAnsi="Arial"/>
                <w:sz w:val="17"/>
                <w:szCs w:val="17"/>
                <w:color w:val="auto"/>
              </w:rPr>
              <w:t>6,488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24.62</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(2,792)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24.88</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7"/>
                <w:szCs w:val="17"/>
                <w:color w:val="auto"/>
              </w:rPr>
              <w:t>Canceled/forfeited</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25.02</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RSUs outstanding as of</w:t>
            </w:r>
          </w:p>
        </w:tc>
        <w:tc>
          <w:tcPr>
            <w:tcW w:w="1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color w:val="auto"/>
              </w:rPr>
              <w:t>December 31, 2021</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24.29</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29,433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40" w:firstLine="425"/>
        <w:spacing w:after="0" w:line="258" w:lineRule="auto"/>
        <w:rPr>
          <w:sz w:val="20"/>
          <w:szCs w:val="20"/>
          <w:color w:val="auto"/>
        </w:rPr>
      </w:pPr>
      <w:r>
        <w:rPr>
          <w:rFonts w:ascii="Arial" w:cs="Arial" w:eastAsia="Arial" w:hAnsi="Arial"/>
          <w:sz w:val="17"/>
          <w:szCs w:val="17"/>
          <w:color w:val="auto"/>
        </w:rPr>
        <w:t>The total fair value of RSUs, as of their respective vesting dates, during the year ended December 31, 2021 was $45.2 million. As of December 31, 2021, the Company had unrecognized stock-based compensation relating to RSUs of approximately $63.5 million, which is expected to be recognized over a weighted-average period of 2.2 years.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231F20"/>
        </w:rPr>
        <w:t>Nonqualified Stock Options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following summarizes nonqualified stock option activity:</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2"/>
              </w:rPr>
              <w:t>Weighted-Average</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Weighted-Average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20" w:type="dxa"/>
            <w:vAlign w:val="bottom"/>
          </w:tcPr>
          <w:p>
            <w:pPr>
              <w:spacing w:after="0"/>
              <w:rPr>
                <w:sz w:val="12"/>
                <w:szCs w:val="12"/>
                <w:color w:val="auto"/>
              </w:rPr>
            </w:pPr>
          </w:p>
        </w:tc>
        <w:tc>
          <w:tcPr>
            <w:tcW w:w="17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Number of 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6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5"/>
              </w:rPr>
              <w:t>Remaining Contractual</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3"/>
              </w:rPr>
              <w:t>Aggregate Intrinsic Value</w:t>
            </w: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Exercise Price</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Term</w:t>
            </w:r>
          </w:p>
        </w:tc>
        <w:tc>
          <w:tcPr>
            <w:tcW w:w="16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 years)</w:t>
            </w:r>
          </w:p>
        </w:tc>
        <w:tc>
          <w:tcPr>
            <w:tcW w:w="2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194"/>
        </w:trPr>
        <w:tc>
          <w:tcPr>
            <w:tcW w:w="312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Options outstanding as of</w:t>
            </w:r>
          </w:p>
        </w:tc>
        <w:tc>
          <w:tcPr>
            <w:tcW w:w="15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December 31, 2020</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16.52</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Arial" w:cs="Arial" w:eastAsia="Arial" w:hAnsi="Arial"/>
                <w:sz w:val="17"/>
                <w:szCs w:val="17"/>
                <w:color w:val="auto"/>
              </w:rPr>
              <w:t>Canceled</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25.86</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Expired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line="194" w:lineRule="exact"/>
              <w:rPr>
                <w:sz w:val="20"/>
                <w:szCs w:val="20"/>
                <w:color w:val="auto"/>
              </w:rPr>
            </w:pPr>
            <w:r>
              <w:rPr>
                <w:rFonts w:ascii="Arial" w:cs="Arial" w:eastAsia="Arial" w:hAnsi="Arial"/>
                <w:sz w:val="17"/>
                <w:szCs w:val="17"/>
                <w:color w:val="auto"/>
              </w:rPr>
              <w:t>Options outstanding as of</w:t>
            </w:r>
          </w:p>
        </w:tc>
        <w:tc>
          <w:tcPr>
            <w:tcW w:w="1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20"/>
              <w:spacing w:after="0"/>
              <w:rPr>
                <w:sz w:val="20"/>
                <w:szCs w:val="20"/>
                <w:color w:val="auto"/>
              </w:rPr>
            </w:pPr>
            <w:r>
              <w:rPr>
                <w:rFonts w:ascii="Arial" w:cs="Arial" w:eastAsia="Arial" w:hAnsi="Arial"/>
                <w:sz w:val="17"/>
                <w:szCs w:val="17"/>
                <w:color w:val="auto"/>
              </w:rPr>
              <w:t>December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15.88</w:t>
            </w:r>
          </w:p>
        </w:tc>
        <w:tc>
          <w:tcPr>
            <w:tcW w:w="24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firstLine="425"/>
        <w:spacing w:after="0" w:line="308" w:lineRule="auto"/>
        <w:rPr>
          <w:sz w:val="20"/>
          <w:szCs w:val="20"/>
          <w:color w:val="auto"/>
        </w:rPr>
      </w:pPr>
      <w:r>
        <w:rPr>
          <w:rFonts w:ascii="Arial" w:cs="Arial" w:eastAsia="Arial" w:hAnsi="Arial"/>
          <w:sz w:val="15"/>
          <w:szCs w:val="15"/>
          <w:color w:val="auto"/>
        </w:rPr>
        <w:t>As of December 31, 2021, there were no nonqualified stock options vested or exercisable. The weighted-average grant date fair value of options granted during the year ended December 31, 2021 was $8.79 per share. The Company had unrecognized stock-based compensation relating to unvested nonqualified stock options of approximately $1.8 million, which is expected to be recognized over a weighted-average period of 3.6 years, as of December 31, 2021.</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60"/>
          </w:cols>
          <w:pgMar w:left="320" w:top="529" w:right="419" w:bottom="1440" w:gutter="0" w:footer="0" w:header="0"/>
        </w:sectPr>
      </w:pPr>
    </w:p>
    <w:bookmarkStart w:id="114" w:name="page115"/>
    <w:bookmarkEnd w:id="114"/>
    <w:p>
      <w:pPr>
        <w:ind w:right="380" w:firstLine="425"/>
        <w:spacing w:after="0" w:line="252" w:lineRule="auto"/>
        <w:rPr>
          <w:sz w:val="20"/>
          <w:szCs w:val="20"/>
          <w:color w:val="auto"/>
        </w:rPr>
      </w:pPr>
      <w:r>
        <w:rPr>
          <w:rFonts w:ascii="Arial" w:cs="Arial" w:eastAsia="Arial" w:hAnsi="Arial"/>
          <w:sz w:val="17"/>
          <w:szCs w:val="17"/>
          <w:color w:val="231F20"/>
        </w:rPr>
        <w:t>The following table presents the assumptions used in the Black-Scholes model to determine the fair value of nonqualified stock options for the year ended December 31, 2021. Black-Scholes assumptions have not been disclosed for any other periods presented in relation to nonqualified stock options as there were no nonqualified stock options granted in those periods.</w:t>
      </w:r>
    </w:p>
    <w:tbl>
      <w:tblPr>
        <w:tblLayout w:type="fixed"/>
        <w:tblInd w:w="2260" w:type="dxa"/>
        <w:tblCellMar>
          <w:top w:w="0" w:type="dxa"/>
          <w:left w:w="0" w:type="dxa"/>
          <w:bottom w:w="0" w:type="dxa"/>
          <w:right w:w="0" w:type="dxa"/>
        </w:tblCellMar>
      </w:tblPr>
      <w:tr>
        <w:trPr>
          <w:trHeight w:val="131"/>
        </w:trPr>
        <w:tc>
          <w:tcPr>
            <w:tcW w:w="4220" w:type="dxa"/>
            <w:vAlign w:val="bottom"/>
          </w:tcPr>
          <w:p>
            <w:pPr>
              <w:spacing w:after="0"/>
              <w:rPr>
                <w:sz w:val="11"/>
                <w:szCs w:val="11"/>
                <w:color w:val="auto"/>
              </w:rPr>
            </w:pPr>
          </w:p>
        </w:tc>
        <w:tc>
          <w:tcPr>
            <w:tcW w:w="25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2"/>
              </w:rPr>
              <w:t>Year Ended</w:t>
            </w:r>
          </w:p>
        </w:tc>
      </w:tr>
      <w:tr>
        <w:trPr>
          <w:trHeight w:val="159"/>
        </w:trPr>
        <w:tc>
          <w:tcPr>
            <w:tcW w:w="4220" w:type="dxa"/>
            <w:vAlign w:val="bottom"/>
          </w:tcPr>
          <w:p>
            <w:pPr>
              <w:spacing w:after="0"/>
              <w:rPr>
                <w:sz w:val="13"/>
                <w:szCs w:val="13"/>
                <w:color w:val="auto"/>
              </w:rPr>
            </w:pPr>
          </w:p>
        </w:tc>
        <w:tc>
          <w:tcPr>
            <w:tcW w:w="2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219"/>
        </w:trPr>
        <w:tc>
          <w:tcPr>
            <w:tcW w:w="4220" w:type="dxa"/>
            <w:vAlign w:val="bottom"/>
            <w:tcBorders>
              <w:bottom w:val="single" w:sz="8" w:color="CFF0FC"/>
            </w:tcBorders>
          </w:tcPr>
          <w:p>
            <w:pPr>
              <w:spacing w:after="0"/>
              <w:rPr>
                <w:sz w:val="19"/>
                <w:szCs w:val="19"/>
                <w:color w:val="auto"/>
              </w:rPr>
            </w:pPr>
          </w:p>
        </w:tc>
        <w:tc>
          <w:tcPr>
            <w:tcW w:w="2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FF0FC"/>
            </w:tcBorders>
          </w:tcPr>
          <w:p>
            <w:pPr>
              <w:spacing w:after="0"/>
              <w:rPr>
                <w:sz w:val="19"/>
                <w:szCs w:val="19"/>
                <w:color w:val="auto"/>
              </w:rPr>
            </w:pPr>
          </w:p>
        </w:tc>
      </w:tr>
      <w:tr>
        <w:trPr>
          <w:trHeight w:val="206"/>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Risk free interest rate</w:t>
            </w:r>
          </w:p>
        </w:tc>
        <w:tc>
          <w:tcPr>
            <w:tcW w:w="25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w:t>
            </w:r>
          </w:p>
        </w:tc>
      </w:tr>
      <w:tr>
        <w:trPr>
          <w:trHeight w:val="214"/>
        </w:trPr>
        <w:tc>
          <w:tcPr>
            <w:tcW w:w="4220" w:type="dxa"/>
            <w:vAlign w:val="bottom"/>
          </w:tcPr>
          <w:p>
            <w:pPr>
              <w:spacing w:after="0"/>
              <w:rPr>
                <w:sz w:val="20"/>
                <w:szCs w:val="20"/>
                <w:color w:val="auto"/>
              </w:rPr>
            </w:pPr>
            <w:r>
              <w:rPr>
                <w:rFonts w:ascii="Arial" w:cs="Arial" w:eastAsia="Arial" w:hAnsi="Arial"/>
                <w:sz w:val="17"/>
                <w:szCs w:val="17"/>
                <w:color w:val="auto"/>
              </w:rPr>
              <w:t>Expected volatility</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color w:val="auto"/>
              </w:rPr>
              <w:t>61.1%</w:t>
            </w:r>
          </w:p>
        </w:tc>
      </w:tr>
      <w:tr>
        <w:trPr>
          <w:trHeight w:val="214"/>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Expected term (in years)</w:t>
            </w:r>
          </w:p>
        </w:tc>
        <w:tc>
          <w:tcPr>
            <w:tcW w:w="2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FF0FC"/>
          </w:tcPr>
          <w:p>
            <w:pPr>
              <w:spacing w:after="0"/>
              <w:rPr>
                <w:sz w:val="18"/>
                <w:szCs w:val="18"/>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r>
    </w:tbl>
    <w:p>
      <w:pPr>
        <w:spacing w:after="0" w:line="227" w:lineRule="exact"/>
        <w:rPr>
          <w:sz w:val="20"/>
          <w:szCs w:val="20"/>
          <w:color w:val="auto"/>
        </w:rPr>
      </w:pPr>
    </w:p>
    <w:p>
      <w:pPr>
        <w:jc w:val="both"/>
        <w:ind w:firstLine="557"/>
        <w:spacing w:after="0" w:line="269" w:lineRule="auto"/>
        <w:rPr>
          <w:sz w:val="20"/>
          <w:szCs w:val="20"/>
          <w:color w:val="auto"/>
        </w:rPr>
      </w:pPr>
      <w:r>
        <w:rPr>
          <w:rFonts w:ascii="Arial" w:cs="Arial" w:eastAsia="Arial" w:hAnsi="Arial"/>
          <w:sz w:val="17"/>
          <w:szCs w:val="17"/>
          <w:i w:val="1"/>
          <w:iCs w:val="1"/>
          <w:color w:val="231F20"/>
        </w:rPr>
        <w:t xml:space="preserve">Risk-Free Interest Rate. </w:t>
      </w:r>
      <w:r>
        <w:rPr>
          <w:rFonts w:ascii="Arial" w:cs="Arial" w:eastAsia="Arial" w:hAnsi="Arial"/>
          <w:sz w:val="17"/>
          <w:szCs w:val="17"/>
          <w:color w:val="231F20"/>
        </w:rPr>
        <w:t>The Company bases the risk-free interest rate assumption for equity awards on the rates for U.S. Treasury securities with maturities</w:t>
      </w:r>
      <w:r>
        <w:rPr>
          <w:rFonts w:ascii="Arial" w:cs="Arial" w:eastAsia="Arial" w:hAnsi="Arial"/>
          <w:sz w:val="17"/>
          <w:szCs w:val="17"/>
          <w:i w:val="1"/>
          <w:iCs w:val="1"/>
          <w:color w:val="231F20"/>
        </w:rPr>
        <w:t xml:space="preserve"> </w:t>
      </w:r>
      <w:r>
        <w:rPr>
          <w:rFonts w:ascii="Arial" w:cs="Arial" w:eastAsia="Arial" w:hAnsi="Arial"/>
          <w:sz w:val="17"/>
          <w:szCs w:val="17"/>
          <w:color w:val="231F20"/>
        </w:rPr>
        <w:t>similar to those of the expected term of the award being valued.</w:t>
      </w:r>
    </w:p>
    <w:p>
      <w:pPr>
        <w:spacing w:after="0" w:line="166" w:lineRule="exact"/>
        <w:rPr>
          <w:sz w:val="20"/>
          <w:szCs w:val="20"/>
          <w:color w:val="auto"/>
        </w:rPr>
      </w:pPr>
    </w:p>
    <w:p>
      <w:pPr>
        <w:jc w:val="both"/>
        <w:ind w:firstLine="557"/>
        <w:spacing w:after="0" w:line="258" w:lineRule="auto"/>
        <w:rPr>
          <w:sz w:val="20"/>
          <w:szCs w:val="20"/>
          <w:color w:val="auto"/>
        </w:rPr>
      </w:pPr>
      <w:r>
        <w:rPr>
          <w:rFonts w:ascii="Arial" w:cs="Arial" w:eastAsia="Arial" w:hAnsi="Arial"/>
          <w:sz w:val="17"/>
          <w:szCs w:val="17"/>
          <w:i w:val="1"/>
          <w:iCs w:val="1"/>
          <w:color w:val="231F20"/>
        </w:rPr>
        <w:t xml:space="preserve">Expected Volatility. </w:t>
      </w:r>
      <w:r>
        <w:rPr>
          <w:rFonts w:ascii="Arial" w:cs="Arial" w:eastAsia="Arial" w:hAnsi="Arial"/>
          <w:sz w:val="17"/>
          <w:szCs w:val="17"/>
          <w:color w:val="231F20"/>
        </w:rPr>
        <w:t>Due to the limited trading history of the Company’s common stock, the expected volatility assumption is based on volatilities of a peer</w:t>
      </w:r>
      <w:r>
        <w:rPr>
          <w:rFonts w:ascii="Arial" w:cs="Arial" w:eastAsia="Arial" w:hAnsi="Arial"/>
          <w:sz w:val="17"/>
          <w:szCs w:val="17"/>
          <w:i w:val="1"/>
          <w:iCs w:val="1"/>
          <w:color w:val="231F20"/>
        </w:rPr>
        <w:t xml:space="preserve"> </w:t>
      </w:r>
      <w:r>
        <w:rPr>
          <w:rFonts w:ascii="Arial" w:cs="Arial" w:eastAsia="Arial" w:hAnsi="Arial"/>
          <w:sz w:val="17"/>
          <w:szCs w:val="17"/>
          <w:color w:val="231F20"/>
        </w:rPr>
        <w:t>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175" w:lineRule="exact"/>
        <w:rPr>
          <w:sz w:val="20"/>
          <w:szCs w:val="20"/>
          <w:color w:val="auto"/>
        </w:rPr>
      </w:pPr>
    </w:p>
    <w:p>
      <w:pPr>
        <w:jc w:val="both"/>
        <w:ind w:firstLine="557"/>
        <w:spacing w:after="0" w:line="258" w:lineRule="auto"/>
        <w:rPr>
          <w:sz w:val="20"/>
          <w:szCs w:val="20"/>
          <w:color w:val="auto"/>
        </w:rPr>
      </w:pPr>
      <w:r>
        <w:rPr>
          <w:rFonts w:ascii="Arial" w:cs="Arial" w:eastAsia="Arial" w:hAnsi="Arial"/>
          <w:sz w:val="17"/>
          <w:szCs w:val="17"/>
          <w:i w:val="1"/>
          <w:iCs w:val="1"/>
          <w:color w:val="231F20"/>
        </w:rPr>
        <w:t xml:space="preserve">Expected Term. </w:t>
      </w:r>
      <w:r>
        <w:rPr>
          <w:rFonts w:ascii="Arial" w:cs="Arial" w:eastAsia="Arial" w:hAnsi="Arial"/>
          <w:sz w:val="17"/>
          <w:szCs w:val="17"/>
          <w:color w:val="231F20"/>
        </w:rPr>
        <w:t>Given the insufficient historical data relating to nonqualified stock option exercises, the expected term assumption is based on expected terms</w:t>
      </w:r>
      <w:r>
        <w:rPr>
          <w:rFonts w:ascii="Arial" w:cs="Arial" w:eastAsia="Arial" w:hAnsi="Arial"/>
          <w:sz w:val="17"/>
          <w:szCs w:val="17"/>
          <w:i w:val="1"/>
          <w:iCs w:val="1"/>
          <w:color w:val="231F20"/>
        </w:rPr>
        <w:t xml:space="preserve"> </w:t>
      </w:r>
      <w:r>
        <w:rPr>
          <w:rFonts w:ascii="Arial" w:cs="Arial" w:eastAsia="Arial" w:hAnsi="Arial"/>
          <w:sz w:val="17"/>
          <w:szCs w:val="17"/>
          <w:color w:val="231F20"/>
        </w:rPr>
        <w:t>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231F20"/>
        </w:rPr>
        <w:t xml:space="preserve">Expected Dividend Yield. </w:t>
      </w:r>
      <w:r>
        <w:rPr>
          <w:rFonts w:ascii="Arial" w:cs="Arial" w:eastAsia="Arial" w:hAnsi="Arial"/>
          <w:sz w:val="15"/>
          <w:szCs w:val="15"/>
          <w:color w:val="231F20"/>
        </w:rPr>
        <w:t>The Company’s expected dividend yield assumption is zero as it has never paid dividends and has no present intention to do so in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31F20"/>
        </w:rPr>
        <w:t>future.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Shares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10. Income Taxes and Tax Receivable Agreement</w:t>
      </w:r>
    </w:p>
    <w:p>
      <w:pPr>
        <w:spacing w:after="0" w:line="22" w:lineRule="exact"/>
        <w:rPr>
          <w:sz w:val="20"/>
          <w:szCs w:val="20"/>
          <w:color w:val="auto"/>
        </w:rPr>
      </w:pPr>
    </w:p>
    <w:p>
      <w:pPr>
        <w:ind w:right="100" w:firstLine="425"/>
        <w:spacing w:after="0" w:line="248" w:lineRule="auto"/>
        <w:rPr>
          <w:sz w:val="20"/>
          <w:szCs w:val="20"/>
          <w:color w:val="auto"/>
        </w:rPr>
      </w:pPr>
      <w:r>
        <w:rPr>
          <w:rFonts w:ascii="Arial" w:cs="Arial" w:eastAsia="Arial" w:hAnsi="Arial"/>
          <w:sz w:val="17"/>
          <w:szCs w:val="17"/>
          <w:color w:val="231F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The Company did not recognize an income tax expense/(benefit) on its share of pre-tax book income (loss), exclusive of the noncontrolling interest of 77.5% due to the full valuation allowance against its deferred tax assets, resulting in an effective tax rate ("ETR") of 0.0% for the 12 months ended December 31, 2021.</w:t>
      </w:r>
    </w:p>
    <w:p>
      <w:pPr>
        <w:spacing w:after="0" w:line="186" w:lineRule="exact"/>
        <w:rPr>
          <w:sz w:val="20"/>
          <w:szCs w:val="20"/>
          <w:color w:val="auto"/>
        </w:rPr>
      </w:pPr>
    </w:p>
    <w:p>
      <w:pPr>
        <w:ind w:firstLine="425"/>
        <w:spacing w:after="0" w:line="268" w:lineRule="auto"/>
        <w:rPr>
          <w:sz w:val="20"/>
          <w:szCs w:val="20"/>
          <w:color w:val="auto"/>
        </w:rPr>
      </w:pPr>
      <w:r>
        <w:rPr>
          <w:rFonts w:ascii="Arial" w:cs="Arial" w:eastAsia="Arial" w:hAnsi="Arial"/>
          <w:sz w:val="16"/>
          <w:szCs w:val="16"/>
          <w:color w:val="231F20"/>
        </w:rPr>
        <w:t>The Company is the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the IPO. As an entity classified as a partnership for tax purposes, Viant Technology LLC is not subject to U.S. federal and certain state and local income taxes. Prior to the IPO during 2021, the Company did not exist and thus no income tax expense was recognized for Viant Technology LLC for the periods ended December 31, 2020 and 2019 and no deferred tax assets or liabilities existed as of December 31, 2020. Subsequent to the IPO,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Viant Technology, Inc.'s 22.5% economic interest in Viant Technology LLC.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15" w:name="page116"/>
    <w:bookmarkEnd w:id="115"/>
    <w:p>
      <w:pPr>
        <w:ind w:left="420"/>
        <w:spacing w:after="0"/>
        <w:rPr>
          <w:sz w:val="20"/>
          <w:szCs w:val="20"/>
          <w:color w:val="auto"/>
        </w:rPr>
      </w:pPr>
      <w:r>
        <w:rPr>
          <w:rFonts w:ascii="Arial" w:cs="Arial" w:eastAsia="Arial" w:hAnsi="Arial"/>
          <w:sz w:val="17"/>
          <w:szCs w:val="17"/>
          <w:color w:val="231F20"/>
        </w:rPr>
        <w:t>The provision for income taxes attributable to the Company consisted of the following for the year ended December 31, 2021:</w:t>
      </w:r>
    </w:p>
    <w:p>
      <w:pPr>
        <w:spacing w:after="0" w:line="201"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Year Ended</w:t>
            </w:r>
          </w:p>
        </w:tc>
      </w:tr>
      <w:tr>
        <w:trPr>
          <w:trHeight w:val="159"/>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r>
      <w:tr>
        <w:trPr>
          <w:trHeight w:val="206"/>
        </w:trPr>
        <w:tc>
          <w:tcPr>
            <w:tcW w:w="3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9"/>
              </w:rPr>
              <w:t>2021</w:t>
            </w:r>
          </w:p>
        </w:tc>
        <w:tc>
          <w:tcPr>
            <w:tcW w:w="60" w:type="dxa"/>
            <w:vAlign w:val="bottom"/>
          </w:tcPr>
          <w:p>
            <w:pPr>
              <w:spacing w:after="0"/>
              <w:rPr>
                <w:sz w:val="17"/>
                <w:szCs w:val="17"/>
                <w:color w:val="auto"/>
              </w:rPr>
            </w:pPr>
          </w:p>
        </w:tc>
      </w:tr>
      <w:tr>
        <w:trPr>
          <w:trHeight w:val="206"/>
        </w:trPr>
        <w:tc>
          <w:tcPr>
            <w:tcW w:w="3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(in thousands)</w:t>
            </w:r>
          </w:p>
        </w:tc>
      </w:tr>
      <w:tr>
        <w:trPr>
          <w:trHeight w:val="214"/>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r>
      <w:tr>
        <w:trPr>
          <w:trHeight w:val="214"/>
        </w:trPr>
        <w:tc>
          <w:tcPr>
            <w:tcW w:w="3780" w:type="dxa"/>
            <w:vAlign w:val="bottom"/>
          </w:tcPr>
          <w:p>
            <w:pPr>
              <w:ind w:left="220"/>
              <w:spacing w:after="0"/>
              <w:rPr>
                <w:sz w:val="20"/>
                <w:szCs w:val="20"/>
                <w:color w:val="auto"/>
              </w:rPr>
            </w:pPr>
            <w:r>
              <w:rPr>
                <w:rFonts w:ascii="Arial" w:cs="Arial" w:eastAsia="Arial" w:hAnsi="Arial"/>
                <w:sz w:val="17"/>
                <w:szCs w:val="17"/>
                <w:color w:val="auto"/>
              </w:rPr>
              <w:t>U.S. federal income tax</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60"/>
              <w:spacing w:after="0"/>
              <w:rPr>
                <w:sz w:val="20"/>
                <w:szCs w:val="20"/>
                <w:color w:val="auto"/>
              </w:rPr>
            </w:pPr>
            <w:r>
              <w:rPr>
                <w:rFonts w:ascii="Arial" w:cs="Arial" w:eastAsia="Arial" w:hAnsi="Arial"/>
                <w:sz w:val="17"/>
                <w:szCs w:val="17"/>
                <w:color w:val="auto"/>
              </w:rPr>
              <w:t>—</w:t>
            </w:r>
          </w:p>
        </w:tc>
      </w:tr>
      <w:tr>
        <w:trPr>
          <w:trHeight w:val="214"/>
        </w:trPr>
        <w:tc>
          <w:tcPr>
            <w:tcW w:w="3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 and local income tax</w:t>
            </w:r>
          </w:p>
        </w:tc>
        <w:tc>
          <w:tcPr>
            <w:tcW w:w="17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FF0FC"/>
          </w:tcPr>
          <w:p>
            <w:pPr>
              <w:spacing w:after="0"/>
              <w:rPr>
                <w:sz w:val="18"/>
                <w:szCs w:val="18"/>
                <w:color w:val="auto"/>
              </w:rPr>
            </w:pPr>
          </w:p>
        </w:tc>
      </w:tr>
      <w:tr>
        <w:trPr>
          <w:trHeight w:val="206"/>
        </w:trPr>
        <w:tc>
          <w:tcPr>
            <w:tcW w:w="3780" w:type="dxa"/>
            <w:vAlign w:val="bottom"/>
          </w:tcPr>
          <w:p>
            <w:pPr>
              <w:ind w:left="220"/>
              <w:spacing w:after="0"/>
              <w:rPr>
                <w:sz w:val="20"/>
                <w:szCs w:val="20"/>
                <w:color w:val="auto"/>
              </w:rPr>
            </w:pPr>
            <w:r>
              <w:rPr>
                <w:rFonts w:ascii="Arial" w:cs="Arial" w:eastAsia="Arial" w:hAnsi="Arial"/>
                <w:sz w:val="17"/>
                <w:szCs w:val="17"/>
                <w:color w:val="auto"/>
              </w:rPr>
              <w:t>Foreign income tax</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60"/>
              <w:spacing w:after="0"/>
              <w:rPr>
                <w:sz w:val="20"/>
                <w:szCs w:val="20"/>
                <w:color w:val="auto"/>
              </w:rPr>
            </w:pPr>
            <w:r>
              <w:rPr>
                <w:rFonts w:ascii="Arial" w:cs="Arial" w:eastAsia="Arial" w:hAnsi="Arial"/>
                <w:sz w:val="17"/>
                <w:szCs w:val="17"/>
                <w:color w:val="auto"/>
              </w:rPr>
              <w:t>—</w:t>
            </w:r>
          </w:p>
        </w:tc>
      </w:tr>
      <w:tr>
        <w:trPr>
          <w:trHeight w:val="207"/>
        </w:trPr>
        <w:tc>
          <w:tcPr>
            <w:tcW w:w="378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7"/>
                <w:szCs w:val="17"/>
                <w:color w:val="auto"/>
              </w:rPr>
              <w:t>Deferred:</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3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U.S. federal income tax</w:t>
            </w: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r>
      <w:tr>
        <w:trPr>
          <w:trHeight w:val="214"/>
        </w:trPr>
        <w:tc>
          <w:tcPr>
            <w:tcW w:w="37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State and local income tax</w:t>
            </w:r>
          </w:p>
        </w:tc>
        <w:tc>
          <w:tcPr>
            <w:tcW w:w="1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CFF0FC"/>
            </w:tcBorders>
          </w:tcPr>
          <w:p>
            <w:pPr>
              <w:spacing w:after="0"/>
              <w:rPr>
                <w:sz w:val="18"/>
                <w:szCs w:val="18"/>
                <w:color w:val="auto"/>
              </w:rPr>
            </w:pPr>
          </w:p>
        </w:tc>
      </w:tr>
      <w:tr>
        <w:trPr>
          <w:trHeight w:val="206"/>
        </w:trPr>
        <w:tc>
          <w:tcPr>
            <w:tcW w:w="3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income tax</w:t>
            </w: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r>
      <w:tr>
        <w:trPr>
          <w:trHeight w:val="207"/>
        </w:trPr>
        <w:tc>
          <w:tcPr>
            <w:tcW w:w="3780" w:type="dxa"/>
            <w:vAlign w:val="bottom"/>
            <w:tcBorders>
              <w:bottom w:val="single" w:sz="8" w:color="CFF0FC"/>
            </w:tcBorders>
          </w:tcPr>
          <w:p>
            <w:pPr>
              <w:spacing w:after="0"/>
              <w:rPr>
                <w:sz w:val="17"/>
                <w:szCs w:val="17"/>
                <w:color w:val="auto"/>
              </w:rPr>
            </w:pPr>
          </w:p>
        </w:tc>
        <w:tc>
          <w:tcPr>
            <w:tcW w:w="17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r>
      <w:tr>
        <w:trPr>
          <w:trHeight w:val="206"/>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auto"/>
        </w:rPr>
        <w:t>The effective tax rate for the year ended December 31, 2021 was 0.0%. A reconciliation of the statutory tax rate to the effective tax rate for the period presented is as follows:</w:t>
      </w:r>
    </w:p>
    <w:p>
      <w:pPr>
        <w:spacing w:after="0" w:line="159"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6"/>
        </w:trPr>
        <w:tc>
          <w:tcPr>
            <w:tcW w:w="54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at federal statutory rate</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Arial" w:cs="Arial" w:eastAsia="Arial" w:hAnsi="Arial"/>
                <w:sz w:val="17"/>
                <w:szCs w:val="17"/>
                <w:color w:val="auto"/>
              </w:rPr>
              <w:t>Income passed through to noncontrolling interests</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State and local taxes, net of federal benefit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Arial" w:cs="Arial" w:eastAsia="Arial" w:hAnsi="Arial"/>
                <w:sz w:val="17"/>
                <w:szCs w:val="17"/>
                <w:color w:val="auto"/>
              </w:rPr>
              <w:t>Permanent items</w:t>
            </w: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Arial" w:cs="Arial" w:eastAsia="Arial" w:hAnsi="Arial"/>
                <w:sz w:val="17"/>
                <w:szCs w:val="17"/>
                <w:color w:val="auto"/>
              </w:rPr>
              <w:t>Valuation allowance</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effective rate</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00" w:type="dxa"/>
            <w:vAlign w:val="bottom"/>
            <w:vMerge w:val="continue"/>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Set forth below are the tax effects of temporary differences that give rise to a significant portion of the deferred tax assets and deferred tax liabilities: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60"/>
          </w:cols>
          <w:pgMar w:left="320" w:top="529" w:right="419" w:bottom="1440" w:gutter="0" w:footer="0" w:header="0"/>
        </w:sectPr>
      </w:pPr>
    </w:p>
    <w:bookmarkStart w:id="116" w:name="page117"/>
    <w:bookmarkEnd w:id="116"/>
    <w:tbl>
      <w:tblPr>
        <w:tblLayout w:type="fixed"/>
        <w:tblInd w:w="226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r>
      <w:tr>
        <w:trPr>
          <w:trHeight w:val="15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December 31,</w:t>
            </w:r>
          </w:p>
        </w:tc>
      </w:tr>
      <w:tr>
        <w:trPr>
          <w:trHeight w:val="206"/>
        </w:trPr>
        <w:tc>
          <w:tcPr>
            <w:tcW w:w="55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7"/>
                <w:szCs w:val="17"/>
                <w:color w:val="auto"/>
              </w:rPr>
            </w:pPr>
          </w:p>
        </w:tc>
      </w:tr>
      <w:tr>
        <w:trPr>
          <w:trHeight w:val="20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(in thousands)</w:t>
            </w:r>
          </w:p>
        </w:tc>
      </w:tr>
      <w:tr>
        <w:trPr>
          <w:trHeight w:val="214"/>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5500" w:type="dxa"/>
            <w:vAlign w:val="bottom"/>
          </w:tcPr>
          <w:p>
            <w:pPr>
              <w:ind w:left="12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1,321</w:t>
            </w:r>
          </w:p>
        </w:tc>
        <w:tc>
          <w:tcPr>
            <w:tcW w:w="80" w:type="dxa"/>
            <w:vAlign w:val="bottom"/>
          </w:tcPr>
          <w:p>
            <w:pPr>
              <w:spacing w:after="0"/>
              <w:rPr>
                <w:sz w:val="18"/>
                <w:szCs w:val="18"/>
                <w:color w:val="auto"/>
              </w:rPr>
            </w:pPr>
          </w:p>
        </w:tc>
      </w:tr>
      <w:tr>
        <w:trPr>
          <w:trHeight w:val="214"/>
        </w:trPr>
        <w:tc>
          <w:tcPr>
            <w:tcW w:w="55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Investment in Partnership</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7,909</w:t>
            </w:r>
          </w:p>
        </w:tc>
        <w:tc>
          <w:tcPr>
            <w:tcW w:w="80" w:type="dxa"/>
            <w:vAlign w:val="bottom"/>
            <w:shd w:val="clear" w:color="auto" w:fill="CFF0FC"/>
          </w:tcPr>
          <w:p>
            <w:pPr>
              <w:spacing w:after="0"/>
              <w:rPr>
                <w:sz w:val="18"/>
                <w:szCs w:val="18"/>
                <w:color w:val="auto"/>
              </w:rPr>
            </w:pPr>
          </w:p>
        </w:tc>
      </w:tr>
      <w:tr>
        <w:trPr>
          <w:trHeight w:val="214"/>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Other, net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CFF0FC"/>
            </w:tcBorders>
          </w:tcPr>
          <w:p>
            <w:pPr>
              <w:spacing w:after="0"/>
              <w:rPr>
                <w:sz w:val="18"/>
                <w:szCs w:val="18"/>
                <w:color w:val="auto"/>
              </w:rPr>
            </w:pPr>
          </w:p>
        </w:tc>
      </w:tr>
      <w:tr>
        <w:trPr>
          <w:trHeight w:val="207"/>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Subtotal</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9,338</w:t>
            </w:r>
          </w:p>
        </w:tc>
        <w:tc>
          <w:tcPr>
            <w:tcW w:w="80" w:type="dxa"/>
            <w:vAlign w:val="bottom"/>
            <w:shd w:val="clear" w:color="auto" w:fill="CFF0FC"/>
          </w:tcPr>
          <w:p>
            <w:pPr>
              <w:spacing w:after="0"/>
              <w:rPr>
                <w:sz w:val="17"/>
                <w:szCs w:val="17"/>
                <w:color w:val="auto"/>
              </w:rPr>
            </w:pPr>
          </w:p>
        </w:tc>
      </w:tr>
      <w:tr>
        <w:trPr>
          <w:trHeight w:val="214"/>
        </w:trPr>
        <w:tc>
          <w:tcPr>
            <w:tcW w:w="5500" w:type="dxa"/>
            <w:vAlign w:val="bottom"/>
          </w:tcPr>
          <w:p>
            <w:pPr>
              <w:ind w:left="120"/>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(9,338)</w:t>
            </w:r>
          </w:p>
        </w:tc>
      </w:tr>
      <w:tr>
        <w:trPr>
          <w:trHeight w:val="206"/>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deferred tax assets</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Other, net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8"/>
                <w:szCs w:val="18"/>
                <w:color w:val="auto"/>
              </w:rPr>
            </w:pPr>
          </w:p>
        </w:tc>
      </w:tr>
      <w:tr>
        <w:trPr>
          <w:trHeight w:val="207"/>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liabilities</w:t>
            </w: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7"/>
                <w:szCs w:val="17"/>
                <w:color w:val="auto"/>
              </w:rPr>
              <w:t>Net deferred tax (liabilities)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ind w:right="60" w:firstLine="625"/>
        <w:spacing w:after="0" w:line="270" w:lineRule="auto"/>
        <w:rPr>
          <w:sz w:val="20"/>
          <w:szCs w:val="20"/>
          <w:color w:val="auto"/>
        </w:rPr>
      </w:pPr>
      <w:r>
        <w:rPr>
          <w:rFonts w:ascii="Arial" w:cs="Arial" w:eastAsia="Arial" w:hAnsi="Arial"/>
          <w:sz w:val="16"/>
          <w:szCs w:val="16"/>
          <w:color w:val="auto"/>
        </w:rPr>
        <w:t>In assessing the realizability of deferred tax assets, the Company considers whether it is probable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 As of December 31, 2021, the Company has recorded a valuation allowance against its deferred tax assets of $9.3 million, as management cannot conclude whether it is more likely than not that these deferred tax assets will be realized.</w:t>
      </w:r>
    </w:p>
    <w:p>
      <w:pPr>
        <w:spacing w:after="0" w:line="167" w:lineRule="exact"/>
        <w:rPr>
          <w:sz w:val="20"/>
          <w:szCs w:val="20"/>
          <w:color w:val="auto"/>
        </w:rPr>
      </w:pPr>
    </w:p>
    <w:p>
      <w:pPr>
        <w:ind w:right="60" w:firstLine="625"/>
        <w:spacing w:after="0" w:line="337" w:lineRule="auto"/>
        <w:rPr>
          <w:sz w:val="20"/>
          <w:szCs w:val="20"/>
          <w:color w:val="auto"/>
        </w:rPr>
      </w:pPr>
      <w:r>
        <w:rPr>
          <w:rFonts w:ascii="Arial" w:cs="Arial" w:eastAsia="Arial" w:hAnsi="Arial"/>
          <w:sz w:val="15"/>
          <w:szCs w:val="15"/>
          <w:color w:val="auto"/>
        </w:rPr>
        <w:t>As of December 31, 2021, the Company has federal net operating losses of approximately $5.5 million. As of December 31, 2021, the Company has state net operating losses of approximately $8.1 million. The federal net operating losses carry forward indefinitely and state net operating losses begin to expire in 2031.</w:t>
      </w:r>
    </w:p>
    <w:p>
      <w:pPr>
        <w:spacing w:after="0" w:line="119" w:lineRule="exact"/>
        <w:rPr>
          <w:sz w:val="20"/>
          <w:szCs w:val="20"/>
          <w:color w:val="auto"/>
        </w:rPr>
      </w:pPr>
    </w:p>
    <w:p>
      <w:pPr>
        <w:ind w:right="440" w:firstLine="625"/>
        <w:spacing w:after="0" w:line="269" w:lineRule="auto"/>
        <w:rPr>
          <w:sz w:val="20"/>
          <w:szCs w:val="20"/>
          <w:color w:val="auto"/>
        </w:rPr>
      </w:pPr>
      <w:r>
        <w:rPr>
          <w:rFonts w:ascii="Arial" w:cs="Arial" w:eastAsia="Arial" w:hAnsi="Arial"/>
          <w:sz w:val="17"/>
          <w:szCs w:val="17"/>
          <w:color w:val="auto"/>
        </w:rPr>
        <w:t>As of December 31, 2021, the Company has no significant unrecognized tax benefits and has not recorded interest and penalties related to uncertain tax positions.</w:t>
      </w:r>
    </w:p>
    <w:p>
      <w:pPr>
        <w:spacing w:after="0" w:line="166" w:lineRule="exact"/>
        <w:rPr>
          <w:sz w:val="20"/>
          <w:szCs w:val="20"/>
          <w:color w:val="auto"/>
        </w:rPr>
      </w:pPr>
    </w:p>
    <w:p>
      <w:pPr>
        <w:ind w:right="160" w:firstLine="625"/>
        <w:spacing w:after="0" w:line="308" w:lineRule="auto"/>
        <w:rPr>
          <w:sz w:val="20"/>
          <w:szCs w:val="20"/>
          <w:color w:val="auto"/>
        </w:rPr>
      </w:pPr>
      <w:r>
        <w:rPr>
          <w:rFonts w:ascii="Arial" w:cs="Arial" w:eastAsia="Arial" w:hAnsi="Arial"/>
          <w:sz w:val="15"/>
          <w:szCs w:val="15"/>
          <w:color w:val="auto"/>
        </w:rPr>
        <w:t>The Company is subject to U.S. federal and state income taxes. The Company's U.S. federal and state returns are open to examination for all periods ending December 31, 2020 and thereafter. However, to the extent allowed by law the tax authorities may have the right to examine prior periods where net operating losses were generated and carried forward, and make adjustments up to the amount of the net operating loss or credit carry forward amount.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11. Earnings (Loss) Per Share/Unit</w:t>
      </w:r>
    </w:p>
    <w:p>
      <w:pPr>
        <w:spacing w:after="0" w:line="211" w:lineRule="exact"/>
        <w:rPr>
          <w:sz w:val="20"/>
          <w:szCs w:val="20"/>
          <w:color w:val="auto"/>
        </w:rPr>
      </w:pPr>
    </w:p>
    <w:p>
      <w:pPr>
        <w:ind w:firstLine="425"/>
        <w:spacing w:after="0" w:line="291" w:lineRule="auto"/>
        <w:rPr>
          <w:sz w:val="20"/>
          <w:szCs w:val="20"/>
          <w:color w:val="auto"/>
        </w:rPr>
      </w:pPr>
      <w:r>
        <w:rPr>
          <w:rFonts w:ascii="Arial" w:cs="Arial" w:eastAsia="Arial" w:hAnsi="Arial"/>
          <w:sz w:val="15"/>
          <w:szCs w:val="15"/>
          <w:color w:val="231F20"/>
        </w:rPr>
        <w:t>Prior to the Reorganization Transactions that occurred on February 12, 2021, the Viant Technology LLC membership structure included certain convertible preferred units and common units. As a result of the Reorganization Transactions, Class B units of Viant Technology LLC are exchangeable in the future for Class A common stock of the Company. As the conversion of Viant Technology LLC preferred and common units to Class B units was not done in a proportionate manner with respect to the rights and economic interests of the former Viant Technology LLC unit holders compared to those of the new Class B unit/shareholders in Viant Technology LLC and Viant Technology Inc., we do not believe it is appropriate to retrospectively adjust these units. Accordingly, the earnings per unit calculation presented for the years ended December 31, 2020 and 2019 reflect units of the membership structure prior to the Reorganization Transactions.</w:t>
      </w:r>
    </w:p>
    <w:p>
      <w:pPr>
        <w:spacing w:after="0" w:line="154" w:lineRule="exact"/>
        <w:rPr>
          <w:sz w:val="20"/>
          <w:szCs w:val="20"/>
          <w:color w:val="auto"/>
        </w:rPr>
      </w:pPr>
    </w:p>
    <w:p>
      <w:pPr>
        <w:ind w:right="80" w:firstLine="425"/>
        <w:spacing w:after="0" w:line="258" w:lineRule="auto"/>
        <w:rPr>
          <w:sz w:val="20"/>
          <w:szCs w:val="20"/>
          <w:color w:val="auto"/>
        </w:rPr>
      </w:pPr>
      <w:r>
        <w:rPr>
          <w:rFonts w:ascii="Arial" w:cs="Arial" w:eastAsia="Arial" w:hAnsi="Arial"/>
          <w:sz w:val="17"/>
          <w:szCs w:val="17"/>
          <w:color w:val="231F20"/>
        </w:rPr>
        <w:t>For the year ended December 31, 2021, basic net loss per share has been calculated by dividing net loss attributable to Class A common stockholders for the period subsequent to the Reorganization Transactions, by the weighted average number of shares of Class A common stock outstanding for the same period. Shares of Class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17" w:name="page118"/>
    <w:bookmarkEnd w:id="117"/>
    <w:p>
      <w:pPr>
        <w:ind w:right="140"/>
        <w:spacing w:after="0" w:line="300" w:lineRule="auto"/>
        <w:rPr>
          <w:sz w:val="20"/>
          <w:szCs w:val="20"/>
          <w:color w:val="auto"/>
        </w:rPr>
      </w:pPr>
      <w:r>
        <w:rPr>
          <w:rFonts w:ascii="Arial" w:cs="Arial" w:eastAsia="Arial" w:hAnsi="Arial"/>
          <w:sz w:val="16"/>
          <w:szCs w:val="16"/>
          <w:color w:val="231F20"/>
        </w:rPr>
        <w:t>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144" w:lineRule="exact"/>
        <w:rPr>
          <w:sz w:val="20"/>
          <w:szCs w:val="20"/>
          <w:color w:val="auto"/>
        </w:rPr>
      </w:pPr>
    </w:p>
    <w:p>
      <w:pPr>
        <w:ind w:firstLine="425"/>
        <w:spacing w:after="0" w:line="252" w:lineRule="auto"/>
        <w:rPr>
          <w:sz w:val="20"/>
          <w:szCs w:val="20"/>
          <w:color w:val="auto"/>
        </w:rPr>
      </w:pPr>
      <w:r>
        <w:rPr>
          <w:rFonts w:ascii="Arial" w:cs="Arial" w:eastAsia="Arial" w:hAnsi="Arial"/>
          <w:sz w:val="17"/>
          <w:szCs w:val="17"/>
          <w:color w:val="231F20"/>
        </w:rPr>
        <w:t>For the years ended December 31, 2020 and 2019, basic earnings (loss) per unit represents net income (loss) divided by the weighted-average number of units outstanding. Diluted net income (loss) per share has been computed in a manner consistent with that of basic net loss per share while considering all shares of potentially dilutive common units that were outstanding during the period, inclusive of the convertible preferred units using the if-converted method and the incentive common units using the treasury stock method, if dilutive. For the year ended December 31, 2020, there were no potential dilutive units related to incentive common units as they were all issued as of the beginning of the year.</w:t>
      </w:r>
    </w:p>
    <w:p>
      <w:pPr>
        <w:spacing w:after="0" w:line="181" w:lineRule="exact"/>
        <w:rPr>
          <w:sz w:val="20"/>
          <w:szCs w:val="20"/>
          <w:color w:val="auto"/>
        </w:rPr>
      </w:pPr>
    </w:p>
    <w:p>
      <w:pPr>
        <w:jc w:val="both"/>
        <w:ind w:right="140" w:firstLine="425"/>
        <w:spacing w:after="0" w:line="258" w:lineRule="auto"/>
        <w:rPr>
          <w:sz w:val="20"/>
          <w:szCs w:val="20"/>
          <w:color w:val="auto"/>
        </w:rPr>
      </w:pPr>
      <w:r>
        <w:rPr>
          <w:rFonts w:ascii="Arial" w:cs="Arial" w:eastAsia="Arial" w:hAnsi="Arial"/>
          <w:sz w:val="17"/>
          <w:szCs w:val="17"/>
          <w:color w:val="231F20"/>
        </w:rPr>
        <w:t>The undistributed earnings for year ended December 31, 2020 have been allocated based on the participation rights of the convertible preferred and common units as if the earnings for the period have been distributed. As the participation in distributed and undistributed earnings is identical for both classes, the distributed and undistributed earnings are allocated on a proportionate basis.</w:t>
      </w:r>
    </w:p>
    <w:p>
      <w:pPr>
        <w:spacing w:after="0" w:line="74" w:lineRule="exact"/>
        <w:rPr>
          <w:sz w:val="20"/>
          <w:szCs w:val="20"/>
          <w:color w:val="auto"/>
        </w:rPr>
      </w:pPr>
    </w:p>
    <w:p>
      <w:pPr>
        <w:ind w:right="120" w:firstLine="425"/>
        <w:spacing w:after="0" w:line="258" w:lineRule="auto"/>
        <w:rPr>
          <w:sz w:val="20"/>
          <w:szCs w:val="20"/>
          <w:color w:val="auto"/>
        </w:rPr>
      </w:pPr>
      <w:r>
        <w:rPr>
          <w:rFonts w:ascii="Arial" w:cs="Arial" w:eastAsia="Arial" w:hAnsi="Arial"/>
          <w:sz w:val="17"/>
          <w:szCs w:val="17"/>
          <w:color w:val="231F20"/>
        </w:rPr>
        <w:t>The following table presents the calculation of basic and diluted net earnings (loss) per share/unit for the year ended December 31, 2021, the period following the Reorganization Transactions, and for the years ended December 31, 2020 and 2019. See Note 2 for additional information related to basic and diluted earnings (loss) per share/unit.</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20" w:top="529" w:right="439" w:bottom="1440" w:gutter="0" w:footer="0" w:header="0"/>
        </w:sectPr>
      </w:pPr>
    </w:p>
    <w:bookmarkStart w:id="118" w:name="page119"/>
    <w:bookmarkEnd w:id="118"/>
    <w:tbl>
      <w:tblPr>
        <w:tblLayout w:type="fixed"/>
        <w:tblInd w:w="56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2"/>
              </w:rPr>
              <w:t>Year Ended December 31,</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4" w:lineRule="exact"/>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97"/>
              <w:spacing w:after="0" w:line="144"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7"/>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00" w:type="dxa"/>
            <w:vAlign w:val="bottom"/>
            <w:gridSpan w:val="7"/>
          </w:tcPr>
          <w:p>
            <w:pPr>
              <w:jc w:val="center"/>
              <w:ind w:left="517"/>
              <w:spacing w:after="0" w:line="144" w:lineRule="exact"/>
              <w:rPr>
                <w:sz w:val="20"/>
                <w:szCs w:val="20"/>
                <w:color w:val="auto"/>
              </w:rPr>
            </w:pPr>
            <w:r>
              <w:rPr>
                <w:rFonts w:ascii="Arial" w:cs="Arial" w:eastAsia="Arial" w:hAnsi="Arial"/>
                <w:sz w:val="13"/>
                <w:szCs w:val="13"/>
                <w:b w:val="1"/>
                <w:bCs w:val="1"/>
                <w:color w:val="auto"/>
                <w:w w:val="91"/>
              </w:rPr>
              <w:t>(in thousands, except per unit data)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tcBorders>
              <w:bottom w:val="single" w:sz="8" w:color="auto"/>
            </w:tcBorders>
            <w:shd w:val="clear" w:color="auto" w:fill="CFF0FC"/>
          </w:tcPr>
          <w:p>
            <w:pPr>
              <w:spacing w:after="0" w:line="176" w:lineRule="exact"/>
              <w:rPr>
                <w:sz w:val="20"/>
                <w:szCs w:val="20"/>
                <w:color w:val="auto"/>
              </w:rPr>
            </w:pPr>
            <w:r>
              <w:rPr>
                <w:rFonts w:ascii="Arial" w:cs="Arial" w:eastAsia="Arial" w:hAnsi="Arial"/>
                <w:sz w:val="17"/>
                <w:szCs w:val="17"/>
                <w:b w:val="1"/>
                <w:bCs w:val="1"/>
                <w:i w:val="1"/>
                <w:iCs w:val="1"/>
                <w:color w:val="auto"/>
                <w:w w:val="88"/>
              </w:rPr>
              <w:t>Numerator</w:t>
            </w:r>
          </w:p>
        </w:tc>
        <w:tc>
          <w:tcPr>
            <w:tcW w:w="5200" w:type="dxa"/>
            <w:vAlign w:val="bottom"/>
            <w:tcBorders>
              <w:bottom w:val="single" w:sz="8" w:color="CFF0FC"/>
            </w:tcBorders>
            <w:gridSpan w:val="4"/>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spacing w:after="0"/>
              <w:rPr>
                <w:sz w:val="20"/>
                <w:szCs w:val="20"/>
                <w:color w:val="auto"/>
              </w:rPr>
            </w:pPr>
            <w:r>
              <w:rPr>
                <w:rFonts w:ascii="Arial" w:cs="Arial" w:eastAsia="Arial" w:hAnsi="Arial"/>
                <w:sz w:val="17"/>
                <w:szCs w:val="17"/>
                <w:color w:val="auto"/>
              </w:rPr>
              <w:t>Net income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(37,609)</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20,638</w:t>
            </w:r>
          </w:p>
        </w:tc>
        <w:tc>
          <w:tcPr>
            <w:tcW w:w="2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ind w:left="240"/>
              <w:spacing w:after="0"/>
              <w:rPr>
                <w:sz w:val="20"/>
                <w:szCs w:val="20"/>
                <w:color w:val="auto"/>
              </w:rPr>
            </w:pPr>
            <w:r>
              <w:rPr>
                <w:rFonts w:ascii="Arial" w:cs="Arial" w:eastAsia="Arial" w:hAnsi="Arial"/>
                <w:sz w:val="17"/>
                <w:szCs w:val="17"/>
                <w:color w:val="auto"/>
              </w:rPr>
              <w:t>Deemed contribution of 2016 convertible preferred unit interest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Deemed dividend upon issuance of 2019 convertible preferred units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(27,558)</w:t>
            </w:r>
          </w:p>
        </w:tc>
        <w:tc>
          <w:tcPr>
            <w:tcW w:w="0" w:type="dxa"/>
            <w:vAlign w:val="bottom"/>
          </w:tcPr>
          <w:p>
            <w:pPr>
              <w:spacing w:after="0"/>
              <w:rPr>
                <w:sz w:val="1"/>
                <w:szCs w:val="1"/>
                <w:color w:val="auto"/>
              </w:rPr>
            </w:pPr>
          </w:p>
        </w:tc>
      </w:tr>
      <w:tr>
        <w:trPr>
          <w:trHeight w:val="20"/>
        </w:trPr>
        <w:tc>
          <w:tcPr>
            <w:tcW w:w="5980" w:type="dxa"/>
            <w:vAlign w:val="bottom"/>
            <w:gridSpan w:val="5"/>
            <w:vMerge w:val="restart"/>
            <w:shd w:val="clear" w:color="auto" w:fill="CFF0FC"/>
          </w:tcPr>
          <w:p>
            <w:pPr>
              <w:spacing w:after="0"/>
              <w:rPr>
                <w:sz w:val="20"/>
                <w:szCs w:val="20"/>
                <w:color w:val="auto"/>
              </w:rPr>
            </w:pPr>
            <w:r>
              <w:rPr>
                <w:rFonts w:ascii="Arial" w:cs="Arial" w:eastAsia="Arial" w:hAnsi="Arial"/>
                <w:sz w:val="17"/>
                <w:szCs w:val="17"/>
                <w:color w:val="auto"/>
              </w:rPr>
              <w:t>Adjusted net income (loss) attributable to all unitholders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5"/>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(37,609)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Less: Dividend paid to preferred unitholders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(3,000)</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80" w:type="dxa"/>
            <w:vAlign w:val="bottom"/>
            <w:gridSpan w:val="5"/>
            <w:vMerge w:val="restart"/>
            <w:shd w:val="clear" w:color="auto" w:fill="CFF0FC"/>
          </w:tcPr>
          <w:p>
            <w:pPr>
              <w:spacing w:after="0"/>
              <w:rPr>
                <w:sz w:val="20"/>
                <w:szCs w:val="20"/>
                <w:color w:val="auto"/>
              </w:rPr>
            </w:pPr>
            <w:r>
              <w:rPr>
                <w:rFonts w:ascii="Arial" w:cs="Arial" w:eastAsia="Arial" w:hAnsi="Arial"/>
                <w:sz w:val="17"/>
                <w:szCs w:val="17"/>
                <w:color w:val="auto"/>
              </w:rPr>
              <w:t>Adjusted net income (loss) attributable to common unitholders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5"/>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(37,609)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17,638</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Less: Dividend paid to common unitholders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(2,000)</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80" w:type="dxa"/>
            <w:vAlign w:val="bottom"/>
            <w:gridSpan w:val="5"/>
            <w:vMerge w:val="restart"/>
            <w:shd w:val="clear" w:color="auto" w:fill="CFF0FC"/>
          </w:tcPr>
          <w:p>
            <w:pPr>
              <w:spacing w:after="0"/>
              <w:rPr>
                <w:sz w:val="20"/>
                <w:szCs w:val="20"/>
                <w:color w:val="auto"/>
              </w:rPr>
            </w:pPr>
            <w:r>
              <w:rPr>
                <w:rFonts w:ascii="Arial" w:cs="Arial" w:eastAsia="Arial" w:hAnsi="Arial"/>
                <w:sz w:val="17"/>
                <w:szCs w:val="17"/>
                <w:color w:val="auto"/>
              </w:rPr>
              <w:t>Undistributed earnings (loss) attributable to all unitholders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5"/>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(37,609)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15,638</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Less: Undistributed earnings attributable to participating securities</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(9,383)</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(18,787)</w:t>
            </w: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ind w:left="240"/>
              <w:spacing w:after="0"/>
              <w:rPr>
                <w:sz w:val="20"/>
                <w:szCs w:val="20"/>
                <w:color w:val="auto"/>
              </w:rPr>
            </w:pPr>
            <w:r>
              <w:rPr>
                <w:rFonts w:ascii="Arial" w:cs="Arial" w:eastAsia="Arial" w:hAnsi="Arial"/>
                <w:sz w:val="17"/>
                <w:szCs w:val="17"/>
                <w:color w:val="auto"/>
              </w:rPr>
              <w:t>Less: Net loss attributable to noncontrolling interests</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(29,867)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80" w:type="dxa"/>
            <w:vAlign w:val="bottom"/>
            <w:gridSpan w:val="5"/>
            <w:vMerge w:val="restart"/>
          </w:tcPr>
          <w:p>
            <w:pPr>
              <w:spacing w:after="0"/>
              <w:rPr>
                <w:sz w:val="20"/>
                <w:szCs w:val="20"/>
                <w:color w:val="auto"/>
              </w:rPr>
            </w:pPr>
            <w:r>
              <w:rPr>
                <w:rFonts w:ascii="Arial" w:cs="Arial" w:eastAsia="Arial" w:hAnsi="Arial"/>
                <w:sz w:val="17"/>
                <w:szCs w:val="17"/>
                <w:color w:val="auto"/>
              </w:rPr>
              <w:t>Net income (loss) attributable to Viant Technology Inc./common unitholders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980" w:type="dxa"/>
            <w:vAlign w:val="bottom"/>
            <w:gridSpan w:val="5"/>
            <w:vMerge w:val="continue"/>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(7,742)</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6,255</w:t>
            </w:r>
          </w:p>
        </w:tc>
        <w:tc>
          <w:tcPr>
            <w:tcW w:w="240" w:type="dxa"/>
            <w:vAlign w:val="bottom"/>
          </w:tcPr>
          <w:p>
            <w:pPr>
              <w:spacing w:after="0"/>
              <w:rPr>
                <w:sz w:val="21"/>
                <w:szCs w:val="21"/>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8,579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5980" w:type="dxa"/>
            <w:vAlign w:val="bottom"/>
            <w:tcBorders>
              <w:top w:val="single" w:sz="8" w:color="CFF0FC"/>
            </w:tcBorders>
            <w:gridSpan w:val="5"/>
            <w:shd w:val="clear" w:color="auto" w:fill="CFF0FC"/>
          </w:tcPr>
          <w:p>
            <w:pPr>
              <w:spacing w:after="0" w:line="154" w:lineRule="exact"/>
              <w:rPr>
                <w:sz w:val="20"/>
                <w:szCs w:val="20"/>
                <w:color w:val="auto"/>
              </w:rPr>
            </w:pPr>
            <w:r>
              <w:rPr>
                <w:rFonts w:ascii="Arial" w:cs="Arial" w:eastAsia="Arial" w:hAnsi="Arial"/>
                <w:sz w:val="17"/>
                <w:szCs w:val="17"/>
                <w:b w:val="1"/>
                <w:bCs w:val="1"/>
                <w:i w:val="1"/>
                <w:iCs w:val="1"/>
                <w:color w:val="auto"/>
              </w:rPr>
              <w:t>Denominator</w:t>
            </w:r>
          </w:p>
        </w:tc>
        <w:tc>
          <w:tcPr>
            <w:tcW w:w="2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8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0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40" w:type="dxa"/>
            <w:vAlign w:val="bottom"/>
            <w:tcBorders>
              <w:right w:val="single" w:sz="8" w:color="CFF0FC"/>
            </w:tcBorders>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980" w:type="dxa"/>
            <w:vAlign w:val="bottom"/>
            <w:tcBorders>
              <w:bottom w:val="single" w:sz="8" w:color="CFF0FC"/>
            </w:tcBorders>
            <w:gridSpan w:val="5"/>
          </w:tcPr>
          <w:p>
            <w:pPr>
              <w:spacing w:after="0"/>
              <w:rPr>
                <w:sz w:val="20"/>
                <w:szCs w:val="20"/>
                <w:color w:val="auto"/>
              </w:rPr>
            </w:pPr>
            <w:r>
              <w:rPr>
                <w:rFonts w:ascii="Arial" w:cs="Arial" w:eastAsia="Arial" w:hAnsi="Arial"/>
                <w:sz w:val="17"/>
                <w:szCs w:val="17"/>
                <w:color w:val="auto"/>
              </w:rPr>
              <w:t>Weighted-average shares of Class A common stock/units outstanding—basic</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12,364</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gridSpan w:val="5"/>
            <w:shd w:val="clear" w:color="auto" w:fill="CFF0FC"/>
          </w:tcPr>
          <w:p>
            <w:pPr>
              <w:spacing w:after="0"/>
              <w:rPr>
                <w:sz w:val="20"/>
                <w:szCs w:val="20"/>
                <w:color w:val="auto"/>
              </w:rPr>
            </w:pPr>
            <w:r>
              <w:rPr>
                <w:rFonts w:ascii="Arial" w:cs="Arial" w:eastAsia="Arial" w:hAnsi="Arial"/>
                <w:sz w:val="17"/>
                <w:szCs w:val="17"/>
                <w:color w:val="auto"/>
              </w:rPr>
              <w:t>Effect of dilutive securities: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Convertible preferred units</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ind w:left="240"/>
              <w:spacing w:after="0"/>
              <w:rPr>
                <w:sz w:val="20"/>
                <w:szCs w:val="20"/>
                <w:color w:val="auto"/>
              </w:rPr>
            </w:pPr>
            <w:r>
              <w:rPr>
                <w:rFonts w:ascii="Arial" w:cs="Arial" w:eastAsia="Arial" w:hAnsi="Arial"/>
                <w:sz w:val="17"/>
                <w:szCs w:val="17"/>
                <w:color w:val="auto"/>
              </w:rPr>
              <w:t>Incentive common units</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80" w:type="dxa"/>
            <w:vAlign w:val="bottom"/>
            <w:tcBorders>
              <w:bottom w:val="single" w:sz="8" w:color="CFF0FC"/>
            </w:tcBorders>
            <w:gridSpan w:val="5"/>
          </w:tcPr>
          <w:p>
            <w:pPr>
              <w:spacing w:after="0"/>
              <w:rPr>
                <w:sz w:val="20"/>
                <w:szCs w:val="20"/>
                <w:color w:val="auto"/>
              </w:rPr>
            </w:pPr>
            <w:r>
              <w:rPr>
                <w:rFonts w:ascii="Arial" w:cs="Arial" w:eastAsia="Arial" w:hAnsi="Arial"/>
                <w:sz w:val="17"/>
                <w:szCs w:val="17"/>
                <w:color w:val="auto"/>
              </w:rPr>
              <w:t>Weighted-average shares of Class A common stock/units outstanding—diluted</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12,364</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gridSpan w:val="3"/>
            <w:shd w:val="clear" w:color="auto" w:fill="CFF0FC"/>
          </w:tcPr>
          <w:p>
            <w:pPr>
              <w:spacing w:after="0" w:line="154" w:lineRule="exact"/>
              <w:rPr>
                <w:sz w:val="20"/>
                <w:szCs w:val="20"/>
                <w:color w:val="auto"/>
              </w:rPr>
            </w:pPr>
            <w:r>
              <w:rPr>
                <w:rFonts w:ascii="Arial" w:cs="Arial" w:eastAsia="Arial" w:hAnsi="Arial"/>
                <w:sz w:val="17"/>
                <w:szCs w:val="17"/>
                <w:b w:val="1"/>
                <w:bCs w:val="1"/>
                <w:i w:val="1"/>
                <w:iCs w:val="1"/>
                <w:color w:val="auto"/>
                <w:w w:val="85"/>
              </w:rPr>
              <w:t>Earnings (loss) per Class A common stock/unit—basic</w:t>
            </w:r>
          </w:p>
        </w:tc>
        <w:tc>
          <w:tcPr>
            <w:tcW w:w="2200" w:type="dxa"/>
            <w:vAlign w:val="bottom"/>
            <w:tcBorders>
              <w:bottom w:val="single" w:sz="8" w:color="CFF0FC"/>
            </w:tcBorders>
            <w:gridSpan w:val="2"/>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spacing w:after="0"/>
              <w:rPr>
                <w:sz w:val="20"/>
                <w:szCs w:val="20"/>
                <w:color w:val="auto"/>
              </w:rPr>
            </w:pPr>
            <w:r>
              <w:rPr>
                <w:rFonts w:ascii="Arial" w:cs="Arial" w:eastAsia="Arial" w:hAnsi="Arial"/>
                <w:sz w:val="17"/>
                <w:szCs w:val="17"/>
                <w:color w:val="auto"/>
              </w:rPr>
              <w:t>Distributed earnings per unit—basic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5.00</w:t>
            </w:r>
          </w:p>
        </w:tc>
        <w:tc>
          <w:tcPr>
            <w:tcW w:w="2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spacing w:after="0"/>
              <w:rPr>
                <w:sz w:val="20"/>
                <w:szCs w:val="20"/>
                <w:color w:val="auto"/>
              </w:rPr>
            </w:pPr>
            <w:r>
              <w:rPr>
                <w:rFonts w:ascii="Arial" w:cs="Arial" w:eastAsia="Arial" w:hAnsi="Arial"/>
                <w:sz w:val="17"/>
                <w:szCs w:val="17"/>
                <w:color w:val="auto"/>
              </w:rPr>
              <w:t>Undistributed earnings (loss) per unit—basic</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(0.63)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15.64</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5"/>
            <w:vMerge w:val="restart"/>
          </w:tcPr>
          <w:p>
            <w:pPr>
              <w:spacing w:after="0"/>
              <w:rPr>
                <w:sz w:val="20"/>
                <w:szCs w:val="20"/>
                <w:color w:val="auto"/>
              </w:rPr>
            </w:pPr>
            <w:r>
              <w:rPr>
                <w:rFonts w:ascii="Arial" w:cs="Arial" w:eastAsia="Arial" w:hAnsi="Arial"/>
                <w:sz w:val="17"/>
                <w:szCs w:val="17"/>
                <w:color w:val="auto"/>
              </w:rPr>
              <w:t>Total earnings (loss) per Class A common stock/unit—basic</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980" w:type="dxa"/>
            <w:vAlign w:val="bottom"/>
            <w:gridSpan w:val="5"/>
            <w:vMerge w:val="continue"/>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(0.63)</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20.64</w:t>
            </w:r>
          </w:p>
        </w:tc>
        <w:tc>
          <w:tcPr>
            <w:tcW w:w="240" w:type="dxa"/>
            <w:vAlign w:val="bottom"/>
          </w:tcPr>
          <w:p>
            <w:pPr>
              <w:spacing w:after="0"/>
              <w:rPr>
                <w:sz w:val="21"/>
                <w:szCs w:val="21"/>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5980" w:type="dxa"/>
            <w:vAlign w:val="bottom"/>
            <w:tcBorders>
              <w:top w:val="single" w:sz="8" w:color="CFF0FC"/>
            </w:tcBorders>
            <w:gridSpan w:val="5"/>
            <w:shd w:val="clear" w:color="auto" w:fill="CFF0FC"/>
          </w:tcPr>
          <w:p>
            <w:pPr>
              <w:spacing w:after="0" w:line="154" w:lineRule="exact"/>
              <w:rPr>
                <w:sz w:val="20"/>
                <w:szCs w:val="20"/>
                <w:color w:val="auto"/>
              </w:rPr>
            </w:pPr>
            <w:r>
              <w:rPr>
                <w:rFonts w:ascii="Arial" w:cs="Arial" w:eastAsia="Arial" w:hAnsi="Arial"/>
                <w:sz w:val="17"/>
                <w:szCs w:val="17"/>
                <w:b w:val="1"/>
                <w:bCs w:val="1"/>
                <w:i w:val="1"/>
                <w:iCs w:val="1"/>
                <w:color w:val="auto"/>
              </w:rPr>
              <w:t>Earnings (loss) per Class A common stock/unit—diluted</w:t>
            </w:r>
          </w:p>
        </w:tc>
        <w:tc>
          <w:tcPr>
            <w:tcW w:w="2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8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40" w:type="dxa"/>
            <w:vAlign w:val="bottom"/>
            <w:tcBorders>
              <w:right w:val="single" w:sz="8" w:color="CFF0FC"/>
            </w:tcBorders>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5980" w:type="dxa"/>
            <w:vAlign w:val="bottom"/>
            <w:gridSpan w:val="5"/>
          </w:tcPr>
          <w:p>
            <w:pPr>
              <w:spacing w:after="0"/>
              <w:rPr>
                <w:sz w:val="20"/>
                <w:szCs w:val="20"/>
                <w:color w:val="auto"/>
              </w:rPr>
            </w:pPr>
            <w:r>
              <w:rPr>
                <w:rFonts w:ascii="Arial" w:cs="Arial" w:eastAsia="Arial" w:hAnsi="Arial"/>
                <w:sz w:val="17"/>
                <w:szCs w:val="17"/>
                <w:color w:val="auto"/>
              </w:rPr>
              <w:t>Total earnings (loss) per Class A common stock/unit—diluted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(0.63)</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20.64</w:t>
            </w:r>
          </w:p>
        </w:tc>
        <w:tc>
          <w:tcPr>
            <w:tcW w:w="240" w:type="dxa"/>
            <w:vAlign w:val="bottom"/>
          </w:tcPr>
          <w:p>
            <w:pPr>
              <w:spacing w:after="0"/>
              <w:rPr>
                <w:sz w:val="22"/>
                <w:szCs w:val="22"/>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5980" w:type="dxa"/>
            <w:vAlign w:val="bottom"/>
            <w:tcBorders>
              <w:top w:val="single" w:sz="8" w:color="CFF0FC"/>
            </w:tcBorders>
            <w:gridSpan w:val="5"/>
            <w:shd w:val="clear" w:color="auto" w:fill="CFF0FC"/>
          </w:tcPr>
          <w:p>
            <w:pPr>
              <w:spacing w:after="0" w:line="180" w:lineRule="exact"/>
              <w:rPr>
                <w:sz w:val="20"/>
                <w:szCs w:val="20"/>
                <w:color w:val="auto"/>
              </w:rPr>
            </w:pPr>
            <w:r>
              <w:rPr>
                <w:rFonts w:ascii="Arial" w:cs="Arial" w:eastAsia="Arial" w:hAnsi="Arial"/>
                <w:sz w:val="17"/>
                <w:szCs w:val="17"/>
                <w:color w:val="auto"/>
                <w:w w:val="93"/>
              </w:rPr>
              <w:t>Anti-dilutive shares/units excluded from earnings (loss) per share of Class A common</w:t>
            </w:r>
          </w:p>
        </w:tc>
        <w:tc>
          <w:tcPr>
            <w:tcW w:w="2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right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spacing w:after="0"/>
              <w:rPr>
                <w:sz w:val="20"/>
                <w:szCs w:val="20"/>
                <w:color w:val="auto"/>
              </w:rPr>
            </w:pPr>
            <w:r>
              <w:rPr>
                <w:rFonts w:ascii="Arial" w:cs="Arial" w:eastAsia="Arial" w:hAnsi="Arial"/>
                <w:sz w:val="17"/>
                <w:szCs w:val="17"/>
                <w:color w:val="auto"/>
              </w:rPr>
              <w:t>stock/unit—diluted: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Convertible preferred units</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ind w:left="240"/>
              <w:spacing w:after="0"/>
              <w:rPr>
                <w:sz w:val="20"/>
                <w:szCs w:val="20"/>
                <w:color w:val="auto"/>
              </w:rPr>
            </w:pPr>
            <w:r>
              <w:rPr>
                <w:rFonts w:ascii="Arial" w:cs="Arial" w:eastAsia="Arial" w:hAnsi="Arial"/>
                <w:sz w:val="17"/>
                <w:szCs w:val="17"/>
                <w:color w:val="auto"/>
              </w:rPr>
              <w:t>Incentive common units</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Restricted stock units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ind w:left="240"/>
              <w:spacing w:after="0"/>
              <w:rPr>
                <w:sz w:val="20"/>
                <w:szCs w:val="20"/>
                <w:color w:val="auto"/>
              </w:rPr>
            </w:pPr>
            <w:r>
              <w:rPr>
                <w:rFonts w:ascii="Arial" w:cs="Arial" w:eastAsia="Arial" w:hAnsi="Arial"/>
                <w:sz w:val="17"/>
                <w:szCs w:val="17"/>
                <w:color w:val="auto"/>
              </w:rPr>
              <w:t>Nonqualified stock options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80" w:type="dxa"/>
            <w:vAlign w:val="bottom"/>
            <w:gridSpan w:val="5"/>
          </w:tcPr>
          <w:p>
            <w:pPr>
              <w:ind w:left="240"/>
              <w:spacing w:after="0"/>
              <w:rPr>
                <w:sz w:val="20"/>
                <w:szCs w:val="20"/>
                <w:color w:val="auto"/>
              </w:rPr>
            </w:pPr>
            <w:r>
              <w:rPr>
                <w:rFonts w:ascii="Arial" w:cs="Arial" w:eastAsia="Arial" w:hAnsi="Arial"/>
                <w:sz w:val="17"/>
                <w:szCs w:val="17"/>
                <w:color w:val="auto"/>
              </w:rPr>
              <w:t>Shares of Class B common stock</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80" w:type="dxa"/>
            <w:vAlign w:val="bottom"/>
            <w:tcBorders>
              <w:top w:val="single" w:sz="8" w:color="CFF0FC"/>
            </w:tcBorders>
            <w:gridSpan w:val="5"/>
            <w:shd w:val="clear" w:color="auto" w:fill="CFF0FC"/>
          </w:tcPr>
          <w:p>
            <w:pPr>
              <w:spacing w:after="0" w:line="194" w:lineRule="exact"/>
              <w:rPr>
                <w:sz w:val="20"/>
                <w:szCs w:val="20"/>
                <w:color w:val="auto"/>
              </w:rPr>
            </w:pPr>
            <w:r>
              <w:rPr>
                <w:rFonts w:ascii="Arial" w:cs="Arial" w:eastAsia="Arial" w:hAnsi="Arial"/>
                <w:sz w:val="17"/>
                <w:szCs w:val="17"/>
                <w:color w:val="auto"/>
                <w:w w:val="92"/>
              </w:rPr>
              <w:t>Total shares excluded from earnings (loss) per share of Class A common stock/unit—</w:t>
            </w: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right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80" w:type="dxa"/>
            <w:vAlign w:val="bottom"/>
            <w:gridSpan w:val="5"/>
            <w:shd w:val="clear" w:color="auto" w:fill="CFF0FC"/>
          </w:tcPr>
          <w:p>
            <w:pPr>
              <w:spacing w:after="0"/>
              <w:rPr>
                <w:sz w:val="20"/>
                <w:szCs w:val="20"/>
                <w:color w:val="auto"/>
              </w:rPr>
            </w:pPr>
            <w:r>
              <w:rPr>
                <w:rFonts w:ascii="Arial" w:cs="Arial" w:eastAsia="Arial" w:hAnsi="Arial"/>
                <w:sz w:val="17"/>
                <w:szCs w:val="17"/>
                <w:color w:val="auto"/>
              </w:rPr>
              <w:t>diluted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12. Noncontrolling Interests</w:t>
      </w:r>
    </w:p>
    <w:p>
      <w:pPr>
        <w:spacing w:after="0" w:line="110" w:lineRule="exact"/>
        <w:rPr>
          <w:sz w:val="20"/>
          <w:szCs w:val="20"/>
          <w:color w:val="auto"/>
        </w:rPr>
      </w:pPr>
    </w:p>
    <w:p>
      <w:pPr>
        <w:ind w:firstLine="425"/>
        <w:spacing w:after="0" w:line="281" w:lineRule="auto"/>
        <w:rPr>
          <w:sz w:val="20"/>
          <w:szCs w:val="20"/>
          <w:color w:val="auto"/>
        </w:rPr>
      </w:pPr>
      <w:r>
        <w:rPr>
          <w:rFonts w:ascii="Arial" w:cs="Arial" w:eastAsia="Arial" w:hAnsi="Arial"/>
          <w:sz w:val="16"/>
          <w:szCs w:val="16"/>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6"/>
          <w:szCs w:val="16"/>
          <w:color w:val="000000"/>
        </w:rPr>
        <w:t>The Viant Technology</w:t>
      </w:r>
      <w:r>
        <w:rPr>
          <w:rFonts w:ascii="Arial" w:cs="Arial" w:eastAsia="Arial" w:hAnsi="Arial"/>
          <w:sz w:val="16"/>
          <w:szCs w:val="16"/>
          <w:color w:val="231F20"/>
        </w:rPr>
        <w:t xml:space="preserve"> </w:t>
      </w:r>
      <w:r>
        <w:rPr>
          <w:rFonts w:ascii="Arial" w:cs="Arial" w:eastAsia="Arial" w:hAnsi="Arial"/>
          <w:sz w:val="16"/>
          <w:szCs w:val="16"/>
          <w:color w:val="000000"/>
        </w:rPr>
        <w:t>LLC Agreement classifies the interests acquired by the Company as Class A units, reclassified the interests held by the continuing</w:t>
      </w:r>
    </w:p>
    <w:p>
      <w:pPr>
        <w:spacing w:after="0" w:line="15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960"/>
          </w:cols>
          <w:pgMar w:left="320" w:top="698" w:right="619" w:bottom="1440" w:gutter="0" w:footer="0" w:header="0"/>
        </w:sectPr>
      </w:pPr>
    </w:p>
    <w:bookmarkStart w:id="119" w:name="page120"/>
    <w:bookmarkEnd w:id="119"/>
    <w:p>
      <w:pPr>
        <w:ind w:right="40"/>
        <w:spacing w:after="0" w:line="251" w:lineRule="auto"/>
        <w:rPr>
          <w:sz w:val="20"/>
          <w:szCs w:val="20"/>
          <w:color w:val="auto"/>
        </w:rPr>
      </w:pPr>
      <w:r>
        <w:rPr>
          <w:rFonts w:ascii="Arial" w:cs="Arial" w:eastAsia="Arial" w:hAnsi="Arial"/>
          <w:sz w:val="17"/>
          <w:szCs w:val="17"/>
          <w:color w:val="auto"/>
        </w:rPr>
        <w:t xml:space="preserve">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 the</w:t>
      </w:r>
      <w:r>
        <w:rPr>
          <w:rFonts w:ascii="Arial" w:cs="Arial" w:eastAsia="Arial" w:hAnsi="Arial"/>
          <w:sz w:val="17"/>
          <w:szCs w:val="17"/>
          <w:color w:val="auto"/>
        </w:rPr>
        <w:t xml:space="preserve"> </w:t>
      </w:r>
      <w:r>
        <w:rPr>
          <w:rFonts w:ascii="Arial" w:cs="Arial" w:eastAsia="Arial" w:hAnsi="Arial"/>
          <w:sz w:val="17"/>
          <w:szCs w:val="17"/>
          <w:color w:val="231F20"/>
        </w:rPr>
        <w:t>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2021 LTIP will result in a change in ownership, where the Company will rebalance the noncontrolling interest balance as of the reporting date, offset by a change in additional-paid-in-capital.</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ownership of Viant Technology LLC:</w:t>
      </w:r>
    </w:p>
    <w:p>
      <w:pPr>
        <w:spacing w:after="0" w:line="388"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2680" w:type="dxa"/>
            <w:vAlign w:val="bottom"/>
            <w:vMerge w:val="restart"/>
          </w:tcPr>
          <w:p>
            <w:pPr>
              <w:spacing w:after="0"/>
              <w:rPr>
                <w:sz w:val="20"/>
                <w:szCs w:val="20"/>
                <w:color w:val="auto"/>
              </w:rPr>
            </w:pPr>
            <w:r>
              <w:rPr>
                <w:rFonts w:ascii="Arial" w:cs="Arial" w:eastAsia="Arial" w:hAnsi="Arial"/>
                <w:sz w:val="13"/>
                <w:szCs w:val="13"/>
                <w:b w:val="1"/>
                <w:bCs w:val="1"/>
                <w:color w:val="auto"/>
              </w:rPr>
              <w:t>Owner</w:t>
            </w:r>
          </w:p>
        </w:tc>
        <w:tc>
          <w:tcPr>
            <w:tcW w:w="3800" w:type="dxa"/>
            <w:vAlign w:val="bottom"/>
            <w:gridSpan w:val="4"/>
          </w:tcPr>
          <w:p>
            <w:pPr>
              <w:jc w:val="right"/>
              <w:ind w:right="1380"/>
              <w:spacing w:after="0"/>
              <w:rPr>
                <w:sz w:val="20"/>
                <w:szCs w:val="20"/>
                <w:color w:val="auto"/>
              </w:rPr>
            </w:pPr>
            <w:r>
              <w:rPr>
                <w:rFonts w:ascii="Arial" w:cs="Arial" w:eastAsia="Arial" w:hAnsi="Arial"/>
                <w:sz w:val="13"/>
                <w:szCs w:val="13"/>
                <w:b w:val="1"/>
                <w:bCs w:val="1"/>
                <w:color w:val="auto"/>
              </w:rPr>
              <w:t>As of December 31, 2021</w:t>
            </w:r>
          </w:p>
        </w:tc>
        <w:tc>
          <w:tcPr>
            <w:tcW w:w="3640" w:type="dxa"/>
            <w:vAlign w:val="bottom"/>
            <w:gridSpan w:val="4"/>
          </w:tcPr>
          <w:p>
            <w:pPr>
              <w:jc w:val="right"/>
              <w:ind w:right="1220"/>
              <w:spacing w:after="0"/>
              <w:rPr>
                <w:sz w:val="20"/>
                <w:szCs w:val="20"/>
                <w:color w:val="auto"/>
              </w:rPr>
            </w:pPr>
            <w:r>
              <w:rPr>
                <w:rFonts w:ascii="Arial" w:cs="Arial" w:eastAsia="Arial" w:hAnsi="Arial"/>
                <w:sz w:val="13"/>
                <w:szCs w:val="13"/>
                <w:b w:val="1"/>
                <w:bCs w:val="1"/>
                <w:color w:val="auto"/>
              </w:rPr>
              <w:t>As of February 12, 2021</w:t>
            </w:r>
          </w:p>
        </w:tc>
        <w:tc>
          <w:tcPr>
            <w:tcW w:w="0" w:type="dxa"/>
            <w:vAlign w:val="bottom"/>
          </w:tcPr>
          <w:p>
            <w:pPr>
              <w:spacing w:after="0"/>
              <w:rPr>
                <w:sz w:val="1"/>
                <w:szCs w:val="1"/>
                <w:color w:val="auto"/>
              </w:rPr>
            </w:pPr>
          </w:p>
        </w:tc>
      </w:tr>
      <w:tr>
        <w:trPr>
          <w:trHeight w:val="144"/>
        </w:trPr>
        <w:tc>
          <w:tcPr>
            <w:tcW w:w="2680" w:type="dxa"/>
            <w:vAlign w:val="bottom"/>
            <w:tcBorders>
              <w:bottom w:val="single" w:sz="8" w:color="CFF0FC"/>
            </w:tcBorders>
            <w:vMerge w:val="continue"/>
          </w:tcPr>
          <w:p>
            <w:pPr>
              <w:spacing w:after="0"/>
              <w:rPr>
                <w:sz w:val="12"/>
                <w:szCs w:val="12"/>
                <w:color w:val="auto"/>
              </w:rPr>
            </w:pPr>
          </w:p>
        </w:tc>
        <w:tc>
          <w:tcPr>
            <w:tcW w:w="1600" w:type="dxa"/>
            <w:vAlign w:val="bottom"/>
            <w:tcBorders>
              <w:top w:val="single" w:sz="8" w:color="auto"/>
              <w:bottom w:val="single" w:sz="8" w:color="auto"/>
            </w:tcBorders>
          </w:tcPr>
          <w:p>
            <w:pPr>
              <w:jc w:val="right"/>
              <w:ind w:right="363"/>
              <w:spacing w:after="0" w:line="144" w:lineRule="exact"/>
              <w:rPr>
                <w:sz w:val="20"/>
                <w:szCs w:val="20"/>
                <w:color w:val="auto"/>
              </w:rPr>
            </w:pPr>
            <w:r>
              <w:rPr>
                <w:rFonts w:ascii="Arial" w:cs="Arial" w:eastAsia="Arial" w:hAnsi="Arial"/>
                <w:sz w:val="13"/>
                <w:szCs w:val="13"/>
                <w:b w:val="1"/>
                <w:bCs w:val="1"/>
                <w:color w:val="auto"/>
              </w:rPr>
              <w:t>Units Owned</w:t>
            </w:r>
          </w:p>
        </w:tc>
        <w:tc>
          <w:tcPr>
            <w:tcW w:w="260" w:type="dxa"/>
            <w:vAlign w:val="bottom"/>
            <w:tcBorders>
              <w:top w:val="single" w:sz="8" w:color="auto"/>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80"/>
              <w:spacing w:after="0" w:line="144" w:lineRule="exact"/>
              <w:rPr>
                <w:sz w:val="20"/>
                <w:szCs w:val="20"/>
                <w:color w:val="auto"/>
              </w:rPr>
            </w:pPr>
            <w:r>
              <w:rPr>
                <w:rFonts w:ascii="Arial" w:cs="Arial" w:eastAsia="Arial" w:hAnsi="Arial"/>
                <w:sz w:val="13"/>
                <w:szCs w:val="13"/>
                <w:b w:val="1"/>
                <w:bCs w:val="1"/>
                <w:color w:val="auto"/>
              </w:rPr>
              <w:t>Ownership Percentage</w:t>
            </w:r>
          </w:p>
        </w:tc>
        <w:tc>
          <w:tcPr>
            <w:tcW w:w="340" w:type="dxa"/>
            <w:vAlign w:val="bottom"/>
            <w:tcBorders>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343"/>
              <w:spacing w:after="0" w:line="144" w:lineRule="exact"/>
              <w:rPr>
                <w:sz w:val="20"/>
                <w:szCs w:val="20"/>
                <w:color w:val="auto"/>
              </w:rPr>
            </w:pPr>
            <w:r>
              <w:rPr>
                <w:rFonts w:ascii="Arial" w:cs="Arial" w:eastAsia="Arial" w:hAnsi="Arial"/>
                <w:sz w:val="13"/>
                <w:szCs w:val="13"/>
                <w:b w:val="1"/>
                <w:bCs w:val="1"/>
                <w:color w:val="auto"/>
              </w:rPr>
              <w:t>Units Owned</w:t>
            </w:r>
          </w:p>
        </w:tc>
        <w:tc>
          <w:tcPr>
            <w:tcW w:w="280" w:type="dxa"/>
            <w:vAlign w:val="bottom"/>
            <w:tcBorders>
              <w:top w:val="single" w:sz="8" w:color="auto"/>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80"/>
              <w:spacing w:after="0" w:line="144" w:lineRule="exact"/>
              <w:rPr>
                <w:sz w:val="20"/>
                <w:szCs w:val="20"/>
                <w:color w:val="auto"/>
              </w:rPr>
            </w:pPr>
            <w:r>
              <w:rPr>
                <w:rFonts w:ascii="Arial" w:cs="Arial" w:eastAsia="Arial" w:hAnsi="Arial"/>
                <w:sz w:val="13"/>
                <w:szCs w:val="13"/>
                <w:b w:val="1"/>
                <w:bCs w:val="1"/>
                <w:color w:val="auto"/>
              </w:rPr>
              <w:t>Ownership Percentage</w:t>
            </w:r>
          </w:p>
        </w:tc>
        <w:tc>
          <w:tcPr>
            <w:tcW w:w="1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Viant Technology Inc.</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13,704,638</w:t>
            </w:r>
          </w:p>
        </w:tc>
        <w:tc>
          <w:tcPr>
            <w:tcW w:w="2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22.5%</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11,500,000</w:t>
            </w:r>
          </w:p>
        </w:tc>
        <w:tc>
          <w:tcPr>
            <w:tcW w:w="2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600" w:type="dxa"/>
            <w:vAlign w:val="bottom"/>
          </w:tcPr>
          <w:p>
            <w:pPr>
              <w:jc w:val="right"/>
              <w:spacing w:after="0"/>
              <w:rPr>
                <w:sz w:val="20"/>
                <w:szCs w:val="20"/>
                <w:color w:val="auto"/>
              </w:rPr>
            </w:pPr>
            <w:r>
              <w:rPr>
                <w:rFonts w:ascii="Arial" w:cs="Arial" w:eastAsia="Arial" w:hAnsi="Arial"/>
                <w:sz w:val="17"/>
                <w:szCs w:val="17"/>
                <w:color w:val="auto"/>
              </w:rPr>
              <w:t>47,107,130</w:t>
            </w:r>
          </w:p>
        </w:tc>
        <w:tc>
          <w:tcPr>
            <w:tcW w:w="2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7"/>
                <w:szCs w:val="17"/>
                <w:color w:val="auto"/>
              </w:rPr>
              <w:t>77.5%</w:t>
            </w:r>
          </w:p>
        </w:tc>
        <w:tc>
          <w:tcPr>
            <w:tcW w:w="1600" w:type="dxa"/>
            <w:vAlign w:val="bottom"/>
          </w:tcPr>
          <w:p>
            <w:pPr>
              <w:jc w:val="right"/>
              <w:spacing w:after="0"/>
              <w:rPr>
                <w:sz w:val="20"/>
                <w:szCs w:val="20"/>
                <w:color w:val="auto"/>
              </w:rPr>
            </w:pPr>
            <w:r>
              <w:rPr>
                <w:rFonts w:ascii="Arial" w:cs="Arial" w:eastAsia="Arial" w:hAnsi="Arial"/>
                <w:sz w:val="17"/>
                <w:szCs w:val="17"/>
                <w:color w:val="auto"/>
              </w:rPr>
              <w:t>47,435,559</w:t>
            </w:r>
          </w:p>
        </w:tc>
        <w:tc>
          <w:tcPr>
            <w:tcW w:w="2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80" w:type="dxa"/>
            <w:vAlign w:val="bottom"/>
            <w:vMerge w:val="continue"/>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60,811,768</w:t>
            </w:r>
          </w:p>
        </w:tc>
        <w:tc>
          <w:tcPr>
            <w:tcW w:w="2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100.0%</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58,935,559</w:t>
            </w:r>
          </w:p>
        </w:tc>
        <w:tc>
          <w:tcPr>
            <w:tcW w:w="2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100" w:firstLine="425"/>
        <w:spacing w:after="0" w:line="252" w:lineRule="auto"/>
        <w:rPr>
          <w:sz w:val="20"/>
          <w:szCs w:val="20"/>
          <w:color w:val="auto"/>
        </w:rPr>
      </w:pPr>
      <w:r>
        <w:rPr>
          <w:rFonts w:ascii="Arial" w:cs="Arial" w:eastAsia="Arial" w:hAnsi="Arial"/>
          <w:sz w:val="17"/>
          <w:szCs w:val="17"/>
          <w:color w:val="231F20"/>
        </w:rPr>
        <w:t>During the year ended December 31, 2021, noncontrolling interests exchanged 0.3 million Class B units of Viant Technology, LLC for 0.3 million shares of the Company’s Class A common stock, which also resulted in the cancellation of 0.3 million shares of the Company’s Class B common stock that was previously held by noncontrolling interests with no additional consideration provided.</w:t>
      </w:r>
    </w:p>
    <w:p>
      <w:pPr>
        <w:ind w:right="520" w:firstLine="425"/>
        <w:spacing w:after="0" w:line="247" w:lineRule="auto"/>
        <w:rPr>
          <w:sz w:val="20"/>
          <w:szCs w:val="20"/>
          <w:color w:val="auto"/>
        </w:rPr>
      </w:pPr>
      <w:r>
        <w:rPr>
          <w:rFonts w:ascii="Arial" w:cs="Arial" w:eastAsia="Arial" w:hAnsi="Arial"/>
          <w:sz w:val="17"/>
          <w:szCs w:val="17"/>
          <w:color w:val="auto"/>
        </w:rPr>
        <w:t>The following table presents the effect of changes in the Company’s ownership interest in Viant Technology LLC on the Company’s equity for the period indicated:</w:t>
      </w:r>
    </w:p>
    <w:p>
      <w:pPr>
        <w:sectPr>
          <w:pgSz w:w="11900" w:h="16838" w:orient="portrait"/>
          <w:cols w:equalWidth="0" w:num="1">
            <w:col w:w="11240"/>
          </w:cols>
          <w:pgMar w:left="320" w:top="429"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 attributable to Viant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-131445</wp:posOffset>
            </wp:positionV>
            <wp:extent cx="6422390" cy="143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22390" cy="14351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Transfers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6422390" cy="263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22390" cy="263525"/>
                    </a:xfrm>
                    <a:prstGeom prst="rect">
                      <a:avLst/>
                    </a:prstGeom>
                    <a:noFill/>
                  </pic:spPr>
                </pic:pic>
              </a:graphicData>
            </a:graphic>
          </wp:anchor>
        </w:drawing>
      </w:r>
    </w:p>
    <w:p>
      <w:pPr>
        <w:ind w:left="700" w:right="2540" w:hanging="125"/>
        <w:spacing w:after="0" w:line="278" w:lineRule="auto"/>
        <w:rPr>
          <w:sz w:val="20"/>
          <w:szCs w:val="20"/>
          <w:color w:val="auto"/>
        </w:rPr>
      </w:pPr>
      <w:r>
        <w:rPr>
          <w:rFonts w:ascii="Arial" w:cs="Arial" w:eastAsia="Arial" w:hAnsi="Arial"/>
          <w:sz w:val="16"/>
          <w:szCs w:val="16"/>
          <w:color w:val="auto"/>
        </w:rPr>
        <w:t>Decrease in the additional-paid-in-capital of Viant Technology Inc. as a result of ownership changes in Viant Technology LLC</w:t>
      </w:r>
    </w:p>
    <w:p>
      <w:pPr>
        <w:spacing w:after="0" w:line="1" w:lineRule="exact"/>
        <w:rPr>
          <w:sz w:val="20"/>
          <w:szCs w:val="20"/>
          <w:color w:val="auto"/>
        </w:rPr>
      </w:pPr>
    </w:p>
    <w:p>
      <w:pPr>
        <w:ind w:left="700" w:right="2680" w:hanging="125"/>
        <w:spacing w:after="0" w:line="269" w:lineRule="auto"/>
        <w:rPr>
          <w:sz w:val="20"/>
          <w:szCs w:val="20"/>
          <w:color w:val="auto"/>
        </w:rPr>
      </w:pPr>
      <w:r>
        <w:rPr>
          <w:rFonts w:ascii="Arial" w:cs="Arial" w:eastAsia="Arial" w:hAnsi="Arial"/>
          <w:sz w:val="17"/>
          <w:szCs w:val="17"/>
          <w:color w:val="auto"/>
        </w:rPr>
        <w:t>Net decrease in equity of Viant Technology Inc. due to equity interest transactions with noncontrolling interests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13.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Lease Commitments</w:t>
      </w:r>
    </w:p>
    <w:p>
      <w:pPr>
        <w:spacing w:after="0" w:line="20" w:lineRule="exact"/>
        <w:rPr>
          <w:sz w:val="20"/>
          <w:szCs w:val="20"/>
          <w:color w:val="auto"/>
        </w:rPr>
      </w:pPr>
      <w:r>
        <w:rPr>
          <w:sz w:val="20"/>
          <w:szCs w:val="20"/>
          <w:color w:val="auto"/>
        </w:rPr>
        <w:br w:type="column"/>
      </w:r>
    </w:p>
    <w:p>
      <w:pPr>
        <w:jc w:val="center"/>
        <w:ind w:right="680"/>
        <w:spacing w:after="0" w:line="233" w:lineRule="auto"/>
        <w:rPr>
          <w:sz w:val="20"/>
          <w:szCs w:val="20"/>
          <w:color w:val="auto"/>
        </w:rPr>
      </w:pPr>
      <w:r>
        <w:rPr>
          <w:rFonts w:ascii="Arial" w:cs="Arial" w:eastAsia="Arial" w:hAnsi="Arial"/>
          <w:sz w:val="13"/>
          <w:szCs w:val="13"/>
          <w:b w:val="1"/>
          <w:bCs w:val="1"/>
          <w:color w:val="auto"/>
        </w:rPr>
        <w:t>Year Ended</w:t>
      </w:r>
    </w:p>
    <w:p>
      <w:pPr>
        <w:jc w:val="center"/>
        <w:ind w:right="680"/>
        <w:spacing w:after="0"/>
        <w:rPr>
          <w:sz w:val="20"/>
          <w:szCs w:val="20"/>
          <w:color w:val="auto"/>
        </w:rPr>
      </w:pP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1238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b w:val="1"/>
          <w:bCs w:val="1"/>
          <w:color w:val="auto"/>
        </w:rPr>
        <w:t>(in thousands)</w:t>
      </w:r>
    </w:p>
    <w:p>
      <w:pPr>
        <w:spacing w:after="0" w:line="14"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(7,742)</w:t>
      </w:r>
    </w:p>
    <w:p>
      <w:pPr>
        <w:spacing w:after="0" w:line="200" w:lineRule="exact"/>
        <w:rPr>
          <w:sz w:val="20"/>
          <w:szCs w:val="20"/>
          <w:color w:val="auto"/>
        </w:rPr>
      </w:pPr>
    </w:p>
    <w:p>
      <w:pPr>
        <w:spacing w:after="0" w:line="25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(44,361)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2382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235"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2382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82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41910</wp:posOffset>
            </wp:positionV>
            <wp:extent cx="12382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330" w:lineRule="exact"/>
        <w:rPr>
          <w:sz w:val="20"/>
          <w:szCs w:val="20"/>
          <w:color w:val="auto"/>
        </w:rPr>
      </w:pPr>
    </w:p>
    <w:p>
      <w:pPr>
        <w:sectPr>
          <w:pgSz w:w="11900" w:h="16838" w:orient="portrait"/>
          <w:cols w:equalWidth="0" w:num="2">
            <w:col w:w="7900" w:space="720"/>
            <w:col w:w="2620"/>
          </w:cols>
          <w:pgMar w:left="320" w:top="429" w:right="339" w:bottom="1440" w:gutter="0" w:footer="0" w:header="0"/>
          <w:type w:val="continuous"/>
        </w:sectPr>
      </w:pPr>
    </w:p>
    <w:p>
      <w:pPr>
        <w:spacing w:after="0" w:line="7"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231F20"/>
        </w:rPr>
        <w:t>Future minimum payments under the Company’s non-cancelable operating leases, which are primarily related to building leases, as of December 31, 2021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Ending December 31,</w:t>
            </w:r>
          </w:p>
        </w:tc>
        <w:tc>
          <w:tcPr>
            <w:tcW w:w="4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5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2023</w:t>
            </w:r>
          </w:p>
        </w:tc>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3,953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4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2025</w:t>
            </w:r>
          </w:p>
        </w:tc>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2026 and thereafter</w:t>
            </w:r>
          </w:p>
        </w:tc>
        <w:tc>
          <w:tcPr>
            <w:tcW w:w="49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16,713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Total minimum payments</w:t>
            </w:r>
          </w:p>
        </w:tc>
        <w:tc>
          <w:tcPr>
            <w:tcW w:w="5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29,756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980" w:type="dxa"/>
            <w:vAlign w:val="bottom"/>
            <w:vMerge w:val="restart"/>
          </w:tcPr>
          <w:p>
            <w:pPr>
              <w:jc w:val="right"/>
              <w:ind w:right="3056"/>
              <w:spacing w:after="0"/>
              <w:rPr>
                <w:sz w:val="20"/>
                <w:szCs w:val="20"/>
                <w:color w:val="auto"/>
              </w:rPr>
            </w:pPr>
            <w:r>
              <w:rPr>
                <w:rFonts w:ascii="Arial" w:cs="Arial" w:eastAsia="Arial" w:hAnsi="Arial"/>
                <w:sz w:val="17"/>
                <w:szCs w:val="17"/>
                <w:color w:val="auto"/>
              </w:rPr>
              <w:t>115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6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231F20"/>
        </w:rPr>
        <w:t>Legal Matters</w:t>
      </w:r>
    </w:p>
    <w:p>
      <w:pPr>
        <w:spacing w:after="0" w:line="207" w:lineRule="exact"/>
        <w:rPr>
          <w:sz w:val="20"/>
          <w:szCs w:val="20"/>
          <w:color w:val="auto"/>
        </w:rPr>
      </w:pPr>
    </w:p>
    <w:p>
      <w:pPr>
        <w:jc w:val="both"/>
        <w:ind w:right="160" w:firstLine="425"/>
        <w:spacing w:after="0" w:line="28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Guarantees and Indemnities</w:t>
      </w:r>
    </w:p>
    <w:p>
      <w:pPr>
        <w:spacing w:after="0" w:line="211" w:lineRule="exact"/>
        <w:rPr>
          <w:sz w:val="20"/>
          <w:szCs w:val="20"/>
          <w:color w:val="auto"/>
        </w:rPr>
      </w:pPr>
    </w:p>
    <w:p>
      <w:pPr>
        <w:ind w:firstLine="425"/>
        <w:spacing w:after="0" w:line="268"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Parties</w:t>
      </w:r>
    </w:p>
    <w:p>
      <w:pPr>
        <w:spacing w:after="0" w:line="211" w:lineRule="exact"/>
        <w:rPr>
          <w:sz w:val="20"/>
          <w:szCs w:val="20"/>
          <w:color w:val="auto"/>
        </w:rPr>
      </w:pPr>
    </w:p>
    <w:p>
      <w:pPr>
        <w:ind w:right="20" w:firstLine="425"/>
        <w:spacing w:after="0" w:line="272" w:lineRule="auto"/>
        <w:rPr>
          <w:sz w:val="20"/>
          <w:szCs w:val="20"/>
          <w:color w:val="auto"/>
        </w:rPr>
      </w:pPr>
      <w:r>
        <w:rPr>
          <w:rFonts w:ascii="Arial" w:cs="Arial" w:eastAsia="Arial" w:hAnsi="Arial"/>
          <w:sz w:val="16"/>
          <w:szCs w:val="16"/>
          <w:color w:val="auto"/>
        </w:rPr>
        <w:t>The Company derives a small percentage of its revenue from Meredith Corporation and its subsidiaries (“Meredith Corporation”), which previously held equity interests in the Company through the Former Holdco. The Company also purchases certain inventory from Meredith Corporation. These purchases and sales are made under standard customer agreements that outline the terms of the transactions. As discussed in Note 8, the Company retired all outstanding shares held by this related party on October 31, 2019 and, as of such date, Meredith Corporation ceased to be a related party to the Company. Accordingly, the Company has excluded all transactions with Meredith Corporation subsequent to October 31, 2019 from the amounts disclosed below.</w:t>
      </w:r>
    </w:p>
    <w:p>
      <w:pPr>
        <w:spacing w:after="0" w:line="165" w:lineRule="exact"/>
        <w:rPr>
          <w:sz w:val="20"/>
          <w:szCs w:val="20"/>
          <w:color w:val="auto"/>
        </w:rPr>
      </w:pPr>
    </w:p>
    <w:p>
      <w:pPr>
        <w:ind w:right="320" w:firstLine="425"/>
        <w:spacing w:after="0" w:line="269" w:lineRule="auto"/>
        <w:rPr>
          <w:sz w:val="20"/>
          <w:szCs w:val="20"/>
          <w:color w:val="auto"/>
        </w:rPr>
      </w:pPr>
      <w:r>
        <w:rPr>
          <w:rFonts w:ascii="Arial" w:cs="Arial" w:eastAsia="Arial" w:hAnsi="Arial"/>
          <w:sz w:val="17"/>
          <w:szCs w:val="17"/>
          <w:color w:val="auto"/>
        </w:rPr>
        <w:t>Related parties incurred a total of $0.3 million in expenses on our behalf during the year ended December 31, 2021 and $0.3 million of these expenses were unpaid and recorded within accounts payable and accrued liabilities as of December 31, 2021.</w:t>
      </w:r>
    </w:p>
    <w:p>
      <w:pPr>
        <w:spacing w:after="0" w:line="166" w:lineRule="exact"/>
        <w:rPr>
          <w:sz w:val="20"/>
          <w:szCs w:val="20"/>
          <w:color w:val="auto"/>
        </w:rPr>
      </w:pPr>
    </w:p>
    <w:p>
      <w:pPr>
        <w:ind w:right="40" w:firstLine="425"/>
        <w:spacing w:after="0" w:line="258" w:lineRule="auto"/>
        <w:rPr>
          <w:sz w:val="20"/>
          <w:szCs w:val="20"/>
          <w:color w:val="auto"/>
        </w:rPr>
      </w:pPr>
      <w:r>
        <w:rPr>
          <w:rFonts w:ascii="Arial" w:cs="Arial" w:eastAsia="Arial" w:hAnsi="Arial"/>
          <w:sz w:val="17"/>
          <w:szCs w:val="17"/>
          <w:color w:val="auto"/>
        </w:rPr>
        <w:t>The Company recorded no revenue from its transactions with related parties during year ended December 31, 2021 and 2020, and $3.7 million during the year ended December 31, 2019. The Company recorded no purchases from related parties during years ended December 31, 2021 and 2020, and $0.3 million during the year ended December 31, 2019.</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2021 and 2020, no amounts were due to or due from related parties, other than those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1" w:lineRule="exact"/>
        <w:rPr>
          <w:sz w:val="20"/>
          <w:szCs w:val="20"/>
          <w:color w:val="auto"/>
        </w:rPr>
      </w:pPr>
    </w:p>
    <w:p>
      <w:pPr>
        <w:ind w:firstLine="589"/>
        <w:spacing w:after="0" w:line="250"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1" w:lineRule="exact"/>
        <w:rPr>
          <w:sz w:val="20"/>
          <w:szCs w:val="20"/>
          <w:color w:val="auto"/>
        </w:rPr>
      </w:pPr>
    </w:p>
    <w:p>
      <w:pPr>
        <w:jc w:val="both"/>
        <w:ind w:right="280" w:firstLine="589"/>
        <w:spacing w:after="0" w:line="25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We maintain internal control over financial reporting designed to provide reasonable assurance regarding the reliability of financial reporting and the preparation of financial statements for external purposes in accordance with GAAP.</w:t>
      </w:r>
    </w:p>
    <w:p>
      <w:pPr>
        <w:spacing w:after="0" w:line="175" w:lineRule="exact"/>
        <w:rPr>
          <w:sz w:val="20"/>
          <w:szCs w:val="20"/>
          <w:color w:val="auto"/>
        </w:rPr>
      </w:pPr>
    </w:p>
    <w:p>
      <w:pPr>
        <w:ind w:right="20" w:firstLine="589"/>
        <w:spacing w:after="0" w:line="291" w:lineRule="auto"/>
        <w:rPr>
          <w:sz w:val="20"/>
          <w:szCs w:val="20"/>
          <w:color w:val="auto"/>
        </w:rPr>
      </w:pPr>
      <w:r>
        <w:rPr>
          <w:rFonts w:ascii="Arial" w:cs="Arial" w:eastAsia="Arial" w:hAnsi="Arial"/>
          <w:sz w:val="15"/>
          <w:szCs w:val="15"/>
          <w:color w:val="auto"/>
        </w:rPr>
        <w:t>Internal control over financial reporting includes maintaining records that, in reasonable detail, accurately and fairly reflect our transactions; providing reasonable assurance that transactions are recorded as necessary for the preparation of consolidated financial statements in accordance with accounting principles generally accepted in the United States of America; providing reasonable assurance that receipts and expenditures of company assets are made in accordance with management authorization; and providing reasonable assurance that unauthorized acquisition, use or disposition of company assets that could have a material effect on the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54" w:lineRule="exact"/>
        <w:rPr>
          <w:sz w:val="20"/>
          <w:szCs w:val="20"/>
          <w:color w:val="auto"/>
        </w:rPr>
      </w:pPr>
    </w:p>
    <w:p>
      <w:pPr>
        <w:ind w:right="220" w:firstLine="589"/>
        <w:spacing w:after="0" w:line="275"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Independent Registered Public Accounting Firm</w:t>
      </w:r>
    </w:p>
    <w:p>
      <w:pPr>
        <w:spacing w:after="0" w:line="211"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1" w:lineRule="exact"/>
        <w:rPr>
          <w:sz w:val="20"/>
          <w:szCs w:val="20"/>
          <w:color w:val="auto"/>
        </w:rPr>
      </w:pPr>
    </w:p>
    <w:p>
      <w:pPr>
        <w:ind w:right="80" w:firstLine="589"/>
        <w:spacing w:after="0" w:line="300" w:lineRule="auto"/>
        <w:rPr>
          <w:sz w:val="20"/>
          <w:szCs w:val="20"/>
          <w:color w:val="auto"/>
        </w:rPr>
      </w:pPr>
      <w:r>
        <w:rPr>
          <w:rFonts w:ascii="Arial" w:cs="Arial" w:eastAsia="Arial" w:hAnsi="Arial"/>
          <w:sz w:val="16"/>
          <w:szCs w:val="16"/>
          <w:color w:val="auto"/>
        </w:rPr>
        <w:t>There was no change in our internal control over financial reporting (as defined in Rules 13a-15(d) and 15d-15(d) under the Exchange Act) during the period covered by this Annual Report that has materially affected, or is reasonably likely to materially affect, our internal control over financial reporting.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i w:val="1"/>
          <w:iCs w:val="1"/>
          <w:color w:val="auto"/>
        </w:rPr>
        <w:t>Limitations on the Effectiveness of Disclosure Controls and Procedures</w:t>
      </w:r>
    </w:p>
    <w:p>
      <w:pPr>
        <w:spacing w:after="0" w:line="207" w:lineRule="exact"/>
        <w:rPr>
          <w:sz w:val="20"/>
          <w:szCs w:val="20"/>
          <w:color w:val="auto"/>
        </w:rPr>
      </w:pPr>
    </w:p>
    <w:p>
      <w:pPr>
        <w:ind w:firstLine="589"/>
        <w:spacing w:after="0" w:line="287"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information required by this item is incorporated by reference to the definitive Proxy Statement for our 2022 Annual Meeting of Stockholders, which will be filed with the SEC no later than 120 days after December 31, 2021.</w:t>
      </w:r>
    </w:p>
    <w:p>
      <w:pPr>
        <w:spacing w:after="0" w:line="166" w:lineRule="exact"/>
        <w:rPr>
          <w:sz w:val="20"/>
          <w:szCs w:val="20"/>
          <w:color w:val="auto"/>
        </w:rPr>
      </w:pPr>
    </w:p>
    <w:p>
      <w:pPr>
        <w:ind w:right="100" w:firstLine="589"/>
        <w:spacing w:after="0" w:line="299" w:lineRule="auto"/>
        <w:rPr>
          <w:sz w:val="20"/>
          <w:szCs w:val="20"/>
          <w:color w:val="auto"/>
        </w:rPr>
      </w:pPr>
      <w:r>
        <w:rPr>
          <w:rFonts w:ascii="Arial" w:cs="Arial" w:eastAsia="Arial" w:hAnsi="Arial"/>
          <w:sz w:val="15"/>
          <w:szCs w:val="15"/>
          <w:color w:val="auto"/>
        </w:rPr>
        <w:t>We have adopted a written Code of Business Conduct and Ethics (our “Code of Conduct”) that applies to all officers, directors and employees, including our principal executive officer, principal financial and accounting officer, or persons performing similar functions. The Code of Conduct is available on our website at www.viantinc.com. If we make any substantive amendments to the Code of Conduct or grant any waiver from a provision of the Code of Conduct to any executive officer or director, we will promptly disclose the nature of the amendment or waiver on our website or in a Current Report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information required by this item is incorporated by reference to the definitive Proxy Statement for our 2022 Annual Meeting of Stockholders, which will be filed with the SEC no later than 120 days after December 31, 2021.</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information required by this item is incorporated by reference to the definitive Proxy Statement for our 2022 Annual Meeting of Stockholders, which will be filed with the SEC no later than 120 days after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information required by this item is incorporated by reference to the definitive Proxy Statement for our 2022 Annual Meeting of Stockholders, which will be filed with the SEC no later than 120 days after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information required by this item is incorporated by reference to the definitive Proxy Statement for our 2022 Annual Meeting of Stockholders, which will be filed with the SEC no later than 120 days after December 31, 2021.</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10" w:lineRule="exact"/>
        <w:rPr>
          <w:sz w:val="20"/>
          <w:szCs w:val="20"/>
          <w:color w:val="auto"/>
        </w:rPr>
      </w:pPr>
    </w:p>
    <w:p>
      <w:pPr>
        <w:ind w:left="1160" w:hanging="581"/>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following documents are filed as a part of this Annual Report:</w:t>
      </w:r>
    </w:p>
    <w:p>
      <w:pPr>
        <w:spacing w:after="0" w:line="106" w:lineRule="exact"/>
        <w:rPr>
          <w:rFonts w:ascii="Arial" w:cs="Arial" w:eastAsia="Arial" w:hAnsi="Arial"/>
          <w:sz w:val="17"/>
          <w:szCs w:val="17"/>
          <w:color w:val="auto"/>
        </w:rPr>
      </w:pPr>
    </w:p>
    <w:p>
      <w:pPr>
        <w:ind w:left="1740" w:hanging="569"/>
        <w:spacing w:after="0"/>
        <w:tabs>
          <w:tab w:leader="none" w:pos="17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06"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7"/>
          <w:szCs w:val="17"/>
          <w:color w:val="auto"/>
        </w:rPr>
        <w:t>See Index to Consolidated Financial Statements at Part II, Item 8 of this Annual Report.</w:t>
      </w:r>
    </w:p>
    <w:p>
      <w:pPr>
        <w:spacing w:after="0" w:line="106" w:lineRule="exact"/>
        <w:rPr>
          <w:rFonts w:ascii="Arial" w:cs="Arial" w:eastAsia="Arial" w:hAnsi="Arial"/>
          <w:sz w:val="17"/>
          <w:szCs w:val="17"/>
          <w:color w:val="auto"/>
        </w:rPr>
      </w:pPr>
    </w:p>
    <w:p>
      <w:pPr>
        <w:ind w:left="1740" w:hanging="569"/>
        <w:spacing w:after="0"/>
        <w:tabs>
          <w:tab w:leader="none" w:pos="17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06" w:lineRule="exact"/>
        <w:rPr>
          <w:rFonts w:ascii="Arial" w:cs="Arial" w:eastAsia="Arial" w:hAnsi="Arial"/>
          <w:sz w:val="17"/>
          <w:szCs w:val="17"/>
          <w:color w:val="auto"/>
        </w:rPr>
      </w:pPr>
    </w:p>
    <w:p>
      <w:pPr>
        <w:ind w:left="1740" w:right="480"/>
        <w:spacing w:after="0" w:line="269" w:lineRule="auto"/>
        <w:rPr>
          <w:rFonts w:ascii="Arial" w:cs="Arial" w:eastAsia="Arial" w:hAnsi="Arial"/>
          <w:sz w:val="17"/>
          <w:szCs w:val="17"/>
          <w:color w:val="auto"/>
        </w:rPr>
      </w:pPr>
      <w:r>
        <w:rPr>
          <w:rFonts w:ascii="Arial" w:cs="Arial" w:eastAsia="Arial" w:hAnsi="Arial"/>
          <w:sz w:val="17"/>
          <w:szCs w:val="17"/>
          <w:color w:val="auto"/>
        </w:rPr>
        <w:t>The financial statement schedules are omitted as they are either not applicable or the information required is presented in the financial statements and notes thereto under Part II, Item 8 of this Annual Report.</w:t>
      </w:r>
    </w:p>
    <w:p>
      <w:pPr>
        <w:spacing w:after="0" w:line="65" w:lineRule="exact"/>
        <w:rPr>
          <w:rFonts w:ascii="Arial" w:cs="Arial" w:eastAsia="Arial" w:hAnsi="Arial"/>
          <w:sz w:val="17"/>
          <w:szCs w:val="17"/>
          <w:color w:val="auto"/>
        </w:rPr>
      </w:pPr>
    </w:p>
    <w:p>
      <w:pPr>
        <w:ind w:left="1740" w:hanging="569"/>
        <w:spacing w:after="0"/>
        <w:tabs>
          <w:tab w:leader="none" w:pos="17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Exhibits: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525" w:right="37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1"/>
        </w:trPr>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gridSpan w:val="23"/>
          </w:tcPr>
          <w:p>
            <w:pPr>
              <w:ind w:left="220"/>
              <w:spacing w:after="0"/>
              <w:rPr>
                <w:sz w:val="20"/>
                <w:szCs w:val="20"/>
                <w:color w:val="auto"/>
              </w:rPr>
            </w:pPr>
            <w:r>
              <w:rPr>
                <w:rFonts w:ascii="Arial" w:cs="Arial" w:eastAsia="Arial" w:hAnsi="Arial"/>
                <w:sz w:val="17"/>
                <w:szCs w:val="17"/>
                <w:color w:val="auto"/>
                <w:w w:val="91"/>
              </w:rPr>
              <w:t>The documents listed in the following Exhibit Index of this Annual Report are incorporated by reference or are filed with this Annual Report,</w:t>
            </w:r>
          </w:p>
        </w:tc>
        <w:tc>
          <w:tcPr>
            <w:tcW w:w="0" w:type="dxa"/>
            <w:vAlign w:val="bottom"/>
          </w:tcPr>
          <w:p>
            <w:pPr>
              <w:spacing w:after="0"/>
              <w:rPr>
                <w:sz w:val="1"/>
                <w:szCs w:val="1"/>
                <w:color w:val="auto"/>
              </w:rPr>
            </w:pPr>
          </w:p>
        </w:tc>
      </w:tr>
      <w:tr>
        <w:trPr>
          <w:trHeight w:val="213"/>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23"/>
          </w:tcPr>
          <w:p>
            <w:pPr>
              <w:ind w:left="220"/>
              <w:spacing w:after="0"/>
              <w:rPr>
                <w:sz w:val="20"/>
                <w:szCs w:val="20"/>
                <w:color w:val="auto"/>
              </w:rPr>
            </w:pPr>
            <w:r>
              <w:rPr>
                <w:rFonts w:ascii="Arial" w:cs="Arial" w:eastAsia="Arial" w:hAnsi="Arial"/>
                <w:sz w:val="17"/>
                <w:szCs w:val="17"/>
                <w:color w:val="auto"/>
              </w:rPr>
              <w:t>in each case as indicated therein (numbered in accordance with Item 601 of Regulation S-K).</w:t>
            </w: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0"/>
                <w:szCs w:val="20"/>
                <w:color w:val="auto"/>
              </w:rPr>
            </w:pPr>
            <w:r>
              <w:rPr>
                <w:rFonts w:ascii="Arial" w:cs="Arial" w:eastAsia="Arial" w:hAnsi="Arial"/>
                <w:sz w:val="17"/>
                <w:szCs w:val="17"/>
                <w:b w:val="1"/>
                <w:bCs w:val="1"/>
                <w:color w:val="auto"/>
              </w:rPr>
              <w:t>Exhibit Index</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440" w:type="dxa"/>
            <w:vAlign w:val="bottom"/>
          </w:tcPr>
          <w:p>
            <w:pPr>
              <w:ind w:left="500"/>
              <w:spacing w:after="0"/>
              <w:rPr>
                <w:sz w:val="20"/>
                <w:szCs w:val="20"/>
                <w:color w:val="auto"/>
              </w:rPr>
            </w:pPr>
            <w:r>
              <w:rPr>
                <w:rFonts w:ascii="Arial" w:cs="Arial" w:eastAsia="Arial" w:hAnsi="Arial"/>
                <w:sz w:val="13"/>
                <w:szCs w:val="13"/>
                <w:b w:val="1"/>
                <w:bCs w:val="1"/>
                <w:color w:val="auto"/>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9"/>
            <w:vMerge w:val="restart"/>
          </w:tcPr>
          <w:p>
            <w:pPr>
              <w:ind w:left="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9"/>
        </w:trPr>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40" w:type="dxa"/>
            <w:vAlign w:val="bottom"/>
          </w:tcPr>
          <w:p>
            <w:pPr>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7"/>
                <w:szCs w:val="17"/>
                <w:color w:val="0000EE"/>
                <w:w w:val="90"/>
              </w:rPr>
            </w:pPr>
            <w:hyperlink r:id="rId159">
              <w:r>
                <w:rPr>
                  <w:rFonts w:ascii="Arial" w:cs="Arial" w:eastAsia="Arial" w:hAnsi="Arial"/>
                  <w:sz w:val="17"/>
                  <w:szCs w:val="17"/>
                  <w:color w:val="0000EE"/>
                  <w:w w:val="90"/>
                </w:rPr>
                <w:t>Amended and Restated Certificate of Incorporation of Viant Technology Inc. (incorporated by reference to Exhibit 3.1 to the Company’s Annual</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gridSpan w:val="24"/>
          </w:tcPr>
          <w:p>
            <w:pPr>
              <w:spacing w:after="0" w:line="181" w:lineRule="exact"/>
              <w:rPr>
                <w:rFonts w:ascii="Arial" w:cs="Arial" w:eastAsia="Arial" w:hAnsi="Arial"/>
                <w:sz w:val="17"/>
                <w:szCs w:val="17"/>
                <w:color w:val="0000EE"/>
              </w:rPr>
            </w:pPr>
            <w:hyperlink r:id="rId159">
              <w:r>
                <w:rPr>
                  <w:rFonts w:ascii="Arial" w:cs="Arial" w:eastAsia="Arial" w:hAnsi="Arial"/>
                  <w:sz w:val="17"/>
                  <w:szCs w:val="17"/>
                  <w:color w:val="0000EE"/>
                </w:rPr>
                <w:t>Report on Form 10-K (File No. 001-40015) for the year ended December 31, 2020, filed on March 23, 2021)</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3.2</w:t>
            </w:r>
          </w:p>
        </w:tc>
        <w:tc>
          <w:tcPr>
            <w:tcW w:w="60" w:type="dxa"/>
            <w:vAlign w:val="bottom"/>
          </w:tcPr>
          <w:p>
            <w:pPr>
              <w:spacing w:after="0"/>
              <w:rPr>
                <w:sz w:val="16"/>
                <w:szCs w:val="16"/>
                <w:color w:val="auto"/>
              </w:rPr>
            </w:pPr>
          </w:p>
        </w:tc>
        <w:tc>
          <w:tcPr>
            <w:tcW w:w="9740" w:type="dxa"/>
            <w:vAlign w:val="bottom"/>
            <w:tcBorders>
              <w:bottom w:val="single" w:sz="8" w:color="0000EE"/>
            </w:tcBorders>
            <w:gridSpan w:val="24"/>
          </w:tcPr>
          <w:p>
            <w:pPr>
              <w:spacing w:after="0" w:line="194" w:lineRule="exact"/>
              <w:rPr>
                <w:rFonts w:ascii="Arial" w:cs="Arial" w:eastAsia="Arial" w:hAnsi="Arial"/>
                <w:sz w:val="17"/>
                <w:szCs w:val="17"/>
                <w:color w:val="0000EE"/>
                <w:w w:val="90"/>
              </w:rPr>
            </w:pPr>
            <w:hyperlink r:id="rId160">
              <w:r>
                <w:rPr>
                  <w:rFonts w:ascii="Arial" w:cs="Arial" w:eastAsia="Arial" w:hAnsi="Arial"/>
                  <w:sz w:val="17"/>
                  <w:szCs w:val="17"/>
                  <w:color w:val="0000EE"/>
                  <w:w w:val="90"/>
                </w:rPr>
                <w:t>Amended and Restated Bylaws of Viant Technology Inc. (incorporated by reference to Exhibit 3.2 to the Company’s Annual Report on Form 10-</w:t>
              </w:r>
            </w:hyperlink>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bottom w:val="single" w:sz="8" w:color="0000EE"/>
            </w:tcBorders>
            <w:gridSpan w:val="7"/>
          </w:tcPr>
          <w:p>
            <w:pPr>
              <w:spacing w:after="0" w:line="181" w:lineRule="exact"/>
              <w:rPr>
                <w:rFonts w:ascii="Arial" w:cs="Arial" w:eastAsia="Arial" w:hAnsi="Arial"/>
                <w:sz w:val="17"/>
                <w:szCs w:val="17"/>
                <w:color w:val="0000EE"/>
                <w:w w:val="90"/>
              </w:rPr>
            </w:pPr>
            <w:hyperlink r:id="rId160">
              <w:r>
                <w:rPr>
                  <w:rFonts w:ascii="Arial" w:cs="Arial" w:eastAsia="Arial" w:hAnsi="Arial"/>
                  <w:sz w:val="17"/>
                  <w:szCs w:val="17"/>
                  <w:color w:val="0000EE"/>
                  <w:w w:val="90"/>
                </w:rPr>
                <w:t>K (File No. 001-40015) for the year ended December 31, 2020, filed on March 23, 2021)</w:t>
              </w:r>
            </w:hyperlink>
          </w:p>
        </w:tc>
        <w:tc>
          <w:tcPr>
            <w:tcW w:w="37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4.1</w:t>
            </w:r>
          </w:p>
        </w:tc>
        <w:tc>
          <w:tcPr>
            <w:tcW w:w="60" w:type="dxa"/>
            <w:vAlign w:val="bottom"/>
          </w:tcPr>
          <w:p>
            <w:pPr>
              <w:spacing w:after="0"/>
              <w:rPr>
                <w:sz w:val="16"/>
                <w:szCs w:val="16"/>
                <w:color w:val="auto"/>
              </w:rPr>
            </w:pPr>
          </w:p>
        </w:tc>
        <w:tc>
          <w:tcPr>
            <w:tcW w:w="9660" w:type="dxa"/>
            <w:vAlign w:val="bottom"/>
            <w:tcBorders>
              <w:bottom w:val="single" w:sz="8" w:color="0000EE"/>
            </w:tcBorders>
            <w:gridSpan w:val="21"/>
          </w:tcPr>
          <w:p>
            <w:pPr>
              <w:spacing w:after="0" w:line="194" w:lineRule="exact"/>
              <w:rPr>
                <w:rFonts w:ascii="Arial" w:cs="Arial" w:eastAsia="Arial" w:hAnsi="Arial"/>
                <w:sz w:val="17"/>
                <w:szCs w:val="17"/>
                <w:color w:val="0000EE"/>
                <w:w w:val="90"/>
              </w:rPr>
            </w:pPr>
            <w:hyperlink r:id="rId161">
              <w:r>
                <w:rPr>
                  <w:rFonts w:ascii="Arial" w:cs="Arial" w:eastAsia="Arial" w:hAnsi="Arial"/>
                  <w:sz w:val="17"/>
                  <w:szCs w:val="17"/>
                  <w:color w:val="0000EE"/>
                  <w:w w:val="90"/>
                </w:rPr>
                <w:t>Description of Securities (incorporated by reference to Exhibit 4.1 to the Company’s Annual Report on Form 10-K (File No. 001-40015) for the</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60" w:type="dxa"/>
            <w:vAlign w:val="bottom"/>
            <w:tcBorders>
              <w:bottom w:val="single" w:sz="8" w:color="0000EE"/>
            </w:tcBorders>
            <w:gridSpan w:val="4"/>
          </w:tcPr>
          <w:p>
            <w:pPr>
              <w:spacing w:after="0" w:line="181" w:lineRule="exact"/>
              <w:rPr>
                <w:rFonts w:ascii="Arial" w:cs="Arial" w:eastAsia="Arial" w:hAnsi="Arial"/>
                <w:sz w:val="17"/>
                <w:szCs w:val="17"/>
                <w:color w:val="0000EE"/>
                <w:w w:val="88"/>
              </w:rPr>
            </w:pPr>
            <w:hyperlink r:id="rId161">
              <w:r>
                <w:rPr>
                  <w:rFonts w:ascii="Arial" w:cs="Arial" w:eastAsia="Arial" w:hAnsi="Arial"/>
                  <w:sz w:val="17"/>
                  <w:szCs w:val="17"/>
                  <w:color w:val="0000EE"/>
                  <w:w w:val="88"/>
                </w:rPr>
                <w:t>year ended December 31, 2020, filed on March 23, 2021)</w:t>
              </w:r>
            </w:hyperlink>
          </w:p>
        </w:tc>
        <w:tc>
          <w:tcPr>
            <w:tcW w:w="58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10.1</w:t>
            </w:r>
          </w:p>
        </w:tc>
        <w:tc>
          <w:tcPr>
            <w:tcW w:w="60" w:type="dxa"/>
            <w:vAlign w:val="bottom"/>
          </w:tcPr>
          <w:p>
            <w:pPr>
              <w:spacing w:after="0"/>
              <w:rPr>
                <w:sz w:val="16"/>
                <w:szCs w:val="16"/>
                <w:color w:val="auto"/>
              </w:rPr>
            </w:pPr>
          </w:p>
        </w:tc>
        <w:tc>
          <w:tcPr>
            <w:tcW w:w="9700" w:type="dxa"/>
            <w:vAlign w:val="bottom"/>
            <w:tcBorders>
              <w:bottom w:val="single" w:sz="8" w:color="0000EE"/>
            </w:tcBorders>
            <w:gridSpan w:val="22"/>
          </w:tcPr>
          <w:p>
            <w:pPr>
              <w:spacing w:after="0" w:line="194" w:lineRule="exact"/>
              <w:rPr>
                <w:rFonts w:ascii="Arial" w:cs="Arial" w:eastAsia="Arial" w:hAnsi="Arial"/>
                <w:sz w:val="17"/>
                <w:szCs w:val="17"/>
                <w:color w:val="0000EE"/>
                <w:w w:val="90"/>
              </w:rPr>
            </w:pPr>
            <w:hyperlink r:id="rId162">
              <w:r>
                <w:rPr>
                  <w:rFonts w:ascii="Arial" w:cs="Arial" w:eastAsia="Arial" w:hAnsi="Arial"/>
                  <w:sz w:val="17"/>
                  <w:szCs w:val="17"/>
                  <w:color w:val="0000EE"/>
                  <w:w w:val="90"/>
                </w:rPr>
                <w:t>Second Amended and Restated Limited Liability Company Agreement of Viant Technology LLC, dated as of February 9, 2021 (incorporated by</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20" w:type="dxa"/>
            <w:vAlign w:val="bottom"/>
            <w:tcBorders>
              <w:bottom w:val="single" w:sz="8" w:color="0000EE"/>
            </w:tcBorders>
            <w:gridSpan w:val="20"/>
          </w:tcPr>
          <w:p>
            <w:pPr>
              <w:spacing w:after="0" w:line="181" w:lineRule="exact"/>
              <w:rPr>
                <w:rFonts w:ascii="Arial" w:cs="Arial" w:eastAsia="Arial" w:hAnsi="Arial"/>
                <w:sz w:val="17"/>
                <w:szCs w:val="17"/>
                <w:color w:val="0000EE"/>
                <w:w w:val="90"/>
              </w:rPr>
            </w:pPr>
            <w:hyperlink r:id="rId162">
              <w:r>
                <w:rPr>
                  <w:rFonts w:ascii="Arial" w:cs="Arial" w:eastAsia="Arial" w:hAnsi="Arial"/>
                  <w:sz w:val="17"/>
                  <w:szCs w:val="17"/>
                  <w:color w:val="0000EE"/>
                  <w:w w:val="90"/>
                </w:rPr>
                <w:t>reference to Exhibit 10.1 to the Company’s Annual Report on Form 10-K (File No. 001-40015) for the year ended December 31, 2020, filed on</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81" w:lineRule="exact"/>
              <w:rPr>
                <w:rFonts w:ascii="Arial" w:cs="Arial" w:eastAsia="Arial" w:hAnsi="Arial"/>
                <w:sz w:val="17"/>
                <w:szCs w:val="17"/>
                <w:color w:val="0000EE"/>
                <w:w w:val="88"/>
              </w:rPr>
            </w:pPr>
            <w:hyperlink r:id="rId162">
              <w:r>
                <w:rPr>
                  <w:rFonts w:ascii="Arial" w:cs="Arial" w:eastAsia="Arial" w:hAnsi="Arial"/>
                  <w:sz w:val="17"/>
                  <w:szCs w:val="17"/>
                  <w:color w:val="0000EE"/>
                  <w:w w:val="88"/>
                </w:rPr>
                <w:t>March 23, 2021)</w:t>
              </w:r>
            </w:hyperlink>
          </w:p>
        </w:tc>
        <w:tc>
          <w:tcPr>
            <w:tcW w:w="862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10.2</w:t>
            </w:r>
          </w:p>
        </w:tc>
        <w:tc>
          <w:tcPr>
            <w:tcW w:w="60" w:type="dxa"/>
            <w:vAlign w:val="bottom"/>
          </w:tcPr>
          <w:p>
            <w:pPr>
              <w:spacing w:after="0"/>
              <w:rPr>
                <w:sz w:val="16"/>
                <w:szCs w:val="16"/>
                <w:color w:val="auto"/>
              </w:rPr>
            </w:pPr>
          </w:p>
        </w:tc>
        <w:tc>
          <w:tcPr>
            <w:tcW w:w="9720" w:type="dxa"/>
            <w:vAlign w:val="bottom"/>
            <w:tcBorders>
              <w:bottom w:val="single" w:sz="8" w:color="0000EE"/>
            </w:tcBorders>
            <w:gridSpan w:val="23"/>
          </w:tcPr>
          <w:p>
            <w:pPr>
              <w:spacing w:after="0" w:line="194" w:lineRule="exact"/>
              <w:rPr>
                <w:rFonts w:ascii="Arial" w:cs="Arial" w:eastAsia="Arial" w:hAnsi="Arial"/>
                <w:sz w:val="17"/>
                <w:szCs w:val="17"/>
                <w:color w:val="0000EE"/>
                <w:w w:val="90"/>
              </w:rPr>
            </w:pPr>
            <w:hyperlink r:id="rId163">
              <w:r>
                <w:rPr>
                  <w:rFonts w:ascii="Arial" w:cs="Arial" w:eastAsia="Arial" w:hAnsi="Arial"/>
                  <w:sz w:val="17"/>
                  <w:szCs w:val="17"/>
                  <w:color w:val="0000EE"/>
                  <w:w w:val="90"/>
                </w:rPr>
                <w:t>Amendment No. 1 to Second Amended and Restated Limited Liability Company Agreement of Viant Technology LLC, dated as of February 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gridSpan w:val="24"/>
          </w:tcPr>
          <w:p>
            <w:pPr>
              <w:spacing w:after="0" w:line="181" w:lineRule="exact"/>
              <w:rPr>
                <w:rFonts w:ascii="Arial" w:cs="Arial" w:eastAsia="Arial" w:hAnsi="Arial"/>
                <w:sz w:val="17"/>
                <w:szCs w:val="17"/>
                <w:color w:val="0000EE"/>
                <w:w w:val="95"/>
              </w:rPr>
            </w:pPr>
            <w:hyperlink r:id="rId163">
              <w:r>
                <w:rPr>
                  <w:rFonts w:ascii="Arial" w:cs="Arial" w:eastAsia="Arial" w:hAnsi="Arial"/>
                  <w:sz w:val="17"/>
                  <w:szCs w:val="17"/>
                  <w:color w:val="0000EE"/>
                  <w:w w:val="95"/>
                </w:rPr>
                <w:t>2021 (incorporated by reference to Exhibit 10.2 to the Company’s Annual Report on Form 10-K (File No. 001-40015) for the year ended</w:t>
              </w:r>
            </w:hyperlink>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80" w:type="dxa"/>
            <w:vAlign w:val="bottom"/>
            <w:tcBorders>
              <w:top w:val="single" w:sz="8" w:color="0000EE"/>
            </w:tcBorders>
            <w:gridSpan w:val="12"/>
          </w:tcPr>
          <w:p>
            <w:pPr>
              <w:spacing w:after="0" w:line="181" w:lineRule="exact"/>
              <w:rPr>
                <w:rFonts w:ascii="Arial" w:cs="Arial" w:eastAsia="Arial" w:hAnsi="Arial"/>
                <w:sz w:val="17"/>
                <w:szCs w:val="17"/>
                <w:color w:val="0000EE"/>
              </w:rPr>
            </w:pPr>
            <w:hyperlink r:id="rId163">
              <w:r>
                <w:rPr>
                  <w:rFonts w:ascii="Arial" w:cs="Arial" w:eastAsia="Arial" w:hAnsi="Arial"/>
                  <w:sz w:val="17"/>
                  <w:szCs w:val="17"/>
                  <w:color w:val="0000EE"/>
                </w:rPr>
                <w:t>December 31, 2020, filed on March 23, 2021)</w:t>
              </w:r>
            </w:hyperlink>
          </w:p>
        </w:tc>
        <w:tc>
          <w:tcPr>
            <w:tcW w:w="5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10.3</w:t>
            </w:r>
          </w:p>
        </w:tc>
        <w:tc>
          <w:tcPr>
            <w:tcW w:w="60" w:type="dxa"/>
            <w:vAlign w:val="bottom"/>
          </w:tcPr>
          <w:p>
            <w:pPr>
              <w:spacing w:after="0"/>
              <w:rPr>
                <w:sz w:val="16"/>
                <w:szCs w:val="16"/>
                <w:color w:val="auto"/>
              </w:rPr>
            </w:pPr>
          </w:p>
        </w:tc>
        <w:tc>
          <w:tcPr>
            <w:tcW w:w="9740" w:type="dxa"/>
            <w:vAlign w:val="bottom"/>
            <w:gridSpan w:val="24"/>
          </w:tcPr>
          <w:p>
            <w:pPr>
              <w:spacing w:after="0" w:line="194" w:lineRule="exact"/>
              <w:rPr>
                <w:rFonts w:ascii="Arial" w:cs="Arial" w:eastAsia="Arial" w:hAnsi="Arial"/>
                <w:sz w:val="17"/>
                <w:szCs w:val="17"/>
                <w:color w:val="0000EE"/>
              </w:rPr>
            </w:pPr>
            <w:hyperlink r:id="rId164">
              <w:r>
                <w:rPr>
                  <w:rFonts w:ascii="Arial" w:cs="Arial" w:eastAsia="Arial" w:hAnsi="Arial"/>
                  <w:sz w:val="17"/>
                  <w:szCs w:val="17"/>
                  <w:color w:val="0000EE"/>
                </w:rPr>
                <w:t>Tax Receivable Agreement, by and among Viant Technology Inc., Viant Technology LLC, each of the TRA Holders, and the TRA</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80" w:type="dxa"/>
            <w:vAlign w:val="bottom"/>
            <w:tcBorders>
              <w:bottom w:val="single" w:sz="8" w:color="0000EE"/>
            </w:tcBorders>
            <w:gridSpan w:val="17"/>
          </w:tcPr>
          <w:p>
            <w:pPr>
              <w:spacing w:after="0" w:line="181" w:lineRule="exact"/>
              <w:rPr>
                <w:rFonts w:ascii="Arial" w:cs="Arial" w:eastAsia="Arial" w:hAnsi="Arial"/>
                <w:sz w:val="17"/>
                <w:szCs w:val="17"/>
                <w:color w:val="0000EE"/>
                <w:w w:val="89"/>
              </w:rPr>
            </w:pPr>
            <w:hyperlink r:id="rId164">
              <w:r>
                <w:rPr>
                  <w:rFonts w:ascii="Arial" w:cs="Arial" w:eastAsia="Arial" w:hAnsi="Arial"/>
                  <w:sz w:val="17"/>
                  <w:szCs w:val="17"/>
                  <w:color w:val="0000EE"/>
                  <w:w w:val="89"/>
                </w:rPr>
                <w:t>Representative, dated as of February 9, 2021 (incorporated by reference to Exhibit 10.3 to the Company’s Annual Report on Form 10-K (File</w:t>
              </w:r>
            </w:hyperlink>
          </w:p>
        </w:tc>
        <w:tc>
          <w:tcPr>
            <w:tcW w:w="2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60" w:type="dxa"/>
            <w:vAlign w:val="bottom"/>
            <w:tcBorders>
              <w:bottom w:val="single" w:sz="8" w:color="0000EE"/>
            </w:tcBorders>
            <w:gridSpan w:val="6"/>
          </w:tcPr>
          <w:p>
            <w:pPr>
              <w:spacing w:after="0" w:line="181" w:lineRule="exact"/>
              <w:rPr>
                <w:rFonts w:ascii="Arial" w:cs="Arial" w:eastAsia="Arial" w:hAnsi="Arial"/>
                <w:sz w:val="17"/>
                <w:szCs w:val="17"/>
                <w:color w:val="0000EE"/>
                <w:w w:val="89"/>
              </w:rPr>
            </w:pPr>
            <w:hyperlink r:id="rId164">
              <w:r>
                <w:rPr>
                  <w:rFonts w:ascii="Arial" w:cs="Arial" w:eastAsia="Arial" w:hAnsi="Arial"/>
                  <w:sz w:val="17"/>
                  <w:szCs w:val="17"/>
                  <w:color w:val="0000EE"/>
                  <w:w w:val="89"/>
                </w:rPr>
                <w:t>No. 001-40015) for the year ended December 31, 2020, filed on March 23, 2021)</w:t>
              </w:r>
            </w:hyperlink>
          </w:p>
        </w:tc>
        <w:tc>
          <w:tcPr>
            <w:tcW w:w="42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10.4</w:t>
            </w:r>
          </w:p>
        </w:tc>
        <w:tc>
          <w:tcPr>
            <w:tcW w:w="60" w:type="dxa"/>
            <w:vAlign w:val="bottom"/>
          </w:tcPr>
          <w:p>
            <w:pPr>
              <w:spacing w:after="0"/>
              <w:rPr>
                <w:sz w:val="16"/>
                <w:szCs w:val="16"/>
                <w:color w:val="auto"/>
              </w:rPr>
            </w:pPr>
          </w:p>
        </w:tc>
        <w:tc>
          <w:tcPr>
            <w:tcW w:w="9340" w:type="dxa"/>
            <w:vAlign w:val="bottom"/>
            <w:tcBorders>
              <w:bottom w:val="single" w:sz="8" w:color="0000EE"/>
            </w:tcBorders>
            <w:gridSpan w:val="13"/>
          </w:tcPr>
          <w:p>
            <w:pPr>
              <w:spacing w:after="0" w:line="194" w:lineRule="exact"/>
              <w:rPr>
                <w:rFonts w:ascii="Arial" w:cs="Arial" w:eastAsia="Arial" w:hAnsi="Arial"/>
                <w:sz w:val="17"/>
                <w:szCs w:val="17"/>
                <w:color w:val="0000EE"/>
                <w:w w:val="89"/>
              </w:rPr>
            </w:pPr>
            <w:hyperlink r:id="rId165">
              <w:r>
                <w:rPr>
                  <w:rFonts w:ascii="Arial" w:cs="Arial" w:eastAsia="Arial" w:hAnsi="Arial"/>
                  <w:sz w:val="17"/>
                  <w:szCs w:val="17"/>
                  <w:color w:val="0000EE"/>
                  <w:w w:val="89"/>
                </w:rPr>
                <w:t>Registration Rights Agreement, by and among Viant Technology Inc. and the parties thereto, dated as of February 9, 2021 (incorporated by</w:t>
              </w:r>
            </w:hyperlink>
          </w:p>
        </w:tc>
        <w:tc>
          <w:tcPr>
            <w:tcW w:w="4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20" w:type="dxa"/>
            <w:vAlign w:val="bottom"/>
            <w:tcBorders>
              <w:bottom w:val="single" w:sz="8" w:color="0000EE"/>
            </w:tcBorders>
            <w:gridSpan w:val="20"/>
          </w:tcPr>
          <w:p>
            <w:pPr>
              <w:spacing w:after="0" w:line="181" w:lineRule="exact"/>
              <w:rPr>
                <w:rFonts w:ascii="Arial" w:cs="Arial" w:eastAsia="Arial" w:hAnsi="Arial"/>
                <w:sz w:val="17"/>
                <w:szCs w:val="17"/>
                <w:color w:val="0000EE"/>
                <w:w w:val="90"/>
              </w:rPr>
            </w:pPr>
            <w:hyperlink r:id="rId165">
              <w:r>
                <w:rPr>
                  <w:rFonts w:ascii="Arial" w:cs="Arial" w:eastAsia="Arial" w:hAnsi="Arial"/>
                  <w:sz w:val="17"/>
                  <w:szCs w:val="17"/>
                  <w:color w:val="0000EE"/>
                  <w:w w:val="90"/>
                </w:rPr>
                <w:t>reference to Exhibit 10.4 to the Company’s Annual Report on Form 10-K (File No. 001-40015) for the year ended December 31, 2020, filed on</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81" w:lineRule="exact"/>
              <w:rPr>
                <w:rFonts w:ascii="Arial" w:cs="Arial" w:eastAsia="Arial" w:hAnsi="Arial"/>
                <w:sz w:val="17"/>
                <w:szCs w:val="17"/>
                <w:color w:val="0000EE"/>
                <w:w w:val="88"/>
              </w:rPr>
            </w:pPr>
            <w:hyperlink r:id="rId165">
              <w:r>
                <w:rPr>
                  <w:rFonts w:ascii="Arial" w:cs="Arial" w:eastAsia="Arial" w:hAnsi="Arial"/>
                  <w:sz w:val="17"/>
                  <w:szCs w:val="17"/>
                  <w:color w:val="0000EE"/>
                  <w:w w:val="88"/>
                </w:rPr>
                <w:t>March 23, 2021)</w:t>
              </w:r>
            </w:hyperlink>
          </w:p>
        </w:tc>
        <w:tc>
          <w:tcPr>
            <w:tcW w:w="862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10.5+</w:t>
            </w:r>
          </w:p>
        </w:tc>
        <w:tc>
          <w:tcPr>
            <w:tcW w:w="60" w:type="dxa"/>
            <w:vAlign w:val="bottom"/>
          </w:tcPr>
          <w:p>
            <w:pPr>
              <w:spacing w:after="0"/>
              <w:rPr>
                <w:sz w:val="16"/>
                <w:szCs w:val="16"/>
                <w:color w:val="auto"/>
              </w:rPr>
            </w:pPr>
          </w:p>
        </w:tc>
        <w:tc>
          <w:tcPr>
            <w:tcW w:w="9740" w:type="dxa"/>
            <w:vAlign w:val="bottom"/>
            <w:gridSpan w:val="24"/>
          </w:tcPr>
          <w:p>
            <w:pPr>
              <w:spacing w:after="0" w:line="194" w:lineRule="exact"/>
              <w:rPr>
                <w:rFonts w:ascii="Arial" w:cs="Arial" w:eastAsia="Arial" w:hAnsi="Arial"/>
                <w:sz w:val="17"/>
                <w:szCs w:val="17"/>
                <w:color w:val="0000EE"/>
                <w:w w:val="93"/>
              </w:rPr>
            </w:pPr>
            <w:hyperlink r:id="rId166">
              <w:r>
                <w:rPr>
                  <w:rFonts w:ascii="Arial" w:cs="Arial" w:eastAsia="Arial" w:hAnsi="Arial"/>
                  <w:sz w:val="17"/>
                  <w:szCs w:val="17"/>
                  <w:color w:val="0000EE"/>
                  <w:w w:val="93"/>
                </w:rPr>
                <w:t>Form of Indemnification Agreement by and between Viant Technology Inc. and each of its directors and executive officers (incorporated by</w:t>
              </w:r>
            </w:hyperlink>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60" w:type="dxa"/>
            <w:vAlign w:val="bottom"/>
            <w:tcBorders>
              <w:top w:val="single" w:sz="8" w:color="0000EE"/>
              <w:bottom w:val="single" w:sz="8" w:color="0000EE"/>
            </w:tcBorders>
            <w:gridSpan w:val="10"/>
          </w:tcPr>
          <w:p>
            <w:pPr>
              <w:spacing w:after="0" w:line="181" w:lineRule="exact"/>
              <w:rPr>
                <w:rFonts w:ascii="Arial" w:cs="Arial" w:eastAsia="Arial" w:hAnsi="Arial"/>
                <w:sz w:val="17"/>
                <w:szCs w:val="17"/>
                <w:color w:val="0000EE"/>
                <w:w w:val="89"/>
              </w:rPr>
            </w:pPr>
            <w:hyperlink r:id="rId166">
              <w:r>
                <w:rPr>
                  <w:rFonts w:ascii="Arial" w:cs="Arial" w:eastAsia="Arial" w:hAnsi="Arial"/>
                  <w:sz w:val="17"/>
                  <w:szCs w:val="17"/>
                  <w:color w:val="0000EE"/>
                  <w:w w:val="89"/>
                </w:rPr>
                <w:t>reference to Exhibit 10.4 to the Company’s Registration Statement on Form S-1 (File No. 333-252117), filed on February 1, 2021)</w:t>
              </w:r>
            </w:hyperlink>
          </w:p>
        </w:tc>
        <w:tc>
          <w:tcPr>
            <w:tcW w:w="620" w:type="dxa"/>
            <w:vAlign w:val="bottom"/>
            <w:tcBorders>
              <w:top w:val="single" w:sz="8" w:color="0000EE"/>
            </w:tcBorders>
            <w:gridSpan w:val="4"/>
          </w:tcPr>
          <w:p>
            <w:pPr>
              <w:spacing w:after="0"/>
              <w:rPr>
                <w:sz w:val="15"/>
                <w:szCs w:val="15"/>
                <w:color w:val="auto"/>
              </w:rPr>
            </w:pPr>
          </w:p>
        </w:tc>
        <w:tc>
          <w:tcPr>
            <w:tcW w:w="3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10.6</w:t>
            </w:r>
          </w:p>
        </w:tc>
        <w:tc>
          <w:tcPr>
            <w:tcW w:w="60" w:type="dxa"/>
            <w:vAlign w:val="bottom"/>
          </w:tcPr>
          <w:p>
            <w:pPr>
              <w:spacing w:after="0"/>
              <w:rPr>
                <w:sz w:val="16"/>
                <w:szCs w:val="16"/>
                <w:color w:val="auto"/>
              </w:rPr>
            </w:pPr>
          </w:p>
        </w:tc>
        <w:tc>
          <w:tcPr>
            <w:tcW w:w="9540" w:type="dxa"/>
            <w:vAlign w:val="bottom"/>
            <w:tcBorders>
              <w:bottom w:val="single" w:sz="8" w:color="0000EE"/>
            </w:tcBorders>
            <w:gridSpan w:val="19"/>
          </w:tcPr>
          <w:p>
            <w:pPr>
              <w:spacing w:after="0" w:line="194" w:lineRule="exact"/>
              <w:rPr>
                <w:rFonts w:ascii="Arial" w:cs="Arial" w:eastAsia="Arial" w:hAnsi="Arial"/>
                <w:sz w:val="17"/>
                <w:szCs w:val="17"/>
                <w:color w:val="0000EE"/>
                <w:w w:val="90"/>
              </w:rPr>
            </w:pPr>
            <w:hyperlink r:id="rId167">
              <w:r>
                <w:rPr>
                  <w:rFonts w:ascii="Arial" w:cs="Arial" w:eastAsia="Arial" w:hAnsi="Arial"/>
                  <w:sz w:val="17"/>
                  <w:szCs w:val="17"/>
                  <w:color w:val="0000EE"/>
                  <w:w w:val="90"/>
                </w:rPr>
                <w:t>Revolving Credit and Security Agreement and Guaranty, dated as of October 31, 2019, by and among Viant Technology LLC, Viant US LLC,</w:t>
              </w:r>
            </w:hyperlink>
          </w:p>
        </w:tc>
        <w:tc>
          <w:tcPr>
            <w:tcW w:w="2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gridSpan w:val="24"/>
          </w:tcPr>
          <w:p>
            <w:pPr>
              <w:spacing w:after="0" w:line="181" w:lineRule="exact"/>
              <w:rPr>
                <w:rFonts w:ascii="Arial" w:cs="Arial" w:eastAsia="Arial" w:hAnsi="Arial"/>
                <w:sz w:val="17"/>
                <w:szCs w:val="17"/>
                <w:color w:val="0000EE"/>
                <w:w w:val="94"/>
              </w:rPr>
            </w:pPr>
            <w:hyperlink r:id="rId167">
              <w:r>
                <w:rPr>
                  <w:rFonts w:ascii="Arial" w:cs="Arial" w:eastAsia="Arial" w:hAnsi="Arial"/>
                  <w:sz w:val="17"/>
                  <w:szCs w:val="17"/>
                  <w:color w:val="0000EE"/>
                  <w:w w:val="94"/>
                </w:rPr>
                <w:t>Adelphic LLC, Myspace LLC and each additional Borrower from time to time party thereto, PNC Bank, National Association, as Agent and</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40" w:type="dxa"/>
            <w:vAlign w:val="bottom"/>
            <w:tcBorders>
              <w:bottom w:val="single" w:sz="8" w:color="0000EE"/>
            </w:tcBorders>
            <w:gridSpan w:val="19"/>
          </w:tcPr>
          <w:p>
            <w:pPr>
              <w:spacing w:after="0" w:line="181" w:lineRule="exact"/>
              <w:rPr>
                <w:rFonts w:ascii="Arial" w:cs="Arial" w:eastAsia="Arial" w:hAnsi="Arial"/>
                <w:sz w:val="17"/>
                <w:szCs w:val="17"/>
                <w:color w:val="0000EE"/>
                <w:w w:val="89"/>
              </w:rPr>
            </w:pPr>
            <w:hyperlink r:id="rId167">
              <w:r>
                <w:rPr>
                  <w:rFonts w:ascii="Arial" w:cs="Arial" w:eastAsia="Arial" w:hAnsi="Arial"/>
                  <w:sz w:val="17"/>
                  <w:szCs w:val="17"/>
                  <w:color w:val="0000EE"/>
                  <w:w w:val="89"/>
                </w:rPr>
                <w:t>each additional Lender from time to time party thereto (incorporated by reference to Exhibit 10.5 to the Company’s Registration Statement on</w:t>
              </w:r>
            </w:hyperlink>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1" w:lineRule="exact"/>
              <w:rPr>
                <w:rFonts w:ascii="Arial" w:cs="Arial" w:eastAsia="Arial" w:hAnsi="Arial"/>
                <w:sz w:val="17"/>
                <w:szCs w:val="17"/>
                <w:color w:val="0000EE"/>
                <w:w w:val="90"/>
              </w:rPr>
            </w:pPr>
            <w:hyperlink r:id="rId167">
              <w:r>
                <w:rPr>
                  <w:rFonts w:ascii="Arial" w:cs="Arial" w:eastAsia="Arial" w:hAnsi="Arial"/>
                  <w:sz w:val="17"/>
                  <w:szCs w:val="17"/>
                  <w:color w:val="0000EE"/>
                  <w:w w:val="90"/>
                </w:rPr>
                <w:t>Form S-1 (File No. 333-252117), filed on February 1, 2021)</w:t>
              </w:r>
            </w:hyperlink>
          </w:p>
        </w:tc>
        <w:tc>
          <w:tcPr>
            <w:tcW w:w="57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10.7</w:t>
            </w:r>
          </w:p>
        </w:tc>
        <w:tc>
          <w:tcPr>
            <w:tcW w:w="60" w:type="dxa"/>
            <w:vAlign w:val="bottom"/>
          </w:tcPr>
          <w:p>
            <w:pPr>
              <w:spacing w:after="0"/>
              <w:rPr>
                <w:sz w:val="16"/>
                <w:szCs w:val="16"/>
                <w:color w:val="auto"/>
              </w:rPr>
            </w:pPr>
          </w:p>
        </w:tc>
        <w:tc>
          <w:tcPr>
            <w:tcW w:w="9740" w:type="dxa"/>
            <w:vAlign w:val="bottom"/>
            <w:gridSpan w:val="24"/>
          </w:tcPr>
          <w:p>
            <w:pPr>
              <w:spacing w:after="0" w:line="194" w:lineRule="exact"/>
              <w:rPr>
                <w:rFonts w:ascii="Arial" w:cs="Arial" w:eastAsia="Arial" w:hAnsi="Arial"/>
                <w:sz w:val="17"/>
                <w:szCs w:val="17"/>
                <w:color w:val="0000EE"/>
                <w:w w:val="90"/>
              </w:rPr>
            </w:pPr>
            <w:hyperlink r:id="rId168">
              <w:r>
                <w:rPr>
                  <w:rFonts w:ascii="Arial" w:cs="Arial" w:eastAsia="Arial" w:hAnsi="Arial"/>
                  <w:sz w:val="17"/>
                  <w:szCs w:val="17"/>
                  <w:color w:val="0000EE"/>
                  <w:w w:val="90"/>
                </w:rPr>
                <w:t>First Amendment to Revolving Credit and Security Agreement and Guaranty, dated as of April 13, 2020, by and among Viant Technology LLC,</w:t>
              </w:r>
            </w:hyperlink>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20" w:type="dxa"/>
            <w:vAlign w:val="bottom"/>
            <w:tcBorders>
              <w:top w:val="single" w:sz="8" w:color="0000EE"/>
              <w:bottom w:val="single" w:sz="8" w:color="0000EE"/>
            </w:tcBorders>
            <w:gridSpan w:val="18"/>
          </w:tcPr>
          <w:p>
            <w:pPr>
              <w:spacing w:after="0" w:line="181" w:lineRule="exact"/>
              <w:rPr>
                <w:rFonts w:ascii="Arial" w:cs="Arial" w:eastAsia="Arial" w:hAnsi="Arial"/>
                <w:sz w:val="17"/>
                <w:szCs w:val="17"/>
                <w:color w:val="0000EE"/>
                <w:w w:val="90"/>
              </w:rPr>
            </w:pPr>
            <w:hyperlink r:id="rId168">
              <w:r>
                <w:rPr>
                  <w:rFonts w:ascii="Arial" w:cs="Arial" w:eastAsia="Arial" w:hAnsi="Arial"/>
                  <w:sz w:val="17"/>
                  <w:szCs w:val="17"/>
                  <w:color w:val="0000EE"/>
                  <w:w w:val="90"/>
                </w:rPr>
                <w:t>Viant US LLC, Adelphic LLC and Myspace LLC, as Borrowers, and PNC Bank, National Association, as Agent and Lender (incorporated by</w:t>
              </w:r>
            </w:hyperlink>
          </w:p>
        </w:tc>
        <w:tc>
          <w:tcPr>
            <w:tcW w:w="140" w:type="dxa"/>
            <w:vAlign w:val="bottom"/>
            <w:tcBorders>
              <w:top w:val="single" w:sz="8" w:color="0000EE"/>
            </w:tcBorders>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60" w:type="dxa"/>
            <w:vAlign w:val="bottom"/>
            <w:tcBorders>
              <w:bottom w:val="single" w:sz="8" w:color="0000EE"/>
            </w:tcBorders>
            <w:gridSpan w:val="10"/>
          </w:tcPr>
          <w:p>
            <w:pPr>
              <w:spacing w:after="0" w:line="181" w:lineRule="exact"/>
              <w:rPr>
                <w:rFonts w:ascii="Arial" w:cs="Arial" w:eastAsia="Arial" w:hAnsi="Arial"/>
                <w:sz w:val="17"/>
                <w:szCs w:val="17"/>
                <w:color w:val="0000EE"/>
                <w:w w:val="89"/>
              </w:rPr>
            </w:pPr>
            <w:hyperlink r:id="rId168">
              <w:r>
                <w:rPr>
                  <w:rFonts w:ascii="Arial" w:cs="Arial" w:eastAsia="Arial" w:hAnsi="Arial"/>
                  <w:sz w:val="17"/>
                  <w:szCs w:val="17"/>
                  <w:color w:val="0000EE"/>
                  <w:w w:val="89"/>
                </w:rPr>
                <w:t>reference to Exhibit 10.6 to the Company’s Registration Statement on Form S-1 (File No. 333-252117), filed on February 1, 2021)</w:t>
              </w:r>
            </w:hyperlink>
          </w:p>
        </w:tc>
        <w:tc>
          <w:tcPr>
            <w:tcW w:w="9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7"/>
                <w:szCs w:val="17"/>
                <w:color w:val="auto"/>
              </w:rPr>
              <w:t>10.8</w:t>
            </w:r>
          </w:p>
        </w:tc>
        <w:tc>
          <w:tcPr>
            <w:tcW w:w="60" w:type="dxa"/>
            <w:vAlign w:val="bottom"/>
          </w:tcPr>
          <w:p>
            <w:pPr>
              <w:spacing w:after="0"/>
              <w:rPr>
                <w:sz w:val="16"/>
                <w:szCs w:val="16"/>
                <w:color w:val="auto"/>
              </w:rPr>
            </w:pPr>
          </w:p>
        </w:tc>
        <w:tc>
          <w:tcPr>
            <w:tcW w:w="9460" w:type="dxa"/>
            <w:vAlign w:val="bottom"/>
            <w:tcBorders>
              <w:bottom w:val="single" w:sz="8" w:color="0000EE"/>
            </w:tcBorders>
            <w:gridSpan w:val="16"/>
          </w:tcPr>
          <w:p>
            <w:pPr>
              <w:spacing w:after="0" w:line="194" w:lineRule="exact"/>
              <w:rPr>
                <w:rFonts w:ascii="Arial" w:cs="Arial" w:eastAsia="Arial" w:hAnsi="Arial"/>
                <w:sz w:val="17"/>
                <w:szCs w:val="17"/>
                <w:color w:val="0000EE"/>
                <w:w w:val="89"/>
              </w:rPr>
            </w:pPr>
            <w:hyperlink r:id="rId169">
              <w:r>
                <w:rPr>
                  <w:rFonts w:ascii="Arial" w:cs="Arial" w:eastAsia="Arial" w:hAnsi="Arial"/>
                  <w:sz w:val="17"/>
                  <w:szCs w:val="17"/>
                  <w:color w:val="0000EE"/>
                  <w:w w:val="89"/>
                </w:rPr>
                <w:t>Second Amendment to Revolving Credit and Security Agreement and Guaranty, dated as of April 30, 2020, by and among Viant Technology</w:t>
              </w:r>
            </w:hyperlink>
          </w:p>
        </w:tc>
        <w:tc>
          <w:tcPr>
            <w:tcW w:w="2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gridSpan w:val="24"/>
          </w:tcPr>
          <w:p>
            <w:pPr>
              <w:spacing w:after="0" w:line="181" w:lineRule="exact"/>
              <w:rPr>
                <w:rFonts w:ascii="Arial" w:cs="Arial" w:eastAsia="Arial" w:hAnsi="Arial"/>
                <w:sz w:val="17"/>
                <w:szCs w:val="17"/>
                <w:color w:val="0000EE"/>
                <w:w w:val="91"/>
              </w:rPr>
            </w:pPr>
            <w:hyperlink r:id="rId169">
              <w:r>
                <w:rPr>
                  <w:rFonts w:ascii="Arial" w:cs="Arial" w:eastAsia="Arial" w:hAnsi="Arial"/>
                  <w:sz w:val="17"/>
                  <w:szCs w:val="17"/>
                  <w:color w:val="0000EE"/>
                  <w:w w:val="91"/>
                </w:rPr>
                <w:t>LLC, Viant US LLC, Adelphic LLC and Myspace LLC, as Borrowers, and PNC Bank, National Association, as Agent and Lender (incorporated</w:t>
              </w:r>
            </w:hyperlink>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00" w:type="dxa"/>
            <w:vAlign w:val="bottom"/>
            <w:tcBorders>
              <w:top w:val="single" w:sz="8" w:color="0000EE"/>
            </w:tcBorders>
            <w:gridSpan w:val="22"/>
          </w:tcPr>
          <w:p>
            <w:pPr>
              <w:spacing w:after="0" w:line="181" w:lineRule="exact"/>
              <w:rPr>
                <w:rFonts w:ascii="Arial" w:cs="Arial" w:eastAsia="Arial" w:hAnsi="Arial"/>
                <w:sz w:val="17"/>
                <w:szCs w:val="17"/>
                <w:color w:val="0000EE"/>
                <w:w w:val="97"/>
              </w:rPr>
            </w:pPr>
            <w:hyperlink r:id="rId169">
              <w:r>
                <w:rPr>
                  <w:rFonts w:ascii="Arial" w:cs="Arial" w:eastAsia="Arial" w:hAnsi="Arial"/>
                  <w:sz w:val="17"/>
                  <w:szCs w:val="17"/>
                  <w:color w:val="0000EE"/>
                  <w:w w:val="97"/>
                </w:rPr>
                <w:t>by reference to Exhibit 10.7 to the Company’s Registration Statement on Form S-1 (File No. 333-252117), filed on February 1, 2021)</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4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440" w:type="dxa"/>
            <w:vAlign w:val="bottom"/>
            <w:tcBorders>
              <w:top w:val="single" w:sz="8" w:color="0000EE"/>
            </w:tcBorders>
            <w:gridSpan w:val="5"/>
          </w:tcPr>
          <w:p>
            <w:pPr>
              <w:jc w:val="right"/>
              <w:ind w:right="1153"/>
              <w:spacing w:after="0"/>
              <w:rPr>
                <w:sz w:val="20"/>
                <w:szCs w:val="20"/>
                <w:color w:val="auto"/>
              </w:rPr>
            </w:pPr>
            <w:r>
              <w:rPr>
                <w:rFonts w:ascii="Arial" w:cs="Arial" w:eastAsia="Arial" w:hAnsi="Arial"/>
                <w:sz w:val="17"/>
                <w:szCs w:val="17"/>
                <w:color w:val="auto"/>
              </w:rPr>
              <w:t>113</w:t>
            </w:r>
          </w:p>
        </w:tc>
        <w:tc>
          <w:tcPr>
            <w:tcW w:w="5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auto"/>
              </w:rPr>
              <w:t>10.9</w:t>
            </w:r>
          </w:p>
        </w:tc>
        <w:tc>
          <w:tcPr>
            <w:tcW w:w="9700" w:type="dxa"/>
            <w:vAlign w:val="bottom"/>
            <w:tcBorders>
              <w:bottom w:val="single" w:sz="8" w:color="0000EE"/>
            </w:tcBorders>
            <w:gridSpan w:val="26"/>
          </w:tcPr>
          <w:p>
            <w:pPr>
              <w:spacing w:after="0"/>
              <w:rPr>
                <w:rFonts w:ascii="Arial" w:cs="Arial" w:eastAsia="Arial" w:hAnsi="Arial"/>
                <w:sz w:val="17"/>
                <w:szCs w:val="17"/>
                <w:color w:val="0000EE"/>
                <w:w w:val="90"/>
              </w:rPr>
            </w:pPr>
            <w:hyperlink r:id="rId172">
              <w:r>
                <w:rPr>
                  <w:rFonts w:ascii="Arial" w:cs="Arial" w:eastAsia="Arial" w:hAnsi="Arial"/>
                  <w:sz w:val="17"/>
                  <w:szCs w:val="17"/>
                  <w:color w:val="0000EE"/>
                  <w:w w:val="90"/>
                </w:rPr>
                <w:t>Third Amendment to Revolving Credit and Security Agreement and Guaranty, dated as of May 29, 2020, by and among Viant Technology LLC,</w:t>
              </w:r>
            </w:hyperlink>
          </w:p>
        </w:tc>
        <w:tc>
          <w:tcPr>
            <w:tcW w:w="40" w:type="dxa"/>
            <w:vAlign w:val="bottom"/>
            <w:gridSpan w:val="2"/>
          </w:tcPr>
          <w:p>
            <w:pPr>
              <w:spacing w:after="0"/>
              <w:rPr>
                <w:sz w:val="16"/>
                <w:szCs w:val="16"/>
                <w:color w:val="auto"/>
              </w:rPr>
            </w:pPr>
          </w:p>
        </w:tc>
      </w:tr>
      <w:tr>
        <w:trPr>
          <w:trHeight w:val="181"/>
        </w:trPr>
        <w:tc>
          <w:tcPr>
            <w:tcW w:w="1500" w:type="dxa"/>
            <w:vAlign w:val="bottom"/>
          </w:tcPr>
          <w:p>
            <w:pPr>
              <w:spacing w:after="0"/>
              <w:rPr>
                <w:sz w:val="15"/>
                <w:szCs w:val="15"/>
                <w:color w:val="auto"/>
              </w:rPr>
            </w:pPr>
          </w:p>
        </w:tc>
        <w:tc>
          <w:tcPr>
            <w:tcW w:w="9520" w:type="dxa"/>
            <w:vAlign w:val="bottom"/>
            <w:tcBorders>
              <w:bottom w:val="single" w:sz="8" w:color="0000EE"/>
            </w:tcBorders>
            <w:gridSpan w:val="19"/>
          </w:tcPr>
          <w:p>
            <w:pPr>
              <w:spacing w:after="0" w:line="181" w:lineRule="exact"/>
              <w:rPr>
                <w:rFonts w:ascii="Arial" w:cs="Arial" w:eastAsia="Arial" w:hAnsi="Arial"/>
                <w:sz w:val="17"/>
                <w:szCs w:val="17"/>
                <w:color w:val="0000EE"/>
                <w:w w:val="90"/>
              </w:rPr>
            </w:pPr>
            <w:hyperlink r:id="rId172">
              <w:r>
                <w:rPr>
                  <w:rFonts w:ascii="Arial" w:cs="Arial" w:eastAsia="Arial" w:hAnsi="Arial"/>
                  <w:sz w:val="17"/>
                  <w:szCs w:val="17"/>
                  <w:color w:val="0000EE"/>
                  <w:w w:val="90"/>
                </w:rPr>
                <w:t>Viant US LLC, Adelphic LLC and Myspace LLC, as Borrowers, and PNC Bank, National Association, as Agent and Lender (incorporated by</w:t>
              </w:r>
            </w:hyperlink>
          </w:p>
        </w:tc>
        <w:tc>
          <w:tcPr>
            <w:tcW w:w="220" w:type="dxa"/>
            <w:vAlign w:val="bottom"/>
            <w:gridSpan w:val="9"/>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8760" w:type="dxa"/>
            <w:vAlign w:val="bottom"/>
            <w:tcBorders>
              <w:bottom w:val="single" w:sz="8" w:color="0000EE"/>
            </w:tcBorders>
            <w:gridSpan w:val="13"/>
          </w:tcPr>
          <w:p>
            <w:pPr>
              <w:spacing w:after="0" w:line="181" w:lineRule="exact"/>
              <w:rPr>
                <w:rFonts w:ascii="Arial" w:cs="Arial" w:eastAsia="Arial" w:hAnsi="Arial"/>
                <w:sz w:val="17"/>
                <w:szCs w:val="17"/>
                <w:color w:val="0000EE"/>
                <w:w w:val="89"/>
              </w:rPr>
            </w:pPr>
            <w:hyperlink r:id="rId172">
              <w:r>
                <w:rPr>
                  <w:rFonts w:ascii="Arial" w:cs="Arial" w:eastAsia="Arial" w:hAnsi="Arial"/>
                  <w:sz w:val="17"/>
                  <w:szCs w:val="17"/>
                  <w:color w:val="0000EE"/>
                  <w:w w:val="89"/>
                </w:rPr>
                <w:t>reference to Exhibit 10.8 to the Company’s Registration Statement on Form S-1 (File No. 333-252117), filed on February 1, 2021)</w:t>
              </w:r>
            </w:hyperlink>
          </w:p>
        </w:tc>
        <w:tc>
          <w:tcPr>
            <w:tcW w:w="980" w:type="dxa"/>
            <w:vAlign w:val="bottom"/>
            <w:gridSpan w:val="15"/>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10.10</w:t>
            </w:r>
          </w:p>
        </w:tc>
        <w:tc>
          <w:tcPr>
            <w:tcW w:w="9580" w:type="dxa"/>
            <w:vAlign w:val="bottom"/>
            <w:tcBorders>
              <w:bottom w:val="single" w:sz="8" w:color="0000EE"/>
            </w:tcBorders>
            <w:gridSpan w:val="22"/>
          </w:tcPr>
          <w:p>
            <w:pPr>
              <w:spacing w:after="0" w:line="194" w:lineRule="exact"/>
              <w:rPr>
                <w:rFonts w:ascii="Arial" w:cs="Arial" w:eastAsia="Arial" w:hAnsi="Arial"/>
                <w:sz w:val="17"/>
                <w:szCs w:val="17"/>
                <w:color w:val="0000EE"/>
                <w:w w:val="89"/>
              </w:rPr>
            </w:pPr>
            <w:hyperlink r:id="rId173">
              <w:r>
                <w:rPr>
                  <w:rFonts w:ascii="Arial" w:cs="Arial" w:eastAsia="Arial" w:hAnsi="Arial"/>
                  <w:sz w:val="17"/>
                  <w:szCs w:val="17"/>
                  <w:color w:val="0000EE"/>
                  <w:w w:val="89"/>
                </w:rPr>
                <w:t>Fourth Amendment to Revolving Credit and Security Agreement and Guaranty, dated as of January 29, 2021, by and among Viant Technology</w:t>
              </w:r>
            </w:hyperlink>
          </w:p>
        </w:tc>
        <w:tc>
          <w:tcPr>
            <w:tcW w:w="160" w:type="dxa"/>
            <w:vAlign w:val="bottom"/>
            <w:gridSpan w:val="6"/>
          </w:tcPr>
          <w:p>
            <w:pPr>
              <w:spacing w:after="0"/>
              <w:rPr>
                <w:sz w:val="16"/>
                <w:szCs w:val="16"/>
                <w:color w:val="auto"/>
              </w:rPr>
            </w:pPr>
          </w:p>
        </w:tc>
      </w:tr>
      <w:tr>
        <w:trPr>
          <w:trHeight w:val="181"/>
        </w:trPr>
        <w:tc>
          <w:tcPr>
            <w:tcW w:w="1500" w:type="dxa"/>
            <w:vAlign w:val="bottom"/>
          </w:tcPr>
          <w:p>
            <w:pPr>
              <w:spacing w:after="0"/>
              <w:rPr>
                <w:sz w:val="15"/>
                <w:szCs w:val="15"/>
                <w:color w:val="auto"/>
              </w:rPr>
            </w:pPr>
          </w:p>
        </w:tc>
        <w:tc>
          <w:tcPr>
            <w:tcW w:w="9740" w:type="dxa"/>
            <w:vAlign w:val="bottom"/>
            <w:gridSpan w:val="28"/>
          </w:tcPr>
          <w:p>
            <w:pPr>
              <w:spacing w:after="0" w:line="181" w:lineRule="exact"/>
              <w:rPr>
                <w:rFonts w:ascii="Arial" w:cs="Arial" w:eastAsia="Arial" w:hAnsi="Arial"/>
                <w:sz w:val="17"/>
                <w:szCs w:val="17"/>
                <w:color w:val="0000EE"/>
                <w:w w:val="90"/>
              </w:rPr>
            </w:pPr>
            <w:hyperlink r:id="rId173">
              <w:r>
                <w:rPr>
                  <w:rFonts w:ascii="Arial" w:cs="Arial" w:eastAsia="Arial" w:hAnsi="Arial"/>
                  <w:sz w:val="17"/>
                  <w:szCs w:val="17"/>
                  <w:color w:val="0000EE"/>
                  <w:w w:val="90"/>
                </w:rPr>
                <w:t>LLC, Viant US LLC, Adelphic LLC, Myspace LLC and the Company, as Borrowers, and PNC Bank, National Association, as Agent and Lender</w:t>
              </w:r>
            </w:hyperlink>
          </w:p>
        </w:tc>
      </w:tr>
      <w:tr>
        <w:trPr>
          <w:trHeight w:val="181"/>
        </w:trPr>
        <w:tc>
          <w:tcPr>
            <w:tcW w:w="1500" w:type="dxa"/>
            <w:vAlign w:val="bottom"/>
          </w:tcPr>
          <w:p>
            <w:pPr>
              <w:spacing w:after="0"/>
              <w:rPr>
                <w:sz w:val="15"/>
                <w:szCs w:val="15"/>
                <w:color w:val="auto"/>
              </w:rPr>
            </w:pPr>
          </w:p>
        </w:tc>
        <w:tc>
          <w:tcPr>
            <w:tcW w:w="9720" w:type="dxa"/>
            <w:vAlign w:val="bottom"/>
            <w:tcBorders>
              <w:top w:val="single" w:sz="8" w:color="0000EE"/>
            </w:tcBorders>
            <w:gridSpan w:val="27"/>
          </w:tcPr>
          <w:p>
            <w:pPr>
              <w:spacing w:after="0" w:line="181" w:lineRule="exact"/>
              <w:rPr>
                <w:rFonts w:ascii="Arial" w:cs="Arial" w:eastAsia="Arial" w:hAnsi="Arial"/>
                <w:sz w:val="17"/>
                <w:szCs w:val="17"/>
                <w:color w:val="0000EE"/>
                <w:w w:val="92"/>
              </w:rPr>
            </w:pPr>
            <w:hyperlink r:id="rId173">
              <w:r>
                <w:rPr>
                  <w:rFonts w:ascii="Arial" w:cs="Arial" w:eastAsia="Arial" w:hAnsi="Arial"/>
                  <w:sz w:val="17"/>
                  <w:szCs w:val="17"/>
                  <w:color w:val="0000EE"/>
                  <w:w w:val="92"/>
                </w:rPr>
                <w:t>(incorporated by reference to Exhibit 10.9 to the Company’s Registration Statement on Form S-1 (File No. 333-252117), filed on February 1,</w:t>
              </w:r>
            </w:hyperlink>
          </w:p>
        </w:tc>
        <w:tc>
          <w:tcPr>
            <w:tcW w:w="20" w:type="dxa"/>
            <w:vAlign w:val="bottom"/>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1" w:lineRule="exact"/>
              <w:rPr>
                <w:rFonts w:ascii="Arial" w:cs="Arial" w:eastAsia="Arial" w:hAnsi="Arial"/>
                <w:sz w:val="17"/>
                <w:szCs w:val="17"/>
                <w:color w:val="0000EE"/>
                <w:w w:val="82"/>
              </w:rPr>
            </w:pPr>
            <w:hyperlink r:id="rId173">
              <w:r>
                <w:rPr>
                  <w:rFonts w:ascii="Arial" w:cs="Arial" w:eastAsia="Arial" w:hAnsi="Arial"/>
                  <w:sz w:val="17"/>
                  <w:szCs w:val="17"/>
                  <w:color w:val="0000EE"/>
                  <w:w w:val="82"/>
                </w:rPr>
                <w:t>2021)</w:t>
              </w:r>
            </w:hyperlink>
          </w:p>
        </w:tc>
        <w:tc>
          <w:tcPr>
            <w:tcW w:w="66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10.11</w:t>
            </w:r>
          </w:p>
        </w:tc>
        <w:tc>
          <w:tcPr>
            <w:tcW w:w="9740" w:type="dxa"/>
            <w:vAlign w:val="bottom"/>
            <w:gridSpan w:val="28"/>
          </w:tcPr>
          <w:p>
            <w:pPr>
              <w:spacing w:after="0" w:line="194" w:lineRule="exact"/>
              <w:rPr>
                <w:rFonts w:ascii="Arial" w:cs="Arial" w:eastAsia="Arial" w:hAnsi="Arial"/>
                <w:sz w:val="17"/>
                <w:szCs w:val="17"/>
                <w:color w:val="0000EE"/>
                <w:w w:val="92"/>
              </w:rPr>
            </w:pPr>
            <w:hyperlink r:id="rId174">
              <w:r>
                <w:rPr>
                  <w:rFonts w:ascii="Arial" w:cs="Arial" w:eastAsia="Arial" w:hAnsi="Arial"/>
                  <w:sz w:val="17"/>
                  <w:szCs w:val="17"/>
                  <w:color w:val="0000EE"/>
                  <w:w w:val="92"/>
                </w:rPr>
                <w:t>Fifth Amendment to Revolving Credit and Security Agreement and Guaranty, dated as of October 15, 2021, by and among Viant Technology</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1"/>
        </w:trPr>
        <w:tc>
          <w:tcPr>
            <w:tcW w:w="1500" w:type="dxa"/>
            <w:vAlign w:val="bottom"/>
          </w:tcPr>
          <w:p>
            <w:pPr>
              <w:spacing w:after="0"/>
              <w:rPr>
                <w:sz w:val="15"/>
                <w:szCs w:val="15"/>
                <w:color w:val="auto"/>
              </w:rPr>
            </w:pPr>
          </w:p>
        </w:tc>
        <w:tc>
          <w:tcPr>
            <w:tcW w:w="9740" w:type="dxa"/>
            <w:vAlign w:val="bottom"/>
            <w:gridSpan w:val="28"/>
          </w:tcPr>
          <w:p>
            <w:pPr>
              <w:spacing w:after="0" w:line="181" w:lineRule="exact"/>
              <w:rPr>
                <w:rFonts w:ascii="Arial" w:cs="Arial" w:eastAsia="Arial" w:hAnsi="Arial"/>
                <w:sz w:val="17"/>
                <w:szCs w:val="17"/>
                <w:color w:val="0000EE"/>
                <w:w w:val="90"/>
              </w:rPr>
            </w:pPr>
            <w:hyperlink r:id="rId174">
              <w:r>
                <w:rPr>
                  <w:rFonts w:ascii="Arial" w:cs="Arial" w:eastAsia="Arial" w:hAnsi="Arial"/>
                  <w:sz w:val="17"/>
                  <w:szCs w:val="17"/>
                  <w:color w:val="0000EE"/>
                  <w:w w:val="90"/>
                </w:rPr>
                <w:t>LLC, Viant US LLC, Adelphic LLC, Myspace LLC and the Company, as Borrowers, and PNC Bank, National Association, as Agent and Lender</w:t>
              </w:r>
            </w:hyperlink>
          </w:p>
        </w:tc>
      </w:tr>
      <w:tr>
        <w:trPr>
          <w:trHeight w:val="181"/>
        </w:trPr>
        <w:tc>
          <w:tcPr>
            <w:tcW w:w="1500" w:type="dxa"/>
            <w:vAlign w:val="bottom"/>
          </w:tcPr>
          <w:p>
            <w:pPr>
              <w:spacing w:after="0"/>
              <w:rPr>
                <w:sz w:val="15"/>
                <w:szCs w:val="15"/>
                <w:color w:val="auto"/>
              </w:rPr>
            </w:pPr>
          </w:p>
        </w:tc>
        <w:tc>
          <w:tcPr>
            <w:tcW w:w="9720" w:type="dxa"/>
            <w:vAlign w:val="bottom"/>
            <w:tcBorders>
              <w:top w:val="single" w:sz="8" w:color="0000EE"/>
            </w:tcBorders>
            <w:gridSpan w:val="27"/>
          </w:tcPr>
          <w:p>
            <w:pPr>
              <w:spacing w:after="0" w:line="181" w:lineRule="exact"/>
              <w:rPr>
                <w:rFonts w:ascii="Arial" w:cs="Arial" w:eastAsia="Arial" w:hAnsi="Arial"/>
                <w:sz w:val="17"/>
                <w:szCs w:val="17"/>
                <w:color w:val="0000EE"/>
                <w:w w:val="95"/>
              </w:rPr>
            </w:pPr>
            <w:hyperlink r:id="rId174">
              <w:r>
                <w:rPr>
                  <w:rFonts w:ascii="Arial" w:cs="Arial" w:eastAsia="Arial" w:hAnsi="Arial"/>
                  <w:sz w:val="17"/>
                  <w:szCs w:val="17"/>
                  <w:color w:val="0000EE"/>
                  <w:w w:val="95"/>
                </w:rPr>
                <w:t>(incorporated by reference to Exhibit 10.1 to the Company’s Quarterly Report on Form 10-Q (File No. 001-40015) for the quarter ended</w:t>
              </w:r>
            </w:hyperlink>
          </w:p>
        </w:tc>
        <w:tc>
          <w:tcPr>
            <w:tcW w:w="20" w:type="dxa"/>
            <w:vAlign w:val="bottom"/>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5"/>
          </w:tcPr>
          <w:p>
            <w:pPr>
              <w:spacing w:after="0" w:line="181" w:lineRule="exact"/>
              <w:rPr>
                <w:rFonts w:ascii="Arial" w:cs="Arial" w:eastAsia="Arial" w:hAnsi="Arial"/>
                <w:sz w:val="17"/>
                <w:szCs w:val="17"/>
                <w:color w:val="0000EE"/>
                <w:w w:val="88"/>
              </w:rPr>
            </w:pPr>
            <w:hyperlink r:id="rId174">
              <w:r>
                <w:rPr>
                  <w:rFonts w:ascii="Arial" w:cs="Arial" w:eastAsia="Arial" w:hAnsi="Arial"/>
                  <w:sz w:val="17"/>
                  <w:szCs w:val="17"/>
                  <w:color w:val="0000EE"/>
                  <w:w w:val="88"/>
                </w:rPr>
                <w:t>September 30, 2021, filed on November 10, 2021)</w:t>
              </w:r>
            </w:hyperlink>
          </w:p>
        </w:tc>
        <w:tc>
          <w:tcPr>
            <w:tcW w:w="5760" w:type="dxa"/>
            <w:vAlign w:val="bottom"/>
            <w:tcBorders>
              <w:top w:val="single" w:sz="8" w:color="0000EE"/>
            </w:tcBorders>
            <w:gridSpan w:val="10"/>
          </w:tcPr>
          <w:p>
            <w:pPr>
              <w:spacing w:after="0"/>
              <w:rPr>
                <w:sz w:val="15"/>
                <w:szCs w:val="15"/>
                <w:color w:val="auto"/>
              </w:rPr>
            </w:pPr>
          </w:p>
        </w:tc>
        <w:tc>
          <w:tcPr>
            <w:tcW w:w="600" w:type="dxa"/>
            <w:vAlign w:val="bottom"/>
            <w:gridSpan w:val="13"/>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10.12+</w:t>
            </w:r>
          </w:p>
        </w:tc>
        <w:tc>
          <w:tcPr>
            <w:tcW w:w="9740" w:type="dxa"/>
            <w:vAlign w:val="bottom"/>
            <w:gridSpan w:val="28"/>
          </w:tcPr>
          <w:p>
            <w:pPr>
              <w:spacing w:after="0" w:line="194" w:lineRule="exact"/>
              <w:rPr>
                <w:rFonts w:ascii="Arial" w:cs="Arial" w:eastAsia="Arial" w:hAnsi="Arial"/>
                <w:sz w:val="17"/>
                <w:szCs w:val="17"/>
                <w:color w:val="0000EE"/>
                <w:w w:val="91"/>
              </w:rPr>
            </w:pPr>
            <w:hyperlink r:id="rId175">
              <w:r>
                <w:rPr>
                  <w:rFonts w:ascii="Arial" w:cs="Arial" w:eastAsia="Arial" w:hAnsi="Arial"/>
                  <w:sz w:val="17"/>
                  <w:szCs w:val="17"/>
                  <w:color w:val="0000EE"/>
                  <w:w w:val="91"/>
                </w:rPr>
                <w:t>Viant Technology Inc. 2021 Long-Term Incentive Plan (incorporated by reference to Exhibit 99.1 to the Company’s Registration Statement on</w:t>
              </w:r>
            </w:hyperlink>
          </w:p>
        </w:tc>
      </w:tr>
      <w:tr>
        <w:trPr>
          <w:trHeight w:val="181"/>
        </w:trPr>
        <w:tc>
          <w:tcPr>
            <w:tcW w:w="150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6"/>
          </w:tcPr>
          <w:p>
            <w:pPr>
              <w:spacing w:after="0" w:line="181" w:lineRule="exact"/>
              <w:rPr>
                <w:rFonts w:ascii="Arial" w:cs="Arial" w:eastAsia="Arial" w:hAnsi="Arial"/>
                <w:sz w:val="17"/>
                <w:szCs w:val="17"/>
                <w:color w:val="0000EE"/>
                <w:w w:val="90"/>
              </w:rPr>
            </w:pPr>
            <w:hyperlink r:id="rId175">
              <w:r>
                <w:rPr>
                  <w:rFonts w:ascii="Arial" w:cs="Arial" w:eastAsia="Arial" w:hAnsi="Arial"/>
                  <w:sz w:val="17"/>
                  <w:szCs w:val="17"/>
                  <w:color w:val="0000EE"/>
                  <w:w w:val="90"/>
                </w:rPr>
                <w:t>Form S-8 (File No. 333-252912), filed on February 9, 2021)</w:t>
              </w:r>
            </w:hyperlink>
          </w:p>
        </w:tc>
        <w:tc>
          <w:tcPr>
            <w:tcW w:w="5500" w:type="dxa"/>
            <w:vAlign w:val="bottom"/>
            <w:tcBorders>
              <w:top w:val="single" w:sz="8" w:color="0000EE"/>
            </w:tcBorders>
            <w:gridSpan w:val="14"/>
          </w:tcPr>
          <w:p>
            <w:pPr>
              <w:spacing w:after="0"/>
              <w:rPr>
                <w:sz w:val="15"/>
                <w:szCs w:val="15"/>
                <w:color w:val="auto"/>
              </w:rPr>
            </w:pPr>
          </w:p>
        </w:tc>
        <w:tc>
          <w:tcPr>
            <w:tcW w:w="200" w:type="dxa"/>
            <w:vAlign w:val="bottom"/>
            <w:gridSpan w:val="8"/>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10.13+</w:t>
            </w:r>
          </w:p>
        </w:tc>
        <w:tc>
          <w:tcPr>
            <w:tcW w:w="9740" w:type="dxa"/>
            <w:vAlign w:val="bottom"/>
            <w:gridSpan w:val="28"/>
          </w:tcPr>
          <w:p>
            <w:pPr>
              <w:spacing w:after="0" w:line="194" w:lineRule="exact"/>
              <w:rPr>
                <w:rFonts w:ascii="Arial" w:cs="Arial" w:eastAsia="Arial" w:hAnsi="Arial"/>
                <w:sz w:val="17"/>
                <w:szCs w:val="17"/>
                <w:color w:val="0000EE"/>
                <w:w w:val="91"/>
              </w:rPr>
            </w:pPr>
            <w:hyperlink r:id="rId176">
              <w:r>
                <w:rPr>
                  <w:rFonts w:ascii="Arial" w:cs="Arial" w:eastAsia="Arial" w:hAnsi="Arial"/>
                  <w:sz w:val="17"/>
                  <w:szCs w:val="17"/>
                  <w:color w:val="0000EE"/>
                  <w:w w:val="91"/>
                </w:rPr>
                <w:t>Employment Agreement, dated as of March 27, 2017, by and between Viant Technology LLC and Larry Madden (incorporated by reference to</w:t>
              </w:r>
            </w:hyperlink>
          </w:p>
        </w:tc>
      </w:tr>
      <w:tr>
        <w:trPr>
          <w:trHeight w:val="181"/>
        </w:trPr>
        <w:tc>
          <w:tcPr>
            <w:tcW w:w="1500" w:type="dxa"/>
            <w:vAlign w:val="bottom"/>
          </w:tcPr>
          <w:p>
            <w:pPr>
              <w:spacing w:after="0"/>
              <w:rPr>
                <w:sz w:val="15"/>
                <w:szCs w:val="15"/>
                <w:color w:val="auto"/>
              </w:rPr>
            </w:pPr>
          </w:p>
        </w:tc>
        <w:tc>
          <w:tcPr>
            <w:tcW w:w="8000" w:type="dxa"/>
            <w:vAlign w:val="bottom"/>
            <w:tcBorders>
              <w:top w:val="single" w:sz="8" w:color="0000EE"/>
              <w:bottom w:val="single" w:sz="8" w:color="0000EE"/>
            </w:tcBorders>
            <w:gridSpan w:val="12"/>
          </w:tcPr>
          <w:p>
            <w:pPr>
              <w:spacing w:after="0" w:line="181" w:lineRule="exact"/>
              <w:rPr>
                <w:rFonts w:ascii="Arial" w:cs="Arial" w:eastAsia="Arial" w:hAnsi="Arial"/>
                <w:sz w:val="17"/>
                <w:szCs w:val="17"/>
                <w:color w:val="0000EE"/>
                <w:w w:val="90"/>
              </w:rPr>
            </w:pPr>
            <w:hyperlink r:id="rId176">
              <w:r>
                <w:rPr>
                  <w:rFonts w:ascii="Arial" w:cs="Arial" w:eastAsia="Arial" w:hAnsi="Arial"/>
                  <w:sz w:val="17"/>
                  <w:szCs w:val="17"/>
                  <w:color w:val="0000EE"/>
                  <w:w w:val="90"/>
                </w:rPr>
                <w:t>Exhibit 10.13 to the Company’s Registration Statement on Form S-1 (File No. 333-252117), filed on February 1, 2021)</w:t>
              </w:r>
            </w:hyperlink>
          </w:p>
        </w:tc>
        <w:tc>
          <w:tcPr>
            <w:tcW w:w="1580" w:type="dxa"/>
            <w:vAlign w:val="bottom"/>
            <w:tcBorders>
              <w:top w:val="single" w:sz="8" w:color="0000EE"/>
            </w:tcBorders>
            <w:gridSpan w:val="10"/>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10.14</w:t>
            </w:r>
          </w:p>
        </w:tc>
        <w:tc>
          <w:tcPr>
            <w:tcW w:w="9680" w:type="dxa"/>
            <w:vAlign w:val="bottom"/>
            <w:tcBorders>
              <w:bottom w:val="single" w:sz="8" w:color="0000EE"/>
            </w:tcBorders>
            <w:gridSpan w:val="25"/>
          </w:tcPr>
          <w:p>
            <w:pPr>
              <w:spacing w:after="0" w:line="194" w:lineRule="exact"/>
              <w:rPr>
                <w:rFonts w:ascii="Arial" w:cs="Arial" w:eastAsia="Arial" w:hAnsi="Arial"/>
                <w:sz w:val="17"/>
                <w:szCs w:val="17"/>
                <w:color w:val="0000EE"/>
                <w:w w:val="91"/>
              </w:rPr>
            </w:pPr>
            <w:hyperlink r:id="rId177">
              <w:r>
                <w:rPr>
                  <w:rFonts w:ascii="Arial" w:cs="Arial" w:eastAsia="Arial" w:hAnsi="Arial"/>
                  <w:sz w:val="17"/>
                  <w:szCs w:val="17"/>
                  <w:color w:val="0000EE"/>
                  <w:w w:val="91"/>
                </w:rPr>
                <w:t>Limited Liability Company Agreement of Viant Technology Equity Plan LLC, dated as of March 15, 2017 (incorporated by reference to Exhibit</w:t>
              </w:r>
            </w:hyperlink>
          </w:p>
        </w:tc>
        <w:tc>
          <w:tcPr>
            <w:tcW w:w="60" w:type="dxa"/>
            <w:vAlign w:val="bottom"/>
            <w:gridSpan w:val="3"/>
          </w:tcPr>
          <w:p>
            <w:pPr>
              <w:spacing w:after="0"/>
              <w:rPr>
                <w:sz w:val="16"/>
                <w:szCs w:val="16"/>
                <w:color w:val="auto"/>
              </w:rPr>
            </w:pPr>
          </w:p>
        </w:tc>
      </w:tr>
      <w:tr>
        <w:trPr>
          <w:trHeight w:val="181"/>
        </w:trPr>
        <w:tc>
          <w:tcPr>
            <w:tcW w:w="1500" w:type="dxa"/>
            <w:vAlign w:val="bottom"/>
          </w:tcPr>
          <w:p>
            <w:pPr>
              <w:spacing w:after="0"/>
              <w:rPr>
                <w:sz w:val="15"/>
                <w:szCs w:val="15"/>
                <w:color w:val="auto"/>
              </w:rPr>
            </w:pPr>
          </w:p>
        </w:tc>
        <w:tc>
          <w:tcPr>
            <w:tcW w:w="9740" w:type="dxa"/>
            <w:vAlign w:val="bottom"/>
            <w:gridSpan w:val="28"/>
          </w:tcPr>
          <w:p>
            <w:pPr>
              <w:spacing w:after="0" w:line="181" w:lineRule="exact"/>
              <w:rPr>
                <w:rFonts w:ascii="Arial" w:cs="Arial" w:eastAsia="Arial" w:hAnsi="Arial"/>
                <w:sz w:val="17"/>
                <w:szCs w:val="17"/>
                <w:color w:val="0000EE"/>
              </w:rPr>
            </w:pPr>
            <w:hyperlink r:id="rId177">
              <w:r>
                <w:rPr>
                  <w:rFonts w:ascii="Arial" w:cs="Arial" w:eastAsia="Arial" w:hAnsi="Arial"/>
                  <w:sz w:val="17"/>
                  <w:szCs w:val="17"/>
                  <w:color w:val="0000EE"/>
                </w:rPr>
                <w:t>10.</w:t>
              </w:r>
              <w:r>
                <w:rPr>
                  <w:rFonts w:ascii="Arial" w:cs="Arial" w:eastAsia="Arial" w:hAnsi="Arial"/>
                  <w:sz w:val="17"/>
                  <w:szCs w:val="17"/>
                  <w:u w:val="single" w:color="auto"/>
                  <w:color w:val="0000EE"/>
                </w:rPr>
                <w:t>14</w:t>
              </w:r>
              <w:r>
                <w:rPr>
                  <w:rFonts w:ascii="Arial" w:cs="Arial" w:eastAsia="Arial" w:hAnsi="Arial"/>
                  <w:sz w:val="17"/>
                  <w:szCs w:val="17"/>
                  <w:color w:val="0000EE"/>
                </w:rPr>
                <w:t xml:space="preserve"> to the Company’s Registration Statement on Form S-1 (File No. 333-252117), filed on February 1, 2021)</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9740" w:type="dxa"/>
            <w:vAlign w:val="bottom"/>
            <w:gridSpan w:val="28"/>
          </w:tcPr>
          <w:p>
            <w:pPr>
              <w:spacing w:after="0" w:line="194" w:lineRule="exact"/>
              <w:rPr>
                <w:rFonts w:ascii="Arial" w:cs="Arial" w:eastAsia="Arial" w:hAnsi="Arial"/>
                <w:sz w:val="17"/>
                <w:szCs w:val="17"/>
                <w:color w:val="0000EE"/>
                <w:w w:val="91"/>
              </w:rPr>
            </w:pPr>
            <w:hyperlink r:id="rId178">
              <w:r>
                <w:rPr>
                  <w:rFonts w:ascii="Arial" w:cs="Arial" w:eastAsia="Arial" w:hAnsi="Arial"/>
                  <w:sz w:val="17"/>
                  <w:szCs w:val="17"/>
                  <w:color w:val="0000EE"/>
                  <w:w w:val="91"/>
                </w:rPr>
                <w:t>Annual Incentive Plan (incorporated by reference to Exhibit 10.1 to the Company’s Current Report on Form 8-K (File No. 001-40015), filed on</w:t>
              </w:r>
            </w:hyperlink>
          </w:p>
        </w:tc>
      </w:tr>
      <w:tr>
        <w:trPr>
          <w:trHeight w:val="181"/>
        </w:trPr>
        <w:tc>
          <w:tcPr>
            <w:tcW w:w="1500" w:type="dxa"/>
            <w:vAlign w:val="bottom"/>
          </w:tcPr>
          <w:p>
            <w:pPr>
              <w:spacing w:after="0"/>
              <w:rPr>
                <w:sz w:val="15"/>
                <w:szCs w:val="15"/>
                <w:color w:val="auto"/>
              </w:rPr>
            </w:pPr>
          </w:p>
        </w:tc>
        <w:tc>
          <w:tcPr>
            <w:tcW w:w="104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w w:val="89"/>
              </w:rPr>
            </w:pPr>
            <w:hyperlink r:id="rId178">
              <w:r>
                <w:rPr>
                  <w:rFonts w:ascii="Arial" w:cs="Arial" w:eastAsia="Arial" w:hAnsi="Arial"/>
                  <w:sz w:val="17"/>
                  <w:szCs w:val="17"/>
                  <w:color w:val="0000EE"/>
                  <w:w w:val="89"/>
                </w:rPr>
                <w:t>March 4, 2022)</w:t>
              </w:r>
            </w:hyperlink>
          </w:p>
        </w:tc>
        <w:tc>
          <w:tcPr>
            <w:tcW w:w="8580" w:type="dxa"/>
            <w:vAlign w:val="bottom"/>
            <w:tcBorders>
              <w:top w:val="single" w:sz="8" w:color="0000EE"/>
            </w:tcBorders>
            <w:gridSpan w:val="21"/>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10.16+</w:t>
            </w:r>
          </w:p>
        </w:tc>
        <w:tc>
          <w:tcPr>
            <w:tcW w:w="9740" w:type="dxa"/>
            <w:vAlign w:val="bottom"/>
            <w:gridSpan w:val="28"/>
          </w:tcPr>
          <w:p>
            <w:pPr>
              <w:spacing w:after="0" w:line="194" w:lineRule="exact"/>
              <w:rPr>
                <w:rFonts w:ascii="Arial" w:cs="Arial" w:eastAsia="Arial" w:hAnsi="Arial"/>
                <w:sz w:val="17"/>
                <w:szCs w:val="17"/>
                <w:color w:val="0000EE"/>
                <w:w w:val="92"/>
              </w:rPr>
            </w:pPr>
            <w:hyperlink r:id="rId179">
              <w:r>
                <w:rPr>
                  <w:rFonts w:ascii="Arial" w:cs="Arial" w:eastAsia="Arial" w:hAnsi="Arial"/>
                  <w:sz w:val="17"/>
                  <w:szCs w:val="17"/>
                  <w:color w:val="0000EE"/>
                  <w:w w:val="92"/>
                </w:rPr>
                <w:t>Form of Grant Notice and Standard Terms and Conditions for Nonqualified Stock Options under the Viant Technology Inc. 2021 Long-Term</w:t>
              </w:r>
            </w:hyperlink>
          </w:p>
        </w:tc>
      </w:tr>
      <w:tr>
        <w:trPr>
          <w:trHeight w:val="181"/>
        </w:trPr>
        <w:tc>
          <w:tcPr>
            <w:tcW w:w="1500" w:type="dxa"/>
            <w:vAlign w:val="bottom"/>
          </w:tcPr>
          <w:p>
            <w:pPr>
              <w:spacing w:after="0"/>
              <w:rPr>
                <w:sz w:val="15"/>
                <w:szCs w:val="15"/>
                <w:color w:val="auto"/>
              </w:rPr>
            </w:pPr>
          </w:p>
        </w:tc>
        <w:tc>
          <w:tcPr>
            <w:tcW w:w="9400" w:type="dxa"/>
            <w:vAlign w:val="bottom"/>
            <w:tcBorders>
              <w:top w:val="single" w:sz="8" w:color="0000EE"/>
              <w:bottom w:val="single" w:sz="8" w:color="0000EE"/>
            </w:tcBorders>
            <w:gridSpan w:val="16"/>
          </w:tcPr>
          <w:p>
            <w:pPr>
              <w:spacing w:after="0" w:line="181" w:lineRule="exact"/>
              <w:rPr>
                <w:rFonts w:ascii="Arial" w:cs="Arial" w:eastAsia="Arial" w:hAnsi="Arial"/>
                <w:sz w:val="17"/>
                <w:szCs w:val="17"/>
                <w:color w:val="0000EE"/>
                <w:w w:val="90"/>
              </w:rPr>
            </w:pPr>
            <w:hyperlink r:id="rId179">
              <w:r>
                <w:rPr>
                  <w:rFonts w:ascii="Arial" w:cs="Arial" w:eastAsia="Arial" w:hAnsi="Arial"/>
                  <w:sz w:val="17"/>
                  <w:szCs w:val="17"/>
                  <w:color w:val="0000EE"/>
                  <w:w w:val="90"/>
                </w:rPr>
                <w:t>Incentive Plan (Employee Form) (incorporated by reference to Exhibit 99.2 to the Company’s Registration Statement on Form S-8 (File No.</w:t>
              </w:r>
            </w:hyperlink>
          </w:p>
        </w:tc>
        <w:tc>
          <w:tcPr>
            <w:tcW w:w="60" w:type="dxa"/>
            <w:vAlign w:val="bottom"/>
            <w:tcBorders>
              <w:top w:val="single" w:sz="8" w:color="0000EE"/>
            </w:tcBorders>
          </w:tcPr>
          <w:p>
            <w:pPr>
              <w:spacing w:after="0"/>
              <w:rPr>
                <w:sz w:val="15"/>
                <w:szCs w:val="15"/>
                <w:color w:val="auto"/>
              </w:rPr>
            </w:pPr>
          </w:p>
        </w:tc>
        <w:tc>
          <w:tcPr>
            <w:tcW w:w="280" w:type="dxa"/>
            <w:vAlign w:val="bottom"/>
            <w:gridSpan w:val="11"/>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2720" w:type="dxa"/>
            <w:vAlign w:val="bottom"/>
            <w:tcBorders>
              <w:bottom w:val="single" w:sz="8" w:color="0000EE"/>
            </w:tcBorders>
            <w:gridSpan w:val="4"/>
          </w:tcPr>
          <w:p>
            <w:pPr>
              <w:spacing w:after="0" w:line="181" w:lineRule="exact"/>
              <w:rPr>
                <w:rFonts w:ascii="Arial" w:cs="Arial" w:eastAsia="Arial" w:hAnsi="Arial"/>
                <w:sz w:val="17"/>
                <w:szCs w:val="17"/>
                <w:color w:val="0000EE"/>
                <w:w w:val="89"/>
              </w:rPr>
            </w:pPr>
            <w:hyperlink r:id="rId179">
              <w:r>
                <w:rPr>
                  <w:rFonts w:ascii="Arial" w:cs="Arial" w:eastAsia="Arial" w:hAnsi="Arial"/>
                  <w:sz w:val="17"/>
                  <w:szCs w:val="17"/>
                  <w:color w:val="0000EE"/>
                  <w:w w:val="89"/>
                </w:rPr>
                <w:t>333-252912), filed on February 9, 2021)</w:t>
              </w:r>
            </w:hyperlink>
          </w:p>
        </w:tc>
        <w:tc>
          <w:tcPr>
            <w:tcW w:w="7020" w:type="dxa"/>
            <w:vAlign w:val="bottom"/>
            <w:gridSpan w:val="24"/>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10.17+</w:t>
            </w:r>
          </w:p>
        </w:tc>
        <w:tc>
          <w:tcPr>
            <w:tcW w:w="9080" w:type="dxa"/>
            <w:vAlign w:val="bottom"/>
            <w:tcBorders>
              <w:bottom w:val="single" w:sz="8" w:color="0000EE"/>
            </w:tcBorders>
            <w:gridSpan w:val="14"/>
          </w:tcPr>
          <w:p>
            <w:pPr>
              <w:spacing w:after="0" w:line="194" w:lineRule="exact"/>
              <w:rPr>
                <w:rFonts w:ascii="Arial" w:cs="Arial" w:eastAsia="Arial" w:hAnsi="Arial"/>
                <w:sz w:val="17"/>
                <w:szCs w:val="17"/>
                <w:color w:val="0000EE"/>
                <w:w w:val="89"/>
              </w:rPr>
            </w:pPr>
            <w:hyperlink r:id="rId180">
              <w:r>
                <w:rPr>
                  <w:rFonts w:ascii="Arial" w:cs="Arial" w:eastAsia="Arial" w:hAnsi="Arial"/>
                  <w:sz w:val="17"/>
                  <w:szCs w:val="17"/>
                  <w:color w:val="0000EE"/>
                  <w:w w:val="89"/>
                </w:rPr>
                <w:t>Form of Grant Notice and Standard Terms and Conditions for Restricted Stock Units under the Viant Technology Inc. 2021 Long-Term</w:t>
              </w:r>
            </w:hyperlink>
          </w:p>
        </w:tc>
        <w:tc>
          <w:tcPr>
            <w:tcW w:w="660" w:type="dxa"/>
            <w:vAlign w:val="bottom"/>
            <w:gridSpan w:val="14"/>
          </w:tcPr>
          <w:p>
            <w:pPr>
              <w:spacing w:after="0"/>
              <w:rPr>
                <w:sz w:val="16"/>
                <w:szCs w:val="16"/>
                <w:color w:val="auto"/>
              </w:rPr>
            </w:pPr>
          </w:p>
        </w:tc>
      </w:tr>
      <w:tr>
        <w:trPr>
          <w:trHeight w:val="181"/>
        </w:trPr>
        <w:tc>
          <w:tcPr>
            <w:tcW w:w="1500" w:type="dxa"/>
            <w:vAlign w:val="bottom"/>
          </w:tcPr>
          <w:p>
            <w:pPr>
              <w:spacing w:after="0"/>
              <w:rPr>
                <w:sz w:val="15"/>
                <w:szCs w:val="15"/>
                <w:color w:val="auto"/>
              </w:rPr>
            </w:pPr>
          </w:p>
        </w:tc>
        <w:tc>
          <w:tcPr>
            <w:tcW w:w="9400" w:type="dxa"/>
            <w:vAlign w:val="bottom"/>
            <w:tcBorders>
              <w:bottom w:val="single" w:sz="8" w:color="0000EE"/>
            </w:tcBorders>
            <w:gridSpan w:val="16"/>
          </w:tcPr>
          <w:p>
            <w:pPr>
              <w:spacing w:after="0" w:line="181" w:lineRule="exact"/>
              <w:rPr>
                <w:rFonts w:ascii="Arial" w:cs="Arial" w:eastAsia="Arial" w:hAnsi="Arial"/>
                <w:sz w:val="17"/>
                <w:szCs w:val="17"/>
                <w:color w:val="0000EE"/>
                <w:w w:val="90"/>
              </w:rPr>
            </w:pPr>
            <w:hyperlink r:id="rId180">
              <w:r>
                <w:rPr>
                  <w:rFonts w:ascii="Arial" w:cs="Arial" w:eastAsia="Arial" w:hAnsi="Arial"/>
                  <w:sz w:val="17"/>
                  <w:szCs w:val="17"/>
                  <w:color w:val="0000EE"/>
                  <w:w w:val="90"/>
                </w:rPr>
                <w:t>Incentive Plan (Employee Form) (incorporated by reference to Exhibit 99.3 to the Company’s Registration Statement on Form S-8 (File No.</w:t>
              </w:r>
            </w:hyperlink>
          </w:p>
        </w:tc>
        <w:tc>
          <w:tcPr>
            <w:tcW w:w="340" w:type="dxa"/>
            <w:vAlign w:val="bottom"/>
            <w:gridSpan w:val="12"/>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2720" w:type="dxa"/>
            <w:vAlign w:val="bottom"/>
            <w:tcBorders>
              <w:bottom w:val="single" w:sz="8" w:color="0000EE"/>
            </w:tcBorders>
            <w:gridSpan w:val="4"/>
          </w:tcPr>
          <w:p>
            <w:pPr>
              <w:spacing w:after="0" w:line="181" w:lineRule="exact"/>
              <w:rPr>
                <w:rFonts w:ascii="Arial" w:cs="Arial" w:eastAsia="Arial" w:hAnsi="Arial"/>
                <w:sz w:val="17"/>
                <w:szCs w:val="17"/>
                <w:color w:val="0000EE"/>
                <w:w w:val="89"/>
              </w:rPr>
            </w:pPr>
            <w:hyperlink r:id="rId180">
              <w:r>
                <w:rPr>
                  <w:rFonts w:ascii="Arial" w:cs="Arial" w:eastAsia="Arial" w:hAnsi="Arial"/>
                  <w:sz w:val="17"/>
                  <w:szCs w:val="17"/>
                  <w:color w:val="0000EE"/>
                  <w:w w:val="89"/>
                </w:rPr>
                <w:t>333-252912), filed on February 9, 2021)</w:t>
              </w:r>
            </w:hyperlink>
          </w:p>
        </w:tc>
        <w:tc>
          <w:tcPr>
            <w:tcW w:w="7020" w:type="dxa"/>
            <w:vAlign w:val="bottom"/>
            <w:gridSpan w:val="24"/>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10.18+</w:t>
            </w:r>
          </w:p>
        </w:tc>
        <w:tc>
          <w:tcPr>
            <w:tcW w:w="9740" w:type="dxa"/>
            <w:vAlign w:val="bottom"/>
            <w:gridSpan w:val="28"/>
          </w:tcPr>
          <w:p>
            <w:pPr>
              <w:spacing w:after="0" w:line="194" w:lineRule="exact"/>
              <w:rPr>
                <w:rFonts w:ascii="Arial" w:cs="Arial" w:eastAsia="Arial" w:hAnsi="Arial"/>
                <w:sz w:val="17"/>
                <w:szCs w:val="17"/>
                <w:color w:val="0000EE"/>
                <w:w w:val="91"/>
              </w:rPr>
            </w:pPr>
            <w:hyperlink r:id="rId181">
              <w:r>
                <w:rPr>
                  <w:rFonts w:ascii="Arial" w:cs="Arial" w:eastAsia="Arial" w:hAnsi="Arial"/>
                  <w:sz w:val="17"/>
                  <w:szCs w:val="17"/>
                  <w:color w:val="0000EE"/>
                  <w:w w:val="91"/>
                </w:rPr>
                <w:t>Form of Grant Notice and Standard Terms and Conditions for Restricted Stock Units for Non-Employee Directors under the Viant Technology</w:t>
              </w:r>
            </w:hyperlink>
          </w:p>
        </w:tc>
      </w:tr>
      <w:tr>
        <w:trPr>
          <w:trHeight w:val="20"/>
        </w:trPr>
        <w:tc>
          <w:tcPr>
            <w:tcW w:w="150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81"/>
        </w:trPr>
        <w:tc>
          <w:tcPr>
            <w:tcW w:w="1500" w:type="dxa"/>
            <w:vAlign w:val="bottom"/>
          </w:tcPr>
          <w:p>
            <w:pPr>
              <w:spacing w:after="0"/>
              <w:rPr>
                <w:sz w:val="15"/>
                <w:szCs w:val="15"/>
                <w:color w:val="auto"/>
              </w:rPr>
            </w:pPr>
          </w:p>
        </w:tc>
        <w:tc>
          <w:tcPr>
            <w:tcW w:w="9640" w:type="dxa"/>
            <w:vAlign w:val="bottom"/>
            <w:tcBorders>
              <w:bottom w:val="single" w:sz="8" w:color="0000EE"/>
            </w:tcBorders>
            <w:gridSpan w:val="24"/>
          </w:tcPr>
          <w:p>
            <w:pPr>
              <w:spacing w:after="0" w:line="181" w:lineRule="exact"/>
              <w:rPr>
                <w:rFonts w:ascii="Arial" w:cs="Arial" w:eastAsia="Arial" w:hAnsi="Arial"/>
                <w:sz w:val="17"/>
                <w:szCs w:val="17"/>
                <w:color w:val="0000EE"/>
                <w:w w:val="90"/>
              </w:rPr>
            </w:pPr>
            <w:hyperlink r:id="rId181">
              <w:r>
                <w:rPr>
                  <w:rFonts w:ascii="Arial" w:cs="Arial" w:eastAsia="Arial" w:hAnsi="Arial"/>
                  <w:sz w:val="17"/>
                  <w:szCs w:val="17"/>
                  <w:color w:val="0000EE"/>
                  <w:w w:val="90"/>
                </w:rPr>
                <w:t>Inc. 2021 Long-Term Incentive Plan (incorporated by reference to Exhibit 99.4 to the Company’s Registration Statement on Form S-8 (File No.</w:t>
              </w:r>
            </w:hyperlink>
          </w:p>
        </w:tc>
        <w:tc>
          <w:tcPr>
            <w:tcW w:w="100" w:type="dxa"/>
            <w:vAlign w:val="bottom"/>
            <w:gridSpan w:val="4"/>
          </w:tcPr>
          <w:p>
            <w:pPr>
              <w:spacing w:after="0"/>
              <w:rPr>
                <w:sz w:val="15"/>
                <w:szCs w:val="15"/>
                <w:color w:val="auto"/>
              </w:rPr>
            </w:pPr>
          </w:p>
        </w:tc>
      </w:tr>
      <w:tr>
        <w:trPr>
          <w:trHeight w:val="181"/>
        </w:trPr>
        <w:tc>
          <w:tcPr>
            <w:tcW w:w="1500" w:type="dxa"/>
            <w:vAlign w:val="bottom"/>
          </w:tcPr>
          <w:p>
            <w:pPr>
              <w:spacing w:after="0"/>
              <w:rPr>
                <w:sz w:val="15"/>
                <w:szCs w:val="15"/>
                <w:color w:val="auto"/>
              </w:rPr>
            </w:pPr>
          </w:p>
        </w:tc>
        <w:tc>
          <w:tcPr>
            <w:tcW w:w="2720" w:type="dxa"/>
            <w:vAlign w:val="bottom"/>
            <w:tcBorders>
              <w:bottom w:val="single" w:sz="8" w:color="0000EE"/>
            </w:tcBorders>
            <w:gridSpan w:val="4"/>
          </w:tcPr>
          <w:p>
            <w:pPr>
              <w:spacing w:after="0" w:line="181" w:lineRule="exact"/>
              <w:rPr>
                <w:rFonts w:ascii="Arial" w:cs="Arial" w:eastAsia="Arial" w:hAnsi="Arial"/>
                <w:sz w:val="17"/>
                <w:szCs w:val="17"/>
                <w:color w:val="0000EE"/>
                <w:w w:val="89"/>
              </w:rPr>
            </w:pPr>
            <w:hyperlink r:id="rId181">
              <w:r>
                <w:rPr>
                  <w:rFonts w:ascii="Arial" w:cs="Arial" w:eastAsia="Arial" w:hAnsi="Arial"/>
                  <w:sz w:val="17"/>
                  <w:szCs w:val="17"/>
                  <w:color w:val="0000EE"/>
                  <w:w w:val="89"/>
                </w:rPr>
                <w:t>333-252912), filed on February 9, 2021)</w:t>
              </w:r>
            </w:hyperlink>
          </w:p>
        </w:tc>
        <w:tc>
          <w:tcPr>
            <w:tcW w:w="7020" w:type="dxa"/>
            <w:vAlign w:val="bottom"/>
            <w:gridSpan w:val="24"/>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21.1</w:t>
            </w:r>
          </w:p>
        </w:tc>
        <w:tc>
          <w:tcPr>
            <w:tcW w:w="9740" w:type="dxa"/>
            <w:vAlign w:val="bottom"/>
            <w:gridSpan w:val="28"/>
          </w:tcPr>
          <w:p>
            <w:pPr>
              <w:spacing w:after="0" w:line="194" w:lineRule="exact"/>
              <w:rPr>
                <w:rFonts w:ascii="Arial" w:cs="Arial" w:eastAsia="Arial" w:hAnsi="Arial"/>
                <w:sz w:val="17"/>
                <w:szCs w:val="17"/>
                <w:color w:val="0000EE"/>
                <w:w w:val="92"/>
              </w:rPr>
            </w:pPr>
            <w:hyperlink r:id="rId182">
              <w:r>
                <w:rPr>
                  <w:rFonts w:ascii="Arial" w:cs="Arial" w:eastAsia="Arial" w:hAnsi="Arial"/>
                  <w:sz w:val="17"/>
                  <w:szCs w:val="17"/>
                  <w:color w:val="0000EE"/>
                  <w:w w:val="92"/>
                </w:rPr>
                <w:t>Subsidiaries of the Company (incorporated by reference to Exhibit 21.1 to the Company’s Registration Statement on Form S-1 (File No. 333-</w:t>
              </w:r>
            </w:hyperlink>
          </w:p>
        </w:tc>
      </w:tr>
      <w:tr>
        <w:trPr>
          <w:trHeight w:val="181"/>
        </w:trPr>
        <w:tc>
          <w:tcPr>
            <w:tcW w:w="150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3"/>
          </w:tcPr>
          <w:p>
            <w:pPr>
              <w:spacing w:after="0" w:line="181" w:lineRule="exact"/>
              <w:rPr>
                <w:rFonts w:ascii="Arial" w:cs="Arial" w:eastAsia="Arial" w:hAnsi="Arial"/>
                <w:sz w:val="17"/>
                <w:szCs w:val="17"/>
                <w:color w:val="0000EE"/>
                <w:w w:val="89"/>
              </w:rPr>
            </w:pPr>
            <w:hyperlink r:id="rId182">
              <w:r>
                <w:rPr>
                  <w:rFonts w:ascii="Arial" w:cs="Arial" w:eastAsia="Arial" w:hAnsi="Arial"/>
                  <w:sz w:val="17"/>
                  <w:szCs w:val="17"/>
                  <w:color w:val="0000EE"/>
                  <w:w w:val="89"/>
                </w:rPr>
                <w:t>252117)</w:t>
              </w:r>
              <w:r>
                <w:rPr>
                  <w:rFonts w:ascii="Arial" w:cs="Arial" w:eastAsia="Arial" w:hAnsi="Arial"/>
                  <w:sz w:val="17"/>
                  <w:szCs w:val="17"/>
                  <w:u w:val="single" w:color="auto"/>
                  <w:color w:val="0000EE"/>
                  <w:w w:val="89"/>
                </w:rPr>
                <w:t>,</w:t>
              </w:r>
              <w:r>
                <w:rPr>
                  <w:rFonts w:ascii="Arial" w:cs="Arial" w:eastAsia="Arial" w:hAnsi="Arial"/>
                  <w:sz w:val="17"/>
                  <w:szCs w:val="17"/>
                  <w:color w:val="0000EE"/>
                  <w:w w:val="89"/>
                </w:rPr>
                <w:t xml:space="preserve"> filed on February 1, 2021)</w:t>
              </w:r>
            </w:hyperlink>
          </w:p>
        </w:tc>
        <w:tc>
          <w:tcPr>
            <w:tcW w:w="7080" w:type="dxa"/>
            <w:vAlign w:val="bottom"/>
            <w:tcBorders>
              <w:top w:val="single" w:sz="8" w:color="0000EE"/>
            </w:tcBorders>
            <w:gridSpan w:val="15"/>
          </w:tcPr>
          <w:p>
            <w:pPr>
              <w:spacing w:after="0"/>
              <w:rPr>
                <w:sz w:val="15"/>
                <w:szCs w:val="15"/>
                <w:color w:val="auto"/>
              </w:rPr>
            </w:pPr>
          </w:p>
        </w:tc>
        <w:tc>
          <w:tcPr>
            <w:tcW w:w="260" w:type="dxa"/>
            <w:vAlign w:val="bottom"/>
            <w:gridSpan w:val="10"/>
          </w:tcPr>
          <w:p>
            <w:pPr>
              <w:spacing w:after="0"/>
              <w:rPr>
                <w:sz w:val="15"/>
                <w:szCs w:val="15"/>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23.1*</w:t>
            </w:r>
          </w:p>
        </w:tc>
        <w:tc>
          <w:tcPr>
            <w:tcW w:w="5560" w:type="dxa"/>
            <w:vAlign w:val="bottom"/>
            <w:tcBorders>
              <w:bottom w:val="single" w:sz="8" w:color="0000EE"/>
            </w:tcBorders>
            <w:gridSpan w:val="7"/>
          </w:tcPr>
          <w:p>
            <w:pPr>
              <w:spacing w:after="0" w:line="194" w:lineRule="exact"/>
              <w:rPr>
                <w:rFonts w:ascii="Arial" w:cs="Arial" w:eastAsia="Arial" w:hAnsi="Arial"/>
                <w:sz w:val="17"/>
                <w:szCs w:val="17"/>
                <w:color w:val="0000EE"/>
                <w:w w:val="90"/>
              </w:rPr>
            </w:pPr>
            <w:hyperlink w:anchor="page129">
              <w:r>
                <w:rPr>
                  <w:rFonts w:ascii="Arial" w:cs="Arial" w:eastAsia="Arial" w:hAnsi="Arial"/>
                  <w:sz w:val="17"/>
                  <w:szCs w:val="17"/>
                  <w:color w:val="0000EE"/>
                  <w:w w:val="90"/>
                </w:rPr>
                <w:t>Consent of Deloitte &amp; Touche LLP, independent registered public accounting firm.</w:t>
              </w:r>
            </w:hyperlink>
          </w:p>
        </w:tc>
        <w:tc>
          <w:tcPr>
            <w:tcW w:w="4180" w:type="dxa"/>
            <w:vAlign w:val="bottom"/>
            <w:gridSpan w:val="21"/>
          </w:tcPr>
          <w:p>
            <w:pPr>
              <w:spacing w:after="0"/>
              <w:rPr>
                <w:sz w:val="16"/>
                <w:szCs w:val="16"/>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31.1*</w:t>
            </w:r>
          </w:p>
        </w:tc>
        <w:tc>
          <w:tcPr>
            <w:tcW w:w="9740" w:type="dxa"/>
            <w:vAlign w:val="bottom"/>
            <w:gridSpan w:val="28"/>
          </w:tcPr>
          <w:p>
            <w:pPr>
              <w:spacing w:after="0" w:line="194" w:lineRule="exact"/>
              <w:rPr>
                <w:rFonts w:ascii="Arial" w:cs="Arial" w:eastAsia="Arial" w:hAnsi="Arial"/>
                <w:sz w:val="17"/>
                <w:szCs w:val="17"/>
                <w:color w:val="0000EE"/>
              </w:rPr>
            </w:pPr>
            <w:hyperlink w:anchor="page130">
              <w:r>
                <w:rPr>
                  <w:rFonts w:ascii="Arial" w:cs="Arial" w:eastAsia="Arial" w:hAnsi="Arial"/>
                  <w:sz w:val="17"/>
                  <w:szCs w:val="17"/>
                  <w:color w:val="0000EE"/>
                </w:rPr>
                <w:t>Certification of Principal Executive Officer pursuant to Section 302 of the Sarbanes-Oxley Act of 2002</w:t>
              </w:r>
            </w:hyperlink>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31.2*</w:t>
            </w:r>
          </w:p>
        </w:tc>
        <w:tc>
          <w:tcPr>
            <w:tcW w:w="6900" w:type="dxa"/>
            <w:vAlign w:val="bottom"/>
            <w:tcBorders>
              <w:top w:val="single" w:sz="8" w:color="0000EE"/>
              <w:bottom w:val="single" w:sz="8" w:color="0000EE"/>
            </w:tcBorders>
            <w:gridSpan w:val="9"/>
          </w:tcPr>
          <w:p>
            <w:pPr>
              <w:spacing w:after="0" w:line="194" w:lineRule="exact"/>
              <w:rPr>
                <w:rFonts w:ascii="Arial" w:cs="Arial" w:eastAsia="Arial" w:hAnsi="Arial"/>
                <w:sz w:val="17"/>
                <w:szCs w:val="17"/>
                <w:color w:val="0000EE"/>
                <w:w w:val="91"/>
              </w:rPr>
            </w:pPr>
            <w:hyperlink w:anchor="page132">
              <w:r>
                <w:rPr>
                  <w:rFonts w:ascii="Arial" w:cs="Arial" w:eastAsia="Arial" w:hAnsi="Arial"/>
                  <w:sz w:val="17"/>
                  <w:szCs w:val="17"/>
                  <w:color w:val="0000EE"/>
                  <w:w w:val="91"/>
                </w:rPr>
                <w:t>Certification of Principal Financial Officer pursuant to Section 302 of the Sarbanes-Oxley Act of 2002</w:t>
              </w:r>
            </w:hyperlink>
          </w:p>
        </w:tc>
        <w:tc>
          <w:tcPr>
            <w:tcW w:w="20" w:type="dxa"/>
            <w:vAlign w:val="bottom"/>
            <w:tcBorders>
              <w:top w:val="single" w:sz="8" w:color="0000EE"/>
            </w:tcBorders>
          </w:tcPr>
          <w:p>
            <w:pPr>
              <w:spacing w:after="0"/>
              <w:rPr>
                <w:sz w:val="16"/>
                <w:szCs w:val="16"/>
                <w:color w:val="auto"/>
              </w:rPr>
            </w:pPr>
          </w:p>
        </w:tc>
        <w:tc>
          <w:tcPr>
            <w:tcW w:w="2820" w:type="dxa"/>
            <w:vAlign w:val="bottom"/>
            <w:gridSpan w:val="18"/>
          </w:tcPr>
          <w:p>
            <w:pPr>
              <w:spacing w:after="0"/>
              <w:rPr>
                <w:sz w:val="16"/>
                <w:szCs w:val="16"/>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32.1*†</w:t>
            </w:r>
          </w:p>
        </w:tc>
        <w:tc>
          <w:tcPr>
            <w:tcW w:w="9740" w:type="dxa"/>
            <w:vAlign w:val="bottom"/>
            <w:gridSpan w:val="28"/>
          </w:tcPr>
          <w:p>
            <w:pPr>
              <w:spacing w:after="0" w:line="194" w:lineRule="exact"/>
              <w:rPr>
                <w:rFonts w:ascii="Arial" w:cs="Arial" w:eastAsia="Arial" w:hAnsi="Arial"/>
                <w:sz w:val="17"/>
                <w:szCs w:val="17"/>
                <w:color w:val="0000EE"/>
              </w:rPr>
            </w:pPr>
            <w:hyperlink w:anchor="page134">
              <w:r>
                <w:rPr>
                  <w:rFonts w:ascii="Arial" w:cs="Arial" w:eastAsia="Arial" w:hAnsi="Arial"/>
                  <w:sz w:val="17"/>
                  <w:szCs w:val="17"/>
                  <w:color w:val="0000EE"/>
                </w:rPr>
                <w:t>Certification of Principal Executive Officer pursuant to Section 906 of the Sarbanes-Oxley Act of 2002</w:t>
              </w:r>
            </w:hyperlink>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32.2*†</w:t>
            </w:r>
          </w:p>
        </w:tc>
        <w:tc>
          <w:tcPr>
            <w:tcW w:w="6880" w:type="dxa"/>
            <w:vAlign w:val="bottom"/>
            <w:tcBorders>
              <w:top w:val="single" w:sz="8" w:color="0000EE"/>
              <w:bottom w:val="single" w:sz="8" w:color="0000EE"/>
            </w:tcBorders>
            <w:gridSpan w:val="8"/>
          </w:tcPr>
          <w:p>
            <w:pPr>
              <w:spacing w:after="0" w:line="194" w:lineRule="exact"/>
              <w:rPr>
                <w:rFonts w:ascii="Arial" w:cs="Arial" w:eastAsia="Arial" w:hAnsi="Arial"/>
                <w:sz w:val="17"/>
                <w:szCs w:val="17"/>
                <w:color w:val="0000EE"/>
                <w:w w:val="90"/>
              </w:rPr>
            </w:pPr>
            <w:hyperlink w:anchor="page135">
              <w:r>
                <w:rPr>
                  <w:rFonts w:ascii="Arial" w:cs="Arial" w:eastAsia="Arial" w:hAnsi="Arial"/>
                  <w:sz w:val="17"/>
                  <w:szCs w:val="17"/>
                  <w:color w:val="0000EE"/>
                  <w:w w:val="90"/>
                </w:rPr>
                <w:t>Certification of Principal Financial Officer pursuant to Section 906 of the Sarbanes-Oxley Act of 2002</w:t>
              </w:r>
            </w:hyperlink>
          </w:p>
        </w:tc>
        <w:tc>
          <w:tcPr>
            <w:tcW w:w="40" w:type="dxa"/>
            <w:vAlign w:val="bottom"/>
            <w:tcBorders>
              <w:top w:val="single" w:sz="8" w:color="0000EE"/>
            </w:tcBorders>
            <w:gridSpan w:val="2"/>
          </w:tcPr>
          <w:p>
            <w:pPr>
              <w:spacing w:after="0"/>
              <w:rPr>
                <w:sz w:val="16"/>
                <w:szCs w:val="16"/>
                <w:color w:val="auto"/>
              </w:rPr>
            </w:pPr>
          </w:p>
        </w:tc>
        <w:tc>
          <w:tcPr>
            <w:tcW w:w="2820" w:type="dxa"/>
            <w:vAlign w:val="bottom"/>
            <w:gridSpan w:val="18"/>
          </w:tcPr>
          <w:p>
            <w:pPr>
              <w:spacing w:after="0"/>
              <w:rPr>
                <w:sz w:val="16"/>
                <w:szCs w:val="16"/>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7"/>
                <w:szCs w:val="17"/>
                <w:color w:val="auto"/>
              </w:rPr>
              <w:t>101.INS</w:t>
            </w:r>
          </w:p>
        </w:tc>
        <w:tc>
          <w:tcPr>
            <w:tcW w:w="9740" w:type="dxa"/>
            <w:vAlign w:val="bottom"/>
            <w:gridSpan w:val="28"/>
          </w:tcPr>
          <w:p>
            <w:pPr>
              <w:spacing w:after="0"/>
              <w:rPr>
                <w:sz w:val="20"/>
                <w:szCs w:val="20"/>
                <w:color w:val="auto"/>
              </w:rPr>
            </w:pPr>
            <w:r>
              <w:rPr>
                <w:rFonts w:ascii="Arial" w:cs="Arial" w:eastAsia="Arial" w:hAnsi="Arial"/>
                <w:sz w:val="17"/>
                <w:szCs w:val="17"/>
                <w:color w:val="auto"/>
              </w:rPr>
              <w:t>Inline XBRL Instance Document</w:t>
            </w:r>
          </w:p>
        </w:tc>
      </w:tr>
      <w:tr>
        <w:trPr>
          <w:trHeight w:val="214"/>
        </w:trPr>
        <w:tc>
          <w:tcPr>
            <w:tcW w:w="1500" w:type="dxa"/>
            <w:vAlign w:val="bottom"/>
          </w:tcPr>
          <w:p>
            <w:pPr>
              <w:spacing w:after="0"/>
              <w:rPr>
                <w:sz w:val="20"/>
                <w:szCs w:val="20"/>
                <w:color w:val="auto"/>
              </w:rPr>
            </w:pPr>
            <w:r>
              <w:rPr>
                <w:rFonts w:ascii="Arial" w:cs="Arial" w:eastAsia="Arial" w:hAnsi="Arial"/>
                <w:sz w:val="17"/>
                <w:szCs w:val="17"/>
                <w:color w:val="auto"/>
              </w:rPr>
              <w:t>101.SCH</w:t>
            </w:r>
          </w:p>
        </w:tc>
        <w:tc>
          <w:tcPr>
            <w:tcW w:w="9740" w:type="dxa"/>
            <w:vAlign w:val="bottom"/>
            <w:gridSpan w:val="28"/>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14"/>
        </w:trPr>
        <w:tc>
          <w:tcPr>
            <w:tcW w:w="1500" w:type="dxa"/>
            <w:vAlign w:val="bottom"/>
          </w:tcPr>
          <w:p>
            <w:pPr>
              <w:spacing w:after="0"/>
              <w:rPr>
                <w:sz w:val="20"/>
                <w:szCs w:val="20"/>
                <w:color w:val="auto"/>
              </w:rPr>
            </w:pPr>
            <w:r>
              <w:rPr>
                <w:rFonts w:ascii="Arial" w:cs="Arial" w:eastAsia="Arial" w:hAnsi="Arial"/>
                <w:sz w:val="17"/>
                <w:szCs w:val="17"/>
                <w:color w:val="auto"/>
              </w:rPr>
              <w:t>101.CAL</w:t>
            </w:r>
          </w:p>
        </w:tc>
        <w:tc>
          <w:tcPr>
            <w:tcW w:w="9740" w:type="dxa"/>
            <w:vAlign w:val="bottom"/>
            <w:gridSpan w:val="28"/>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14"/>
        </w:trPr>
        <w:tc>
          <w:tcPr>
            <w:tcW w:w="1500" w:type="dxa"/>
            <w:vAlign w:val="bottom"/>
          </w:tcPr>
          <w:p>
            <w:pPr>
              <w:spacing w:after="0"/>
              <w:rPr>
                <w:sz w:val="20"/>
                <w:szCs w:val="20"/>
                <w:color w:val="auto"/>
              </w:rPr>
            </w:pPr>
            <w:r>
              <w:rPr>
                <w:rFonts w:ascii="Arial" w:cs="Arial" w:eastAsia="Arial" w:hAnsi="Arial"/>
                <w:sz w:val="17"/>
                <w:szCs w:val="17"/>
                <w:color w:val="auto"/>
              </w:rPr>
              <w:t>101.DEF</w:t>
            </w:r>
          </w:p>
        </w:tc>
        <w:tc>
          <w:tcPr>
            <w:tcW w:w="9740" w:type="dxa"/>
            <w:vAlign w:val="bottom"/>
            <w:gridSpan w:val="28"/>
          </w:tcPr>
          <w:p>
            <w:pPr>
              <w:spacing w:after="0"/>
              <w:rPr>
                <w:sz w:val="20"/>
                <w:szCs w:val="20"/>
                <w:color w:val="auto"/>
              </w:rPr>
            </w:pPr>
            <w:r>
              <w:rPr>
                <w:rFonts w:ascii="Arial" w:cs="Arial" w:eastAsia="Arial" w:hAnsi="Arial"/>
                <w:sz w:val="17"/>
                <w:szCs w:val="17"/>
                <w:color w:val="auto"/>
              </w:rPr>
              <w:t>Inline XBRL Taxonomy Definition Linkbase Document</w:t>
            </w:r>
          </w:p>
        </w:tc>
      </w:tr>
      <w:tr>
        <w:trPr>
          <w:trHeight w:val="214"/>
        </w:trPr>
        <w:tc>
          <w:tcPr>
            <w:tcW w:w="1500" w:type="dxa"/>
            <w:vAlign w:val="bottom"/>
          </w:tcPr>
          <w:p>
            <w:pPr>
              <w:spacing w:after="0"/>
              <w:rPr>
                <w:sz w:val="20"/>
                <w:szCs w:val="20"/>
                <w:color w:val="auto"/>
              </w:rPr>
            </w:pPr>
            <w:r>
              <w:rPr>
                <w:rFonts w:ascii="Arial" w:cs="Arial" w:eastAsia="Arial" w:hAnsi="Arial"/>
                <w:sz w:val="17"/>
                <w:szCs w:val="17"/>
                <w:color w:val="auto"/>
              </w:rPr>
              <w:t>101.LAB</w:t>
            </w:r>
          </w:p>
        </w:tc>
        <w:tc>
          <w:tcPr>
            <w:tcW w:w="9740" w:type="dxa"/>
            <w:vAlign w:val="bottom"/>
            <w:gridSpan w:val="28"/>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403"/>
        </w:trPr>
        <w:tc>
          <w:tcPr>
            <w:tcW w:w="1500" w:type="dxa"/>
            <w:vAlign w:val="bottom"/>
          </w:tcPr>
          <w:p>
            <w:pPr>
              <w:spacing w:after="0"/>
              <w:rPr>
                <w:sz w:val="24"/>
                <w:szCs w:val="24"/>
                <w:color w:val="auto"/>
              </w:rPr>
            </w:pPr>
          </w:p>
        </w:tc>
        <w:tc>
          <w:tcPr>
            <w:tcW w:w="5560" w:type="dxa"/>
            <w:vAlign w:val="bottom"/>
            <w:gridSpan w:val="7"/>
          </w:tcPr>
          <w:p>
            <w:pPr>
              <w:ind w:left="4000"/>
              <w:spacing w:after="0"/>
              <w:rPr>
                <w:sz w:val="20"/>
                <w:szCs w:val="20"/>
                <w:color w:val="auto"/>
              </w:rPr>
            </w:pPr>
            <w:r>
              <w:rPr>
                <w:rFonts w:ascii="Arial" w:cs="Arial" w:eastAsia="Arial" w:hAnsi="Arial"/>
                <w:sz w:val="17"/>
                <w:szCs w:val="17"/>
                <w:color w:val="auto"/>
              </w:rPr>
              <w:t>114</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1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3"/>
        </w:trPr>
        <w:tc>
          <w:tcPr>
            <w:tcW w:w="1040" w:type="dxa"/>
            <w:vAlign w:val="bottom"/>
          </w:tcPr>
          <w:p>
            <w:pPr>
              <w:spacing w:after="0"/>
              <w:rPr>
                <w:sz w:val="20"/>
                <w:szCs w:val="20"/>
                <w:color w:val="auto"/>
              </w:rPr>
            </w:pPr>
            <w:r>
              <w:rPr>
                <w:rFonts w:ascii="Arial" w:cs="Arial" w:eastAsia="Arial" w:hAnsi="Arial"/>
                <w:sz w:val="17"/>
                <w:szCs w:val="17"/>
                <w:color w:val="auto"/>
              </w:rPr>
              <w:t>101.PRE</w:t>
            </w:r>
          </w:p>
        </w:tc>
        <w:tc>
          <w:tcPr>
            <w:tcW w:w="6520" w:type="dxa"/>
            <w:vAlign w:val="bottom"/>
          </w:tcPr>
          <w:p>
            <w:pPr>
              <w:ind w:left="44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14"/>
        </w:trPr>
        <w:tc>
          <w:tcPr>
            <w:tcW w:w="1040" w:type="dxa"/>
            <w:vAlign w:val="bottom"/>
          </w:tcPr>
          <w:p>
            <w:pPr>
              <w:spacing w:after="0"/>
              <w:rPr>
                <w:sz w:val="20"/>
                <w:szCs w:val="20"/>
                <w:color w:val="auto"/>
              </w:rPr>
            </w:pPr>
            <w:r>
              <w:rPr>
                <w:rFonts w:ascii="Arial" w:cs="Arial" w:eastAsia="Arial" w:hAnsi="Arial"/>
                <w:sz w:val="17"/>
                <w:szCs w:val="17"/>
                <w:color w:val="auto"/>
              </w:rPr>
              <w:t>104</w:t>
            </w:r>
          </w:p>
        </w:tc>
        <w:tc>
          <w:tcPr>
            <w:tcW w:w="6520" w:type="dxa"/>
            <w:vAlign w:val="bottom"/>
          </w:tcPr>
          <w:p>
            <w:pPr>
              <w:ind w:left="440"/>
              <w:spacing w:after="0"/>
              <w:rPr>
                <w:sz w:val="20"/>
                <w:szCs w:val="20"/>
                <w:color w:val="auto"/>
              </w:rPr>
            </w:pPr>
            <w:r>
              <w:rPr>
                <w:rFonts w:ascii="Arial" w:cs="Arial" w:eastAsia="Arial" w:hAnsi="Arial"/>
                <w:sz w:val="17"/>
                <w:szCs w:val="17"/>
                <w:color w:val="auto"/>
                <w:w w:val="90"/>
              </w:rPr>
              <w:t>Cover Page Interactive Data File (formatted as inline XBRL and contained in Exhibit 101)</w:t>
            </w:r>
          </w:p>
        </w:tc>
      </w:tr>
    </w:tbl>
    <w:p>
      <w:pPr>
        <w:spacing w:after="0" w:line="227" w:lineRule="exact"/>
        <w:rPr>
          <w:sz w:val="20"/>
          <w:szCs w:val="20"/>
          <w:color w:val="auto"/>
        </w:rPr>
      </w:pPr>
    </w:p>
    <w:p>
      <w:pPr>
        <w:ind w:left="580" w:hanging="579"/>
        <w:spacing w:after="0"/>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1040" w:hanging="1039"/>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arrangement.</w:t>
      </w:r>
    </w:p>
    <w:p>
      <w:pPr>
        <w:spacing w:after="0" w:line="6" w:lineRule="exact"/>
        <w:rPr>
          <w:sz w:val="20"/>
          <w:szCs w:val="20"/>
          <w:color w:val="auto"/>
        </w:rPr>
      </w:pPr>
    </w:p>
    <w:p>
      <w:pPr>
        <w:ind w:firstLine="1"/>
        <w:spacing w:after="0" w:line="254"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accompany this Annual Report on Form 10-K and will not be deemed “filed” for purposes of Section 18 of the Exchange Act, except to the extent that the Registrant specifically incorporates it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VIANT TECHNOLOGY INC.</w:t>
      </w:r>
    </w:p>
    <w:p>
      <w:pPr>
        <w:spacing w:after="0" w:line="232" w:lineRule="exact"/>
        <w:rPr>
          <w:sz w:val="20"/>
          <w:szCs w:val="20"/>
          <w:color w:val="auto"/>
        </w:rPr>
      </w:pPr>
    </w:p>
    <w:p>
      <w:pPr>
        <w:spacing w:after="0"/>
        <w:tabs>
          <w:tab w:leader="none" w:pos="5620" w:val="left"/>
          <w:tab w:leader="none" w:pos="7980" w:val="left"/>
        </w:tabs>
        <w:rPr>
          <w:sz w:val="20"/>
          <w:szCs w:val="20"/>
          <w:color w:val="auto"/>
        </w:rPr>
      </w:pPr>
      <w:r>
        <w:rPr>
          <w:rFonts w:ascii="Arial" w:cs="Arial" w:eastAsia="Arial" w:hAnsi="Arial"/>
          <w:sz w:val="17"/>
          <w:szCs w:val="17"/>
          <w:color w:val="auto"/>
        </w:rPr>
        <w:t>Date: March 10,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11430</wp:posOffset>
            </wp:positionV>
            <wp:extent cx="32829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jc w:val="center"/>
        <w:ind w:left="6040"/>
        <w:spacing w:after="0"/>
        <w:rPr>
          <w:sz w:val="20"/>
          <w:szCs w:val="20"/>
          <w:color w:val="auto"/>
        </w:rPr>
      </w:pPr>
      <w:r>
        <w:rPr>
          <w:rFonts w:ascii="Arial" w:cs="Arial" w:eastAsia="Arial" w:hAnsi="Arial"/>
          <w:sz w:val="17"/>
          <w:szCs w:val="17"/>
          <w:b w:val="1"/>
          <w:bCs w:val="1"/>
          <w:color w:val="auto"/>
        </w:rPr>
        <w:t>Tim Vanderhook</w:t>
      </w:r>
    </w:p>
    <w:p>
      <w:pPr>
        <w:spacing w:after="0" w:line="22" w:lineRule="exact"/>
        <w:rPr>
          <w:sz w:val="20"/>
          <w:szCs w:val="20"/>
          <w:color w:val="auto"/>
        </w:rPr>
      </w:pPr>
    </w:p>
    <w:p>
      <w:pPr>
        <w:jc w:val="center"/>
        <w:ind w:left="6040"/>
        <w:spacing w:after="0"/>
        <w:rPr>
          <w:sz w:val="20"/>
          <w:szCs w:val="20"/>
          <w:color w:val="auto"/>
        </w:rPr>
      </w:pPr>
      <w:r>
        <w:rPr>
          <w:rFonts w:ascii="Arial" w:cs="Arial" w:eastAsia="Arial" w:hAnsi="Arial"/>
          <w:sz w:val="17"/>
          <w:szCs w:val="17"/>
          <w:b w:val="1"/>
          <w:bCs w:val="1"/>
          <w:color w:val="auto"/>
        </w:rPr>
        <w:t>Chief Executive Officer and Chairman</w:t>
      </w:r>
    </w:p>
    <w:p>
      <w:pPr>
        <w:spacing w:after="0" w:line="20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170" w:lineRule="exact"/>
        <w:rPr>
          <w:sz w:val="20"/>
          <w:szCs w:val="20"/>
          <w:color w:val="auto"/>
        </w:rPr>
      </w:pPr>
    </w:p>
    <w:p>
      <w:pPr>
        <w:ind w:left="1700"/>
        <w:spacing w:after="0"/>
        <w:tabs>
          <w:tab w:leader="none" w:pos="5420" w:val="left"/>
          <w:tab w:leader="none" w:pos="916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41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vMerge w:val="restart"/>
          </w:tcPr>
          <w:p>
            <w:pPr>
              <w:jc w:val="center"/>
              <w:spacing w:after="0"/>
              <w:rPr>
                <w:sz w:val="20"/>
                <w:szCs w:val="20"/>
                <w:color w:val="auto"/>
              </w:rPr>
            </w:pPr>
            <w:r>
              <w:rPr>
                <w:rFonts w:ascii="Arial" w:cs="Arial" w:eastAsia="Arial" w:hAnsi="Arial"/>
                <w:sz w:val="17"/>
                <w:szCs w:val="17"/>
                <w:color w:val="auto"/>
                <w:w w:val="89"/>
              </w:rPr>
              <w:t>/s/ Tim Vanderhook</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1"/>
              </w:rPr>
              <w:t>Chief Executive Officer and Chairman</w:t>
            </w:r>
          </w:p>
        </w:tc>
        <w:tc>
          <w:tcPr>
            <w:tcW w:w="2000" w:type="dxa"/>
            <w:vAlign w:val="bottom"/>
            <w:vMerge w:val="restart"/>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2"/>
        </w:trPr>
        <w:tc>
          <w:tcPr>
            <w:tcW w:w="3760" w:type="dxa"/>
            <w:vAlign w:val="bottom"/>
            <w:tcBorders>
              <w:bottom w:val="single" w:sz="8" w:color="auto"/>
            </w:tcBorders>
            <w:vMerge w:val="continue"/>
          </w:tcPr>
          <w:p>
            <w:pPr>
              <w:spacing w:after="0"/>
              <w:rPr>
                <w:sz w:val="13"/>
                <w:szCs w:val="13"/>
                <w:color w:val="auto"/>
              </w:rPr>
            </w:pPr>
          </w:p>
        </w:tc>
        <w:tc>
          <w:tcPr>
            <w:tcW w:w="4080" w:type="dxa"/>
            <w:vAlign w:val="bottom"/>
          </w:tcPr>
          <w:p>
            <w:pPr>
              <w:jc w:val="center"/>
              <w:ind w:right="360"/>
              <w:spacing w:after="0"/>
              <w:rPr>
                <w:sz w:val="20"/>
                <w:szCs w:val="20"/>
                <w:color w:val="auto"/>
              </w:rPr>
            </w:pPr>
            <w:r>
              <w:rPr>
                <w:rFonts w:ascii="Arial" w:cs="Arial" w:eastAsia="Arial" w:hAnsi="Arial"/>
                <w:sz w:val="13"/>
                <w:szCs w:val="13"/>
                <w:i w:val="1"/>
                <w:iCs w:val="1"/>
                <w:color w:val="auto"/>
                <w:w w:val="95"/>
              </w:rPr>
              <w:t>(principal executive officer)</w:t>
            </w: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6"/>
              </w:rPr>
              <w:t>Tim Vanderhook</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3760" w:type="dxa"/>
            <w:vAlign w:val="bottom"/>
            <w:vMerge w:val="restart"/>
          </w:tcPr>
          <w:p>
            <w:pPr>
              <w:jc w:val="center"/>
              <w:spacing w:after="0"/>
              <w:rPr>
                <w:sz w:val="20"/>
                <w:szCs w:val="20"/>
                <w:color w:val="auto"/>
              </w:rPr>
            </w:pPr>
            <w:r>
              <w:rPr>
                <w:rFonts w:ascii="Arial" w:cs="Arial" w:eastAsia="Arial" w:hAnsi="Arial"/>
                <w:sz w:val="17"/>
                <w:szCs w:val="17"/>
                <w:color w:val="auto"/>
                <w:w w:val="90"/>
              </w:rPr>
              <w:t>/s/ Larry Madden</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3"/>
              </w:rPr>
              <w:t>Chief Financial Officer</w:t>
            </w:r>
          </w:p>
        </w:tc>
        <w:tc>
          <w:tcPr>
            <w:tcW w:w="2000" w:type="dxa"/>
            <w:vAlign w:val="bottom"/>
            <w:vMerge w:val="restart"/>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2"/>
        </w:trPr>
        <w:tc>
          <w:tcPr>
            <w:tcW w:w="3760" w:type="dxa"/>
            <w:vAlign w:val="bottom"/>
            <w:tcBorders>
              <w:bottom w:val="single" w:sz="8" w:color="auto"/>
            </w:tcBorders>
            <w:vMerge w:val="continue"/>
          </w:tcPr>
          <w:p>
            <w:pPr>
              <w:spacing w:after="0"/>
              <w:rPr>
                <w:sz w:val="13"/>
                <w:szCs w:val="13"/>
                <w:color w:val="auto"/>
              </w:rPr>
            </w:pPr>
          </w:p>
        </w:tc>
        <w:tc>
          <w:tcPr>
            <w:tcW w:w="4080" w:type="dxa"/>
            <w:vAlign w:val="bottom"/>
          </w:tcPr>
          <w:p>
            <w:pPr>
              <w:jc w:val="center"/>
              <w:ind w:right="360"/>
              <w:spacing w:after="0"/>
              <w:rPr>
                <w:sz w:val="20"/>
                <w:szCs w:val="20"/>
                <w:color w:val="auto"/>
              </w:rPr>
            </w:pPr>
            <w:r>
              <w:rPr>
                <w:rFonts w:ascii="Arial" w:cs="Arial" w:eastAsia="Arial" w:hAnsi="Arial"/>
                <w:sz w:val="13"/>
                <w:szCs w:val="13"/>
                <w:i w:val="1"/>
                <w:iCs w:val="1"/>
                <w:color w:val="auto"/>
                <w:w w:val="96"/>
              </w:rPr>
              <w:t>(principal financial and accounting officer)</w:t>
            </w: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rPr>
              <w:t>Larry Madden</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Chris Vanderhook</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1"/>
              </w:rPr>
              <w:t>Chief Operating Officer and Director</w:t>
            </w:r>
          </w:p>
        </w:tc>
        <w:tc>
          <w:tcPr>
            <w:tcW w:w="2000" w:type="dxa"/>
            <w:vAlign w:val="bottom"/>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4"/>
              </w:rPr>
              <w:t>Chris Vanderhook</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Max Valdes</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3"/>
              </w:rPr>
              <w:t>Max Valdes</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Elizabeth Williams</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5"/>
              </w:rPr>
              <w:t>Elizabeth Williams</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Vivian Yang</w:t>
            </w:r>
          </w:p>
        </w:tc>
        <w:tc>
          <w:tcPr>
            <w:tcW w:w="4080" w:type="dxa"/>
            <w:vAlign w:val="bottom"/>
          </w:tcPr>
          <w:p>
            <w:pPr>
              <w:jc w:val="center"/>
              <w:ind w:right="360"/>
              <w:spacing w:after="0"/>
              <w:rPr>
                <w:sz w:val="20"/>
                <w:szCs w:val="20"/>
                <w:color w:val="auto"/>
              </w:rPr>
            </w:pPr>
            <w:r>
              <w:rPr>
                <w:rFonts w:ascii="Arial" w:cs="Arial" w:eastAsia="Arial" w:hAnsi="Arial"/>
                <w:sz w:val="17"/>
                <w:szCs w:val="17"/>
                <w:color w:val="auto"/>
                <w:w w:val="94"/>
              </w:rPr>
              <w:t>Director</w:t>
            </w:r>
          </w:p>
        </w:tc>
        <w:tc>
          <w:tcPr>
            <w:tcW w:w="2000" w:type="dxa"/>
            <w:vAlign w:val="bottom"/>
          </w:tcPr>
          <w:p>
            <w:pPr>
              <w:ind w:left="940"/>
              <w:spacing w:after="0"/>
              <w:rPr>
                <w:sz w:val="20"/>
                <w:szCs w:val="20"/>
                <w:color w:val="auto"/>
              </w:rPr>
            </w:pPr>
            <w:r>
              <w:rPr>
                <w:rFonts w:ascii="Arial" w:cs="Arial" w:eastAsia="Arial" w:hAnsi="Arial"/>
                <w:sz w:val="17"/>
                <w:szCs w:val="17"/>
                <w:color w:val="auto"/>
                <w:w w:val="88"/>
              </w:rPr>
              <w:t>March 10, 2022</w:t>
            </w:r>
          </w:p>
        </w:tc>
        <w:tc>
          <w:tcPr>
            <w:tcW w:w="0" w:type="dxa"/>
            <w:vAlign w:val="bottom"/>
          </w:tcPr>
          <w:p>
            <w:pPr>
              <w:spacing w:after="0"/>
              <w:rPr>
                <w:sz w:val="1"/>
                <w:szCs w:val="1"/>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4"/>
              </w:rPr>
              <w:t>Vivian Yang</w:t>
            </w:r>
          </w:p>
        </w:tc>
        <w:tc>
          <w:tcPr>
            <w:tcW w:w="4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20"/>
          </w:cols>
          <w:pgMar w:left="320" w:top="526" w:right="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23.1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6"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color w:val="auto"/>
        </w:rPr>
        <w:t>We consent to the incorporation by reference in Registration Statement No. 333- 252912 on Form S-8 of our report dated March 10, 2022, relating to the financial statements of Viant Technology Inc., appearing in this Annual Report on Form 10-K for the year ended December 31, 2021.</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Costa Mesa, California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10, 2022</w:t>
      </w:r>
    </w:p>
    <w:p>
      <w:pPr>
        <w:sectPr>
          <w:pgSz w:w="11900" w:h="16838" w:orient="portrait"/>
          <w:cols w:equalWidth="0" w:num="1">
            <w:col w:w="11240"/>
          </w:cols>
          <w:pgMar w:left="320" w:top="123" w:right="339" w:bottom="1440" w:gutter="0" w:footer="0" w:header="0"/>
        </w:sectPr>
      </w:pPr>
    </w:p>
    <w:bookmarkStart w:id="129" w:name="page130"/>
    <w:bookmarkEnd w:id="129"/>
    <w:p>
      <w:pPr>
        <w:ind w:left="10380"/>
        <w:spacing w:after="0"/>
        <w:rPr>
          <w:sz w:val="20"/>
          <w:szCs w:val="20"/>
          <w:color w:val="auto"/>
        </w:rPr>
      </w:pPr>
      <w:r>
        <w:rPr>
          <w:rFonts w:ascii="Arial" w:cs="Arial" w:eastAsia="Arial" w:hAnsi="Arial"/>
          <w:sz w:val="15"/>
          <w:szCs w:val="15"/>
          <w:b w:val="1"/>
          <w:bCs w:val="1"/>
          <w:color w:val="auto"/>
        </w:rPr>
        <w:t>Exhibit 31.1</w:t>
      </w:r>
    </w:p>
    <w:p>
      <w:pPr>
        <w:spacing w:after="0" w:line="230" w:lineRule="exact"/>
        <w:rPr>
          <w:sz w:val="20"/>
          <w:szCs w:val="20"/>
          <w:color w:val="auto"/>
        </w:rPr>
      </w:pPr>
    </w:p>
    <w:p>
      <w:pPr>
        <w:jc w:val="center"/>
        <w:ind w:left="340" w:right="440"/>
        <w:spacing w:after="0" w:line="274"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Tim Vanderhook, certify that:</w:t>
      </w:r>
    </w:p>
    <w:p>
      <w:pPr>
        <w:spacing w:after="0" w:line="207" w:lineRule="exact"/>
        <w:rPr>
          <w:sz w:val="20"/>
          <w:szCs w:val="20"/>
          <w:color w:val="auto"/>
        </w:rPr>
      </w:pPr>
    </w:p>
    <w:p>
      <w:pPr>
        <w:ind w:left="160" w:hanging="159"/>
        <w:spacing w:after="0"/>
        <w:tabs>
          <w:tab w:leader="none" w:pos="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Viant Technology Inc.;</w:t>
      </w:r>
    </w:p>
    <w:p>
      <w:pPr>
        <w:spacing w:after="0" w:line="207" w:lineRule="exact"/>
        <w:rPr>
          <w:rFonts w:ascii="Arial" w:cs="Arial" w:eastAsia="Arial" w:hAnsi="Arial"/>
          <w:sz w:val="17"/>
          <w:szCs w:val="17"/>
          <w:color w:val="auto"/>
        </w:rPr>
      </w:pPr>
    </w:p>
    <w:p>
      <w:pPr>
        <w:ind w:right="120" w:firstLine="1"/>
        <w:spacing w:after="0" w:line="300" w:lineRule="auto"/>
        <w:tabs>
          <w:tab w:leader="none" w:pos="1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60" w:firstLine="1"/>
        <w:spacing w:after="0" w:line="269" w:lineRule="auto"/>
        <w:tabs>
          <w:tab w:leader="none" w:pos="1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160" w:hanging="159"/>
        <w:spacing w:after="0"/>
        <w:tabs>
          <w:tab w:leader="none" w:pos="1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81" w:lineRule="exact"/>
        <w:rPr>
          <w:rFonts w:ascii="Arial" w:cs="Arial" w:eastAsia="Arial" w:hAnsi="Arial"/>
          <w:sz w:val="15"/>
          <w:szCs w:val="15"/>
          <w:color w:val="auto"/>
        </w:rPr>
      </w:pPr>
    </w:p>
    <w:p>
      <w:pPr>
        <w:ind w:left="860" w:right="40" w:firstLine="5"/>
        <w:spacing w:after="0" w:line="258" w:lineRule="auto"/>
        <w:tabs>
          <w:tab w:leader="none" w:pos="1088"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860" w:right="140" w:firstLine="5"/>
        <w:spacing w:after="0" w:line="258" w:lineRule="auto"/>
        <w:tabs>
          <w:tab w:leader="none" w:pos="1097" w:val="left"/>
        </w:tabs>
        <w:numPr>
          <w:ilvl w:val="1"/>
          <w:numId w:val="55"/>
        </w:numPr>
        <w:rPr>
          <w:rFonts w:ascii="Arial" w:cs="Arial" w:eastAsia="Arial" w:hAnsi="Arial"/>
          <w:sz w:val="17"/>
          <w:szCs w:val="17"/>
          <w:color w:val="auto"/>
        </w:rPr>
      </w:pPr>
      <w:r>
        <w:rPr>
          <w:rFonts w:ascii="Arial" w:cs="Arial" w:eastAsia="Arial" w:hAnsi="Arial"/>
          <w:sz w:val="17"/>
          <w:szCs w:val="17"/>
          <w:color w:val="33333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860" w:right="20" w:firstLine="5"/>
        <w:spacing w:after="0" w:line="300" w:lineRule="auto"/>
        <w:tabs>
          <w:tab w:leader="none" w:pos="108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left="860" w:right="220" w:firstLine="5"/>
        <w:spacing w:after="0" w:line="258" w:lineRule="auto"/>
        <w:tabs>
          <w:tab w:leader="none" w:pos="1097"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7"/>
          <w:szCs w:val="17"/>
          <w:color w:val="auto"/>
        </w:rPr>
      </w:pPr>
    </w:p>
    <w:p>
      <w:pPr>
        <w:ind w:right="420" w:firstLine="1"/>
        <w:spacing w:after="0" w:line="269" w:lineRule="auto"/>
        <w:tabs>
          <w:tab w:leader="none" w:pos="1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7"/>
          <w:szCs w:val="17"/>
          <w:color w:val="auto"/>
        </w:rPr>
      </w:pPr>
    </w:p>
    <w:p>
      <w:pPr>
        <w:ind w:left="860" w:right="120" w:firstLine="5"/>
        <w:spacing w:after="0" w:line="269" w:lineRule="auto"/>
        <w:tabs>
          <w:tab w:leader="none" w:pos="1088"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860" w:right="160" w:firstLine="5"/>
        <w:spacing w:after="0" w:line="269" w:lineRule="auto"/>
        <w:tabs>
          <w:tab w:leader="none" w:pos="109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2022</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27305</wp:posOffset>
            </wp:positionV>
            <wp:extent cx="2804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2804160" cy="8255"/>
                    </a:xfrm>
                    <a:prstGeom prst="rect">
                      <a:avLst/>
                    </a:prstGeom>
                    <a:noFill/>
                  </pic:spPr>
                </pic:pic>
              </a:graphicData>
            </a:graphic>
          </wp:anchor>
        </w:drawing>
      </w:r>
    </w:p>
    <w:p>
      <w:pPr>
        <w:spacing w:after="0" w:line="24" w:lineRule="exact"/>
        <w:rPr>
          <w:sz w:val="20"/>
          <w:szCs w:val="20"/>
          <w:color w:val="auto"/>
        </w:rPr>
      </w:pPr>
    </w:p>
    <w:p>
      <w:pPr>
        <w:ind w:left="80"/>
        <w:spacing w:after="0"/>
        <w:rPr>
          <w:sz w:val="20"/>
          <w:szCs w:val="20"/>
          <w:color w:val="auto"/>
        </w:rPr>
      </w:pPr>
      <w:r>
        <w:rPr>
          <w:rFonts w:ascii="Arial" w:cs="Arial" w:eastAsia="Arial" w:hAnsi="Arial"/>
          <w:sz w:val="17"/>
          <w:szCs w:val="17"/>
          <w:color w:val="auto"/>
        </w:rPr>
        <w:t>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334645</wp:posOffset>
            </wp:positionV>
            <wp:extent cx="718312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83120"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color w:val="auto"/>
        </w:rPr>
        <w:t>Chief Executive Officer and Chairman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059"/>
          </w:cols>
          <w:pgMar w:left="400" w:top="328" w:right="1440" w:bottom="1440" w:gutter="0" w:footer="0" w:header="0"/>
        </w:sectPr>
      </w:pPr>
    </w:p>
    <w:bookmarkStart w:id="131" w:name="page132"/>
    <w:bookmarkEnd w:id="131"/>
    <w:p>
      <w:pPr>
        <w:ind w:left="10380"/>
        <w:spacing w:after="0"/>
        <w:rPr>
          <w:sz w:val="20"/>
          <w:szCs w:val="20"/>
          <w:color w:val="auto"/>
        </w:rPr>
      </w:pPr>
      <w:r>
        <w:rPr>
          <w:rFonts w:ascii="Arial" w:cs="Arial" w:eastAsia="Arial" w:hAnsi="Arial"/>
          <w:sz w:val="15"/>
          <w:szCs w:val="15"/>
          <w:b w:val="1"/>
          <w:bCs w:val="1"/>
          <w:color w:val="auto"/>
        </w:rPr>
        <w:t>Exhibit 31.2</w:t>
      </w:r>
    </w:p>
    <w:p>
      <w:pPr>
        <w:spacing w:after="0" w:line="230" w:lineRule="exact"/>
        <w:rPr>
          <w:sz w:val="20"/>
          <w:szCs w:val="20"/>
          <w:color w:val="auto"/>
        </w:rPr>
      </w:pPr>
    </w:p>
    <w:p>
      <w:pPr>
        <w:jc w:val="center"/>
        <w:ind w:left="340" w:right="440"/>
        <w:spacing w:after="0" w:line="274"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Larry Madden, certify that:</w:t>
      </w:r>
    </w:p>
    <w:p>
      <w:pPr>
        <w:spacing w:after="0" w:line="207" w:lineRule="exact"/>
        <w:rPr>
          <w:sz w:val="20"/>
          <w:szCs w:val="20"/>
          <w:color w:val="auto"/>
        </w:rPr>
      </w:pPr>
    </w:p>
    <w:p>
      <w:pPr>
        <w:ind w:left="160" w:hanging="159"/>
        <w:spacing w:after="0"/>
        <w:tabs>
          <w:tab w:leader="none" w:pos="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Viant Technology Inc.;</w:t>
      </w:r>
    </w:p>
    <w:p>
      <w:pPr>
        <w:spacing w:after="0" w:line="207" w:lineRule="exact"/>
        <w:rPr>
          <w:rFonts w:ascii="Arial" w:cs="Arial" w:eastAsia="Arial" w:hAnsi="Arial"/>
          <w:sz w:val="17"/>
          <w:szCs w:val="17"/>
          <w:color w:val="auto"/>
        </w:rPr>
      </w:pPr>
    </w:p>
    <w:p>
      <w:pPr>
        <w:ind w:right="120" w:firstLine="1"/>
        <w:spacing w:after="0" w:line="300" w:lineRule="auto"/>
        <w:tabs>
          <w:tab w:leader="none" w:pos="1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60" w:firstLine="1"/>
        <w:spacing w:after="0" w:line="269" w:lineRule="auto"/>
        <w:tabs>
          <w:tab w:leader="none" w:pos="1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160" w:hanging="159"/>
        <w:spacing w:after="0"/>
        <w:tabs>
          <w:tab w:leader="none" w:pos="1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81" w:lineRule="exact"/>
        <w:rPr>
          <w:rFonts w:ascii="Arial" w:cs="Arial" w:eastAsia="Arial" w:hAnsi="Arial"/>
          <w:sz w:val="15"/>
          <w:szCs w:val="15"/>
          <w:color w:val="auto"/>
        </w:rPr>
      </w:pPr>
    </w:p>
    <w:p>
      <w:pPr>
        <w:ind w:left="860" w:right="40" w:firstLine="5"/>
        <w:spacing w:after="0" w:line="258" w:lineRule="auto"/>
        <w:tabs>
          <w:tab w:leader="none" w:pos="1088"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860" w:right="140" w:firstLine="5"/>
        <w:spacing w:after="0" w:line="258" w:lineRule="auto"/>
        <w:tabs>
          <w:tab w:leader="none" w:pos="1097"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Designed such internal control over financial reporting, or caused such internal control over financial reporting to be designed under our supervision, to provide reasonable assurance </w:t>
      </w:r>
      <w:r>
        <w:rPr>
          <w:rFonts w:ascii="Arial" w:cs="Arial" w:eastAsia="Arial" w:hAnsi="Arial"/>
          <w:sz w:val="17"/>
          <w:szCs w:val="17"/>
          <w:color w:val="333333"/>
        </w:rPr>
        <w:t>regarding the reliability of financial reporting and the preparation of financial statements for external purposes in</w:t>
      </w:r>
      <w:r>
        <w:rPr>
          <w:rFonts w:ascii="Arial" w:cs="Arial" w:eastAsia="Arial" w:hAnsi="Arial"/>
          <w:sz w:val="17"/>
          <w:szCs w:val="17"/>
          <w:color w:val="auto"/>
        </w:rPr>
        <w:t xml:space="preserve"> </w:t>
      </w:r>
      <w:r>
        <w:rPr>
          <w:rFonts w:ascii="Arial" w:cs="Arial" w:eastAsia="Arial" w:hAnsi="Arial"/>
          <w:sz w:val="17"/>
          <w:szCs w:val="17"/>
          <w:color w:val="333333"/>
        </w:rPr>
        <w:t>accordance with generally accepted accounting principles;</w:t>
      </w:r>
    </w:p>
    <w:p>
      <w:pPr>
        <w:spacing w:after="0" w:line="174" w:lineRule="exact"/>
        <w:rPr>
          <w:rFonts w:ascii="Arial" w:cs="Arial" w:eastAsia="Arial" w:hAnsi="Arial"/>
          <w:sz w:val="17"/>
          <w:szCs w:val="17"/>
          <w:color w:val="auto"/>
        </w:rPr>
      </w:pPr>
    </w:p>
    <w:p>
      <w:pPr>
        <w:ind w:left="860" w:right="20" w:firstLine="5"/>
        <w:spacing w:after="0" w:line="300" w:lineRule="auto"/>
        <w:tabs>
          <w:tab w:leader="none" w:pos="108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left="860" w:right="220" w:firstLine="5"/>
        <w:spacing w:after="0" w:line="258" w:lineRule="auto"/>
        <w:tabs>
          <w:tab w:leader="none" w:pos="1097"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7"/>
          <w:szCs w:val="17"/>
          <w:color w:val="auto"/>
        </w:rPr>
      </w:pPr>
    </w:p>
    <w:p>
      <w:pPr>
        <w:ind w:right="420" w:firstLine="1"/>
        <w:spacing w:after="0" w:line="269" w:lineRule="auto"/>
        <w:tabs>
          <w:tab w:leader="none" w:pos="1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7"/>
          <w:szCs w:val="17"/>
          <w:color w:val="auto"/>
        </w:rPr>
      </w:pPr>
    </w:p>
    <w:p>
      <w:pPr>
        <w:ind w:left="860" w:right="120" w:firstLine="5"/>
        <w:spacing w:after="0" w:line="269" w:lineRule="auto"/>
        <w:tabs>
          <w:tab w:leader="none" w:pos="1088"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860" w:right="160" w:firstLine="5"/>
        <w:spacing w:after="0" w:line="269" w:lineRule="auto"/>
        <w:tabs>
          <w:tab w:leader="none" w:pos="109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2022</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27305</wp:posOffset>
            </wp:positionV>
            <wp:extent cx="2804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280416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342265</wp:posOffset>
            </wp:positionV>
            <wp:extent cx="718312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83120" cy="412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Larry Madden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0059"/>
          </w:cols>
          <w:pgMar w:left="400" w:top="328"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32.1</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In connection with the Annual Report of Viant Technology Inc. (the “Company”) on Form 10-K for the fiscal year ended December 31, 2021, as filed with the Securities and Exchange Commission on the date hereof (the “Report”), I certify, pursuant to 18 U.S.C. § 1350, as adopted pursuant to § 906 of the Sarbanes-Oxley Act of 2002, that:</w:t>
      </w:r>
    </w:p>
    <w:p>
      <w:pPr>
        <w:spacing w:after="0" w:line="175" w:lineRule="exact"/>
        <w:rPr>
          <w:sz w:val="20"/>
          <w:szCs w:val="20"/>
          <w:color w:val="auto"/>
        </w:rPr>
      </w:pPr>
    </w:p>
    <w:p>
      <w:pPr>
        <w:ind w:left="1660" w:hanging="795"/>
        <w:spacing w:after="0"/>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8" w:lineRule="exact"/>
        <w:rPr>
          <w:rFonts w:ascii="Arial" w:cs="Arial" w:eastAsia="Arial" w:hAnsi="Arial"/>
          <w:sz w:val="16"/>
          <w:szCs w:val="16"/>
          <w:color w:val="auto"/>
        </w:rPr>
      </w:pPr>
    </w:p>
    <w:p>
      <w:pPr>
        <w:ind w:left="1660" w:hanging="795"/>
        <w:spacing w:after="0"/>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80" w:type="dxa"/>
            <w:vAlign w:val="bottom"/>
          </w:tcPr>
          <w:p>
            <w:pPr>
              <w:spacing w:after="0"/>
              <w:rPr>
                <w:sz w:val="20"/>
                <w:szCs w:val="20"/>
                <w:color w:val="auto"/>
              </w:rPr>
            </w:pPr>
            <w:r>
              <w:rPr>
                <w:rFonts w:ascii="Arial" w:cs="Arial" w:eastAsia="Arial" w:hAnsi="Arial"/>
                <w:sz w:val="17"/>
                <w:szCs w:val="17"/>
                <w:color w:val="auto"/>
              </w:rPr>
              <w:t>Date: March 10, 2022</w:t>
            </w:r>
          </w:p>
        </w:tc>
        <w:tc>
          <w:tcPr>
            <w:tcW w:w="7760" w:type="dxa"/>
            <w:vAlign w:val="bottom"/>
            <w:gridSpan w:val="2"/>
          </w:tcPr>
          <w:p>
            <w:pPr>
              <w:ind w:left="2000"/>
              <w:spacing w:after="0"/>
              <w:rPr>
                <w:sz w:val="20"/>
                <w:szCs w:val="20"/>
                <w:color w:val="auto"/>
              </w:rPr>
            </w:pPr>
            <w:r>
              <w:rPr>
                <w:rFonts w:ascii="Arial" w:cs="Arial" w:eastAsia="Arial" w:hAnsi="Arial"/>
                <w:sz w:val="17"/>
                <w:szCs w:val="17"/>
                <w:color w:val="auto"/>
              </w:rPr>
              <w:t>By:/s/ Tim Vanderhook</w:t>
            </w:r>
          </w:p>
        </w:tc>
      </w:tr>
      <w:tr>
        <w:trPr>
          <w:trHeight w:val="206"/>
        </w:trPr>
        <w:tc>
          <w:tcPr>
            <w:tcW w:w="3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Tim Vanderhook</w:t>
            </w:r>
          </w:p>
        </w:tc>
      </w:tr>
      <w:tr>
        <w:trPr>
          <w:trHeight w:val="202"/>
        </w:trPr>
        <w:tc>
          <w:tcPr>
            <w:tcW w:w="3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Chief Executive Officer and Chairman</w:t>
            </w:r>
          </w:p>
        </w:tc>
      </w:tr>
      <w:tr>
        <w:trPr>
          <w:trHeight w:val="213"/>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pacing w:after="0" w:line="189" w:lineRule="exact"/>
        <w:rPr>
          <w:sz w:val="20"/>
          <w:szCs w:val="20"/>
          <w:color w:val="auto"/>
        </w:rPr>
      </w:pPr>
    </w:p>
    <w:p>
      <w:pPr>
        <w:ind w:right="480"/>
        <w:spacing w:after="0" w:line="26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32.2</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In connection with the Annual Report of Viant Technology Inc. (the “Company”) on Form 10-K for the fiscal year ended December 31, 2021, as filed with the Securities and Exchange Commission on the date hereof (the “Report”), I certify, pursuant to 18 U.S.C. § 1350, as adopted pursuant to § 906 of the Sarbanes-Oxley Act of 2002, that:</w:t>
      </w:r>
    </w:p>
    <w:p>
      <w:pPr>
        <w:spacing w:after="0" w:line="175" w:lineRule="exact"/>
        <w:rPr>
          <w:sz w:val="20"/>
          <w:szCs w:val="20"/>
          <w:color w:val="auto"/>
        </w:rPr>
      </w:pPr>
    </w:p>
    <w:p>
      <w:pPr>
        <w:ind w:left="1660" w:hanging="795"/>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8" w:lineRule="exact"/>
        <w:rPr>
          <w:rFonts w:ascii="Arial" w:cs="Arial" w:eastAsia="Arial" w:hAnsi="Arial"/>
          <w:sz w:val="16"/>
          <w:szCs w:val="16"/>
          <w:color w:val="auto"/>
        </w:rPr>
      </w:pPr>
    </w:p>
    <w:p>
      <w:pPr>
        <w:ind w:left="1660" w:hanging="795"/>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80" w:type="dxa"/>
            <w:vAlign w:val="bottom"/>
          </w:tcPr>
          <w:p>
            <w:pPr>
              <w:spacing w:after="0"/>
              <w:rPr>
                <w:sz w:val="20"/>
                <w:szCs w:val="20"/>
                <w:color w:val="auto"/>
              </w:rPr>
            </w:pPr>
            <w:r>
              <w:rPr>
                <w:rFonts w:ascii="Arial" w:cs="Arial" w:eastAsia="Arial" w:hAnsi="Arial"/>
                <w:sz w:val="17"/>
                <w:szCs w:val="17"/>
                <w:color w:val="auto"/>
              </w:rPr>
              <w:t>Date: March 10, 2022</w:t>
            </w:r>
          </w:p>
        </w:tc>
        <w:tc>
          <w:tcPr>
            <w:tcW w:w="7760" w:type="dxa"/>
            <w:vAlign w:val="bottom"/>
            <w:gridSpan w:val="2"/>
          </w:tcPr>
          <w:p>
            <w:pPr>
              <w:ind w:left="2000"/>
              <w:spacing w:after="0"/>
              <w:rPr>
                <w:sz w:val="20"/>
                <w:szCs w:val="20"/>
                <w:color w:val="auto"/>
              </w:rPr>
            </w:pPr>
            <w:r>
              <w:rPr>
                <w:rFonts w:ascii="Arial" w:cs="Arial" w:eastAsia="Arial" w:hAnsi="Arial"/>
                <w:sz w:val="17"/>
                <w:szCs w:val="17"/>
                <w:color w:val="auto"/>
              </w:rPr>
              <w:t>By:/s/ Larry Madden</w:t>
            </w:r>
          </w:p>
        </w:tc>
      </w:tr>
      <w:tr>
        <w:trPr>
          <w:trHeight w:val="206"/>
        </w:trPr>
        <w:tc>
          <w:tcPr>
            <w:tcW w:w="3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Larry Madden</w:t>
            </w:r>
          </w:p>
        </w:tc>
      </w:tr>
      <w:tr>
        <w:trPr>
          <w:trHeight w:val="202"/>
        </w:trPr>
        <w:tc>
          <w:tcPr>
            <w:tcW w:w="3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3"/>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lvl w:ilvl="1">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2"/>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Roman"/>
      <w:start w:val="2"/>
    </w:lvl>
  </w:abstractNum>
  <w:abstractNum w:abstractNumId="48">
    <w:nsid w:val="520EEDD1"/>
    <w:multiLevelType w:val="hybridMultilevel"/>
    <w:lvl w:ilvl="0">
      <w:lvlJc w:val="left"/>
      <w:lvlText w:val="%1"/>
      <w:numFmt w:val="upperLetter"/>
      <w:start w:val="68"/>
    </w:lvl>
  </w:abstractNum>
  <w:abstractNum w:abstractNumId="49">
    <w:nsid w:val="374A3FE6"/>
    <w:multiLevelType w:val="hybridMultilevel"/>
    <w:lvl w:ilvl="0">
      <w:lvlJc w:val="left"/>
      <w:lvlText w:val="%1."/>
      <w:numFmt w:val="decimal"/>
      <w:start w:val="8"/>
    </w:lvl>
  </w:abstractNum>
  <w:abstractNum w:abstractNumId="50">
    <w:nsid w:val="4F4EF005"/>
    <w:multiLevelType w:val="hybridMultilevel"/>
    <w:lvl w:ilvl="0">
      <w:lvlJc w:val="left"/>
      <w:lvlText w:val="(%1)"/>
      <w:numFmt w:val="lowerLetter"/>
      <w:start w:val="1"/>
    </w:lvl>
    <w:lvl w:ilvl="1">
      <w:lvlJc w:val="left"/>
      <w:lvlText w:val="(%2)"/>
      <w:numFmt w:val="decimal"/>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59" Type="http://schemas.openxmlformats.org/officeDocument/2006/relationships/hyperlink" Target="http://www.sec.gov/Archives/edgar/data/1828791/000156459021014855/dsp-ex31_279.htm" TargetMode="External"/><Relationship Id="rId160" Type="http://schemas.openxmlformats.org/officeDocument/2006/relationships/hyperlink" Target="http://www.sec.gov/Archives/edgar/data/1828791/000156459021014855/dsp-ex32_278.htm" TargetMode="External"/><Relationship Id="rId161" Type="http://schemas.openxmlformats.org/officeDocument/2006/relationships/hyperlink" Target="http://www.sec.gov/Archives/edgar/data/1828791/000156459021014855/dsp-ex41_276.htm" TargetMode="External"/><Relationship Id="rId162" Type="http://schemas.openxmlformats.org/officeDocument/2006/relationships/hyperlink" Target="http://www.sec.gov/Archives/edgar/data/1828791/000156459021014855/dsp-ex101_277.htm" TargetMode="External"/><Relationship Id="rId163" Type="http://schemas.openxmlformats.org/officeDocument/2006/relationships/hyperlink" Target="http://www.sec.gov/Archives/edgar/data/1828791/000156459021014855/dsp-ex102_275.htm" TargetMode="External"/><Relationship Id="rId164" Type="http://schemas.openxmlformats.org/officeDocument/2006/relationships/hyperlink" Target="http://www.sec.gov/Archives/edgar/data/1828791/000156459021014855/dsp-ex103_274.htm" TargetMode="External"/><Relationship Id="rId165" Type="http://schemas.openxmlformats.org/officeDocument/2006/relationships/hyperlink" Target="http://www.sec.gov/Archives/edgar/data/1828791/000156459021014855/dsp-ex104_273.htm" TargetMode="External"/><Relationship Id="rId166" Type="http://schemas.openxmlformats.org/officeDocument/2006/relationships/hyperlink" Target="http://www.sec.gov/Archives/edgar/data/1828791/000119312521023519/d88953dex104.htm" TargetMode="External"/><Relationship Id="rId167" Type="http://schemas.openxmlformats.org/officeDocument/2006/relationships/hyperlink" Target="http://www.sec.gov/Archives/edgar/data/1828791/000119312521023519/d88953dex105.htm" TargetMode="External"/><Relationship Id="rId168" Type="http://schemas.openxmlformats.org/officeDocument/2006/relationships/hyperlink" Target="http://www.sec.gov/Archives/edgar/data/1828791/000119312521023519/d88953dex106.htm" TargetMode="External"/><Relationship Id="rId169" Type="http://schemas.openxmlformats.org/officeDocument/2006/relationships/hyperlink" Target="http://www.sec.gov/Archives/edgar/data/1828791/000119312521023519/d88953dex107.htm" TargetMode="External"/><Relationship Id="rId172" Type="http://schemas.openxmlformats.org/officeDocument/2006/relationships/hyperlink" Target="http://www.sec.gov/Archives/edgar/data/1828791/000119312521023519/d88953dex108.htm" TargetMode="External"/><Relationship Id="rId173" Type="http://schemas.openxmlformats.org/officeDocument/2006/relationships/hyperlink" Target="http://www.sec.gov/Archives/edgar/data/1828791/000119312521023519/d88953dex109.htm" TargetMode="External"/><Relationship Id="rId174" Type="http://schemas.openxmlformats.org/officeDocument/2006/relationships/hyperlink" Target="http://www.sec.gov/Archives/edgar/data/1828791/000156459021056133/dsp-ex101_248.htm" TargetMode="External"/><Relationship Id="rId175" Type="http://schemas.openxmlformats.org/officeDocument/2006/relationships/hyperlink" Target="http://www.sec.gov/Archives/edgar/data/0001828791/000119312521034620/d84137dex991.htm" TargetMode="External"/><Relationship Id="rId176" Type="http://schemas.openxmlformats.org/officeDocument/2006/relationships/hyperlink" Target="http://www.sec.gov/Archives/edgar/data/1828791/000119312521023519/d88953dex1013.htm" TargetMode="External"/><Relationship Id="rId177" Type="http://schemas.openxmlformats.org/officeDocument/2006/relationships/hyperlink" Target="http://www.sec.gov/Archives/edgar/data/1828791/000119312521023519/d88953dex1014.htm" TargetMode="External"/><Relationship Id="rId178" Type="http://schemas.openxmlformats.org/officeDocument/2006/relationships/hyperlink" Target="http://www.sec.gov/Archives/edgar/data/0001828791/000119312522066059/d323789dex101.htm" TargetMode="External"/><Relationship Id="rId179" Type="http://schemas.openxmlformats.org/officeDocument/2006/relationships/hyperlink" Target="http://www.sec.gov/Archives/edgar/data/1828791/000119312521034620/d84137dex992.htm" TargetMode="External"/><Relationship Id="rId180" Type="http://schemas.openxmlformats.org/officeDocument/2006/relationships/hyperlink" Target="http://www.sec.gov/Archives/edgar/data/1828791/000119312521034620/d84137dex993.htm" TargetMode="External"/><Relationship Id="rId181" Type="http://schemas.openxmlformats.org/officeDocument/2006/relationships/hyperlink" Target="http://www.sec.gov/Archives/edgar/data/1828791/000119312521034620/d84137dex994.htm" TargetMode="External"/><Relationship Id="rId182" Type="http://schemas.openxmlformats.org/officeDocument/2006/relationships/hyperlink" Target="http://www.sec.gov/Archives/edgar/data/1828791/000119312521023519/d8895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2022-03-10T16:11:41Z</dcterms:created>
  <dcterms:modified xsi:type="dcterms:W3CDTF">2022-03-10T16:11:41Z</dcterms:modified>
</cp:coreProperties>
</file>