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424(b)(5)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333-278177 </w:t>
      </w:r>
    </w:p>
    <w:p>
      <w:pPr>
        <w:pStyle w:val="TextBody"/>
        <w:bidi w:val="0"/>
        <w:spacing w:lineRule="auto" w:line="288" w:before="0" w:after="0"/>
        <w:jc w:val="left"/>
        <w:rPr>
          <w:rFonts w:ascii="Times New Roman;serif" w:hAnsi="Times New Roman;serif"/>
          <w:b/>
          <w:color w:val="DE1A1E"/>
          <w:sz w:val="20"/>
        </w:rPr>
      </w:pPr>
      <w:r>
        <w:rPr>
          <w:rFonts w:ascii="Times New Roman;serif" w:hAnsi="Times New Roman;serif"/>
          <w:b/>
          <w:color w:val="DE1A1E"/>
          <w:sz w:val="20"/>
        </w:rPr>
        <w:t>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neither we nor the selling stockholder is soliciting an offer to buy these securities, in any state or other jurisdiction where the offer or sale is not permitted.</w:t>
      </w:r>
    </w:p>
    <w:p>
      <w:pPr>
        <w:pStyle w:val="TextBody"/>
        <w:bidi w:val="0"/>
        <w:spacing w:lineRule="auto" w:line="288" w:before="0" w:after="60"/>
        <w:jc w:val="center"/>
        <w:rPr>
          <w:rFonts w:ascii="Times New Roman;serif" w:hAnsi="Times New Roman;serif"/>
          <w:b/>
          <w:color w:val="DE1A1E"/>
          <w:sz w:val="20"/>
        </w:rPr>
      </w:pPr>
      <w:r>
        <w:rPr>
          <w:rFonts w:ascii="Times New Roman;serif" w:hAnsi="Times New Roman;serif"/>
          <w:b/>
          <w:color w:val="DE1A1E"/>
          <w:sz w:val="20"/>
        </w:rPr>
        <w:t>Subject to completion, dated September 16,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PRELIMINARY PROSPECTUS SUPPLEMENT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April 23, 2024)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8,500,000 Shares </w:t>
      </w:r>
    </w:p>
    <w:p>
      <w:pPr>
        <w:pStyle w:val="TextBody"/>
        <w:bidi w:val="0"/>
        <w:spacing w:before="0" w:after="0"/>
        <w:jc w:val="center"/>
        <w:rPr/>
      </w:pPr>
      <w:r>
        <w:rPr/>
        <w:drawing>
          <wp:inline distT="0" distB="0" distL="0" distR="0">
            <wp:extent cx="29241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5619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Viant Technology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Class A 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identified in this prospectus supplement (the “selling stockholder”) is offering 8,500,000 shares of our Class A common stock. We will not receive any proceeds from the sale of our Class A common stock by the selling stockholder. </w:t>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We will grant the underwriters an option, exercisable for 30 days after the date of this prospectus supplement, to purchase up to an additional 1,275,000 shares of our Class A common stock from us at the public offering price, less the underwriting discount. We will receive all of the net proceeds from the sale of any shares of Class A common stock sold by us upon exercise of that option.</w:t>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Select Market (“Nasdaq”) under the symbol “DSP.” The last reported sale price of our Class A common stock on Nasdaq on September 15, 2026 was $12.60 per share.</w:t>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We have two classes of common stock outstanding: Class A common stock and Class B common stock. Each share of Class A common stock and Class B common stock entitles its holder to one vote on all matters presented to our stockholders generally. All of our Class B common stock is held by the Continuing LLC Owners (as defined herein), on a one-for-one basis with the number of Class B units they own. </w:t>
      </w:r>
    </w:p>
    <w:p>
      <w:pPr>
        <w:pStyle w:val="TextBody"/>
        <w:bidi w:val="0"/>
        <w:spacing w:lineRule="auto" w:line="288" w:before="0" w:after="60"/>
        <w:jc w:val="left"/>
        <w:rPr/>
      </w:pPr>
      <w:r>
        <w:rPr>
          <w:rFonts w:ascii="Times New Roman;serif" w:hAnsi="Times New Roman;serif"/>
          <w:b w:val="false"/>
          <w:color w:val="000000"/>
          <w:sz w:val="20"/>
        </w:rPr>
        <w:t>We are a holding company and our sole material asset is a controlling equity interest in Viant Technology LLC and Class B units we acquire directly from the Continuing LLC Owners. As the sole managing member of Viant Technology LLC, we operate and control all of the business and affairs of Viant Technology LLC and, through Viant Technology LLC and its subsidiaries, conduct our business. As of June 30, 2026, before giving effect to this offering, we owned a 31.7% economic interest in Viant Technology LLC. The remaining 68.3% economic interest in Viant Technology LLC was owned by the Continuing LLC Owners through their ownership of Class B units. After giving effect to this offering (assuming no exercise of the underwriters’ option to purchase additional shares, as described below), we expect to own an approximately 44.5% economic interest in Viant Technology LLC. In addition, we are, and after giving effect to this offering will continue to be, a "controlled company" (as defined by Nasdaq Listing Rule 5615(c)(1)) because Tim Vanderhook, Chris Vanderhook and Capital V LLC hold, and will continue to hold, more than 50% of the voting power for the election of directors. See the “</w:t>
      </w:r>
      <w:hyperlink w:anchor="i7234e438d2324c71b65567b4b1f1708b_37">
        <w:r>
          <w:rPr>
            <w:rStyle w:val="InternetLink"/>
            <w:rFonts w:ascii="Times New Roman;serif" w:hAnsi="Times New Roman;serif"/>
            <w:b w:val="false"/>
            <w:color w:val="0000FF"/>
            <w:sz w:val="20"/>
            <w:u w:val="single"/>
          </w:rPr>
          <w:t>Selling</w:t>
        </w:r>
      </w:hyperlink>
      <w:hyperlink w:anchor="i7234e438d2324c71b65567b4b1f1708b_37">
        <w:r>
          <w:rPr>
            <w:rStyle w:val="InternetLink"/>
          </w:rPr>
          <w:t> </w:t>
        </w:r>
      </w:hyperlink>
      <w:hyperlink w:anchor="i7234e438d2324c71b65567b4b1f1708b_37">
        <w:r>
          <w:rPr>
            <w:rStyle w:val="InternetLink"/>
          </w:rPr>
          <w:t xml:space="preserve"> </w:t>
        </w:r>
      </w:hyperlink>
      <w:hyperlink w:anchor="i7234e438d2324c71b65567b4b1f1708b_37">
        <w:r>
          <w:rPr>
            <w:rStyle w:val="InternetLink"/>
            <w:rFonts w:ascii="Times New Roman;serif" w:hAnsi="Times New Roman;serif"/>
            <w:b w:val="false"/>
            <w:color w:val="0000FF"/>
            <w:sz w:val="20"/>
            <w:u w:val="single"/>
          </w:rPr>
          <w:t>Stockholder</w:t>
        </w:r>
      </w:hyperlink>
      <w:r>
        <w:rPr>
          <w:color w:val="000000"/>
        </w:rPr>
        <w:t xml:space="preserve">” </w:t>
      </w:r>
      <w:r>
        <w:rPr>
          <w:rFonts w:ascii="Times New Roman;serif" w:hAnsi="Times New Roman;serif"/>
          <w:b w:val="false"/>
          <w:color w:val="000000"/>
          <w:sz w:val="20"/>
        </w:rPr>
        <w:t xml:space="preserve">section on page </w:t>
      </w:r>
      <w:hyperlink w:anchor="i7234e438d2324c71b65567b4b1f1708b_37">
        <w:r>
          <w:rPr>
            <w:rStyle w:val="InternetLink"/>
            <w:rFonts w:ascii="Times New Roman;serif" w:hAnsi="Times New Roman;serif"/>
            <w:b w:val="false"/>
            <w:color w:val="0000FF"/>
            <w:sz w:val="20"/>
            <w:u w:val="single"/>
          </w:rPr>
          <w:t>S-13</w:t>
        </w:r>
      </w:hyperlink>
      <w:r>
        <w:rPr>
          <w:color w:val="000000"/>
        </w:rPr>
        <w:t xml:space="preserve"> </w:t>
      </w:r>
      <w:r>
        <w:rPr>
          <w:rFonts w:ascii="Times New Roman;serif" w:hAnsi="Times New Roman;serif"/>
          <w:b w:val="false"/>
          <w:color w:val="000000"/>
          <w:sz w:val="20"/>
        </w:rPr>
        <w:t>of this prospectus supplement and the risk factors incorporated by reference into this prospectus supplement.</w:t>
      </w:r>
    </w:p>
    <w:p>
      <w:pPr>
        <w:pStyle w:val="TextBody"/>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We are an “emerging growth company” and “smaller reporting company” as defined under the federal securities laws and, as such, we have elected to comply with certain reduced reporting requirements for this prospectus supplement and may elect to do so in future filings.</w:t>
      </w:r>
    </w:p>
    <w:p>
      <w:pPr>
        <w:pStyle w:val="TextBody"/>
        <w:bidi w:val="0"/>
        <w:spacing w:lineRule="auto" w:line="288" w:before="0" w:after="60"/>
        <w:jc w:val="left"/>
        <w:rPr/>
      </w:pPr>
      <w:r>
        <w:rPr>
          <w:rFonts w:ascii="Times New Roman;serif" w:hAnsi="Times New Roman;serif"/>
          <w:b/>
          <w:color w:val="000000"/>
          <w:sz w:val="20"/>
        </w:rPr>
        <w:t>Investing in our Class A common stock involves risks that are described in the “</w:t>
      </w:r>
      <w:hyperlink w:anchor="i7234e438d2324c71b65567b4b1f1708b_28">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section beginning on page </w:t>
      </w:r>
      <w:hyperlink w:anchor="i7234e438d2324c71b65567b4b1f1708b_28">
        <w:r>
          <w:rPr>
            <w:rStyle w:val="InternetLink"/>
            <w:rFonts w:ascii="Times New Roman;serif" w:hAnsi="Times New Roman;serif"/>
            <w:b/>
            <w:color w:val="0000FF"/>
            <w:sz w:val="20"/>
            <w:u w:val="single"/>
          </w:rPr>
          <w:t>S-9</w:t>
        </w:r>
      </w:hyperlink>
      <w:r>
        <w:rPr>
          <w:color w:val="000000"/>
        </w:rPr>
        <w:t xml:space="preserve"> </w:t>
      </w:r>
      <w:r>
        <w:rPr>
          <w:rFonts w:ascii="Times New Roman;serif" w:hAnsi="Times New Roman;serif"/>
          <w:b/>
          <w:color w:val="000000"/>
          <w:sz w:val="20"/>
        </w:rPr>
        <w:t>of this prospectus supplement, the “</w:t>
      </w:r>
      <w:hyperlink w:anchor="i7234e438d2324c71b65567b4b1f1708b_79">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section beginning on page </w:t>
      </w:r>
      <w:hyperlink w:anchor="i7234e438d2324c71b65567b4b1f1708b_79">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 xml:space="preserve">of the accompanying prospectus, and in the documents incorporated by reference into this prospectus supplement and the accompanying prospectus.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37" w:type="dxa"/>
        <w:jc w:val="left"/>
        <w:tblInd w:w="0" w:type="dxa"/>
        <w:tblLayout w:type="fixed"/>
        <w:tblCellMar>
          <w:top w:w="28" w:type="dxa"/>
          <w:left w:w="28" w:type="dxa"/>
          <w:bottom w:w="28" w:type="dxa"/>
          <w:right w:w="28" w:type="dxa"/>
        </w:tblCellMar>
      </w:tblPr>
      <w:tblGrid>
        <w:gridCol w:w="1643"/>
        <w:gridCol w:w="1447"/>
        <w:gridCol w:w="1455"/>
        <w:gridCol w:w="405"/>
        <w:gridCol w:w="208"/>
        <w:gridCol w:w="211"/>
        <w:gridCol w:w="109"/>
        <w:gridCol w:w="109"/>
        <w:gridCol w:w="109"/>
        <w:gridCol w:w="240"/>
        <w:gridCol w:w="124"/>
        <w:gridCol w:w="177"/>
      </w:tblGrid>
      <w:tr>
        <w:trPr/>
        <w:tc>
          <w:tcPr>
            <w:tcW w:w="16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p>
        </w:tc>
        <w:tc>
          <w:tcPr>
            <w:tcW w:w="4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before expenses, to the selling stockholder</w:t>
            </w:r>
            <w:r>
              <w:rPr>
                <w:rFonts w:ascii="Times New Roman;serif" w:hAnsi="Times New Roman;serif"/>
                <w:b w:val="false"/>
                <w:color w:val="000000"/>
                <w:sz w:val="13"/>
              </w:rPr>
              <w:t>(2)</w:t>
            </w:r>
          </w:p>
        </w:tc>
        <w:tc>
          <w:tcPr>
            <w:tcW w:w="4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(1)See “</w:t>
      </w:r>
      <w:hyperlink w:anchor="i7234e438d2324c71b65567b4b1f1708b_43">
        <w:r>
          <w:rPr>
            <w:rStyle w:val="InternetLink"/>
            <w:rFonts w:ascii="Times New Roman;serif" w:hAnsi="Times New Roman;serif"/>
            <w:b w:val="false"/>
            <w:color w:val="0000FF"/>
            <w:sz w:val="16"/>
            <w:u w:val="single"/>
          </w:rPr>
          <w:t>Underwriting</w:t>
        </w:r>
      </w:hyperlink>
      <w:r>
        <w:rPr>
          <w:color w:val="000000"/>
        </w:rPr>
        <w:t xml:space="preserve">” </w:t>
      </w:r>
      <w:r>
        <w:rPr>
          <w:rFonts w:ascii="Times New Roman;serif" w:hAnsi="Times New Roman;serif"/>
          <w:b w:val="false"/>
          <w:color w:val="000000"/>
          <w:sz w:val="16"/>
        </w:rPr>
        <w:t>beginning on page </w:t>
      </w:r>
      <w:hyperlink w:anchor="i7234e438d2324c71b65567b4b1f1708b_43">
        <w:r>
          <w:rPr>
            <w:rStyle w:val="InternetLink"/>
            <w:rFonts w:ascii="Times New Roman;serif" w:hAnsi="Times New Roman;serif"/>
            <w:b w:val="false"/>
            <w:color w:val="0000FF"/>
            <w:sz w:val="16"/>
            <w:u w:val="single"/>
          </w:rPr>
          <w:t>S-18</w:t>
        </w:r>
      </w:hyperlink>
      <w:r>
        <w:rPr>
          <w:color w:val="000000"/>
        </w:rPr>
        <w:t xml:space="preserve"> </w:t>
      </w:r>
      <w:r>
        <w:rPr>
          <w:rFonts w:ascii="Times New Roman;serif" w:hAnsi="Times New Roman;serif"/>
          <w:b w:val="false"/>
          <w:color w:val="000000"/>
          <w:sz w:val="16"/>
        </w:rPr>
        <w:t>of this prospectus supplement for additional information regarding underwriting compensation.</w:t>
      </w:r>
    </w:p>
    <w:p>
      <w:pPr>
        <w:pStyle w:val="TextBody"/>
        <w:bidi w:val="0"/>
        <w:spacing w:lineRule="auto" w:line="288" w:before="0" w:after="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(2)Assumes no exercise of the underwriters’ option to purchase additional shares of Class A common stock from us. </w:t>
      </w: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The underwriters expect to deliver the shares of Class A common stock against payment therefor on or about          , 2026.</w:t>
      </w:r>
    </w:p>
    <w:tbl>
      <w:tblPr>
        <w:tblW w:w="5744" w:type="dxa"/>
        <w:jc w:val="left"/>
        <w:tblInd w:w="0" w:type="dxa"/>
        <w:tblLayout w:type="fixed"/>
        <w:tblCellMar>
          <w:top w:w="28" w:type="dxa"/>
          <w:left w:w="28" w:type="dxa"/>
          <w:bottom w:w="28" w:type="dxa"/>
          <w:right w:w="28" w:type="dxa"/>
        </w:tblCellMar>
      </w:tblPr>
      <w:tblGrid>
        <w:gridCol w:w="761"/>
        <w:gridCol w:w="668"/>
        <w:gridCol w:w="671"/>
        <w:gridCol w:w="1067"/>
        <w:gridCol w:w="1067"/>
        <w:gridCol w:w="1510"/>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36"/>
              </w:rPr>
            </w:pPr>
            <w:r>
              <w:rPr>
                <w:rFonts w:ascii="Times New Roman;serif" w:hAnsi="Times New Roman;serif"/>
                <w:b/>
                <w:color w:val="000000"/>
                <w:sz w:val="36"/>
              </w:rPr>
              <w:t>Evercore ISI</w:t>
            </w:r>
          </w:p>
        </w:tc>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36"/>
              </w:rPr>
            </w:pPr>
            <w:r>
              <w:rPr>
                <w:rFonts w:ascii="Times New Roman;serif" w:hAnsi="Times New Roman;serif"/>
                <w:b/>
                <w:color w:val="000000"/>
                <w:sz w:val="36"/>
              </w:rPr>
              <w:t>Wells Fargo Securities</w:t>
            </w:r>
          </w:p>
        </w:tc>
      </w:tr>
    </w:tbl>
    <w:tbl>
      <w:tblPr>
        <w:tblW w:w="5145" w:type="dxa"/>
        <w:jc w:val="left"/>
        <w:tblInd w:w="0" w:type="dxa"/>
        <w:tblLayout w:type="fixed"/>
        <w:tblCellMar>
          <w:top w:w="28" w:type="dxa"/>
          <w:left w:w="28" w:type="dxa"/>
          <w:bottom w:w="28" w:type="dxa"/>
          <w:right w:w="28" w:type="dxa"/>
        </w:tblCellMar>
      </w:tblPr>
      <w:tblGrid>
        <w:gridCol w:w="1120"/>
        <w:gridCol w:w="982"/>
        <w:gridCol w:w="987"/>
        <w:gridCol w:w="602"/>
        <w:gridCol w:w="602"/>
        <w:gridCol w:w="85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RBC Capital Markets</w:t>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32"/>
              </w:rPr>
            </w:pPr>
            <w:r>
              <w:rPr>
                <w:rFonts w:ascii="Times New Roman;serif" w:hAnsi="Times New Roman;serif"/>
                <w:b/>
                <w:color w:val="000000"/>
                <w:sz w:val="32"/>
              </w:rPr>
              <w:t>Craig-Hallum</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supplement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10205" w:type="dxa"/>
        <w:jc w:val="left"/>
        <w:tblInd w:w="0" w:type="dxa"/>
        <w:tblLayout w:type="fixed"/>
        <w:tblCellMar>
          <w:top w:w="28" w:type="dxa"/>
          <w:left w:w="28" w:type="dxa"/>
          <w:bottom w:w="28" w:type="dxa"/>
          <w:right w:w="28" w:type="dxa"/>
        </w:tblCellMar>
      </w:tblPr>
      <w:tblGrid>
        <w:gridCol w:w="3532"/>
        <w:gridCol w:w="3072"/>
        <w:gridCol w:w="3076"/>
        <w:gridCol w:w="152"/>
        <w:gridCol w:w="152"/>
        <w:gridCol w:w="221"/>
      </w:tblGrid>
      <w:tr>
        <w:trPr/>
        <w:tc>
          <w:tcPr>
            <w:tcW w:w="3532"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234e438d2324c71b65567b4b1f1708b_7">
              <w:r>
                <w:rPr>
                  <w:rStyle w:val="InternetLink"/>
                  <w:rFonts w:ascii="Times New Roman;serif" w:hAnsi="Times New Roman;serif"/>
                  <w:b w:val="false"/>
                  <w:color w:val="0000FF"/>
                  <w:sz w:val="20"/>
                  <w:u w:val="single"/>
                </w:rPr>
                <w:t>S-1</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
              <w:r>
                <w:rPr>
                  <w:rStyle w:val="InternetLink"/>
                  <w:rFonts w:ascii="Times New Roman;serif" w:hAnsi="Times New Roman;serif"/>
                  <w:b w:val="false"/>
                  <w:color w:val="0000FF"/>
                  <w:sz w:val="20"/>
                  <w:u w:val="single"/>
                </w:rPr>
                <w:t>BASIS OF PRESENTATION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
              <w:r>
                <w:rPr>
                  <w:rStyle w:val="InternetLink"/>
                  <w:rFonts w:ascii="Times New Roman;serif" w:hAnsi="Times New Roman;serif"/>
                  <w:b w:val="false"/>
                  <w:color w:val="0000FF"/>
                  <w:sz w:val="20"/>
                  <w:u w:val="single"/>
                </w:rPr>
                <w:t>S-2</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3">
              <w:r>
                <w:rPr>
                  <w:rStyle w:val="InternetLink"/>
                  <w:rFonts w:ascii="Times New Roman;serif" w:hAnsi="Times New Roman;serif"/>
                  <w:b w:val="false"/>
                  <w:color w:val="0000FF"/>
                  <w:sz w:val="20"/>
                  <w:u w:val="single"/>
                </w:rPr>
                <w:t>TRADEMARKS, TRADE NAMES AND SERVICE MARKS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3">
              <w:r>
                <w:rPr>
                  <w:rStyle w:val="InternetLink"/>
                  <w:rFonts w:ascii="Times New Roman;serif" w:hAnsi="Times New Roman;serif"/>
                  <w:b w:val="false"/>
                  <w:color w:val="0000FF"/>
                  <w:sz w:val="20"/>
                  <w:u w:val="single"/>
                </w:rPr>
                <w:t>S-3</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6">
              <w:r>
                <w:rPr>
                  <w:rStyle w:val="InternetLink"/>
                  <w:rFonts w:ascii="Times New Roman;serif" w:hAnsi="Times New Roman;serif"/>
                  <w:b w:val="false"/>
                  <w:color w:val="0000FF"/>
                  <w:sz w:val="20"/>
                  <w:u w:val="single"/>
                </w:rPr>
                <w:t>MARKET AND INDUSTRY DATA</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6">
              <w:r>
                <w:rPr>
                  <w:rStyle w:val="InternetLink"/>
                  <w:rFonts w:ascii="Times New Roman;serif" w:hAnsi="Times New Roman;serif"/>
                  <w:b w:val="false"/>
                  <w:color w:val="0000FF"/>
                  <w:sz w:val="20"/>
                  <w:u w:val="single"/>
                </w:rPr>
                <w:t>S-4</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9">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9">
              <w:r>
                <w:rPr>
                  <w:rStyle w:val="InternetLink"/>
                  <w:rFonts w:ascii="Times New Roman;serif" w:hAnsi="Times New Roman;serif"/>
                  <w:b w:val="false"/>
                  <w:color w:val="0000FF"/>
                  <w:sz w:val="20"/>
                  <w:u w:val="single"/>
                </w:rPr>
                <w:t>S-5</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25">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25">
              <w:r>
                <w:rPr>
                  <w:rStyle w:val="InternetLink"/>
                  <w:rFonts w:ascii="Times New Roman;serif" w:hAnsi="Times New Roman;serif"/>
                  <w:b w:val="false"/>
                  <w:color w:val="0000FF"/>
                  <w:sz w:val="20"/>
                  <w:u w:val="single"/>
                </w:rPr>
                <w:t>S-7</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28">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28">
              <w:r>
                <w:rPr>
                  <w:rStyle w:val="InternetLink"/>
                  <w:rFonts w:ascii="Times New Roman;serif" w:hAnsi="Times New Roman;serif"/>
                  <w:b w:val="false"/>
                  <w:color w:val="0000FF"/>
                  <w:sz w:val="20"/>
                  <w:u w:val="single"/>
                </w:rPr>
                <w:t>S-9</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31">
              <w:r>
                <w:rPr>
                  <w:rStyle w:val="InternetLink"/>
                  <w:rFonts w:ascii="Times New Roman;serif" w:hAnsi="Times New Roman;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31">
              <w:r>
                <w:rPr>
                  <w:rStyle w:val="InternetLink"/>
                  <w:rFonts w:ascii="Times New Roman;serif" w:hAnsi="Times New Roman;serif"/>
                  <w:b w:val="false"/>
                  <w:color w:val="0000FF"/>
                  <w:sz w:val="20"/>
                  <w:u w:val="single"/>
                </w:rPr>
                <w:t>S-11</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34">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34">
              <w:r>
                <w:rPr>
                  <w:rStyle w:val="InternetLink"/>
                  <w:rFonts w:ascii="Times New Roman;serif" w:hAnsi="Times New Roman;serif"/>
                  <w:b w:val="false"/>
                  <w:color w:val="0000FF"/>
                  <w:sz w:val="20"/>
                  <w:u w:val="single"/>
                </w:rPr>
                <w:t>S-12</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37">
              <w:r>
                <w:rPr>
                  <w:rStyle w:val="InternetLink"/>
                  <w:rFonts w:ascii="Times New Roman;serif" w:hAnsi="Times New Roman;serif"/>
                  <w:b w:val="false"/>
                  <w:color w:val="0000FF"/>
                  <w:sz w:val="20"/>
                  <w:u w:val="single"/>
                </w:rPr>
                <w:t>SELLING STOCKHOLDER</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37">
              <w:r>
                <w:rPr>
                  <w:rStyle w:val="InternetLink"/>
                  <w:rFonts w:ascii="Times New Roman;serif" w:hAnsi="Times New Roman;serif"/>
                  <w:b w:val="false"/>
                  <w:color w:val="0000FF"/>
                  <w:sz w:val="20"/>
                  <w:u w:val="single"/>
                </w:rPr>
                <w:t>S-13</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234e438d2324c71b65567b4b1f1708b_40">
              <w:r>
                <w:rPr>
                  <w:rStyle w:val="InternetLink"/>
                  <w:rFonts w:ascii="Times New Roman;serif" w:hAnsi="Times New Roman;serif"/>
                  <w:b w:val="false"/>
                  <w:color w:val="0000FF"/>
                  <w:sz w:val="20"/>
                  <w:u w:val="single"/>
                </w:rPr>
                <w:t>MATERIAL U.S. FEDERAL INCOME TAX CONSIDERATIONS TO NON-U.S. HOLDERS OF CLASS A COMMON STOCK</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40">
              <w:r>
                <w:rPr>
                  <w:rStyle w:val="InternetLink"/>
                  <w:rFonts w:ascii="Times New Roman;serif" w:hAnsi="Times New Roman;serif"/>
                  <w:b w:val="false"/>
                  <w:color w:val="0000FF"/>
                  <w:sz w:val="20"/>
                  <w:u w:val="single"/>
                </w:rPr>
                <w:t>S-14</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43">
              <w:r>
                <w:rPr>
                  <w:rStyle w:val="InternetLink"/>
                  <w:rFonts w:ascii="Times New Roman;serif" w:hAnsi="Times New Roman;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43">
              <w:r>
                <w:rPr>
                  <w:rStyle w:val="InternetLink"/>
                  <w:rFonts w:ascii="Times New Roman;serif" w:hAnsi="Times New Roman;serif"/>
                  <w:b w:val="false"/>
                  <w:color w:val="0000FF"/>
                  <w:sz w:val="20"/>
                  <w:u w:val="single"/>
                </w:rPr>
                <w:t>S-18</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46">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46">
              <w:r>
                <w:rPr>
                  <w:rStyle w:val="InternetLink"/>
                  <w:rFonts w:ascii="Times New Roman;serif" w:hAnsi="Times New Roman;serif"/>
                  <w:b w:val="false"/>
                  <w:color w:val="0000FF"/>
                  <w:sz w:val="20"/>
                  <w:u w:val="single"/>
                </w:rPr>
                <w:t>S-27</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49">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49">
              <w:r>
                <w:rPr>
                  <w:rStyle w:val="InternetLink"/>
                  <w:rFonts w:ascii="Times New Roman;serif" w:hAnsi="Times New Roman;serif"/>
                  <w:b w:val="false"/>
                  <w:color w:val="0000FF"/>
                  <w:sz w:val="20"/>
                  <w:u w:val="single"/>
                </w:rPr>
                <w:t>S-27</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52">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52">
              <w:r>
                <w:rPr>
                  <w:rStyle w:val="InternetLink"/>
                  <w:rFonts w:ascii="Times New Roman;serif" w:hAnsi="Times New Roman;serif"/>
                  <w:b w:val="false"/>
                  <w:color w:val="0000FF"/>
                  <w:sz w:val="20"/>
                  <w:u w:val="single"/>
                </w:rPr>
                <w:t>S-27</w:t>
              </w:r>
            </w:hyperlink>
          </w:p>
        </w:tc>
      </w:tr>
      <w:tr>
        <w:trPr/>
        <w:tc>
          <w:tcPr>
            <w:tcW w:w="9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55">
              <w:r>
                <w:rPr>
                  <w:rStyle w:val="InternetLink"/>
                  <w:rFonts w:ascii="Times New Roman;serif" w:hAnsi="Times New Roman;serif"/>
                  <w:b w:val="false"/>
                  <w:color w:val="0000FF"/>
                  <w:sz w:val="20"/>
                  <w:u w:val="single"/>
                </w:rPr>
                <w:t>INCORPORATION OF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55">
              <w:r>
                <w:rPr>
                  <w:rStyle w:val="InternetLink"/>
                  <w:rFonts w:ascii="Times New Roman;serif" w:hAnsi="Times New Roman;serif"/>
                  <w:b w:val="false"/>
                  <w:color w:val="0000FF"/>
                  <w:sz w:val="20"/>
                  <w:u w:val="single"/>
                </w:rPr>
                <w:t>S-28</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Prospectus </w:t>
      </w:r>
    </w:p>
    <w:tbl>
      <w:tblPr>
        <w:tblW w:w="7846" w:type="dxa"/>
        <w:jc w:val="left"/>
        <w:tblInd w:w="0" w:type="dxa"/>
        <w:tblLayout w:type="fixed"/>
        <w:tblCellMar>
          <w:top w:w="28" w:type="dxa"/>
          <w:left w:w="28" w:type="dxa"/>
          <w:bottom w:w="28" w:type="dxa"/>
          <w:right w:w="28" w:type="dxa"/>
        </w:tblCellMar>
      </w:tblPr>
      <w:tblGrid>
        <w:gridCol w:w="2655"/>
        <w:gridCol w:w="2337"/>
        <w:gridCol w:w="2343"/>
        <w:gridCol w:w="149"/>
        <w:gridCol w:w="149"/>
        <w:gridCol w:w="213"/>
      </w:tblGrid>
      <w:tr>
        <w:trPr/>
        <w:tc>
          <w:tcPr>
            <w:tcW w:w="265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64">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234e438d2324c71b65567b4b1f1708b_64">
              <w:r>
                <w:rPr>
                  <w:rStyle w:val="InternetLink"/>
                  <w:rFonts w:ascii="Times New Roman;serif" w:hAnsi="Times New Roman;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67">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67">
              <w:r>
                <w:rPr>
                  <w:rStyle w:val="InternetLink"/>
                  <w:rFonts w:ascii="Times New Roman;serif" w:hAnsi="Times New Roman;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0">
              <w:r>
                <w:rPr>
                  <w:rStyle w:val="InternetLink"/>
                  <w:rFonts w:ascii="Times New Roman;serif" w:hAnsi="Times New Roman;serif"/>
                  <w:b w:val="false"/>
                  <w:color w:val="0000FF"/>
                  <w:sz w:val="20"/>
                  <w:u w:val="single"/>
                </w:rPr>
                <w:t>TRADEMARKS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0">
              <w:r>
                <w:rPr>
                  <w:rStyle w:val="InternetLink"/>
                  <w:rFonts w:ascii="Times New Roman;serif" w:hAnsi="Times New Roman;serif"/>
                  <w:b w:val="false"/>
                  <w:color w:val="0000FF"/>
                  <w:sz w:val="20"/>
                  <w:u w:val="single"/>
                </w:rPr>
                <w:t>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3">
              <w:r>
                <w:rPr>
                  <w:rStyle w:val="InternetLink"/>
                  <w:rFonts w:ascii="Times New Roman;serif" w:hAnsi="Times New Roman;serif"/>
                  <w:b w:val="false"/>
                  <w:color w:val="0000FF"/>
                  <w:sz w:val="20"/>
                  <w:u w:val="single"/>
                </w:rPr>
                <w:t>WHERE YOU CAN FIND MORE INFORMATION; 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3">
              <w:r>
                <w:rPr>
                  <w:rStyle w:val="InternetLink"/>
                  <w:rFonts w:ascii="Times New Roman;serif" w:hAnsi="Times New Roman;serif"/>
                  <w:b w:val="false"/>
                  <w:color w:val="0000FF"/>
                  <w:sz w:val="20"/>
                  <w:u w:val="singl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6">
              <w:r>
                <w:rPr>
                  <w:rStyle w:val="InternetLink"/>
                  <w:rFonts w:ascii="Times New Roman;serif" w:hAnsi="Times New Roman;serif"/>
                  <w:b w:val="false"/>
                  <w:color w:val="0000FF"/>
                  <w:sz w:val="20"/>
                  <w:u w:val="single"/>
                </w:rPr>
                <w:t>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6">
              <w:r>
                <w:rPr>
                  <w:rStyle w:val="InternetLink"/>
                  <w:rFonts w:ascii="Times New Roman;serif" w:hAnsi="Times New Roman;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9">
              <w:r>
                <w:rPr>
                  <w:rStyle w:val="InternetLink"/>
                  <w:rFonts w:ascii="Times New Roman;serif" w:hAnsi="Times New Roman;serif"/>
                  <w:b w:val="false"/>
                  <w:color w:val="0000FF"/>
                  <w:sz w:val="20"/>
                  <w:u w:val="singl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82">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82">
              <w:r>
                <w:rPr>
                  <w:rStyle w:val="InternetLink"/>
                  <w:rFonts w:ascii="Times New Roman;serif" w:hAnsi="Times New Roman;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85">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85">
              <w:r>
                <w:rPr>
                  <w:rStyle w:val="InternetLink"/>
                  <w:rFonts w:ascii="Times New Roman;serif" w:hAnsi="Times New Roman;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88">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88">
              <w:r>
                <w:rPr>
                  <w:rStyle w:val="InternetLink"/>
                  <w:rFonts w:ascii="Times New Roman;serif" w:hAnsi="Times New Roman;serif"/>
                  <w:b w:val="false"/>
                  <w:color w:val="0000FF"/>
                  <w:sz w:val="20"/>
                  <w:u w:val="single"/>
                </w:rPr>
                <w:t>14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91">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91">
              <w:r>
                <w:rPr>
                  <w:rStyle w:val="InternetLink"/>
                  <w:rFonts w:ascii="Times New Roman;serif" w:hAnsi="Times New Roman;serif"/>
                  <w:b w:val="false"/>
                  <w:color w:val="0000FF"/>
                  <w:sz w:val="20"/>
                  <w:u w:val="single"/>
                </w:rPr>
                <w:t>22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94">
              <w:r>
                <w:rPr>
                  <w:rStyle w:val="InternetLink"/>
                  <w:rFonts w:ascii="Times New Roman;serif" w:hAnsi="Times New Roman;serif"/>
                  <w:b w:val="false"/>
                  <w:color w:val="0000FF"/>
                  <w:sz w:val="20"/>
                  <w:u w:val="single"/>
                </w:rPr>
                <w:t>DESCRIPTION OF PURCHASE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94">
              <w:r>
                <w:rPr>
                  <w:rStyle w:val="InternetLink"/>
                  <w:rFonts w:ascii="Times New Roman;serif" w:hAnsi="Times New Roman;serif"/>
                  <w:b w:val="false"/>
                  <w:color w:val="0000FF"/>
                  <w:sz w:val="20"/>
                  <w:u w:val="single"/>
                </w:rPr>
                <w:t>24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97">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97">
              <w:r>
                <w:rPr>
                  <w:rStyle w:val="InternetLink"/>
                  <w:rFonts w:ascii="Times New Roman;serif" w:hAnsi="Times New Roman;serif"/>
                  <w:b w:val="false"/>
                  <w:color w:val="0000FF"/>
                  <w:sz w:val="20"/>
                  <w:u w:val="single"/>
                </w:rPr>
                <w:t>25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3">
              <w:r>
                <w:rPr>
                  <w:rStyle w:val="InternetLink"/>
                  <w:rFonts w:ascii="Times New Roman;serif" w:hAnsi="Times New Roman;serif"/>
                  <w:b w:val="false"/>
                  <w:color w:val="0000FF"/>
                  <w:sz w:val="20"/>
                  <w:u w:val="single"/>
                </w:rPr>
                <w:t>SELLING STOCKHOLDERS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3">
              <w:r>
                <w:rPr>
                  <w:rStyle w:val="InternetLink"/>
                  <w:rFonts w:ascii="Times New Roman;serif" w:hAnsi="Times New Roman;serif"/>
                  <w:b w:val="false"/>
                  <w:color w:val="0000FF"/>
                  <w:sz w:val="20"/>
                  <w:u w:val="single"/>
                </w:rPr>
                <w:t>30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6">
              <w:r>
                <w:rPr>
                  <w:rStyle w:val="InternetLink"/>
                  <w:rFonts w:ascii="Times New Roman;serif" w:hAnsi="Times New Roman;serif"/>
                  <w:b w:val="false"/>
                  <w:color w:val="0000FF"/>
                  <w:sz w:val="20"/>
                  <w:u w:val="single"/>
                </w:rPr>
                <w:t>31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9">
              <w:r>
                <w:rPr>
                  <w:rStyle w:val="InternetLink"/>
                  <w:rFonts w:ascii="Times New Roman;serif" w:hAnsi="Times New Roman;serif"/>
                  <w:b w:val="false"/>
                  <w:color w:val="0000FF"/>
                  <w:sz w:val="20"/>
                  <w:u w:val="single"/>
                </w:rPr>
                <w:t>33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1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12">
              <w:r>
                <w:rPr>
                  <w:rStyle w:val="InternetLink"/>
                  <w:rFonts w:ascii="Times New Roman;serif" w:hAnsi="Times New Roman;serif"/>
                  <w:b w:val="false"/>
                  <w:color w:val="0000FF"/>
                  <w:sz w:val="20"/>
                  <w:u w:val="single"/>
                </w:rPr>
                <w:t>33</w:t>
              </w:r>
            </w:hyperlink>
          </w:p>
        </w:tc>
      </w:tr>
    </w:tbl>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the selling stockholder nor the underwriters have authorized anyone to provide any information or to make any representations other than those contained or incorporated by reference herein, in the accompanying prospectus or in any free writing prospectus prepared by us or on our behalf to which we have referred you. Neither we, the selling stockholder nor the underwriters take responsibility for, or provide any assurance as to the reliability of, any other information that others may give you. This prospectus supplement and the accompanying prospectus </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do not constitute an offer to sell, or a solicitation of an offer to buy, any securities other than the shares of Class A common stock offered hereby, and do not constitute an offer to sell, or a solicitation of an offer to buy, such shares in any circumstances or jurisdiction in which such offer or solicitation is unlawful. You should assume that the information contained, or incorporated by reference, in this prospectus supplement and the accompanying prospectus is accurate only as of the date on the cover of the applicable document. Our business, financial condition, results of operations and prospects may have changed since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22, 2024, we filed with the Securities and Exchange Commission (the “SEC”) a registration statement on Form S-3 (File No. 333-278177) under the Securities Act of 1933, as amended (the “Securities Act”), which was amended on April 8, 2024, utilizing a shelf registration process relating to the securities described in this prospectus supplement. The registration statement, as amended, was declared effective by the SEC on April 23,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has two parts. The first part is this prospectus supplement, which describes the specific terms of an offering of our Class A common stock by us and the selling stockholder and also adds to and updates information contained in the accompanying prospectus and the documents incorporated by reference into the accompanying prospectus. The second part, the accompanying prospectus, provides more general information, some of which does not apply to this offering. Generally, when we refer to this prospectus, we are referring to both parts of this document combined. If the information in this prospectus supplement is inconsistent with the accompanying prospectus or any document incorporated by reference therein filed prior to the date of this prospectus supplement, you should rely on the information in this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It is important for you to read and consider all of the information contained in this prospectus supplement and the accompanying prospectus in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“Where You Can Find More Information” and “Incorporation of Documents by Reference” of this prospectus supplement, before investing in our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selling stockholder are offering to sell, and seeking offers to buy, shares of Class A common stock only in jurisdictions where offers and sales are permitted. The distribution of this prospectus supplement and the accompanying prospectus and the offering of the Class A common stock in certain jurisdictions may be restricted by law. Persons outside the United States who come into possession of this prospectus supplement and the accompanying prospectus must inform themselves about, and observe any restrictions relating to, the offering of the Class A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prospectus supplement, unless the context otherwise requires, references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we</w:t>
      </w:r>
      <w:r>
        <w:rPr>
          <w:rFonts w:ascii="Times New Roman;serif" w:hAnsi="Times New Roman;serif"/>
          <w:b w:val="false"/>
          <w:color w:val="000000"/>
          <w:sz w:val="20"/>
        </w:rPr>
        <w:t>,” “</w:t>
      </w:r>
      <w:r>
        <w:rPr>
          <w:rFonts w:ascii="Times New Roman;serif" w:hAnsi="Times New Roman;serif"/>
          <w:b w:val="false"/>
          <w:i/>
          <w:color w:val="000000"/>
          <w:sz w:val="20"/>
        </w:rPr>
        <w:t>us</w:t>
      </w:r>
      <w:r>
        <w:rPr>
          <w:rFonts w:ascii="Times New Roman;serif" w:hAnsi="Times New Roman;serif"/>
          <w:b w:val="false"/>
          <w:color w:val="000000"/>
          <w:sz w:val="20"/>
        </w:rPr>
        <w:t>,” “</w:t>
      </w:r>
      <w:r>
        <w:rPr>
          <w:rFonts w:ascii="Times New Roman;serif" w:hAnsi="Times New Roman;serif"/>
          <w:b w:val="false"/>
          <w:i/>
          <w:color w:val="000000"/>
          <w:sz w:val="20"/>
        </w:rPr>
        <w:t>our</w:t>
      </w:r>
      <w:r>
        <w:rPr>
          <w:rFonts w:ascii="Times New Roman;serif" w:hAnsi="Times New Roman;serif"/>
          <w:b w:val="false"/>
          <w:color w:val="000000"/>
          <w:sz w:val="20"/>
        </w:rPr>
        <w:t>,” the “</w:t>
      </w:r>
      <w:r>
        <w:rPr>
          <w:rFonts w:ascii="Times New Roman;serif" w:hAnsi="Times New Roman;serif"/>
          <w:b w:val="false"/>
          <w:i/>
          <w:color w:val="000000"/>
          <w:sz w:val="20"/>
        </w:rPr>
        <w:t>Company</w:t>
      </w:r>
      <w:r>
        <w:rPr>
          <w:rFonts w:ascii="Times New Roman;serif" w:hAnsi="Times New Roman;serif"/>
          <w:b w:val="false"/>
          <w:color w:val="000000"/>
          <w:sz w:val="20"/>
        </w:rPr>
        <w:t>,” “</w:t>
      </w:r>
      <w:r>
        <w:rPr>
          <w:rFonts w:ascii="Times New Roman;serif" w:hAnsi="Times New Roman;serif"/>
          <w:b w:val="false"/>
          <w:i/>
          <w:color w:val="000000"/>
          <w:sz w:val="20"/>
        </w:rPr>
        <w:t>Viant Technology Inc.</w:t>
      </w:r>
      <w:r>
        <w:rPr>
          <w:color w:val="000000"/>
        </w:rPr>
        <w:t xml:space="preserve">” </w:t>
      </w:r>
      <w:r>
        <w:rPr>
          <w:rFonts w:ascii="Times New Roman;serif" w:hAnsi="Times New Roman;serif"/>
          <w:b w:val="false"/>
          <w:color w:val="000000"/>
          <w:sz w:val="20"/>
        </w:rPr>
        <w:t>and similar references refer (1) following the consummation of our initial public offering (the “IPO”) which occurred on February 9, 2021, to Viant Technology Inc. and, unless otherwise stated, all of its subsidiaries, including Viant Technology LLC, and (2) prior to the completion of the IPO, to Viant Technology LLC.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you</w:t>
      </w:r>
      <w:r>
        <w:rPr>
          <w:color w:val="000000"/>
        </w:rPr>
        <w:t xml:space="preserve">” </w:t>
      </w:r>
      <w:r>
        <w:rPr>
          <w:rFonts w:ascii="Times New Roman;serif" w:hAnsi="Times New Roman;serif"/>
          <w:b w:val="false"/>
          <w:color w:val="000000"/>
          <w:sz w:val="20"/>
        </w:rPr>
        <w:t>refers to potential investors in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Class A units</w:t>
      </w:r>
      <w:r>
        <w:rPr>
          <w:color w:val="000000"/>
        </w:rPr>
        <w:t xml:space="preserve">” </w:t>
      </w:r>
      <w:r>
        <w:rPr>
          <w:rFonts w:ascii="Times New Roman;serif" w:hAnsi="Times New Roman;serif"/>
          <w:b w:val="false"/>
          <w:color w:val="000000"/>
          <w:sz w:val="20"/>
        </w:rPr>
        <w:t xml:space="preserve">refers to Class A units of our subsidiary, Viant Technology LLC.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Class B units</w:t>
      </w:r>
      <w:r>
        <w:rPr>
          <w:color w:val="000000"/>
        </w:rPr>
        <w:t xml:space="preserve">” </w:t>
      </w:r>
      <w:r>
        <w:rPr>
          <w:rFonts w:ascii="Times New Roman;serif" w:hAnsi="Times New Roman;serif"/>
          <w:b w:val="false"/>
          <w:color w:val="000000"/>
          <w:sz w:val="20"/>
        </w:rPr>
        <w:t xml:space="preserve">refers to Class B units of our subsidiary, Viant Technology LLC.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Continuing LLC Owners</w:t>
      </w:r>
      <w:r>
        <w:rPr>
          <w:color w:val="000000"/>
        </w:rPr>
        <w:t xml:space="preserve">” </w:t>
      </w:r>
      <w:r>
        <w:rPr>
          <w:rFonts w:ascii="Times New Roman;serif" w:hAnsi="Times New Roman;serif"/>
          <w:b w:val="false"/>
          <w:color w:val="000000"/>
          <w:sz w:val="20"/>
        </w:rPr>
        <w:t>refers collectively to holders of Class B units and our Class B common stock after giving effect to our IPO who may exchange their Class B units for an equivalent number of shares of our Class A common stock (together with the automatic retirement of their shares of our Class B common stock on a one-for-one basis with the number of Class B units so exchanged).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Tax Receivable Agreement</w:t>
      </w:r>
      <w:r>
        <w:rPr>
          <w:color w:val="000000"/>
        </w:rPr>
        <w:t xml:space="preserve">” </w:t>
      </w:r>
      <w:r>
        <w:rPr>
          <w:rFonts w:ascii="Times New Roman;serif" w:hAnsi="Times New Roman;serif"/>
          <w:b w:val="false"/>
          <w:color w:val="000000"/>
          <w:sz w:val="20"/>
        </w:rPr>
        <w:t>refers to the tax receivable agreement, dated as of February 9, 2021, among Viant Technology Inc., Viant Technology LLC and the Continuing LLC Owners, as amended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TRADEMARKS, TRADE NAMES AND SERVICE MARKS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includes, or incorporates by reference, our trademarks and trade names which are protected under applicable intellectual property laws and are our property. This prospectus supplement also contains, or incorporates by reference, trademarks, trade names and service marks of other companies, which are the property of their respective owners. Solely for convenience, trademarks, trade names and service marks referred to, or incorporated by reference, in this prospectus supplement may appear without the ®, ™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MARKET AND INDUSTRY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include in this prospectus supplement statements regarding factors that have impacted our and our customers’ industries. Such statements are statements of belief and are based on industry data and forecasts that we have obtained from industry publications and surveys, including those published prior to the date on the cover of this prospectus supplement.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While we are not aware of any misstatements regarding the industry data presented herein, we have not independently verified the industry information. Our estimates involve risks and uncertainties and are subject to change based on various factors, including those discussed under the caption “Risk Factors” in this prospectus supplement, as well as the other risk factors incorporated by reference in this prospectus supplement. Accordingly, investors should not place undue reliance on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PROSPECTUS SUPPLEMENT SUMMARY </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information contained elsewhere in this prospectus supplement or incorporated by reference into this prospectus supplement and the accompanying prospectus. This summary is not complete and does not contain all of the information that you should consider before investing in our Class A common stock. Before investing in our Class A common stock, you should carefully read this entire prospectus supplement, the accompanying prospectus, any applicable free writing prospectus prepared by us or on our behalf to which we have referred you and the information incorporated herein by reference, including the financial data and related notes and the risk factors contained in this prospectus supplement, our Annual Report on Form 10-K for the year ended December 31, 2025 (the “2025 10-K”) and our subsequent Quarterly Reports on Form 10-Q filed with the SEC. Unless the context requires otherwise, references to “our company,” “we,” “us” and “our” refer to Viant Technology Inc. and its direct and indirect subsidiaries, including Viant Technology LLC.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Company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an advertising technology company. Our cloud-based demand side platform (“DSP”) enables the programmatic purchase of advertising, which is the electronification of the digital advertising buying process. Our proprietary data, measurement, AI and other technology-enabled solutions enhance advertising planning, execution and performance. Programmatic advertising is rapidly taking market share from traditional ad sales channels, which require more staffing, offer less transparency and involve higher costs to buyers.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DSP is used by marketers and their advertising agencies to centralize the planning, buying and measurement of their digital advertising across most channels. Through our omnichannel platform, a marketer can easily buy ads on connected TV, streaming audio, digital out-of-home, mobile and desktop.</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Additionally, our artificial intelligence product suite, ViantAI, is the foundational component of our long-term vision for autonomous advertising. We expect it to power every stage of the programmatic advertising lifecycle and create the most efficient and cost-effective experience for our customers. Our ViantAI suite currently includes AI Planning, which enables media planners to design high-impact campaigns in seconds, AI Bidding, which optimizes inventory costs by lowering the effective cost per mille through automated bid adjustments, AI Measurement and Analysis, which provides accessible measurement and insights via a user-friendly chat interface, and recently released AI Decisioning, which automates planning, execution, measurement and dynamic optimization of campaigns in real-time. The launch of AI Decisioning was accompanied by the introduction of Outcomes, our autonomous advertising performance solution that utilizes each of the four phases of ViantAI, and various signals within our intelligence layer, to build and execute campaigns designed to deliver an optimal outcome.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DSP is an easy-to-use self-service platform that provides our customers with transparency and control over their advertising campaigns. Customers can choose to maintain hands-on control over every campaign detail or have our platform autonomously execute, optimize and measure their advertising investments. Our platform offers customers unique visibility across a variety of inventory, allowing them to create customized audience segments and leverage our proprietary data and addressability solutions, including Household ID, IRIS_ID, and attention signals, as well as strategic partner data, to reach target audiences at scale. Our platform delivers a full suite of forecasting, reporting and built-in automation that provides our customers with insights into available inventory based on the desired target audience.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generate revenue from platform fees and fees related to the purchase of our proprietary data, measurement, and technology service offerings pursuant to agreements that enable a wide variety of marketers and their agencies to select the mix of pricing and service options that suits their unique business and advertising needs. Our platform pricing options consist of a percentage of spend pricing option and a fixed cost per mille pricing option.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believe that offering a mix of pricing and service options provides greater flexibility for marketers and their advertising agencies seeking to plan, buy and measure programmatic campaigns using our platform and related data, measurement and technology-enabled solutions. </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Market Opportunity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over the long term, our total addressable market is the total global advertising market, which eMarketer has forecasted as of June 12, 2026 to grow from $1.2 trillion in 2026 to $1.5 trillion in 2029, a 9% compound annual growth rate ("CAGR"). Currently, our focus is primarily on the U.S. market, which eMarketer has forecasted to grow from $485 billion in 2026 to $576 billion in 2028, a 9% CAGR, primarily including the following segments:</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20"/>
        </w:rPr>
        <w:t>CTV: U.S. CTV advertising is forecasted to be a $37.0 billion market in 2026 and forecasted to grow to a $47.6 billion market in 2028, a 13% CAGR. CTV includes over-the-top (“OTT”) content delivered through a connected device over the internet.</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20"/>
        </w:rPr>
        <w:t>Desktop and Mobile: U.S. desktop and mobile advertising are forecasted to grow from a $363 billion market in 2026 to a $450 billion market in 2028, a 11% CAGR.</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20"/>
        </w:rPr>
        <w:t>Streaming Audio: U.S. digital audio advertising is forecasted to be an $8.0 billion market in 2026 and forecasted to grow to an $8.9 billion market in 2028, a 6% CAGR.</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20"/>
        </w:rPr>
        <w:t>Digital Billboards: U.S. billboard advertising is forecasted to be a $4.9 billion market in 2026 and forecasted to grow to a $5.7 billion market in 2028, a 8% CAGR.</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forecasts for each segment above include both programmatic and non-programmatic digital advertising. In recent years, programmatic advertising has represented an increasing portion of total U.S. media spend. eMarketer estimates, as of May 5, 2026, that the U.S. programmatic advertising market, as represented by the segments above, will grow from $221 billion in 2026 to $279 billion in 2028, a 12% CAGR.</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Recent Developments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May 1, 2026, we completed our acquisition of TVision Insights, Inc. (“TVision”), adding attention measurement and data capabilities that we are integrating into our platform and broader product offerings alongside our existing measurement, data, content and identity capabilities.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were incorporated in Delaware on October 9, 2020. In connection with the consummation of our IPO in February 2021, we became the sole managing member of Viant Technology LLC. Our principal executive offices are located at 2722 Michelson Drive, Suite 100, Irvine, CA 92612, and our telephone number is (949) 861-8888. Our Class A common stock is listed on the Nasdaq Global Select Market under the symbol “DSP.” Our website address is www.viantinc.com. The information on, or accessible through, our website is not part of this prospectus supplement or the accompanying prospectus.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Evaluation of Jurisdiction of Incorporation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board of directors has formed a special committee consisting solely of independent directors to evaluate whether we should remain incorporated in Delaware or reincorporate in another state. As of the date of this prospectus supplement, no decision has been made by the special committee or our board of directors as to whether we should remain incorporated in Delaware or reincorporate in another state. Any such reincorporation would also require the approval of our stockholders. For so long as Tim Vanderhook, Chris Vanderhook and Capital V LLC collectively hold a significant amount of the voting power of our common stock, they would be able to control or significantly influence whether our stockholders approve any such reincorporation.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THE OFFERING </w:t>
      </w:r>
    </w:p>
    <w:tbl>
      <w:tblPr>
        <w:tblW w:w="10205" w:type="dxa"/>
        <w:jc w:val="left"/>
        <w:tblInd w:w="0" w:type="dxa"/>
        <w:tblLayout w:type="fixed"/>
        <w:tblCellMar>
          <w:top w:w="28" w:type="dxa"/>
          <w:left w:w="28" w:type="dxa"/>
          <w:bottom w:w="28" w:type="dxa"/>
          <w:right w:w="28" w:type="dxa"/>
        </w:tblCellMar>
      </w:tblPr>
      <w:tblGrid>
        <w:gridCol w:w="699"/>
        <w:gridCol w:w="604"/>
        <w:gridCol w:w="606"/>
        <w:gridCol w:w="109"/>
        <w:gridCol w:w="109"/>
        <w:gridCol w:w="109"/>
        <w:gridCol w:w="2671"/>
        <w:gridCol w:w="2289"/>
        <w:gridCol w:w="3009"/>
      </w:tblGrid>
      <w:tr>
        <w:trPr/>
        <w:tc>
          <w:tcPr>
            <w:tcW w:w="6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Selling stockholder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V LLC. </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A common stock offered by the selling stockholder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8,500,000 shares, which will be issued to the selling stockholder immediately prior to the closing of this offering upon the exchange of an equal number of Class B units held by the selling stockholder, together with the automatic retirement of an equal number of shares of our Class B common stock. We will not receive any proceeds from the sale of those shares.</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Underwriters’ option to purchase additional 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will grant the underwriters an option, exercisable for 30 days after the date of this prospectus supplement, to purchase up to 1,275,000 additional shares of Class A common stock from us (and not from the selling stockholder) at the public offering price, less the underwriting discount.</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A common stock to be outstanding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29,552,546 shares (or 30,827,546 shares, if the underwriters exercise in full their option to purchase additional shares of Class A common stock from us).</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B common stock to be outstanding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36,902,216 shares (whether or not the underwriters exercise their option to purchase additional shares of Class A common stock).</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A units to be held by us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29,552,546 Class A units (or 30,827,546 Class A units, if the underwriters exercise in full their option to purchase additional shares of Class A common stock from us), representing approximately 44.5% (or 45.5%, if the underwriters exercise in full their option to purchase additional shares of Class A common stock from us) of the economic interest in Viant Technology LLC. </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B units to be held by us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0 Class B units, representing 0% of the economic interest in Viant Technology LLC. </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B units to be held by the Continuing LLC Owners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36,902,216 Class B units, representing approximately 55.5% (or 54.5%, if the underwriters exercise in full their option to purchase additional shares of Class A common stock from us) of the economic interest in Viant Technology LLC.</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Voting rights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Each share of Class A common stock and Class B common stock entitles its holder to one vote, voting as a single class on all matters submitted to a vote of our stockholders.</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receive any of the proceeds from the sale of shares of Class A common stock by the selling stockholder.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the underwriters exercise in full their option to purchase additional shares of Class A common stock from us, we estimate that the net proceeds to us will be approximately $ million, after deducting the underwriting discount and estimated offering expenses payable by us. We intend to use any net proceeds we receive from this offering for working capital, general corporate purposes and transaction expenses if the underwriters exercise their option to purchase additional shares of Class A common stock from us. See “Use of Proceeds.”</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0"/>
        <w:gridCol w:w="331"/>
        <w:gridCol w:w="332"/>
        <w:gridCol w:w="109"/>
        <w:gridCol w:w="109"/>
        <w:gridCol w:w="109"/>
        <w:gridCol w:w="2574"/>
        <w:gridCol w:w="2574"/>
        <w:gridCol w:w="3657"/>
      </w:tblGrid>
      <w:tr>
        <w:trPr/>
        <w:tc>
          <w:tcPr>
            <w:tcW w:w="4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Class A common stock involves a high degree of risk. See “</w:t>
            </w:r>
            <w:hyperlink w:anchor="i7234e438d2324c71b65567b4b1f1708b_28">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beginning on page </w:t>
            </w:r>
            <w:hyperlink w:anchor="i7234e438d2324c71b65567b4b1f1708b_28">
              <w:r>
                <w:rPr>
                  <w:rStyle w:val="InternetLink"/>
                  <w:rFonts w:ascii="Times New Roman;serif" w:hAnsi="Times New Roman;serif"/>
                  <w:b w:val="false"/>
                  <w:color w:val="0000FF"/>
                  <w:sz w:val="20"/>
                  <w:u w:val="single"/>
                </w:rPr>
                <w:t>S-9</w:t>
              </w:r>
            </w:hyperlink>
            <w:r>
              <w:rPr>
                <w:color w:val="000000"/>
              </w:rPr>
              <w:t xml:space="preserve"> </w:t>
            </w:r>
            <w:r>
              <w:rPr>
                <w:rFonts w:ascii="Times New Roman;serif" w:hAnsi="Times New Roman;serif"/>
                <w:b w:val="false"/>
                <w:color w:val="000000"/>
                <w:sz w:val="20"/>
              </w:rPr>
              <w:t>of this prospectus supplement, and the other risk factors disclosed in our filings with the SEC that are incorporated by reference into this prospectus supplement and the accompanying prospectus, for a discussion of factors you should consider carefully before investing in our Class A common stock.</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trading symbol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DSP.”</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Unless otherwise indicated, the number of shares outstanding after this offering is based on 21,052,546 shares of our Class A common stock and 45,402,216 shares of our Class B common stock outstanding as of June 30, 2026, and excludes: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4.2 million shares of our Class A common stock issuable upon exercise of stock options outstanding as of June 30, 2026, which have a weighted-average exercise price of $6.05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7.5 million shares of our Class A common stock issuable upon settlement of restricted stock units (“RSUs”) outstanding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0.5 million shares of our Class A common stock issuable upon settlement of performance stock units (“PSUs”) outstanding as of June 30, 2026, assuming achievement of the applicable performance conditions at target;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4.1 million shares of Class A common stock reserved for issuance under our 2021 Long-Term Incentive Plan as of June 30, 2026;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45.4 million shares of Class A common stock issuable upon the exchange of Class B units outstanding as of June 30, 2026 (which will be reduced by the 8,500,000 Class B units exchanged by the selling stockholder in connection with this offering).</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Unless otherwise indicated, this prospectus supplement assumes no exercise of outstanding options, no settlement of outstanding RSUs or PSUs, and no exercise by the underwriters of their option to purchase additional shares of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 in any securities offered pursuant to this prospectus supplement and the accompanying prospectus involves a high degree of risk. Before deciding whether to invest in our Class A common stock, you should carefully consider the risks described below, together with the risk factors incorporated by reference from the 2025 10-K and our subsequent Quarterly Reports on Form 10-Q filed with the SEC, and all other information contained in or incorporated by reference into this prospectus supplement, as updated by our subsequent filings under the Securities Exchange Act of 1934, as amended (the “Exchange Act”), and the risk factors and other information contained in the accompanying prospectus and any applicable free writing prospectus. The occurrence of any of these risks could cause you to lose all or part of your investment in the offered securities. There may be other unknown or unpredictable economic, business, competitive, regulatory or other factors that could have a material adverse effect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flows could be seriously harmed. This could cause the trading price of our Class A common stock to decline, resulting in a loss of all or part of your investment. Please also carefully read the section entitled “Cautionary Note Regarding Forward-Looking Statements” included in the 2025 10-K and our subsequent Quarterly Reports on Form 10-Q filed with the SEC.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will not receive any proceeds from the sale of shares of Class A common stock by the selling stockholder.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the shares of Class A common stock offered by this prospectus supplement, other than any shares sold upon exercise of the underwriters’ option to purchase additional shares, are being sold by the selling stockholder. We will not receive any of the proceeds from those sales, and none of those proceeds will be available to fund our operations, capital expenditures, compensation plans or acquisition opportunities. We will, however, bear a portion of the expenses of this offering. See “Use of Proceeds.”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management will have broad discretion in the use of any net proceeds we receive from this offering, and may not use them effectively.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receive net proceeds only if and to the extent the underwriters exercise their option to purchase additional shares of Class A common stock from us. Our management will have broad discretion in the application of any such net proceeds, and could spend or invest them in ways with which you may not agree. Accordingly, you will be relying on the judgment of our management with regard to the use of any net proceeds, and you will not have the opportunity, as part of your investment decision, to assess whether the proceeds are being used appropriately. It is possible that any net proceeds will be invested or otherwise used in a way that does not yield a favorable, or any, return for us, or that does not enhance the value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the underwriters exercise their option to purchase additional shares from us, you may experience dilution.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shares of Class A common stock that we sell upon exercise of the underwriters’ option to purchase additional shares will be newly issued shares. Their issuance may have a dilutive effect on our earnings per share and on the net tangible book value per share of the Class A common stock purchased in this offering. In addition, to the extent we issue additional equity or equity-linked securities in the future, including under our equity incentive plans or as consideration in acquisitions, our stockholders may experience further dilution.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Substantial future sales of our Class A common stock, or the perception that such sales may occur, could cause the market price of our Class A common stock to decline.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could occur at any time. As of June 30, 2026, there were 21,052,546 shares of our Class A common stock outstanding, 45,402,216 shares of our Class B common stock outstanding and 45,402,216 Class B units of Viant Technology LLC outstanding, which are exchangeable for an equivalent number of shares of our Class A common stock. If our stockholders sell, or the market perceives that our stockholders intend to sell, a substantial number of shares of our Class A common stock in the public market, the market price of our Class A common stock could decline </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significantly. We and all of our directors and executive officers, as well as the selling stockholder, have agreed with the underwriters, subject to certain exceptions, not to dispose of or hedge any of our common stock or securities convertible into or exchangeable for shares of common stock during the period from the date of this prospectus supplement through the date 90 days after the date of the underwriting agreement. See “Underwriting” for a description of these restrictions and the exceptions thereto. Subject to these contractual restrictions, shares issued upon the exercise of stock options outstanding under our equity incentive plans or pursuant to future awards granted under those plans will become available for sale in the public market to the extent permitted by applicable vesting schedules and Rule 144 and Rule 701 under the Securities Act. If any of these additional shares are sold, or if it is perceived that they will be sold, in the public market, the market price of our Class A common stock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the accompanying prospectus, the documents incorporated by reference into this prospectus supplement and other materials we have filed with the SEC contain forward-looking statements within the meaning of the federal securities laws. In some cases, you can identify forward-looking statements by words such as “may,” “should,” “expect,” “might,” “plan,” “anticipate,” “could,” “intend,” “target,” “project,” “contemplate,” “believe,” “estimate,” “predict,” “potential,” “seek,” “would”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prospectus supplement or documents incorporated by reference into this prospectus supplement may include, but are not limited to, statements about: this offering, including the anticipated use of any net proceeds we receive; our future financial performance;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growth and product strategies,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repurchases of stock related to our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the expected benefits of, and our integration of, the recently completed acquisition of TVision Insights, Inc.; the evaluation of our jurisdiction of incorporation and any potential reincorporation; and the impact of recent accounting pronouncements on our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prospectus supplement or documents incorporated by reference into this prospectus supplement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of this prospectus supplement and documents incorporated by reference into this prospectus supplement entitled “Risk Factors.”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speaks only as of the date on which we make it. We undertake no obligation to publicly update any forward-looking statement, whether as a result of new information, future developments or otherwise, except as may be required by applicable securities laws. We claim the protection of the safe harbor for forward-looking statements contained in the Private Securities Litigation Reform Act of 1995 for all forward-looking statements. You should read this prospectus supplement, and the documents that we reference in this prospectus supplement and have filed with the SEC, with the understanding that our actual future results,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Class A common stock being sold by the selling stockholder are being sold for the account of the selling stockholder, and we will not receive any proceeds from the sale of those shares.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underwriters exercise in full their option to purchase additional shares of Class A common stock from us, we estimate that the net proceeds to us will be approximately $ million, after deducting the underwriting discount and estimated offering expenses payable by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use any net proceeds we receive from this offering to purchase newly issued Class A units of Viant Technology LLC at a per-unit price equal to the public offering price per share of our Class A common stock in this offering, less the underwriting discount. We intend to cause Viant Technology LLC to use such proceeds for working capital, general corporate purposes and transaction expenses if the underwriters exercise their option to purchase additional shares of Class A common stock from us. We may also cause Viant Technology LLC to use such proceeds to acquire businesses, assets or technologies or make other strategic investments, although we have no present commitments or agreements to enter into any such acquisitions or make any such investments.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will have significant flexibility in applying any net proceeds we receive from this offering. The timing and amount of our actual expenditures will be based on many factors, including cash flows from operations and the anticipated growth of our business. Pending their use, we intend to cause Viant Technology LLC to invest any such net proceeds in short- and intermediate-term, interest-bearing, investment-grade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information with respect to the beneficial ownership of our Class A common stock and Class B common stock for the selling stockholder.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Beneficial ownership is determined in accordance with SEC rules. The information is not necessarily indicative of beneficial ownership for any other purpose. In general, under these rules a beneficial owner of a security includes any person who, directly or indirectly, through any contract, arrangement, understanding, relationship or otherwise has or shares voting power or investment power with respect to such security. A person is also deemed to be a beneficial owner of a security if that person has the right to acquire beneficial ownership of such security within 60 days. To our knowledge, except as otherwise indicated, and subject to applicable community property laws, the persons named in the table have sole voting and investment power with respect to all shares of Class A common stock and Class B common stock beneficially owned by them.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our IPO, we issued to the Continuing LLC Owners one share of our Class B common stock for each Class B unit of Viant Technology LLC that they held. Each Continuing LLC Owner has the right to exchange its Class B units for an equivalent number of shares of our Class A common stock (together with the automatic retirement of such shares of our Class B common stock on a one-for-one basis with the number of Class B units so exchanged). In addition, we may also elect to satisfy such exchange for cash. The exchange by the selling stockholder of the Class B units underlying the shares offered by this prospectus supplement will be settled in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Class A common stock and Class B common stock outstanding and percentage of beneficial ownership before this offering set forth below are computed on the basis of 21,184,101 shares of our Class A common stock issued and outstanding as of August 31, 2026, and 45,314,716 shares of our Class B common stock issued and outstanding as of August 31, 2026. The number of shares of Class A common stock and Class B common stock and percentage of beneficial ownership after the consummation of this offering set forth below are based on the number of shares to be issued and outstanding immediately after the consummation of this offering. Shares of our Class A common stock that a person has the right to acquire within 60 days of August 31, 2026 (including the right to exchange described above) are deemed outstanding for purposes of computing the percentage ownership of such person’s holdings, but are not deemed outstanding for purposes of computing the percentage ownership of any other person. </w:t>
      </w:r>
    </w:p>
    <w:tbl>
      <w:tblPr>
        <w:tblW w:w="14261" w:type="dxa"/>
        <w:jc w:val="left"/>
        <w:tblInd w:w="0" w:type="dxa"/>
        <w:tblLayout w:type="fixed"/>
        <w:tblCellMar>
          <w:top w:w="28" w:type="dxa"/>
          <w:left w:w="28" w:type="dxa"/>
          <w:bottom w:w="28" w:type="dxa"/>
          <w:right w:w="28" w:type="dxa"/>
        </w:tblCellMar>
      </w:tblPr>
      <w:tblGrid>
        <w:gridCol w:w="207"/>
        <w:gridCol w:w="181"/>
        <w:gridCol w:w="183"/>
        <w:gridCol w:w="109"/>
        <w:gridCol w:w="109"/>
        <w:gridCol w:w="109"/>
        <w:gridCol w:w="203"/>
        <w:gridCol w:w="203"/>
        <w:gridCol w:w="161"/>
        <w:gridCol w:w="109"/>
        <w:gridCol w:w="109"/>
        <w:gridCol w:w="109"/>
        <w:gridCol w:w="203"/>
        <w:gridCol w:w="203"/>
        <w:gridCol w:w="109"/>
        <w:gridCol w:w="109"/>
        <w:gridCol w:w="109"/>
        <w:gridCol w:w="109"/>
        <w:gridCol w:w="241"/>
        <w:gridCol w:w="165"/>
        <w:gridCol w:w="166"/>
        <w:gridCol w:w="109"/>
        <w:gridCol w:w="109"/>
        <w:gridCol w:w="109"/>
        <w:gridCol w:w="241"/>
        <w:gridCol w:w="165"/>
        <w:gridCol w:w="166"/>
        <w:gridCol w:w="109"/>
        <w:gridCol w:w="109"/>
        <w:gridCol w:w="109"/>
        <w:gridCol w:w="203"/>
        <w:gridCol w:w="203"/>
        <w:gridCol w:w="161"/>
        <w:gridCol w:w="109"/>
        <w:gridCol w:w="109"/>
        <w:gridCol w:w="109"/>
        <w:gridCol w:w="203"/>
        <w:gridCol w:w="203"/>
        <w:gridCol w:w="109"/>
        <w:gridCol w:w="109"/>
        <w:gridCol w:w="109"/>
        <w:gridCol w:w="109"/>
        <w:gridCol w:w="203"/>
        <w:gridCol w:w="203"/>
        <w:gridCol w:w="161"/>
        <w:gridCol w:w="109"/>
        <w:gridCol w:w="109"/>
        <w:gridCol w:w="109"/>
        <w:gridCol w:w="203"/>
        <w:gridCol w:w="203"/>
        <w:gridCol w:w="109"/>
        <w:gridCol w:w="109"/>
        <w:gridCol w:w="109"/>
        <w:gridCol w:w="109"/>
        <w:gridCol w:w="398"/>
        <w:gridCol w:w="398"/>
        <w:gridCol w:w="161"/>
        <w:gridCol w:w="109"/>
        <w:gridCol w:w="109"/>
        <w:gridCol w:w="109"/>
        <w:gridCol w:w="195"/>
        <w:gridCol w:w="196"/>
        <w:gridCol w:w="211"/>
        <w:gridCol w:w="327"/>
        <w:gridCol w:w="796"/>
        <w:gridCol w:w="161"/>
        <w:gridCol w:w="327"/>
        <w:gridCol w:w="391"/>
        <w:gridCol w:w="211"/>
        <w:gridCol w:w="327"/>
        <w:gridCol w:w="796"/>
        <w:gridCol w:w="161"/>
        <w:gridCol w:w="327"/>
        <w:gridCol w:w="391"/>
        <w:gridCol w:w="256"/>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9"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Class A Common Stock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Class B Common Stock Beneficially Owned</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0"/>
              </w:rPr>
            </w:pPr>
            <w:r>
              <w:rPr>
                <w:rFonts w:ascii="Times New Roman;serif" w:hAnsi="Times New Roman;serif"/>
                <w:b/>
                <w:color w:val="000000"/>
                <w:sz w:val="10"/>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 xml:space="preserve">Prior to this </w:t>
            </w:r>
          </w:p>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Offering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Number of Shares</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0"/>
              </w:rPr>
              <w:t xml:space="preserve">Sold in this </w:t>
            </w:r>
          </w:p>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Offering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 xml:space="preserve">Prior to this </w:t>
            </w:r>
          </w:p>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Offering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After this Offering</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No Exercise of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With</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0"/>
              </w:rPr>
              <w:t>Full Exercise of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 xml:space="preserve">No Exercise of </w:t>
            </w:r>
          </w:p>
          <w:p>
            <w:pPr>
              <w:pStyle w:val="TableContents"/>
              <w:bidi w:val="0"/>
              <w:spacing w:lineRule="auto" w:line="240" w:before="0" w:after="0"/>
              <w:jc w:val="center"/>
              <w:rPr>
                <w:rFonts w:ascii="Times New Roman;serif" w:hAnsi="Times New Roman;serif"/>
                <w:b/>
                <w:color w:val="000000"/>
                <w:sz w:val="10"/>
              </w:rPr>
            </w:pPr>
            <w:r>
              <w:rPr>
                <w:rFonts w:ascii="Times New Roman;serif" w:hAnsi="Times New Roman;serif"/>
                <w:b/>
                <w:color w:val="000000"/>
                <w:sz w:val="10"/>
              </w:rPr>
              <w:t>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With Full Exercise of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No Exercise of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With Full Exercise of Option</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Capital V LLC</w:t>
            </w:r>
            <w:r>
              <w:rPr>
                <w:rFonts w:ascii="Times New Roman;serif" w:hAnsi="Times New Roman;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27,209,326 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18,709,326 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18,709,326 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*Reflects beneficial ownership of Class A common stock determined in accordance with Rule 13d-3(d)(1) of the Exchange Act.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(1)Each of Tim Vanderhook, Chris Vanderhook and Russ Vanderhook holds a one-third interest in Capital V LLC, representing an economic interest in (i) approximately 8,500,000 of the shares of Class A common stock offered by Capital V LLC in this offering and (ii) approximately 18,709,326 shares of Class B common stock and Class B units held by Capital V LLC after the consummation of this offering. Voting and investment decisions by Capital V LLC require the approval of a majority-in-interest of the members of Capital V LLC, and accordingly no individual has sole voting or investment control over the shares held by Capital V LLC.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MATERIAL U.S. FEDERAL INCOME TAX CONSIDERATIONS TO NON-U.S. HOLDERS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the material U.S. federal income tax consequences to Non-U.S. Holders (as defined below) of the purchase, ownership and disposition of our Class A common stock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 expatriates and former citizens or long-term residents of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holding our Class A common stock as part of a hedge, straddle or other risk reduction strategy or as part of a conversion transaction or other integrated investment;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banks, insurance companies and other financial institutions;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brokers, dealers or traders in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controlled foreign corporations,” “foreign controlled foreign corporations,” “passive foreign investment companies” and corporations that accumulate earnings to avoid U.S. federal income tax;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partnerships or other entities or arrangements treated as partnerships for U.S. federal income tax purposes (and investors therein);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tax-exempt organizations or governmental organizations;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deemed to sell our Class A common stock under the constructive sale provisions of the Code;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persons who hold or receive our Class A common stock pursuant to the exercise of any employee stock option or otherwise as compensation;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tax-qualified retirement plans;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qualified foreign pension funds” as defined in Section 897(l)(2) of the Code and entities all of the interests of which are held by qualified foreign pension funds; 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persons subject to special tax accounting rules as a result of any item of gross income with respect to the stock being taken into account in an applicable financial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 </w:t>
      </w: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Definition of a Non-U.S. Holder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individual who is a citizen or resident of the United States;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estate, the income of which is subject to U.S. federal income tax regardless of its source;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Distributions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discussions below on effectively connected income, information reporting and backup withholding and additional withholding tax on payments made to foreign accounts,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Sale or Other Taxable Disposition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Non-U.S. Holder will not be subject to U.S. federal income tax on any gain realized upon the sale or other taxable disposition of our Class A common stock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disposition and certain other requirements are met;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Class A common stock constitutes a U.S. real property interest (“USRPI”) by reason of our status as a U.S. real property holding corporation (“USRPHC”) for U.S. federal income tax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third bullet point above, we believe we currently are not, and do not anticipate becoming, a USRPHC. Generally, a corporation is a USRPHC if the fair market value of its United States real property interests equals or exceeds 50% of the sum of the fair market value of its worldwide real property interests and its other assets used or held for use in a trade or business.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potentially applicable income tax treaties that may provide for different rules.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Additional Withholding Tax on Payments Made to Foreign Accounts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applicable Treasury Regulations and administrative guidance, withholding under FATCA generally applies to payments of dividends on our Class A common stock. While withholding under FATCA would have applied under these Treasury Regulations also to payments of gross proceeds from the sale or other disposition of our Class A common stock on or after January 1, 2019, proposed Treasury Regulations eliminate FATCA withholding on payments of gross proceeds entirely. Taxpayers generally may rely on these proposed Treasury Regulations until final Treasury Regulations are issued.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Prospective investors should consult their tax advisors regarding the potential application of withholding under FATCA to their investment in our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Evercore Group L.L.C. and Wells Fargo Securities, LLC (collectively, the “Representatives”) are acting as lead book-running managers of the offering and representatives of the underwriters named below.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the selling stockholder and the underwriters named below will enter into an underwriting agreement with respect to the shares being offered. Subject to the terms and conditions stated in the underwriting agreement, each underwriter named below will severally agree to purchase, and the selling stockholder will agree to sell to the underwriters, the number of shares of Class A common stock set forth opposite the underwriter’s name in the following table: </w:t>
      </w:r>
    </w:p>
    <w:tbl>
      <w:tblPr>
        <w:tblW w:w="4001" w:type="dxa"/>
        <w:jc w:val="left"/>
        <w:tblInd w:w="0" w:type="dxa"/>
        <w:tblLayout w:type="fixed"/>
        <w:tblCellMar>
          <w:top w:w="28" w:type="dxa"/>
          <w:left w:w="28" w:type="dxa"/>
          <w:bottom w:w="28" w:type="dxa"/>
          <w:right w:w="28" w:type="dxa"/>
        </w:tblCellMar>
      </w:tblPr>
      <w:tblGrid>
        <w:gridCol w:w="1033"/>
        <w:gridCol w:w="907"/>
        <w:gridCol w:w="909"/>
        <w:gridCol w:w="109"/>
        <w:gridCol w:w="109"/>
        <w:gridCol w:w="109"/>
        <w:gridCol w:w="241"/>
        <w:gridCol w:w="241"/>
        <w:gridCol w:w="343"/>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Underwriter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Group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RBC Capital Markets,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Craig-Hallum Capital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will provide that the obligations of the underwriters to purchase the shares of our Class A common stock included in this offering are subject to approval of legal matters by counsel and to other conditions. The underwriters will be obligated to purchase all of the shares of our Class A common stock (other than those covered by the underwriters’ option to purchase additional shares described below) if they purchase any of the shares.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Shares of our Class A common stock sold by the underwriters to the public will initially be offered at the public offering price set forth on the cover of this prospectus supplement. Any shares of our Class A common stock sold by the underwriters to securities dealers may be sold at a discount from the public offering price not to exceed $   per share. After the initial offering of the shares of our Class A common stock, the Representatives may change the offering price and the other selling terms. The offering of the shares by the underwriters is subject to receipt and acceptance and subject to the underwriters’ right to reject any order in whole or in part. The Representatives have advised us and the selling stockholder that the underwriters do not intend to make sales to discretionary accounts.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grant to the underwriters an option, exercisable for 30 days after the date of this prospectus supplement, to purchase, from time to time, in whole or in part, up to an aggregate of 1,275,000 shares of our Class A common stock from us at the public offering price set forth on the cover of this prospectus supplement,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Any shares of our Class A common stock sold under the option will be sold on the same terms and conditions as the other shares of our Class A common stock that are the subject of this offering. </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Commissions and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per share and total underwriting discounts and commissions to be paid to the underwriters by us and the selling stockholder. These amounts are shown assuming both no exercise and full exercise of the underwriters’ option to purchase additional shares. </w:t>
      </w:r>
    </w:p>
    <w:tbl>
      <w:tblPr>
        <w:tblW w:w="5452" w:type="dxa"/>
        <w:jc w:val="left"/>
        <w:tblInd w:w="0" w:type="dxa"/>
        <w:tblLayout w:type="fixed"/>
        <w:tblCellMar>
          <w:top w:w="28" w:type="dxa"/>
          <w:left w:w="28" w:type="dxa"/>
          <w:bottom w:w="28" w:type="dxa"/>
          <w:right w:w="28" w:type="dxa"/>
        </w:tblCellMar>
      </w:tblPr>
      <w:tblGrid>
        <w:gridCol w:w="1146"/>
        <w:gridCol w:w="802"/>
        <w:gridCol w:w="811"/>
        <w:gridCol w:w="109"/>
        <w:gridCol w:w="109"/>
        <w:gridCol w:w="109"/>
        <w:gridCol w:w="279"/>
        <w:gridCol w:w="537"/>
        <w:gridCol w:w="144"/>
        <w:gridCol w:w="109"/>
        <w:gridCol w:w="109"/>
        <w:gridCol w:w="109"/>
        <w:gridCol w:w="480"/>
        <w:gridCol w:w="247"/>
        <w:gridCol w:w="352"/>
      </w:tblGrid>
      <w:tr>
        <w:trPr/>
        <w:tc>
          <w:tcPr>
            <w:tcW w:w="1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 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Exercise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Paid by us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Paid by the selling stockholder</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expenses payable by us in connection with this offering, exclusive of underwriting discounts and commissions, will be approximately $0.5 million. We will also agree to reimburse the underwriters for expenses in an amount not to exceed $20,000 relating to any applicable state securities filings and to clearance of this offering with the Financial Industry Regulatory Authority. We and the selling stockholder will also agree to indemnify the underwriters against certain liabilities, including liabilities under the Securities Act.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Lock-up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we, all of our directors and officers and the selling stockholder will agree that, subject to certain exceptions, during the period beginning on the date of this prospectus supplement and ending 90 days after that date (the “Lock-Up Period”), we and they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Class A common stock, units of Viant Technology LLC or any securities convertible into or exercisable or exchangeable for Class A common stock or such units, whether now owned or later acquired or over which they have or later acquire the power of disposition (collectively, the “Lock-Up Securities”), exercise any right with respect to the registration of any Lock-Up Securities, or file, cause to be filed or cause to be confidentially submitted any registration statement in connection therewith under the Securities Act, (ii) enter into any swap or other agreement or transaction that transfers, in whole or in part, directly or indirectly, the economic consequences of ownership of the Lock-Up Securities, whether any such swap or transaction is to be settled by delivery of Class A common stock, units of Viant Technology LLC or other securities, in cash or otherwise, or (iii) publicly announce the intention to do any of the foregoing.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lock-up restrictions above that apply to us do not apply to (A) the shares of Class A common stock to be sold in this offering, (B) shares of Class A common stock issued upon the exercise of an option or warrant or the conversion of a security outstanding on the date hereof and referred to in this prospectus supplement, the accompanying prospectus or the documents incorporated by reference herein, (C) shares of Class A common stock, options to purchase Class A common stock, restricted stock units covering shares of Class A common stock or other equity incentive awards granted under our existing employee benefit plans or equity incentive plans referred to in this prospectus supplement, the accompanying prospectus or the documents incorporated by reference herein, (D) shares of Class A common stock issued pursuant to any non-employee director stock plan referred to in this prospectus supplement, the accompanying prospectus or the documents incorporated by reference herein, (E) our filing of a registration statement on Form S-8, or any successor form, with respect to securities to be offered under any of those employee benefit or equity incentive plans, or (F) the issuance of up to 10% of our total outstanding shares of Class A common stock in connection with the acquisition of the assets of, or a majority or controlling portion of the equity of, or a joint venture, other commercial relationship or strategic alliance with, another entity, provided that each recipient of shares issued or sold under clause (F) during the Lock-Up Period agrees to be bound by lock-up restrictions substantially the same as those described above for the remainder of the Lock-Up Period.</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respect to the lock-up agreements entered into by our directors and officers and the selling stockholder, the restrictions described in the preceding paragraphs will not apply to transfers or other dispositions of Lock-Up Securities: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(i)as a bona fide gift or gifts or charitable contribution;</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(ii)to any trust, partnership, limited liability company or other entity for the direct or indirect benefit of such person or such person’s immediate family, or to a member of such person’s immediate family (meaning any relationship by blood, marriage or adoption no more remote than first cousin), or, in the case of a trust, to its beneficiaries or estate;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(iii)as a distribution to limited partners, partners, members, stockholders or other equityholders of such person;</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(iv)to such person’s affiliates or to any investment fund or other entity controlled or managed by such person;</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(v)the exchange of units of Viant Technology LLC (or securities convertible into or exercisable or exchangeable for those units), together with the surrender and cancellation of a corresponding number of shares of Class B common stock, for shares of Class A common stock (or securities convertible into or exercisable or exchangeable for Class A common stock) pursuant to the operating agreement of Viant Technology LLC or other agreements described in this prospectus supplement or the documents incorporated by reference herein;</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(vi)by will, other testamentary document or intestate succession upon death, or for bona fide estate planning purposes;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(vii)by operation of law, such as pursuant to an order of a court or regulatory agency of competent jurisdiction, a qualified domestic relations order or a divorce settlement;</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(viii)to us upon exercise of any right in respect of any equity award granted under any of our incentive plans described in the final prospectus relating to this offering, including the surrender of shares of Class A common stock to us in a “net” or “cashless” exercise or settlement of an equity award;</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(ix)to a bona fide third party in a merger, consolidation, tender offer or other similar transaction that is made to all holders of Class A common stock, is approved by our board of directors and would result in a person or group of affiliated persons (other than an underwriter in this offering) holding more than 50% of our outstanding voting securities (or those of the surviving entity), provided that if the transaction is not completed, and with respect to any shares not transferred in the transaction, the Lock-Up Securities will remain subject to the lock-up restrictions;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(x)pursuant to a written plan meeting the requirements of Rule 10b5-1 under the Exchange Act, that was established before the execution of the underwriting agreement; </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(xi)to a nominee or custodian of a person or entity to whom a disposition or transfer would be permitted under clauses (i) through (iv), (vi) or (vii) above;</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(xii)pursuant to the sale or other transfer of Lock-Up Securities, or a broker-assisted sale or cashless exercise, to satisfy any tax obligations or payments (including the payment of exercise prices) due as a result of the exercise of stock options that will expire during the Lock-Up Period, provided that (1) any securities received upon the exercise that are not sold or transferred to cover those tax or payment obligations will remain subject to the lock-up restrictions and (2) the stock options are held pursuant to an agreement or equity awards granted under a stock incentive plan or other equity award plan; or</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(xiii)pursuant to sales in open market transactions during the Lock-Up Period to generate such amount of net proceeds from those sales (after deducting commissions) in an aggregate amount up to the total amount of taxes or estimated taxes (as applicable) that become due as a result of the vesting and/or settlement of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equity awards held by such person that vest and/or settle during the Lock-Up Period, provided that any Lock-Up Securities retained by such person after giving effect to this provision will remain subject to the lock-up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case of any transfer under the above clauses, other than clause (ix), (1) the transferred securities, and any securities received in connection with the transfer, must remain subject to the lock-up restrictions or the Representatives must receive a signed lock-up agreement from the donee, trustee, distributee or transferee, (2) the transfer may not involve a disposition for value, (3) the transfer may not be required to be reported to the SEC on Form 4 or Form 5 under Section 16(a) of the Exchange Act, except in the case of clauses (i), (v) through (viii), (x), (xii) and (xiii) in which case the filing must clearly indicate in a footnote the circumstances of the particular transfer, and (4) the transferor may not otherwise voluntarily effect any public filing or report regarding the transfer.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lock-up agreements will not prevent the establishment of a Rule 10b5-1 trading plan, or the amendment or termination of an existing plan, so long as the plan does not provide for sales of Lock-Up Securities during the Lock-Up Period and any public announcement or filing regarding the plan states that no transfer of Lock-Up Securities may be made under the plan during the Lock-Up Period. Our directors and officers and the selling stockholder may also sell shares of Class A common stock purchased on the open market following this offering if the sales are not required to be reported in any public report or filing with the SEC or otherwise and no public filing or report regarding the sales is voluntarily made.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Representatives, in their sole discretion, may release any of the securities subject to these lock-up agreements at any time. If the Representatives release or waive the restrictions for one of our officers or directors, we will announce the release or waiver through a major news service at least two business days before its effective date.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Determination of Offering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public market for our Class A common stock. The offering price for the shares will be negotiated among us and the Representatives. Among the factors considered in determining the public offering price will be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companies in related businesses.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Nasdaq under the symbol “DSP.”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Stabilization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the underwriters may purchase and sell shares of our Class A common stock in the open market. Purchases and sales in the open market may include short sales, purchases to cover short positions, which may include purchases pursuant to the underwriters’ option to purchase additional shares, and stabilizing purchases.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Short sales involve secondary market sales by the underwriters of a greater number of shares of our Class A common stock than they are required to purchase in this offering.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Covered” short sales are sales of shares of our Class A common stock in an amount up to the number of shares of our Class A common stock represented by the underwriters’ option to purchase additional shares.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Naked” short sales are sales of shares of our Class A common stock in an amount in excess of the number of shares of our Class A common stock represented by the underwriters’ option to purchase additional shares.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Covering transactions involve purchases of shares either pursuant to the underwriters’ option to purchase additional shares or in the open market.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close a naked short position, the underwriters must purchase shares of our Class A common stock in the open market. A naked short position is more likely to be created if the underwriters are concerned that there may be downward pressure on the price of the shares of our Class A common stock in the open market after pricing that could adversely affect investors who purchase in this offering.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close a covered short position, the underwriters must purchase shares of our Class A common stock in the open market or exercise the option to purchase additional shares. In determining the source of shares of our Class A common stock to close the covered short position, the underwriters will consider, among other things, the price of shares of our Class A common stock available for purchase in the open market as compared to the price at which they may purchase shares of our Class A common stock through the option.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Stabilizing transactions involve bids of our Class A common stock on Nasdaq to purchase shares, as long as the stabilizing bids do not exceed a specified maximum.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Purchases to cover short positions and stabilizing purchases, as well as other purchases by the underwriters for their own accounts, may have the effect of preventing or retarding a decline in the market price of the shares. Together with the imposition of the penalty bid, such purchases may stabilize, maintain or otherwise affect the market price of the Class A common stock. As a result, the price of the Class A common stock may be higher than the price that would otherwise exist in the open market in the absence of these transactions. The underwriters may conduct these transactions on Nasdaq, in the over-the-counter market or otherwise. The underwriters are not required to engage in any of these activities and, if they do commence any, they may discontinue them at any time.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Electronic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prospectus in electronic format may be made available on websites maintained by one or more of the underwriters or their respective affiliates. The Representatives may agree with us to allocate a number of shares of our Class A common stock to underwriters for sale to their online brokerage account holders. Any such allocation for online distributions will be made by the underwriters on the same basis as other allocations. Other than the prospectus in electronic format, the information on the underwriters’ or their respective affiliates’ websites and any information contained in any other website maintained by any of the underwriters or their respective affiliates is not part of this prospectus, has not been approved and/or endorsed by us or the underwriters and should not be relied upon by investors in this offering.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Activities and Relationships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sellers of the shares of our Class A common stock have not authorized and do not authorize the making of any offer of shares of our Class A common stock through any financial intermediary on their behalf, other than offers made by the underwriters with a view to the final placement of the shares of our Class A common stock as contemplated in this prospectus supplement. Accordingly, no purchaser of the shares of our Class A common stock, </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underwriters, is authorized to make any further offer of the shares of our Class A common stock on behalf of the sellers or the underwriters.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Selling Restrictions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Notice to Prospective Investors in the European Economic Area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each Member State of the European Economic Area (each a “Relevant State”), no shares of Class A common stock have been offered or will be offered pursuant to this offering to the public in that Relevant State prior to the publication of a prospectus in relation to the shares of our Class A common stock which has been approved by the competent authority in that Relevant State or, where appropriate, approved in another Relevant State and notified to the competent authority in that Relevant State, all in accordance with Regulation (EU) 2017/1129 (the “Prospectus Regulation”), except that offers of shares of Class A common stock may be made to the public in that Relevant State at any time under the following exemptions under the Prospectus Regulation: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 any qualified investor as defined under the Prospectus Regulation;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b)to fewer than 150 natural or legal persons (other than qualified investors as defined under the Prospectus Regulation), subject to obtaining the prior consent of the Representatives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c)in any other circumstances falling within Article 1(4) of the Prospectus Regulation,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provided that no such offer of shares of Class A common stock shall require us or any underwriter to publish a prospectus pursuant to Article 3 of the Prospectus Regulation or supplement a prospectus pursuant to Article 23 of the Prospectus Regulation or publish an Annex IX document pursuant to Article 1(4) of the Prospectus Regulation.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selling restriction is in addition to any other selling restrictions set out below.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the United Kingdom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the United Kingdom (the "UK"), no shares of Class A common stock have been offered or will be offered pursuant to this offering to the public in the UK, except that offers of shares of Class A common stock may be made to the public in the UK at any time: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a)where (i) the offer is conditional on the admission of the shares of Class A common stock to trading on the London Stock Exchange plc’s main market (in reliance on the exception in paragraph 6(a) of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Schedule 1 of the POATR) or (ii) the shares of Class A common stock being offered are at the time of the offer already admitted to trading on the London Stock Exchange plc’s main market (in reliance on the exception in paragraph 6(b) of Schedule 1 of the POATR);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b)to any qualified investor as defined in paragraph 15 of the POATR;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c)to fewer than 150 persons (other than qualified investors as defined in paragraph 15 of Schedule 1 of the POATR), subject to obtaining the prior consent of the Representatives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d)at any time in other circumstances falling within Part 1 of Schedule 1 of the POATR.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any shares of Class A common stock in the UK means the communication to any person which presents sufficient information on the shares of Class A common stock to be offered and the terms on which they are to be offered, to enable an investor to decide to buy or subscribe for the shares of Class A common stock, and the expression “POATR” means Public Offers and Admissions to Trading Regulations 2024.</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Israel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does not constitute a prospectus as defined under the Israeli Securities Law, 5728-1968 (the “Israeli Securities Law”), and has not been filed with or approved by the Israel Securities Authority.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Israel, this prospectus is being distributed only to, and is directed only at, and any offer of the shares of our Class A common stock is directed only at, (i) a limited number of persons in accordance with the Israeli Securities Law and (ii) 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France </w:t>
      </w:r>
    </w:p>
    <w:p>
      <w:pPr>
        <w:pStyle w:val="TextBody"/>
        <w:bidi w:val="0"/>
        <w:spacing w:lineRule="auto" w:line="288" w:before="0" w:after="180"/>
        <w:jc w:val="left"/>
        <w:rPr/>
      </w:pPr>
      <w:r>
        <w:rPr>
          <w:rFonts w:ascii="Times New Roman;serif" w:hAnsi="Times New Roman;serif"/>
          <w:b w:val="false"/>
          <w:color w:val="000000"/>
          <w:sz w:val="20"/>
        </w:rPr>
        <w:t xml:space="preserve">Neither this prospectus nor any other offering material relating to the shares of our Class A common stock described in this prospectus has been submitted to the clearance procedures of the </w:t>
      </w:r>
      <w:r>
        <w:rPr>
          <w:rFonts w:ascii="Times New Roman;serif" w:hAnsi="Times New Roman;serif"/>
          <w:b w:val="false"/>
          <w:i/>
          <w:color w:val="000000"/>
          <w:sz w:val="20"/>
        </w:rPr>
        <w:t>Autorité des Marchés Financiers</w:t>
      </w:r>
      <w:r>
        <w:rPr>
          <w:color w:val="000000"/>
        </w:rPr>
        <w:t xml:space="preserve"> </w:t>
      </w:r>
      <w:r>
        <w:rPr>
          <w:rFonts w:ascii="Times New Roman;serif" w:hAnsi="Times New Roman;serif"/>
          <w:b w:val="false"/>
          <w:color w:val="000000"/>
          <w:sz w:val="20"/>
        </w:rPr>
        <w:t xml:space="preserve">or of the competent authority of another member state of the European Economic Area and notified to the </w:t>
      </w:r>
      <w:r>
        <w:rPr>
          <w:rFonts w:ascii="Times New Roman;serif" w:hAnsi="Times New Roman;serif"/>
          <w:b w:val="false"/>
          <w:i/>
          <w:color w:val="000000"/>
          <w:sz w:val="20"/>
        </w:rPr>
        <w:t>Autorité des Marchés Financiers.</w:t>
      </w:r>
      <w:r>
        <w:rPr>
          <w:color w:val="000000"/>
        </w:rPr>
        <w:t xml:space="preserve"> </w:t>
      </w:r>
      <w:r>
        <w:rPr>
          <w:rFonts w:ascii="Times New Roman;serif" w:hAnsi="Times New Roman;serif"/>
          <w:b w:val="false"/>
          <w:color w:val="000000"/>
          <w:sz w:val="20"/>
        </w:rPr>
        <w:t xml:space="preserve">The shares of our Class A common stock have not been offered or sold and will not be offered or sold, directly or indirectly, to the public in France. Neither this prospectus nor any other offering material relating to the shares of our Class A common stock has been or will be: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a)released, issued, distributed or caused to be released, issued or distributed to the public in France;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b)used in connection with any offer for subscription or sale of the shares of our Class A common stock to the public in France.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Such offers, sales and distributions will be made in France only: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b)to investment services providers authorized to engage in portfolio management on behalf of third parties;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 a transaction that, in accordance with article L.411-2-II-1° -or- 2° -or 3° of the French Code monétaire et financier and article 211-2 of the General Regulations (Règlement Général) of the Autorité des Marchés Financiers, does not constitute a public offer (appel public à l’épargne).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our Class A common stock may be resold directly or indirectly, only in compliance with articles L.411-1, L.411-2, L.412-1 and L.621-8 through L.621-8-3 of the French Code monétaire et financier.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Hong Kong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our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our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of our Class A common stock which </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are or are intended to be disposed of only to persons outside Hong Kong or only to “professional investors” as defined in the Securities and Futures Ordinance and any rules made under that Ordinance.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Japan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our Class A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Singapore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has not been registered as a prospectus with the Monetary Authority of Singapore. Accordingly, the shares of our Class A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our Class A common stock, has not been circulated or distributed, nor will it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Singapore SFA Product Classification: In connection with Section 309B of the SFA and the CMP Regulations 2018, unless otherwise specified before an offer of the shares of our Class A common stock, we have determined, and hereby notify all relevant persons (as defined in Section 309A(1) of the SFA), that the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Switzerland </w:t>
      </w:r>
    </w:p>
    <w:p>
      <w:pPr>
        <w:pStyle w:val="TextBody"/>
        <w:bidi w:val="0"/>
        <w:spacing w:lineRule="auto" w:line="288" w:before="0" w:after="180"/>
        <w:jc w:val="left"/>
        <w:rPr/>
      </w:pPr>
      <w:r>
        <w:rPr>
          <w:rFonts w:ascii="Times New Roman;serif" w:hAnsi="Times New Roman;serif"/>
          <w:b w:val="false"/>
          <w:color w:val="000000"/>
          <w:sz w:val="20"/>
        </w:rPr>
        <w:t>The offering of the shares of Class A common stock in Switzerland is exempt from the requirement to prepare and publish a prospectus under the Swiss Financial Services Act (“</w:t>
      </w:r>
      <w:r>
        <w:rPr>
          <w:rFonts w:ascii="Times New Roman;serif" w:hAnsi="Times New Roman;serif"/>
          <w:b/>
          <w:color w:val="000000"/>
          <w:sz w:val="20"/>
        </w:rPr>
        <w:t>FinSA</w:t>
      </w:r>
      <w:r>
        <w:rPr>
          <w:color w:val="000000"/>
        </w:rPr>
        <w:t>”</w:t>
      </w:r>
      <w:r>
        <w:rPr>
          <w:rFonts w:ascii="Times New Roman;serif" w:hAnsi="Times New Roman;serif"/>
          <w:b w:val="false"/>
          <w:color w:val="000000"/>
          <w:sz w:val="20"/>
        </w:rPr>
        <w:t xml:space="preserve">) because such offering is made to professional clients within the meaning of the FinSA only, and the shares of Class A common stock will not be admitted to trading on any trading venue (exchange or multilateral trading facility) in Switzerland. This document does not constitute a prospectus pursuant to the FinSA, and no such prospectus has been or will be prepared for or in connection with the offering of the shares of Class A common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Dubai International Financial Centre (“DIFC”) </w:t>
      </w:r>
    </w:p>
    <w:p>
      <w:pPr>
        <w:pStyle w:val="TextBody"/>
        <w:bidi w:val="0"/>
        <w:spacing w:lineRule="auto" w:line="288" w:before="0" w:after="180"/>
        <w:jc w:val="left"/>
        <w:rPr/>
      </w:pPr>
      <w:r>
        <w:rPr>
          <w:rFonts w:ascii="Times New Roman;serif" w:hAnsi="Times New Roman;serif"/>
          <w:b w:val="false"/>
          <w:color w:val="000000"/>
          <w:sz w:val="20"/>
        </w:rPr>
        <w:t>This prospectus relates to an exempt offer which is not subject to any form of regulation or approval by the Dubai Financial Services Authority (the “</w:t>
      </w:r>
      <w:r>
        <w:rPr>
          <w:rFonts w:ascii="Times New Roman;serif" w:hAnsi="Times New Roman;serif"/>
          <w:b/>
          <w:color w:val="000000"/>
          <w:sz w:val="20"/>
        </w:rPr>
        <w:t>DFSA</w:t>
      </w:r>
      <w:r>
        <w:rPr>
          <w:color w:val="000000"/>
        </w:rPr>
        <w:t>”</w:t>
      </w:r>
      <w:r>
        <w:rPr>
          <w:rFonts w:ascii="Times New Roman;serif" w:hAnsi="Times New Roman;serif"/>
          <w:b w:val="false"/>
          <w:color w:val="000000"/>
          <w:sz w:val="20"/>
        </w:rPr>
        <w:t xml:space="preserve">).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Class A common stock have not been offered and will not be offered to any persons in the DIFC except on the basis that an offer is: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(i)an “Exempt Offer” in accordance with the Markets Rules (MKT) Module of the DFSA Rulebook; and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(ii)made only to persons who meet the “Deemed Professional Client” criteria set out in Rule 2.3.4 of the Conduct of Business (COB) module of the DFSA Rulebook, who are not natural persons.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Canada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Class A common stock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 to Prospective Investors in Australia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legal matters in connection with this offering will be passed upon for us by Latham &amp; Watkins LLP. Certain legal matters in connection with this offering will be passed upon for the underwriters by Fenwick &amp; West LLP, Santa Monica, California.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Viant Technology Inc. as of December 31, 2025 and 2024, and for each of the three years in the period ended December 31, 2025, incorporated in this prospectus supplement by reference to Viant Technology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S-3 under the Securities Act with respect to the shares of Class A common stock offered hereby. This prospectus supplement, which constitutes part of the registration statement, does not contain all of the information set forth in the registration statement and the exhibits and schedules thereto. For further information with respect to us and the shares of Class A common stock offered hereby, you should refer to the registration statement and to the exhibits and schedules filed therewith. Statements contained in this prospectus supplement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We are also required to file annual, quarterly and current reports, proxy statements and other information with the SEC, copies of which are available free of charge on the SEC’s website, 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may obtain a copy of any of our filings, at no cost, by writing or telephoning us at: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Viant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2722 Michelson Drive, Suite 100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Irvine, CA 92612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(949) 861-8888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INCORPORATION OF DOCUMENTS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we file with it into the registration statement of which this prospectus supplement forms a part, which means that we can disclose important information to you by referring you to other documents. The information incorporated by reference is considered to be part of this prospectus supplement. We incorporate by reference into this prospectus supplement the documents listed below, except for information “furnished” under Items 2.02 or 7.01 of Form 8-K or other information “furnished” to the SEC, which is not deemed filed and is not incorporated by reference into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hereby incorporate by reference the following documents: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(a)Our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December 31, 2025, filed with the SEC on March 11, 2026;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(b)The information specifically incorporated by reference into our Annual Report on Form 10-K for the year ended December 31, 2025 from our Definitive Proxy Statement on </w:t>
      </w:r>
      <w:hyperlink r:id="rId4">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xml:space="preserve">, filed with the SEC on April 23, 2026;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(c)Our Quarterly Reports on Form 10-Q for the quarters ended </w:t>
      </w:r>
      <w:hyperlink r:id="rId5">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6">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filed with the SEC on May 11, 2026 and August 10, 2026, respectively;</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(d)Our Current Reports on Form 8-K filed with the SEC on </w:t>
      </w:r>
      <w:hyperlink r:id="rId7">
        <w:r>
          <w:rPr>
            <w:rStyle w:val="InternetLink"/>
            <w:rFonts w:ascii="Times New Roman;serif" w:hAnsi="Times New Roman;serif"/>
            <w:b w:val="false"/>
            <w:color w:val="0000FF"/>
            <w:sz w:val="20"/>
            <w:u w:val="single"/>
          </w:rPr>
          <w:t>April 15, 2026</w:t>
        </w:r>
      </w:hyperlink>
      <w:r>
        <w:rPr>
          <w:color w:val="000000"/>
        </w:rPr>
        <w:t xml:space="preserve"> </w:t>
      </w:r>
      <w:r>
        <w:rPr>
          <w:rFonts w:ascii="Times New Roman;serif" w:hAnsi="Times New Roman;serif"/>
          <w:b w:val="false"/>
          <w:color w:val="000000"/>
          <w:sz w:val="20"/>
        </w:rPr>
        <w:t xml:space="preserve">(other than the portions furnished under Item 2.02), </w:t>
      </w:r>
      <w:hyperlink r:id="rId8">
        <w:r>
          <w:rPr>
            <w:rStyle w:val="InternetLink"/>
            <w:rFonts w:ascii="Times New Roman;serif" w:hAnsi="Times New Roman;serif"/>
            <w:b w:val="false"/>
            <w:color w:val="0000FF"/>
            <w:sz w:val="20"/>
            <w:u w:val="single"/>
          </w:rPr>
          <w:t>June 5, 2026</w:t>
        </w:r>
      </w:hyperlink>
      <w:r>
        <w:rPr>
          <w:color w:val="000000"/>
        </w:rPr>
        <w:t xml:space="preserve"> </w:t>
      </w:r>
      <w:r>
        <w:rPr>
          <w:rFonts w:ascii="Times New Roman;serif" w:hAnsi="Times New Roman;serif"/>
          <w:b w:val="false"/>
          <w:color w:val="000000"/>
          <w:sz w:val="20"/>
        </w:rPr>
        <w:t xml:space="preserve">and </w:t>
      </w:r>
      <w:hyperlink r:id="rId9">
        <w:r>
          <w:rPr>
            <w:rStyle w:val="InternetLink"/>
            <w:rFonts w:ascii="Times New Roman;serif" w:hAnsi="Times New Roman;serif"/>
            <w:b w:val="false"/>
            <w:color w:val="0000FF"/>
            <w:sz w:val="20"/>
            <w:u w:val="single"/>
          </w:rPr>
          <w:t>August 10, 2026</w:t>
        </w:r>
      </w:hyperlink>
      <w:r>
        <w:rPr>
          <w:color w:val="000000"/>
        </w:rPr>
        <w:t xml:space="preserve"> </w:t>
      </w:r>
      <w:r>
        <w:rPr>
          <w:rFonts w:ascii="Times New Roman;serif" w:hAnsi="Times New Roman;serif"/>
          <w:b w:val="false"/>
          <w:color w:val="000000"/>
          <w:sz w:val="20"/>
        </w:rPr>
        <w:t>(only with respect to Item 5.02); and</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(e)The description of our Class A common stock incorporated by reference in our registration statement on </w:t>
      </w:r>
      <w:hyperlink r:id="rId10">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(File No. 001-40015), dated February 5, 2021, filed with the SEC on February 5, 2021, and any amendment or report filed with the SEC for the purpose of updating such description.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to each person, including any beneficial owner, to whom a prospectus is delivered, upon written or oral request of any such person, a copy of the reports and documents that have been incorporated by reference into this prospectus supplement, at no cost. Any such request should be directed to: Viant Technology Inc., 2722 Michelson Drive, Suite 100, Irvine, CA 92612. These documents are also available on the Investor Relations section of our website, which is located at www.viantinc.com, or as described under “Where You Can Find More Information” above. The reference to our website address does not constitute incorporation by reference of the information contained on our website, and information contained on, or accessible through, our website is not part of this prospectus supplement or the accompanying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subsequently filed by us pursuant to Sections 13(a), 13(c), 14 and 15(d) of the Exchange Act after the date of this prospectus supplement and prior to the termination of this offering shall be deemed to be incorporated by reference in this prospectus supplement and to be part hereof from the date of filing of such reports and other documents. Any statement in a document incorporated or deemed to be incorporated by reference herein shall be deemed to be modified or superseded for the purposes of this prospectus supplement to the extent that a statement contained herein modifies or supersedes such statement. Any statement so modified or superseded shall not be deemed, except as so modified or superseded, to constitute a part of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the selling stockholder, nor the underwriters have authorized anyone to provide any information or to make any representations other than those contained or incorporated by reference herein or in any free writing prospectus prepared by us or on our behalf to which we have referred you. Neither we, the selling stockholder, nor the underwriters take responsibility for, or provide any assurance as to the reliability of, any other information that others may give you.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before="0" w:after="180"/>
        <w:jc w:val="center"/>
        <w:rPr/>
      </w:pPr>
      <w:r>
        <w:rPr/>
        <w:drawing>
          <wp:inline distT="0" distB="0" distL="0" distR="0">
            <wp:extent cx="2924175" cy="56197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11"/>
                    <a:stretch>
                      <a:fillRect/>
                    </a:stretch>
                  </pic:blipFill>
                  <pic:spPr bwMode="auto">
                    <a:xfrm>
                      <a:off x="0" y="0"/>
                      <a:ext cx="2924175" cy="5619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VIANT TECHNOLOGY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$100,000,000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Class A Common Stock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Preferred Stock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Debt Securities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Warrants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Purchase Contracts</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Units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10,000,000 Shares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Class A Common Stock</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Offered by the Selling Securityholders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up to $100,000,000 in the aggregate of the securities identified above, and the selling securityholders may offer and sell up to 10,000,000 shares in the aggregate of Class A common stock identified above, including the possible resale, from time to time, of shares of our Class A common stock, par value $0.001 per share (“Class A common stock”), issuable upon the exchange of Class B units (“Class B units”) of our subsidiary, Viant Technology LLC (“Viant Technology LLC”) for an equivalent number of shares of our Class A common stock (and the automatic retirement of such selling securityholder’s shares of our Class B common stock, par value $0.001 per share (“Class B common stock”, and together with the Class A common stock, the “common stock”), as applicable, on a one-for-one basis with the number of Class B units so exchanged) in each case from time to time in one or more offerings. This prospectus provides you with a general description of the securities. We will not receive any proceeds from the sale of our Class A common stock by the selling securityholders.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we or any of the selling securityholders offer and sell securities, we or such selling securityholders will provide a supplement to this prospectus that contains specific information about the offering and, if applicable, the selling securityholders, as well as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THE “</w:t>
      </w:r>
      <w:hyperlink w:anchor="i7234e438d2324c71b65567b4b1f1708b_79">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ON PAGE  </w:t>
      </w:r>
      <w:hyperlink w:anchor="i7234e438d2324c71b65567b4b1f1708b_79">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OF THIS PROSPECTUS AND ANY SIMILAR SECTION CONTAINED IN THE APPLICABLE PROSPECTUS SUPPLEMENT CONCERNING FACTORS YOU SHOULD CONSIDER BEFORE INVESTING IN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Select Market under the symbol “DSP.” On April 5, 2024 the last reported sale price of our Class A common stock on the Nasdaq Global Select Market was $11.00 per share.</w:t>
      </w:r>
    </w:p>
    <w:p>
      <w:pPr>
        <w:pStyle w:val="TextBody"/>
        <w:bidi w:val="0"/>
        <w:spacing w:lineRule="auto" w:line="288" w:before="0" w:after="180"/>
        <w:jc w:val="left"/>
        <w:rPr/>
      </w:pPr>
      <w:r>
        <w:rPr>
          <w:rFonts w:ascii="Times New Roman;serif" w:hAnsi="Times New Roman;serif"/>
          <w:b/>
          <w:color w:val="000000"/>
          <w:sz w:val="20"/>
        </w:rPr>
        <w:t>Neither the Securities and Exchange Commission (the “SEC”) nor any state securities commission has approved or disapproved of these securities or passed upon the adequacy or accuracy of this prospectus. Any representation to the contrary is a criminal offense.</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April 23,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707" w:type="dxa"/>
        <w:jc w:val="left"/>
        <w:tblInd w:w="0" w:type="dxa"/>
        <w:tblLayout w:type="fixed"/>
        <w:tblCellMar>
          <w:top w:w="28" w:type="dxa"/>
          <w:left w:w="28" w:type="dxa"/>
          <w:bottom w:w="28" w:type="dxa"/>
          <w:right w:w="28" w:type="dxa"/>
        </w:tblCellMar>
      </w:tblPr>
      <w:tblGrid>
        <w:gridCol w:w="2655"/>
        <w:gridCol w:w="2337"/>
        <w:gridCol w:w="2343"/>
        <w:gridCol w:w="109"/>
        <w:gridCol w:w="109"/>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64">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64">
              <w:r>
                <w:rPr>
                  <w:rStyle w:val="InternetLink"/>
                  <w:rFonts w:ascii="Times New Roman;serif" w:hAnsi="Times New Roman;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67">
              <w:r>
                <w:rPr>
                  <w:rStyle w:val="InternetLink"/>
                  <w:rFonts w:ascii="Times New Roman;serif" w:hAnsi="Times New Roman;serif"/>
                  <w:b w:val="false"/>
                  <w:color w:val="0000FF"/>
                  <w:sz w:val="20"/>
                  <w:u w:val="single"/>
                </w:rPr>
                <w:t>CAUTIONARY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67">
              <w:r>
                <w:rPr>
                  <w:rStyle w:val="InternetLink"/>
                  <w:rFonts w:ascii="Times New Roman;serif" w:hAnsi="Times New Roman;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0">
              <w:r>
                <w:rPr>
                  <w:rStyle w:val="InternetLink"/>
                  <w:rFonts w:ascii="Times New Roman;serif" w:hAnsi="Times New Roman;serif"/>
                  <w:b w:val="false"/>
                  <w:color w:val="0000FF"/>
                  <w:sz w:val="20"/>
                  <w:u w:val="single"/>
                </w:rPr>
                <w:t>TRADEMARKS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0">
              <w:r>
                <w:rPr>
                  <w:rStyle w:val="InternetLink"/>
                  <w:rFonts w:ascii="Times New Roman;serif" w:hAnsi="Times New Roman;serif"/>
                  <w:b w:val="false"/>
                  <w:color w:val="0000FF"/>
                  <w:sz w:val="20"/>
                  <w:u w:val="single"/>
                </w:rPr>
                <w:t>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3">
              <w:r>
                <w:rPr>
                  <w:rStyle w:val="InternetLink"/>
                  <w:rFonts w:ascii="Times New Roman;serif" w:hAnsi="Times New Roman;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3">
              <w:r>
                <w:rPr>
                  <w:rStyle w:val="InternetLink"/>
                  <w:rFonts w:ascii="Times New Roman;serif" w:hAnsi="Times New Roman;serif"/>
                  <w:b w:val="false"/>
                  <w:color w:val="0000FF"/>
                  <w:sz w:val="20"/>
                  <w:u w:val="singl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6">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6">
              <w:r>
                <w:rPr>
                  <w:rStyle w:val="InternetLink"/>
                  <w:rFonts w:ascii="Times New Roman;serif" w:hAnsi="Times New Roman;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79">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79">
              <w:r>
                <w:rPr>
                  <w:rStyle w:val="InternetLink"/>
                  <w:rFonts w:ascii="Times New Roman;serif" w:hAnsi="Times New Roman;serif"/>
                  <w:b w:val="false"/>
                  <w:color w:val="0000FF"/>
                  <w:sz w:val="20"/>
                  <w:u w:val="singl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82">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82">
              <w:r>
                <w:rPr>
                  <w:rStyle w:val="InternetLink"/>
                  <w:rFonts w:ascii="Times New Roman;serif" w:hAnsi="Times New Roman;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85">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85">
              <w:r>
                <w:rPr>
                  <w:rStyle w:val="InternetLink"/>
                  <w:rFonts w:ascii="Times New Roman;serif" w:hAnsi="Times New Roman;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88">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88">
              <w:r>
                <w:rPr>
                  <w:rStyle w:val="InternetLink"/>
                  <w:rFonts w:ascii="Times New Roman;serif" w:hAnsi="Times New Roman;serif"/>
                  <w:b w:val="false"/>
                  <w:color w:val="0000FF"/>
                  <w:sz w:val="20"/>
                  <w:u w:val="single"/>
                </w:rPr>
                <w:t>14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91">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91">
              <w:r>
                <w:rPr>
                  <w:rStyle w:val="InternetLink"/>
                  <w:rFonts w:ascii="Times New Roman;serif" w:hAnsi="Times New Roman;serif"/>
                  <w:b w:val="false"/>
                  <w:color w:val="0000FF"/>
                  <w:sz w:val="20"/>
                  <w:u w:val="single"/>
                </w:rPr>
                <w:t>22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94">
              <w:r>
                <w:rPr>
                  <w:rStyle w:val="InternetLink"/>
                  <w:rFonts w:ascii="Times New Roman;serif" w:hAnsi="Times New Roman;serif"/>
                  <w:b w:val="false"/>
                  <w:color w:val="0000FF"/>
                  <w:sz w:val="20"/>
                  <w:u w:val="single"/>
                </w:rPr>
                <w:t>DESCRIPTION OF PURCHASE CONTRACTS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94">
              <w:r>
                <w:rPr>
                  <w:rStyle w:val="InternetLink"/>
                  <w:rFonts w:ascii="Times New Roman;serif" w:hAnsi="Times New Roman;serif"/>
                  <w:b w:val="false"/>
                  <w:color w:val="0000FF"/>
                  <w:sz w:val="20"/>
                  <w:u w:val="single"/>
                </w:rPr>
                <w:t>24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97">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97">
              <w:r>
                <w:rPr>
                  <w:rStyle w:val="InternetLink"/>
                  <w:rFonts w:ascii="Times New Roman;serif" w:hAnsi="Times New Roman;serif"/>
                  <w:b w:val="false"/>
                  <w:color w:val="0000FF"/>
                  <w:sz w:val="20"/>
                  <w:u w:val="single"/>
                </w:rPr>
                <w:t>25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0">
              <w:r>
                <w:rPr>
                  <w:rStyle w:val="InternetLink"/>
                  <w:rFonts w:ascii="Times New Roman;serif" w:hAnsi="Times New Roman;serif"/>
                  <w:b w:val="false"/>
                  <w:color w:val="0000FF"/>
                  <w:sz w:val="20"/>
                  <w:u w:val="single"/>
                </w:rPr>
                <w:t>GLOBAL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0">
              <w:r>
                <w:rPr>
                  <w:rStyle w:val="InternetLink"/>
                  <w:rFonts w:ascii="Times New Roman;serif" w:hAnsi="Times New Roman;serif"/>
                  <w:b w:val="false"/>
                  <w:color w:val="0000FF"/>
                  <w:sz w:val="20"/>
                  <w:u w:val="single"/>
                </w:rPr>
                <w:t>26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3">
              <w:r>
                <w:rPr>
                  <w:rStyle w:val="InternetLink"/>
                  <w:rFonts w:ascii="Times New Roman;serif" w:hAnsi="Times New Roman;serif"/>
                  <w:b w:val="false"/>
                  <w:color w:val="0000FF"/>
                  <w:sz w:val="20"/>
                  <w:u w:val="single"/>
                </w:rPr>
                <w:t>SELLING SECURITYHOLDERS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3">
              <w:r>
                <w:rPr>
                  <w:rStyle w:val="InternetLink"/>
                  <w:rFonts w:ascii="Times New Roman;serif" w:hAnsi="Times New Roman;serif"/>
                  <w:b w:val="false"/>
                  <w:color w:val="0000FF"/>
                  <w:sz w:val="20"/>
                  <w:u w:val="single"/>
                </w:rPr>
                <w:t>30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6">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6">
              <w:r>
                <w:rPr>
                  <w:rStyle w:val="InternetLink"/>
                  <w:rFonts w:ascii="Times New Roman;serif" w:hAnsi="Times New Roman;serif"/>
                  <w:b w:val="false"/>
                  <w:color w:val="0000FF"/>
                  <w:sz w:val="20"/>
                  <w:u w:val="single"/>
                </w:rPr>
                <w:t>31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09">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09">
              <w:r>
                <w:rPr>
                  <w:rStyle w:val="InternetLink"/>
                  <w:rFonts w:ascii="Times New Roman;serif" w:hAnsi="Times New Roman;serif"/>
                  <w:b w:val="false"/>
                  <w:color w:val="0000FF"/>
                  <w:sz w:val="20"/>
                  <w:u w:val="single"/>
                </w:rPr>
                <w:t>33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4e438d2324c71b65567b4b1f1708b_112">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4e438d2324c71b65567b4b1f1708b_112">
              <w:r>
                <w:rPr>
                  <w:rStyle w:val="InternetLink"/>
                  <w:rFonts w:ascii="Times New Roman;serif" w:hAnsi="Times New Roman;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filed with the SEC using a “shelf” registration process. By using a shelf registration statement, we may sell securities from time to time and in one or more offerings up to a total dollar amount of $100,000,000 and the selling securityholders may, from time to time, sell up to 10,000,000 shares of Class A common stock, including the possible resale, from time to time, of shares of our Class A common stock issuable upon the exchange of Class B units of our subsidiary, Viant Technology LLC , for an equivalent number of shares of our Class A common stock (and the automatic retirement of such selling securityholder’s shares of our Class B common stock on a one-for-one basis with the number of Class B units so exchanged) in each case, from time to time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we refer to “we,” “us,” “our,” the “Company,” “Viant Technology” in this prospectus, we mean, (1) following the consummation of our initial public offering (“IPO”) which occurred on February 9, 2021, to Viant Technology Inc., and, unless otherwise stated, all of its subsidiaries, including Viant Technology LLC, and (2) prior to the completion of the IPO, to Viant Technology LLC. When we refer to “you,” we mean the potential holders of the applicable series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In some cases, you can identify forward-looking statements by words such as “may,” “should,” “expect,” “might,” “plan,” “anticipate,” “could,” “intend,” “target,” “project,” “contemplate,” “believe,” “estimate,” “predict,” “potential,” “seek,” “would”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prospectus or documents incorporated by reference into this prospectus may include, but are not limited to, statements about: our future financial performance;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our plans regarding our enterprise risk management program and our cybersecurity risk management program; the impact of information and data privacy trends and regulations on our business and competitors; the potential impacts of macroeconomic and geopolitical events on our business and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our environmental and sustainability commitments; and the impact of recent accounting pronouncements on our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prospectus or documents incorporated by reference into this prospectus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of this prospectus and documents incorporated by reference into this prospectus entitled “Risk Factors.”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speaks only as of the date on which we make it. We undertake no obligation to publicly update any forward-looking statement, whether as a result of new information, future developments or otherwise, except as may be required by applicable securities laws. You should read this prospectus, and the documents that we reference in this prospectus and have filed with the SEC, with the understanding that our actual future results,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0" w:after="180"/>
        <w:jc w:val="left"/>
        <w:rPr/>
      </w:pPr>
      <w:r>
        <w:rPr>
          <w:rFonts w:ascii="Times New Roman;serif" w:hAnsi="Times New Roman;serif"/>
          <w:b w:val="false"/>
          <w:color w:val="000000"/>
          <w:sz w:val="20"/>
        </w:rPr>
        <w:t xml:space="preserve">This prospectus includes, or incorporates by reference, our trademarks and trade names which are protected under applicable intellectual property laws and are our property. This prospectus also contains, or incorporates by reference, trademarks, trade names and service marks of other companies, which are the property of their respective owners. Solely for convenience, trademarks, trade names and service marks referred to, or incorporated by reference, in this prospectus may appear without the ®, ™ or </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 INCORPORATION BY REFERENCE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web site address is www.viantinc.com. The information on our web site, however, is not, and should not be deemed to be, a part of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access a copy of the registration statement through the SEC’s website as provided above.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w:t>
      </w:r>
      <w:hyperlink r:id="rId12">
        <w:r>
          <w:rPr>
            <w:rStyle w:val="InternetLink"/>
            <w:rFonts w:ascii="Times New Roman;serif" w:hAnsi="Times New Roman;serif"/>
            <w:b w:val="false"/>
            <w:color w:val="0000FF"/>
            <w:sz w:val="20"/>
            <w:u w:val="single"/>
          </w:rPr>
          <w:t>10-K</w:t>
        </w:r>
      </w:hyperlink>
      <w:r>
        <w:rPr>
          <w:color w:val="000000"/>
        </w:rPr>
        <w:t xml:space="preserve"> </w:t>
      </w:r>
      <w:r>
        <w:rPr>
          <w:rFonts w:ascii="Times New Roman;serif" w:hAnsi="Times New Roman;serif"/>
          <w:b w:val="false"/>
          <w:color w:val="000000"/>
          <w:sz w:val="20"/>
        </w:rPr>
        <w:t>for the year ended December 31, 2023, filed with the SEC on March 4,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specifically incorporated by reference into our Annual Report on Form 10-K for the year ended December 31, 2023 from our Definitive Proxy Statement on </w:t>
      </w:r>
      <w:hyperlink r:id="rId13">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March 18,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Class A common stock incorporated by reference in our registration statement on </w:t>
      </w:r>
      <w:hyperlink r:id="rId14">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(File No. 001-40015), dated February 5, 2021, filed with the SEC on February 5, 2021, and any amendment or report filed with the SEC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 13(a), 13(c), 14 or 15(d) of the Exchange Act on or after the date of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free copy of any of the documents incorporated by reference in this prospectus by writing or telephoning us at the following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Viant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2722 Michelson Drive, Suite 100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Irvine, CA 92612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(949) 861-8888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Exhibits to the filings will not be sent, however, unless those exhibits have specifically been incorporated by reference in this prospectus or any accompanying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DSP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("ROAS") across channels, a feature we believe helps us grow our customer base as more customers recognize its benefits.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generate revenue by charging platform fees and service fees pursuant to agreements that enable a wide variety of marketers and their agencies to select the mix of pricing and service options that suits their unique business and advertising budget.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Viant Technology Inc. was incorporated in Delaware on October 9, 2020. In connection with the consummation of our initial public offering (the “IPO”) in February 2021, we became the sole managing member of Viant Technology LLC. Our principal executive offices are located at 2722 Michelson Drive, Suite 100, Irvine, CA 92612, and our telephone number is (949) 861-8888.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 included in our most recent Annual Report on Form 10-K and any subsequent Quarterly Reports on Form 10-Q or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the securities as set forth in the applicable prospectus supplement. We will not receive any of the proceeds from the sale of Class A common stock being offered by any of the selling securityholders.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is a brief description of the material provisions of our capital stock. The following description of our capital stock does not purport to be complete and is subject to and qualified in its entirety by our amended and restated certificate of incorporation, our amended and restated bylaws and the applicable provisions of the Delaware General Corporation Law (the “DGCL”). We encourage you to read our amended and restated certificate of incorporation, our amended and restated bylaws and the applicable provisions of the DGCL for more information. See “Where You Can Find More Information; Incorporation by Reference.”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450,000,000 shares of Class A common stock, 150,000,000 shares of Class B common stock, and 10,000,000 shares of “blank check” preferred stock, $0.001 par value per share.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two classes of common stock: Class A and Class B, each of which has one vote per share. Holders of our Class A common stock and Class B common stock vote together as a single class on all matters presented to our stockholders for their vote or approval, except as provided in our amended and restated certificate of incorporation or as otherwise required by applicable law. Pursuant to our amended and restated certificate of incorporation, we may not amend, alter, repeal or waive the provisions of our amended and restated certificate of incorporation that relate to the terms of our capital stock without the approval of the holders of a majority of the then outstanding shares of our Class B common stock, voting as a separate class. Holders of the Class A common stock and Class B common stock, as the case may be, would also have a separate class vote if we subdivide, combine or reclassify shares of the other class without concurrently subdividing, combining or reclassifying shares of such class in a proportional manner. Pursuant to the DGCL, the holders of the outstanding shares of a class shall be entitled to vote as a class upon a proposed amendment, whether or not entitled to vote thereon by the certificate of incorporation, if the amendment would increase or decrease the par value of the shares of such class or alter or change the powers, preferences, or special rights of the shares of such class so as to affect them adversely.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Class A common stock </w:t>
      </w:r>
    </w:p>
    <w:p>
      <w:pPr>
        <w:pStyle w:val="TextBody"/>
        <w:bidi w:val="0"/>
        <w:spacing w:lineRule="auto" w:line="288" w:before="0" w:after="180"/>
        <w:jc w:val="left"/>
        <w:rPr/>
      </w:pPr>
      <w:r>
        <w:rPr>
          <w:rFonts w:ascii="Times New Roman;serif" w:hAnsi="Times New Roman;serif"/>
          <w:b w:val="false"/>
          <w:i/>
          <w:color w:val="000000"/>
          <w:sz w:val="20"/>
        </w:rPr>
        <w:t>Voting</w:t>
      </w:r>
      <w:r>
        <w:rPr>
          <w:rFonts w:ascii="Times New Roman;serif" w:hAnsi="Times New Roman;serif"/>
          <w:b w:val="false"/>
          <w:color w:val="000000"/>
          <w:sz w:val="20"/>
        </w:rPr>
        <w:t xml:space="preserve">. Holders of our Class A common stock are entitled to one vote for each share held of record on all matters submitted to a vote of stockholders. Stockholders do not have the ability to cumulate votes for the election of directors. </w:t>
      </w:r>
    </w:p>
    <w:p>
      <w:pPr>
        <w:pStyle w:val="TextBody"/>
        <w:bidi w:val="0"/>
        <w:spacing w:lineRule="auto" w:line="288" w:before="0" w:after="180"/>
        <w:jc w:val="left"/>
        <w:rPr/>
      </w:pPr>
      <w:r>
        <w:rPr>
          <w:rFonts w:ascii="Times New Roman;serif" w:hAnsi="Times New Roman;serif"/>
          <w:b w:val="false"/>
          <w:i/>
          <w:color w:val="000000"/>
          <w:sz w:val="20"/>
        </w:rPr>
        <w:t>Dividends</w:t>
      </w:r>
      <w:r>
        <w:rPr>
          <w:rFonts w:ascii="Times New Roman;serif" w:hAnsi="Times New Roman;serif"/>
          <w:b w:val="false"/>
          <w:color w:val="000000"/>
          <w:sz w:val="20"/>
        </w:rPr>
        <w:t xml:space="preserve">. 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lineRule="auto" w:line="288" w:before="0" w:after="180"/>
        <w:jc w:val="left"/>
        <w:rPr/>
      </w:pPr>
      <w:r>
        <w:rPr>
          <w:rFonts w:ascii="Times New Roman;serif" w:hAnsi="Times New Roman;serif"/>
          <w:b w:val="false"/>
          <w:i/>
          <w:color w:val="000000"/>
          <w:sz w:val="20"/>
        </w:rPr>
        <w:t>Dissolution and Liquidation</w:t>
      </w:r>
      <w:r>
        <w:rPr>
          <w:rFonts w:ascii="Times New Roman;serif" w:hAnsi="Times New Roman;serif"/>
          <w:b w:val="false"/>
          <w:color w:val="000000"/>
          <w:sz w:val="20"/>
        </w:rPr>
        <w:t xml:space="preserve">. 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 </w:t>
      </w:r>
    </w:p>
    <w:p>
      <w:pPr>
        <w:pStyle w:val="TextBody"/>
        <w:bidi w:val="0"/>
        <w:spacing w:lineRule="auto" w:line="288" w:before="0" w:after="180"/>
        <w:jc w:val="left"/>
        <w:rPr/>
      </w:pPr>
      <w:r>
        <w:rPr>
          <w:rFonts w:ascii="Times New Roman;serif" w:hAnsi="Times New Roman;serif"/>
          <w:b w:val="false"/>
          <w:i/>
          <w:color w:val="000000"/>
          <w:sz w:val="20"/>
        </w:rPr>
        <w:t>No Preemptive Rights</w:t>
      </w:r>
      <w:r>
        <w:rPr>
          <w:rFonts w:ascii="Times New Roman;serif" w:hAnsi="Times New Roman;serif"/>
          <w:b w:val="false"/>
          <w:color w:val="000000"/>
          <w:sz w:val="20"/>
        </w:rPr>
        <w:t xml:space="preserve">. Holders of our Class A common stock do not have preemptive, subscription, redemption or conversion rights. </w:t>
      </w:r>
    </w:p>
    <w:p>
      <w:pPr>
        <w:pStyle w:val="TextBody"/>
        <w:bidi w:val="0"/>
        <w:spacing w:lineRule="auto" w:line="288" w:before="0" w:after="180"/>
        <w:jc w:val="left"/>
        <w:rPr/>
      </w:pPr>
      <w:r>
        <w:rPr>
          <w:rFonts w:ascii="Times New Roman;serif" w:hAnsi="Times New Roman;serif"/>
          <w:b w:val="false"/>
          <w:i/>
          <w:color w:val="000000"/>
          <w:sz w:val="20"/>
        </w:rPr>
        <w:t>Issuance of Additional Class A Common Stock</w:t>
      </w:r>
      <w:r>
        <w:rPr>
          <w:rFonts w:ascii="Times New Roman;serif" w:hAnsi="Times New Roman;serif"/>
          <w:b w:val="false"/>
          <w:color w:val="000000"/>
          <w:sz w:val="20"/>
        </w:rPr>
        <w:t xml:space="preserve">. We may issue additional shares of Class A common stock from time to time, subject to applicable provisions of our amended and restated certificate of incorporation, amended and restated bylaws and Delaware law. We are obligated to issue Class A common stock (subject to the transfer and exchange restrictions set forth in Viant Technology LLC’s amended and restated limited liability company agreement) to Class B unitholders who exchange their Class B units of Viant Technology LLC for shares of our Class A common stock on a one-for-one basis (unless we elect to satisfy such exchange for cash). When a Class B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unit is exchanged for a share of our Class A common stock, the corresponding share of our Class B common stock will automatically be retired.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Class B common stock </w:t>
      </w:r>
    </w:p>
    <w:p>
      <w:pPr>
        <w:pStyle w:val="TextBody"/>
        <w:bidi w:val="0"/>
        <w:spacing w:lineRule="auto" w:line="288" w:before="0" w:after="180"/>
        <w:jc w:val="left"/>
        <w:rPr/>
      </w:pPr>
      <w:r>
        <w:rPr>
          <w:rFonts w:ascii="Times New Roman;serif" w:hAnsi="Times New Roman;serif"/>
          <w:b w:val="false"/>
          <w:i/>
          <w:color w:val="000000"/>
          <w:sz w:val="20"/>
        </w:rPr>
        <w:t>Voting</w:t>
      </w:r>
      <w:r>
        <w:rPr>
          <w:rFonts w:ascii="Times New Roman;serif" w:hAnsi="Times New Roman;serif"/>
          <w:b w:val="false"/>
          <w:color w:val="000000"/>
          <w:sz w:val="20"/>
        </w:rPr>
        <w:t xml:space="preserve">. Holders of our Class B common stock are entitled to one vote for each share held of record on all matters submitted to a vote of stockholders. Stockholders do not have the ability to cumulate votes for the election of directors. </w:t>
      </w:r>
    </w:p>
    <w:p>
      <w:pPr>
        <w:pStyle w:val="TextBody"/>
        <w:bidi w:val="0"/>
        <w:spacing w:lineRule="auto" w:line="288" w:before="0" w:after="180"/>
        <w:jc w:val="left"/>
        <w:rPr/>
      </w:pPr>
      <w:r>
        <w:rPr>
          <w:rFonts w:ascii="Times New Roman;serif" w:hAnsi="Times New Roman;serif"/>
          <w:b w:val="false"/>
          <w:i/>
          <w:color w:val="000000"/>
          <w:sz w:val="20"/>
        </w:rPr>
        <w:t>Dividends</w:t>
      </w:r>
      <w:r>
        <w:rPr>
          <w:rFonts w:ascii="Times New Roman;serif" w:hAnsi="Times New Roman;serif"/>
          <w:b w:val="false"/>
          <w:color w:val="000000"/>
          <w:sz w:val="20"/>
        </w:rPr>
        <w:t xml:space="preserve">. Holders of our Class B common stock are not entitled to dividends in respect of their shares of Class B common stock. </w:t>
      </w:r>
    </w:p>
    <w:p>
      <w:pPr>
        <w:pStyle w:val="TextBody"/>
        <w:bidi w:val="0"/>
        <w:spacing w:lineRule="auto" w:line="288" w:before="0" w:after="180"/>
        <w:jc w:val="left"/>
        <w:rPr/>
      </w:pPr>
      <w:r>
        <w:rPr>
          <w:rFonts w:ascii="Times New Roman;serif" w:hAnsi="Times New Roman;serif"/>
          <w:b w:val="false"/>
          <w:i/>
          <w:color w:val="000000"/>
          <w:sz w:val="20"/>
        </w:rPr>
        <w:t>Dissolution and Liquidation</w:t>
      </w:r>
      <w:r>
        <w:rPr>
          <w:rFonts w:ascii="Times New Roman;serif" w:hAnsi="Times New Roman;serif"/>
          <w:b w:val="false"/>
          <w:color w:val="000000"/>
          <w:sz w:val="20"/>
        </w:rPr>
        <w:t xml:space="preserve">. Upon our dissolution or liquidation or the sale of all or substantially all of our assets, the holders of our Class B common stock will not be entitled to receive any distributions. </w:t>
      </w:r>
    </w:p>
    <w:p>
      <w:pPr>
        <w:pStyle w:val="TextBody"/>
        <w:bidi w:val="0"/>
        <w:spacing w:lineRule="auto" w:line="288" w:before="0" w:after="180"/>
        <w:jc w:val="left"/>
        <w:rPr/>
      </w:pPr>
      <w:r>
        <w:rPr>
          <w:rFonts w:ascii="Times New Roman;serif" w:hAnsi="Times New Roman;serif"/>
          <w:b w:val="false"/>
          <w:i/>
          <w:color w:val="000000"/>
          <w:sz w:val="20"/>
        </w:rPr>
        <w:t>No Preemptive Rights</w:t>
      </w:r>
      <w:r>
        <w:rPr>
          <w:rFonts w:ascii="Times New Roman;serif" w:hAnsi="Times New Roman;serif"/>
          <w:b w:val="false"/>
          <w:color w:val="000000"/>
          <w:sz w:val="20"/>
        </w:rPr>
        <w:t xml:space="preserve">. Holders of our Class B common stock do not have preemptive, subscription, redemption or conversion rights. The Class B common stock is subject to automatic retirement upon an exchange of a Class B unit of Viant Technology LLC for a share of Class A common stock. </w:t>
      </w:r>
    </w:p>
    <w:p>
      <w:pPr>
        <w:pStyle w:val="TextBody"/>
        <w:bidi w:val="0"/>
        <w:spacing w:lineRule="auto" w:line="288" w:before="0" w:after="180"/>
        <w:jc w:val="left"/>
        <w:rPr/>
      </w:pPr>
      <w:r>
        <w:rPr>
          <w:rFonts w:ascii="Times New Roman;serif" w:hAnsi="Times New Roman;serif"/>
          <w:b w:val="false"/>
          <w:i/>
          <w:color w:val="000000"/>
          <w:sz w:val="20"/>
        </w:rPr>
        <w:t>Issuance of Additional Class B Common Stock</w:t>
      </w:r>
      <w:r>
        <w:rPr>
          <w:rFonts w:ascii="Times New Roman;serif" w:hAnsi="Times New Roman;serif"/>
          <w:b w:val="false"/>
          <w:color w:val="000000"/>
          <w:sz w:val="20"/>
        </w:rPr>
        <w:t xml:space="preserve">. No additional issuance of shares of Class B common stock will occur, except to holders of Class B units as necessary to maintain a one-to-one ratio between the number of Class B units and the number of shares of Class B common stock outstanding, including in connection with a stock split, stock dividend, reclassification or similar transaction. In connection with an exchange of a Class B unit for Class A common stock, the corresponding share of Class B common stock will automatically be retired.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0" w:after="180"/>
        <w:jc w:val="left"/>
        <w:rPr/>
      </w:pPr>
      <w:r>
        <w:rPr>
          <w:rFonts w:ascii="Times New Roman;serif" w:hAnsi="Times New Roman;serif"/>
          <w:b w:val="false"/>
          <w:color w:val="000000"/>
          <w:sz w:val="20"/>
        </w:rPr>
        <w:t>Our amended and restated certificate of incorporation provides that our board of directors has the authority, without further action by the stockholders, to issue up to 10,000,000 shares of preferred stock. Our board of directors is able to issue preferred stock in one or more series and determine the rights, preferences, privileges, qualifications and restrictions granted to or imposed upon our preferred stock, including dividend rights, conversion rights, voting rights, rights and terms of redemption, liquidation preferences and sinking fund terms, any or all of which may be greater than the rights of our common stock. Issuances of preferred stock could adversely affect the voting power of holders of our common stock and reduce the likelihood that holders of our common stock will receive dividend payments and payments upon liquidation. Any issuance of preferred stock could also have the effect of decreasing the market price of our common stock and could delay, deter or prevent a change in control of our company. Our board of directors does not presently have any plans to issue shares of preferred stock.</w:t>
      </w:r>
      <w:r>
        <w:rPr>
          <w:color w:val="000000"/>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Limitations on Directors’ Liability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governing documents limit the liability of, and require us to indemnify, our directors to the fullest extent permitted by the DGCL. The DGCL permits a corporation to limit or eliminate a director’s personal liability to the corporation or the holders of its capital stock for breaches of directors’ fiduciary duties as directors. This limitation is generally unavailable for acts or omissions by a director which (i) were not in good faith, (ii) were the result of intentional misconduct or a knowing violation of law, (iii) the director derived an improper personal benefit from (such as a financial profit or other advantage to which the director was not legally entitled) or (iv) breached the director’s duty of loyalty. The DGCL also prohibits limitations on director liability under Section 174 of the DGCL, which relates to certain unlawful dividend declarations and stock repurchases. Our amended and restated certificate of incorporation and amended and restated bylaws include provisions that eliminate, to the extent allowable under the DGCL, the personal liability of directors or officers for monetary damages for actions taken as a director or officer, as the case may be. Our amended and restated certificate of incorporation and amended and restated bylaws also provide that we must indemnify and advance reasonable expenses to our directors and officers to the fullest extent authorized by the DGCL. We are also expressly authorized to carry directors’ and officers’ insurance for our directors, officers and certain employees for certain liabilities. We maintain insurance that insures our directors and officers against certain losses and which insures us against our obligations to indemnify the directors and officers.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Exclusive Forum Clause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unless we select or consent in writing to the selection of another forum, the Court of Chancery of the State of Delaware (or, if the Court of Chancery does not have jurisdiction, another state court or a federal court located within the State of Delaware) shall be the exclusive forum for any “internal corporate claims,” as defined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does not apply to claims brought to enforce a duty or liability created by the Exchange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any interest in shares of our capital stock is deemed to have notice of and consented to the foregoing provisions.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Delaware Takeover Statute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Section 203 of the DGCL, an anti-takeover statute. In general, Section 203 prohibits a publicly 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the board of directors, including discouraging attempts that might result in a premium over the market price for the shares of common stock held by stockholders.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Provisions of Our Certificate of Incorporation and Bylaws and Delaware Law That May Have an Anti-Takeover Effect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the DGCL and our amended and restated certificate of incorporation and amended and restated bylaws could make it more difficult to acquire our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our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of directors to maximize stockholder value. However, these provisions may delay, deter or prevent a merger or acquisition of us that a stockholder might consider is in its best interest, including those attempts that might result in a premium over the prevailing market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Classified Board of Directors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our board of directors is divided into three classes of directors, with the classes as nearly equal in number as possible, designated Class I, Class II and Class III. Directors of each class the term of which shall then expire are elected to hold office for a three-year term. The classification of directors has the effect of making it more difficult for stockholders to change the composition of our board of directors. Our amended and restated certificate of incorporation provides that the number of directors will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 fixed from time to time exclusively pursuant to a resolution adopted by the board of directors, but must consist of not less than three nor more than eleven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Removal of Directors; Vacancies </w:t>
      </w:r>
    </w:p>
    <w:p>
      <w:pPr>
        <w:pStyle w:val="TextBody"/>
        <w:bidi w:val="0"/>
        <w:spacing w:lineRule="auto" w:line="288" w:before="0" w:after="180"/>
        <w:jc w:val="left"/>
        <w:rPr/>
      </w:pPr>
      <w:r>
        <w:rPr>
          <w:rFonts w:ascii="Times New Roman;serif" w:hAnsi="Times New Roman;serif"/>
          <w:b w:val="false"/>
          <w:color w:val="000000"/>
          <w:sz w:val="20"/>
        </w:rPr>
        <w:t>Our amended and restated certificate of incorporation and amended and restated bylaws provides that until Tim Vanderhook, Chris Vanderhook and Capital V LLC (f/k/a Four Brothers 2 LLC)</w:t>
      </w:r>
      <w:r>
        <w:rPr>
          <w:color w:val="000000"/>
        </w:rPr>
        <w:t xml:space="preserve"> </w:t>
      </w:r>
      <w:r>
        <w:rPr>
          <w:rFonts w:ascii="Times New Roman;serif" w:hAnsi="Times New Roman;serif"/>
          <w:b w:val="false"/>
          <w:color w:val="000000"/>
          <w:sz w:val="20"/>
        </w:rPr>
        <w:t>cease to beneficially own a majority of the combined voting power of our common stock (the “Triggering Event”), any director may be removed with or without cause by the affirmative vote of a majority of our outstanding shares of common stock. Our amended and restated certificate of incorporation and amended and restated bylaws also provide that after a Triggering Event, any director may only be removed for cause by the affirmative vote of at least 66 2/3% of the voting power of our outstanding shares of common stock. 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of directors may be filled at any time by the remaining directors or our stockholders, provided that, after a Triggering Event, vacancies on our board of directors, whether resulting from an increase in the number of directors or the death, removal or resignation of a director, will be filled only by our board of directors and not by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No Cumulative Voting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DGCL provides that a stockholder’s right to vote cumulatively in the election of directors does not exist unless the certificate of incorporation specifically provides otherwise. Our amended and restated certificate of incorporation does not provide for cumulative voting.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Requirements for Advance Notification of Stockholder Meetings, Nominations and Proposals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provides that special meetings of the stockholders may be called only by or at the direction of the board of directors, the chairperson of our board or the chief executive officer with the concurrence of a majority of the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establish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Our amended and restated bylaws allow the chairman of the meeting of stockholders to adopt rules and regulations for the conduct of meetings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our company.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Supermajority Voting for Amendments to Our Governing Documents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amendment to our amended and restated certificate of incorporation will require the affirmative vote of at least 66 2/3% of the voting power of all shares of our common stock then outstanding. Our amended and restated certificate of incorporation and amended and restated bylaws provide that the board of directors is expressly authorized to adopt, amend or repeal our bylaws and that our stockholders may amend our bylaws only with the approval of at least 66 2/3% of the voting power of all shares of our common stock then outstanding.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Stockholder Action by Written Consent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DGCL permits any action required to be taken at any annual or special meeting of the stockholders to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were present and voted, unless the certificate of incorporation provides otherwise. Our amended and restated certificate of incorporation and amended and restated bylaws precludes stockholder action by written consent after the date of the Triggering Event.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Authorized but Unissued Shares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but unissued shares of common stock and preferred stock are available for future issuance without stockholder approval. The DGCL does not require stockholder approval for any issuance of authorized shares. However, applicable stock exchange listing requirements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our company by means of a proxy contest, tender offer, merger or otherwise.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Limitations on Liability and Indemnification of Officers and Directors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stockholder investment may be adversely affected to the extent we pay the settlement costs and damage awards against directors and officers pursuant to these indemnification provisions.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Class A common stock is American Stock Transfer &amp; Trust Company, LLC.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Select Market under the symbol “DSP.”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section only, “Viant Technology,” “we,” “our” or “us” refer to Viant Technology Inc. excluding our subsidiaries, unless expressly stated or the context otherwise requires.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and ranking of the debt securities (including the terms of any subordination provisions);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price or prices (expressed as a percentage of the principal amount) at which we will sell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limit on the aggregate principal amount of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 or dates on which the principal of the securities of the series is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period or periods within which, the price or prices at which and the terms and conditions upon which we may redeem the debt securities;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dates on which and the price or prices at which we will repurchase debt securities at the option of the holders of debt securities and other detailed terms and provisions of these repurchase obligations;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denominations in which the debt securities will be issued, if other than denominations of $1,000 and any integral multiple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debt securities will be issued in the form of certificated debt securities or global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 of principal amount of the debt securities payable upon declaration of acceleration of the maturity date, if other than the principal amount;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currency of denomination of the debt securities, which may be U.S. Dollars or any foreign currency, and if such currency of denomination is a composite currency, the agency or organization, if any, responsible for overseeing such composite currency;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designation of the currency, currencies or currency units in which payment of principal of, premium and interest on the debt securities will be made;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provisions relating to any security provided for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addition to, deletion of or change in the covenants described in this prospectus or in the indenture with respect to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depositaries, interest rate calculation agents, exchange rate calculation agents or other agents with respect to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any of our direct or indirect subsidiaries will guarantee the debt securities of that series, including the terms of subordination, if any, of such guarantees. (Section 2.2)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with information on the federal income tax considerations and other special considerations applicable to any of these debt securities in the applicable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Transfer and Exchange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Covenants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set forth in the applicable prospectus supplement any restrictive covenants applicable to any issue of debt securities. (Article IV)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 Protection in the Event of a Change of Control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Consolidation, Merger and Sale of Assets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consolidate with or merge with or into, or convey, transfer or lease all or substantially all of our properties and assets to any person (a “successor person”)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are the surviving entity or the successor person (if other than Viant Technology) is a corporation, partnership, trust or other entity organized and validly existing under the laws of any U.S. domestic jurisdiction and expressly assumes our obligations on the debt securities and under the indenture;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immediately after giving effect to the transaction, no Default or Event of Default shall have occurred and be continuing.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above, any of our subsidiaries may consolidate with, merge into or transfer all or part of its properties to us. (Section 5.1)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 xml:space="preserve">Event of Default” means with respect to any series of debt securities, any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principal of any security of that series at its maturity;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Viant Technology and the trustee receive written notice from the holders of not less than 25% in principal amount of the outstanding debt securities of that series as provided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certain voluntary or involuntary events of bankruptcy, insolvency or reorganization of Viant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Event of Default provided with respect to debt securities of that series that is described in the applicable prospectus supplement. (Section 6.1)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Modification and Waiver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trustee may modify, amend or supplement the indenture or the debt securities of any series without the consent of any holder of any debt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cure any ambiguity, defect or inconsistency;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comply with covenants in the indenture described above under the heading “Consolidation, Merger and Sale of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provide for uncertificated securities in addition to or in place of certificated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make any change that does not adversely affect the rights of any holder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provide for the issuance of and establish the form and terms and conditions of debt securities of any series as permitted by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comply with requirements of the SEC in order to effect or maintain the qualification of the indenture under the Trust Indenture Act of 1939, as amended. (Section 9.1)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 the amount of debt securities whose holders must consent to an amendment, supplement or waiver;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 the rate of or extend the time for payment of interest (including default interest) on any debt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 the principal amount of discount securities payable upon acceleration of maturity;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 the principal of or premium or interest on any debt security payable in currency other than that stated in the debt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waive a redemption payment with respect to any debt security. (Section 9.3)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Defeasance of Debt Securities and Certain Covenants in Certain Circumstances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Legal Defeasance.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discharge may occur only if, among other things, we have delivered to the trustee an opinion of counsel stating that we have received from, or there has been published by, the United States Internal Revenue Service a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lineRule="auto" w:line="288" w:before="0" w:after="180"/>
        <w:jc w:val="left"/>
        <w:rPr/>
      </w:pPr>
      <w:r>
        <w:rPr>
          <w:rFonts w:ascii="Times New Roman;serif" w:hAnsi="Times New Roman;serif"/>
          <w:b w:val="false"/>
          <w:i/>
          <w:color w:val="000000"/>
          <w:sz w:val="20"/>
        </w:rPr>
        <w:t>Defeasance of Certain Covenants</w:t>
      </w:r>
      <w:r>
        <w:rPr>
          <w:rFonts w:ascii="Times New Roman;serif" w:hAnsi="Times New Roman;serif"/>
          <w:b w:val="false"/>
          <w:color w:val="000000"/>
          <w:sz w:val="20"/>
        </w:rPr>
        <w:t xml:space="preserve">. The indenture provides that, unless otherwise provided by the terms of the applicable series of debt securities, upon compliance with certain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omission to comply with those covenants will not constitute a Default or an Event of Default with respect to the debt securities of that series (“covenant defeasance”).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Personal Liability of Directors, Officers, Employees or Securityholders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Class A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particular terms of any issue of warrants will be described in the prospectus supplement relating to the issue. Those terms may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of Class A common stock or preferred stock purchasable upon the exercise of warrants to purchase such shares and the price at which such number of shares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stated value and terms (including, without limitation, liquidation, dividend, conversion and voting rights) of the series of preferred stock purchasable upon exercise of warrants to purchase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warrants and the related debt securities, preferred stock or Class A common stock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will commence and the date on which the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United States federal income tax consequences applicable to the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additional terms of the warrants, including terms, procedures, and limitations relating to the exchange, exercise and settlement of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equity warrants will not be entitled: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vote, consent or receive dividends;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receive notice as stockholders with respect to any meeting of stockholders for the election of our directors or any other matter;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exercise any rights as stockholders of Viant Technology.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its holder to purchase the principal amount of debt securities or the number of shares of preferred stock or Class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Class A common stock or preferred stock are exercised, the holders of the warrants will not have any rights of holders of the underlying Class A common stock or preferred stock, including any rights to receive dividends or payments upon any liquidation, dissolution or winding up on the Class A common stock or preferred stock,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PURCHASE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purchase contracts for the purchase or sale of debt or equity securities issued by us. Each purchase contract will entitle the holder thereof to purchase or sell, and obligate us to sell or purchase, on specified dates, such securities at a specified purchase price, which may be based on a formula, all as set forth in the applicable prospectus supplement. Any purchase contracts we issue will be physically settled by delivery of such securities. The applicable prospectus supplement will also specify the methods by which the holders may purchase or sell such securities and any acceleration, cancellation or termination provisions or other provisions relating to the settlement of a purchase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offer any units, certain terms of that series of units will be described in the applicable prospectus supplement, including, without limitation, the following, as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of the series of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identification and description of the separate constituent securities comprising the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price or prices at which the units will be issued;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 if any, on and after which the constituent securities comprising the units will be separately transferable;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discussion of certain United States federal income tax considerations applicable to the units;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Book-Entry, Delivery and Form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DTC has advised us that it 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limited-purpose trust company organized under the New York Banking Law;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“banking organization” within the meaning of the New York Banking Law;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member of the Federal Reserve System;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“clearing corporation” within the meaning of the New York Uniform Commercial Code;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“clearing agency” registered pursuant to the provisions of Section 17A of the Exchange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respect of the securities and the indenture may be delivered to us and where certificated securities may be surrendered for payment, registration of transfer or exchange.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within 90 days of the notification to us or of our becoming aware of DTC’s ceasing to be so registered, as the case may be;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determine, in our sole discretion, not to have such securities represented by one or more global securities;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Event of Default has occurred and is continuing with respect to such series of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Euroclear and Clearstream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available in the relevant Euroclear or Clearstream cash account only as of the business day for Euroclear or Clearstream following DTC’s settlement date.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also relates to the possible resale by certain of our securityholders, who we refer to in this prospectus as the “selling securityholders,” of up to 10,000,000 shares in the aggregate of Class A common stock, which shares either (i) were issued and outstanding prior to the original date of filing of the registration statement of which this prospectus forms a part, following the exercise or settlement of equity awards granted pursuant to our 2021 Long Term Incentive Plan, (ii) are issuable upon exercise or settlement of equity awards granted pursuant to our 2021 Long Term Incentive Plan prior to the original date of filing of the registration statement of which this prospectus forms a part, or (iii) are issuable upon the exchange of Class B units of Viant Technology LLC that were issued and outstanding prior to the original date of filing of the registration statement of which this prospectus forms a part, and which may be exchanged for an equivalent number of shares of our Class A common stock as described below. In connection with our IPO and related reorganization transactions, we issued to the Continuing LLC Owners (defined below) one share of our Class B common stock for each Class B unit of Viant Technology LLC that they held. Each holder of Class B units has the right to exchange their Class B units for an equivalent number of shares of our Class A common stock (together with the retirement of such shares of our Class B common stock on a one-for-one basis with the number of Class B units so exchanged).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our IPO, Viant Technology LLC was owned by Tim Vanderhook, Chris Vanderhook, Capital V LLC (f/k/a Four Brothers 2 LLC) and Viant Technology Equity Plan LLC (collectively, the “Continuing LLC Owners”). As part of the reorganization transactions consummated in connection with the IPO: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limited liability company agreement of Viant Technology LLC was amended and restated to, among other things, provide for Class A units and Class B units and appoint Viant Technology Inc. as the sole managing member of Viant Technology LLC;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Viant Technology Inc. used the net proceeds of the IPO to acquire newly issued Class A units of Viant Technology LLC;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amended and restated limited liability company agreement of Viant Technology LLC reclassified the interests of Viant Technology LLC held by the Continuing LLC Owners as Class B units, and the Continuing LLC Owners received a corresponding number of shares of Class B common stock of Viant Technology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about the selling securityholders, where applicable, including their identities, the amount of shares of Class A common stock owned by each selling securityholder prior to the offering, the number of shares of our Class A common stock to be offered by each selling securityholder and the amount of Class A common stock and, if applicable, Class B common stock to be owned by each selling securityholder after completion of the offering, will be set forth in an applicable prospectus supplement, documents incorporated by reference or in a free writing prospectus we file with the SEC. The applicable prospectus supplement will also disclose whether any of the selling securityholders have held any position or office with, has been employed by or otherwise has had a material relationship with us during the three years prior to the date of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may not sell any shares of our Class A common stock pursuant to this prospectus until we have identified such selling securityholders and the shares being offered for resale by such selling securityholders in a subsequent prospectus supplement. However, the selling securityholders may sell or transfer all or a portion of their shares of our Class A common stock pursuant to any available exemption from the registration requirements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or any of the selling securityholders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 a fixed price or prices, which may be changed;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that we or any of the selling securityholders sell securities covered by this prospectus, we or the selling securityholders will provide a prospectus supplement or supplements that will describe the method of distribution and set forth the terms and conditions of the offering of such securities, including the offering price of the securities and the proceeds to us or the selling securityholders, if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securityholders,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Class A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w:t>
      </w: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specific terms of any lock-up provisions in respect of any given offering will be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Latham &amp; Watkins LLP will pass upon certain legal matters relating to the issuance and sale of the securities offered hereby on behalf of Viant Technology Inc. Additional legal matters may be passed upon for us, the selling securityholders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Viant Technology Inc. as of December 31, 2023 and 2022, and for each of the three years in the period ended December 31, 2023, incorporated by reference in this prospectus by reference to Viant Technology Inc.’s Annual Report on Form 10-K for the year ended December 31, 2023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7234e438d2324c71b65567b4b1f1708b_61">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 xml:space="preserve">8,500,000 Shares </w:t>
      </w:r>
    </w:p>
    <w:p>
      <w:pPr>
        <w:pStyle w:val="TextBody"/>
        <w:bidi w:val="0"/>
        <w:spacing w:before="0" w:after="480"/>
        <w:jc w:val="center"/>
        <w:rPr/>
      </w:pPr>
      <w:r>
        <w:rPr/>
        <w:drawing>
          <wp:inline distT="0" distB="0" distL="0" distR="0">
            <wp:extent cx="2924175" cy="561975"/>
            <wp:effectExtent l="0" t="0" r="0" b="0"/>
            <wp:docPr id="6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 descr=""/>
                    <pic:cNvPicPr>
                      <a:picLocks noChangeAspect="1" noChangeArrowheads="1"/>
                    </pic:cNvPicPr>
                  </pic:nvPicPr>
                  <pic:blipFill>
                    <a:blip r:embed="rId15"/>
                    <a:stretch>
                      <a:fillRect/>
                    </a:stretch>
                  </pic:blipFill>
                  <pic:spPr bwMode="auto">
                    <a:xfrm>
                      <a:off x="0" y="0"/>
                      <a:ext cx="2924175" cy="561975"/>
                    </a:xfrm>
                    <a:prstGeom prst="rect">
                      <a:avLst/>
                    </a:prstGeom>
                  </pic:spPr>
                </pic:pic>
              </a:graphicData>
            </a:graphic>
          </wp:inline>
        </w:drawing>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Viant Technology Inc.</w:t>
      </w:r>
    </w:p>
    <w:p>
      <w:pPr>
        <w:pStyle w:val="TextBody"/>
        <w:bidi w:val="0"/>
        <w:spacing w:lineRule="auto" w:line="288" w:before="0" w:after="2000"/>
        <w:jc w:val="center"/>
        <w:rPr>
          <w:rFonts w:ascii="Times New Roman;serif" w:hAnsi="Times New Roman;serif"/>
          <w:b/>
          <w:color w:val="000000"/>
          <w:sz w:val="24"/>
        </w:rPr>
      </w:pPr>
      <w:r>
        <w:rPr>
          <w:rFonts w:ascii="Times New Roman;serif" w:hAnsi="Times New Roman;serif"/>
          <w:b/>
          <w:color w:val="000000"/>
          <w:sz w:val="24"/>
        </w:rPr>
        <w:t xml:space="preserve">Class A 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PRELIMINARY 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44" w:type="dxa"/>
        <w:jc w:val="left"/>
        <w:tblInd w:w="0" w:type="dxa"/>
        <w:tblLayout w:type="fixed"/>
        <w:tblCellMar>
          <w:top w:w="28" w:type="dxa"/>
          <w:left w:w="28" w:type="dxa"/>
          <w:bottom w:w="28" w:type="dxa"/>
          <w:right w:w="28" w:type="dxa"/>
        </w:tblCellMar>
      </w:tblPr>
      <w:tblGrid>
        <w:gridCol w:w="761"/>
        <w:gridCol w:w="668"/>
        <w:gridCol w:w="671"/>
        <w:gridCol w:w="1067"/>
        <w:gridCol w:w="1067"/>
        <w:gridCol w:w="1510"/>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36"/>
              </w:rPr>
            </w:pPr>
            <w:r>
              <w:rPr>
                <w:rFonts w:ascii="Times New Roman;serif" w:hAnsi="Times New Roman;serif"/>
                <w:b/>
                <w:color w:val="000000"/>
                <w:sz w:val="36"/>
              </w:rPr>
              <w:t>Evercore ISI</w:t>
            </w:r>
          </w:p>
        </w:tc>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36"/>
              </w:rPr>
            </w:pPr>
            <w:r>
              <w:rPr>
                <w:rFonts w:ascii="Times New Roman;serif" w:hAnsi="Times New Roman;serif"/>
                <w:b/>
                <w:color w:val="000000"/>
                <w:sz w:val="36"/>
              </w:rPr>
              <w:t>Wells Fargo Securities</w:t>
            </w:r>
          </w:p>
        </w:tc>
      </w:tr>
    </w:tbl>
    <w:tbl>
      <w:tblPr>
        <w:tblW w:w="5145" w:type="dxa"/>
        <w:jc w:val="left"/>
        <w:tblInd w:w="0" w:type="dxa"/>
        <w:tblLayout w:type="fixed"/>
        <w:tblCellMar>
          <w:top w:w="28" w:type="dxa"/>
          <w:left w:w="28" w:type="dxa"/>
          <w:bottom w:w="28" w:type="dxa"/>
          <w:right w:w="28" w:type="dxa"/>
        </w:tblCellMar>
      </w:tblPr>
      <w:tblGrid>
        <w:gridCol w:w="1120"/>
        <w:gridCol w:w="982"/>
        <w:gridCol w:w="987"/>
        <w:gridCol w:w="602"/>
        <w:gridCol w:w="602"/>
        <w:gridCol w:w="85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RBC Capital Markets</w:t>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32"/>
              </w:rPr>
            </w:pPr>
            <w:r>
              <w:rPr>
                <w:rFonts w:ascii="Times New Roman;serif" w:hAnsi="Times New Roman;serif"/>
                <w:b/>
                <w:color w:val="000000"/>
                <w:sz w:val="32"/>
              </w:rPr>
              <w:t>Craig-Hallum</w:t>
            </w:r>
          </w:p>
        </w:tc>
      </w:tr>
    </w:tbl>
    <w:p>
      <w:pPr>
        <w:pStyle w:val="TextBody"/>
        <w:bidi w:val="0"/>
        <w:spacing w:lineRule="auto" w:line="288" w:before="0" w:after="400"/>
        <w:jc w:val="center"/>
        <w:rPr>
          <w:color w:val="000000"/>
        </w:rPr>
      </w:pPr>
      <w:r>
        <w:rPr>
          <w:color w:val="000000"/>
        </w:rPr>
        <w:t>               </w:t>
      </w:r>
      <w:r>
        <w:rPr>
          <w:rFonts w:ascii="Times New Roman;serif" w:hAnsi="Times New Roman;serif"/>
          <w:b/>
          <w:color w:val="000000"/>
          <w:sz w:val="20"/>
        </w:rPr>
        <w:t>,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28791/000182879126000019/dsp-20251231.htm" TargetMode="External"/><Relationship Id="rId4" Type="http://schemas.openxmlformats.org/officeDocument/2006/relationships/hyperlink" Target="https://www.sec.gov/ix?doc=/Archives/edgar/data/0001828791/000119312526173662/d26626ddef14a.htm" TargetMode="External"/><Relationship Id="rId5" Type="http://schemas.openxmlformats.org/officeDocument/2006/relationships/hyperlink" Target="https://www.sec.gov/ix?doc=/Archives/edgar/data/0001828791/000182879126000036/dsp-20260331.htm" TargetMode="External"/><Relationship Id="rId6" Type="http://schemas.openxmlformats.org/officeDocument/2006/relationships/hyperlink" Target="https://www.sec.gov/ix?doc=/Archives/edgar/data/0001828791/000182879126000072/dsp-20260630.htm" TargetMode="External"/><Relationship Id="rId7" Type="http://schemas.openxmlformats.org/officeDocument/2006/relationships/hyperlink" Target="https://www.sec.gov/ix?doc=/Archives/edgar/data/0001828791/000182879126000029/dsp-20260414.htm" TargetMode="External"/><Relationship Id="rId8" Type="http://schemas.openxmlformats.org/officeDocument/2006/relationships/hyperlink" Target="https://www.sec.gov/ix?doc=/Archives/edgar/data/0001828791/000182879126000045/dsp-20260604.htm" TargetMode="External"/><Relationship Id="rId9" Type="http://schemas.openxmlformats.org/officeDocument/2006/relationships/hyperlink" Target="https://www.sec.gov/ix?doc=/Archives/edgar/data/0001828791/000182879126000070/dsp-20260805.htm" TargetMode="External"/><Relationship Id="rId10" Type="http://schemas.openxmlformats.org/officeDocument/2006/relationships/hyperlink" Target="https://www.sec.gov/Archives/edgar/data/1828791/000119312521030476/d100450d8a12b.htm" TargetMode="External"/><Relationship Id="rId11" Type="http://schemas.openxmlformats.org/officeDocument/2006/relationships/image" Target="media/image1.jpeg"/><Relationship Id="rId12" Type="http://schemas.openxmlformats.org/officeDocument/2006/relationships/hyperlink" Target="https://www.sec.gov/ix?doc=/Archives/edgar/data/1828791/000182879124000011/dsp-20231231.htm" TargetMode="External"/><Relationship Id="rId13" Type="http://schemas.openxmlformats.org/officeDocument/2006/relationships/hyperlink" Target="https://www.sec.gov/Archives/edgar/data/1828791/000114036124013953/ny20021732x1_def14a.htm" TargetMode="External"/><Relationship Id="rId14" Type="http://schemas.openxmlformats.org/officeDocument/2006/relationships/hyperlink" Target="https://www.sec.gov/Archives/edgar/data/1828791/000119312521030476/d100450d8a12b.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33061</Words>
  <Characters>174337</Characters>
  <CharactersWithSpaces>206937</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