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47625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74295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100" w:right="2860" w:hanging="4092"/>
        <w:spacing w:after="0" w:line="300" w:lineRule="auto"/>
        <w:tabs>
          <w:tab w:leader="none" w:pos="47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54610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356"/>
        </w:trPr>
        <w:tc>
          <w:tcPr>
            <w:tcW w:w="4100" w:type="dxa"/>
            <w:vAlign w:val="bottom"/>
          </w:tcPr>
          <w:p>
            <w:pPr>
              <w:spacing w:after="0"/>
              <w:rPr>
                <w:sz w:val="24"/>
                <w:szCs w:val="24"/>
                <w:color w:val="auto"/>
              </w:rPr>
            </w:pPr>
          </w:p>
        </w:tc>
        <w:tc>
          <w:tcPr>
            <w:tcW w:w="3360" w:type="dxa"/>
            <w:vAlign w:val="bottom"/>
            <w:gridSpan w:val="7"/>
          </w:tcPr>
          <w:p>
            <w:pPr>
              <w:jc w:val="center"/>
              <w:ind w:right="320"/>
              <w:spacing w:after="0"/>
              <w:rPr>
                <w:sz w:val="20"/>
                <w:szCs w:val="20"/>
                <w:color w:val="auto"/>
              </w:rPr>
            </w:pPr>
            <w:r>
              <w:rPr>
                <w:rFonts w:ascii="Arial" w:cs="Arial" w:eastAsia="Arial" w:hAnsi="Arial"/>
                <w:sz w:val="29"/>
                <w:szCs w:val="29"/>
                <w:b w:val="1"/>
                <w:bCs w:val="1"/>
                <w:color w:val="auto"/>
                <w:w w:val="89"/>
              </w:rPr>
              <w:t>Viant Technology Inc.</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60" w:type="dxa"/>
            <w:vAlign w:val="bottom"/>
            <w:gridSpan w:val="8"/>
          </w:tcPr>
          <w:p>
            <w:pPr>
              <w:jc w:val="center"/>
              <w:ind w:left="3706"/>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100" w:type="dxa"/>
            <w:vAlign w:val="bottom"/>
            <w:vMerge w:val="restart"/>
          </w:tcPr>
          <w:p>
            <w:pPr>
              <w:jc w:val="center"/>
              <w:ind w:left="1446"/>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780" w:type="dxa"/>
            <w:vAlign w:val="bottom"/>
            <w:vMerge w:val="restart"/>
          </w:tcPr>
          <w:p>
            <w:pPr>
              <w:jc w:val="right"/>
              <w:ind w:right="2349"/>
              <w:spacing w:after="0"/>
              <w:rPr>
                <w:sz w:val="20"/>
                <w:szCs w:val="20"/>
                <w:color w:val="auto"/>
              </w:rPr>
            </w:pPr>
            <w:r>
              <w:rPr>
                <w:rFonts w:ascii="Arial" w:cs="Arial" w:eastAsia="Arial" w:hAnsi="Arial"/>
                <w:sz w:val="16"/>
                <w:szCs w:val="16"/>
                <w:b w:val="1"/>
                <w:bCs w:val="1"/>
                <w:color w:val="auto"/>
              </w:rPr>
              <w:t>85-3447553</w:t>
            </w:r>
          </w:p>
        </w:tc>
        <w:tc>
          <w:tcPr>
            <w:tcW w:w="0" w:type="dxa"/>
            <w:vAlign w:val="bottom"/>
          </w:tcPr>
          <w:p>
            <w:pPr>
              <w:spacing w:after="0"/>
              <w:rPr>
                <w:sz w:val="1"/>
                <w:szCs w:val="1"/>
                <w:color w:val="auto"/>
              </w:rPr>
            </w:pPr>
          </w:p>
        </w:tc>
      </w:tr>
      <w:tr>
        <w:trPr>
          <w:trHeight w:val="245"/>
        </w:trPr>
        <w:tc>
          <w:tcPr>
            <w:tcW w:w="4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100" w:type="dxa"/>
            <w:vAlign w:val="bottom"/>
          </w:tcPr>
          <w:p>
            <w:pPr>
              <w:jc w:val="center"/>
              <w:ind w:left="1446"/>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780" w:type="dxa"/>
            <w:vAlign w:val="bottom"/>
          </w:tcPr>
          <w:p>
            <w:pPr>
              <w:jc w:val="center"/>
              <w:ind w:right="1769"/>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9"/>
        </w:trPr>
        <w:tc>
          <w:tcPr>
            <w:tcW w:w="4100" w:type="dxa"/>
            <w:vAlign w:val="bottom"/>
          </w:tcPr>
          <w:p>
            <w:pPr>
              <w:jc w:val="center"/>
              <w:ind w:left="1466"/>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80" w:type="dxa"/>
            <w:vAlign w:val="bottom"/>
          </w:tcPr>
          <w:p>
            <w:pPr>
              <w:jc w:val="center"/>
              <w:ind w:right="1769"/>
              <w:spacing w:after="0" w:line="139"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3"/>
        </w:trPr>
        <w:tc>
          <w:tcPr>
            <w:tcW w:w="4100" w:type="dxa"/>
            <w:vAlign w:val="bottom"/>
          </w:tcPr>
          <w:p>
            <w:pPr>
              <w:jc w:val="center"/>
              <w:ind w:left="1446"/>
              <w:spacing w:after="0"/>
              <w:rPr>
                <w:sz w:val="20"/>
                <w:szCs w:val="20"/>
                <w:color w:val="auto"/>
              </w:rPr>
            </w:pPr>
            <w:r>
              <w:rPr>
                <w:rFonts w:ascii="Arial" w:cs="Arial" w:eastAsia="Arial" w:hAnsi="Arial"/>
                <w:sz w:val="16"/>
                <w:szCs w:val="16"/>
                <w:b w:val="1"/>
                <w:bCs w:val="1"/>
                <w:color w:val="auto"/>
                <w:w w:val="91"/>
              </w:rPr>
              <w:t>2722 Michelson Drive, Suite 100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00" w:type="dxa"/>
            <w:vAlign w:val="bottom"/>
          </w:tcPr>
          <w:p>
            <w:pPr>
              <w:jc w:val="center"/>
              <w:ind w:left="1446"/>
              <w:spacing w:after="0"/>
              <w:rPr>
                <w:sz w:val="20"/>
                <w:szCs w:val="20"/>
                <w:color w:val="auto"/>
              </w:rPr>
            </w:pPr>
            <w:r>
              <w:rPr>
                <w:rFonts w:ascii="Arial" w:cs="Arial" w:eastAsia="Arial" w:hAnsi="Arial"/>
                <w:sz w:val="16"/>
                <w:szCs w:val="16"/>
                <w:b w:val="1"/>
                <w:bCs w:val="1"/>
                <w:color w:val="auto"/>
                <w:w w:val="99"/>
              </w:rPr>
              <w:t>Irvine, CA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80" w:type="dxa"/>
            <w:vAlign w:val="bottom"/>
          </w:tcPr>
          <w:p>
            <w:pPr>
              <w:jc w:val="right"/>
              <w:ind w:right="2529"/>
              <w:spacing w:after="0"/>
              <w:rPr>
                <w:sz w:val="20"/>
                <w:szCs w:val="20"/>
                <w:color w:val="auto"/>
              </w:rPr>
            </w:pPr>
            <w:r>
              <w:rPr>
                <w:rFonts w:ascii="Arial" w:cs="Arial" w:eastAsia="Arial" w:hAnsi="Arial"/>
                <w:sz w:val="16"/>
                <w:szCs w:val="16"/>
                <w:b w:val="1"/>
                <w:bCs w:val="1"/>
                <w:color w:val="auto"/>
              </w:rPr>
              <w:t>92612</w:t>
            </w:r>
          </w:p>
        </w:tc>
        <w:tc>
          <w:tcPr>
            <w:tcW w:w="0" w:type="dxa"/>
            <w:vAlign w:val="bottom"/>
          </w:tcPr>
          <w:p>
            <w:pPr>
              <w:spacing w:after="0"/>
              <w:rPr>
                <w:sz w:val="1"/>
                <w:szCs w:val="1"/>
                <w:color w:val="auto"/>
              </w:rPr>
            </w:pPr>
          </w:p>
        </w:tc>
      </w:tr>
      <w:tr>
        <w:trPr>
          <w:trHeight w:val="164"/>
        </w:trPr>
        <w:tc>
          <w:tcPr>
            <w:tcW w:w="4100" w:type="dxa"/>
            <w:vAlign w:val="bottom"/>
          </w:tcPr>
          <w:p>
            <w:pPr>
              <w:jc w:val="center"/>
              <w:ind w:left="1466"/>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80" w:type="dxa"/>
            <w:vAlign w:val="bottom"/>
          </w:tcPr>
          <w:p>
            <w:pPr>
              <w:jc w:val="center"/>
              <w:ind w:right="176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13"/>
        </w:trPr>
        <w:tc>
          <w:tcPr>
            <w:tcW w:w="112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(949) 861-8888</w:t>
            </w:r>
          </w:p>
        </w:tc>
        <w:tc>
          <w:tcPr>
            <w:tcW w:w="0" w:type="dxa"/>
            <w:vAlign w:val="bottom"/>
          </w:tcPr>
          <w:p>
            <w:pPr>
              <w:spacing w:after="0"/>
              <w:rPr>
                <w:sz w:val="1"/>
                <w:szCs w:val="1"/>
                <w:color w:val="auto"/>
              </w:rPr>
            </w:pPr>
          </w:p>
        </w:tc>
      </w:tr>
      <w:tr>
        <w:trPr>
          <w:trHeight w:val="73"/>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jc w:val="center"/>
              <w:ind w:right="1360"/>
              <w:spacing w:after="0"/>
              <w:rPr>
                <w:sz w:val="20"/>
                <w:szCs w:val="20"/>
                <w:color w:val="auto"/>
              </w:rPr>
            </w:pPr>
            <w:r>
              <w:rPr>
                <w:rFonts w:ascii="Arial" w:cs="Arial" w:eastAsia="Arial" w:hAnsi="Arial"/>
                <w:sz w:val="13"/>
                <w:szCs w:val="13"/>
                <w:b w:val="1"/>
                <w:bCs w:val="1"/>
                <w:color w:val="auto"/>
                <w:w w:val="96"/>
              </w:rPr>
              <w:t>Trading</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00" w:type="dxa"/>
            <w:vAlign w:val="bottom"/>
          </w:tcPr>
          <w:p>
            <w:pPr>
              <w:ind w:left="1640"/>
              <w:spacing w:after="0"/>
              <w:rPr>
                <w:sz w:val="20"/>
                <w:szCs w:val="20"/>
                <w:color w:val="auto"/>
              </w:rPr>
            </w:pPr>
            <w:r>
              <w:rPr>
                <w:rFonts w:ascii="Arial" w:cs="Arial" w:eastAsia="Arial" w:hAnsi="Arial"/>
                <w:sz w:val="13"/>
                <w:szCs w:val="13"/>
                <w:b w:val="1"/>
                <w:bCs w:val="1"/>
                <w:color w:val="auto"/>
              </w:rPr>
              <w:t>Title of each class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5"/>
          </w:tcPr>
          <w:p>
            <w:pPr>
              <w:jc w:val="center"/>
              <w:ind w:right="1360"/>
              <w:spacing w:after="0"/>
              <w:rPr>
                <w:sz w:val="20"/>
                <w:szCs w:val="20"/>
                <w:color w:val="auto"/>
              </w:rPr>
            </w:pPr>
            <w:r>
              <w:rPr>
                <w:rFonts w:ascii="Arial" w:cs="Arial" w:eastAsia="Arial" w:hAnsi="Arial"/>
                <w:sz w:val="13"/>
                <w:szCs w:val="13"/>
                <w:b w:val="1"/>
                <w:bCs w:val="1"/>
                <w:color w:val="auto"/>
                <w:w w:val="92"/>
              </w:rPr>
              <w:t>Symbol(s)</w:t>
            </w:r>
          </w:p>
        </w:tc>
        <w:tc>
          <w:tcPr>
            <w:tcW w:w="3780" w:type="dxa"/>
            <w:vAlign w:val="bottom"/>
          </w:tcPr>
          <w:p>
            <w:pPr>
              <w:jc w:val="center"/>
              <w:ind w:right="1209"/>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154"/>
        </w:trPr>
        <w:tc>
          <w:tcPr>
            <w:tcW w:w="410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Class A common stock, par value $0.001 per share</w:t>
            </w: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gridSpan w:val="3"/>
          </w:tcPr>
          <w:p>
            <w:pPr>
              <w:jc w:val="center"/>
              <w:spacing w:after="0" w:line="154" w:lineRule="exact"/>
              <w:rPr>
                <w:sz w:val="20"/>
                <w:szCs w:val="20"/>
                <w:color w:val="auto"/>
              </w:rPr>
            </w:pPr>
            <w:r>
              <w:rPr>
                <w:rFonts w:ascii="Arial" w:cs="Arial" w:eastAsia="Arial" w:hAnsi="Arial"/>
                <w:sz w:val="15"/>
                <w:szCs w:val="15"/>
                <w:color w:val="auto"/>
                <w:w w:val="90"/>
              </w:rPr>
              <w:t>DSP</w:t>
            </w: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jc w:val="center"/>
              <w:ind w:right="1189"/>
              <w:spacing w:after="0" w:line="154" w:lineRule="exact"/>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bl>
    <w:p>
      <w:pPr>
        <w:ind w:left="7760"/>
        <w:spacing w:after="0"/>
        <w:rPr>
          <w:sz w:val="20"/>
          <w:szCs w:val="20"/>
          <w:color w:val="auto"/>
        </w:rPr>
      </w:pPr>
      <w:r>
        <w:rPr>
          <w:rFonts w:ascii="Arial" w:cs="Arial" w:eastAsia="Arial" w:hAnsi="Arial"/>
          <w:sz w:val="15"/>
          <w:szCs w:val="15"/>
          <w:color w:val="auto"/>
        </w:rPr>
        <w:t>(Nasdaq Global Select Market)</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4"/>
          <w:szCs w:val="24"/>
          <w:color w:val="auto"/>
        </w:rPr>
      </w:pPr>
    </w:p>
    <w:p>
      <w:pPr>
        <w:ind w:right="4020"/>
        <w:spacing w:after="0" w:line="190"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right="12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14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3"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0" w:lineRule="exact"/>
        <w:rPr>
          <w:sz w:val="24"/>
          <w:szCs w:val="24"/>
          <w:color w:val="auto"/>
        </w:rPr>
      </w:pPr>
    </w:p>
    <w:p>
      <w:pPr>
        <w:spacing w:after="0"/>
        <w:rPr>
          <w:sz w:val="20"/>
          <w:szCs w:val="20"/>
          <w:color w:val="auto"/>
        </w:rPr>
      </w:pPr>
      <w:r>
        <w:rPr>
          <w:rFonts w:ascii="Arial" w:cs="Arial" w:eastAsia="Arial" w:hAnsi="Arial"/>
          <w:sz w:val="12"/>
          <w:szCs w:val="12"/>
          <w:color w:val="auto"/>
        </w:rPr>
        <w:t>As of June 30, 2020, the last business day of the registrant’s most recently completed second fiscal quarter, the registrant’s Class A common stock was not listed on any exchange or over-the-counter market.</w:t>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The registrant’s Class A common stock began trading on the Nasdaq Global Select Market on February 10, 2021.</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As of March 19, 2021, there were 11,500,000 shares and 47,435,559 shares of the registrant’s Class A and Class B common stock, respectively, $0.001 par value per share, outstanding.</w:t>
      </w:r>
    </w:p>
    <w:p>
      <w:pPr>
        <w:spacing w:after="0" w:line="40"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DOCUMENTS INCORPORATED BY REFERENCE</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147955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351"/>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Page</w:t>
            </w:r>
          </w:p>
        </w:tc>
      </w:tr>
      <w:tr>
        <w:trPr>
          <w:trHeight w:val="183"/>
        </w:trPr>
        <w:tc>
          <w:tcPr>
            <w:tcW w:w="600" w:type="dxa"/>
            <w:vAlign w:val="bottom"/>
            <w:tcBorders>
              <w:bottom w:val="single" w:sz="8" w:color="0000EE"/>
            </w:tcBorders>
          </w:tcPr>
          <w:p>
            <w:pPr>
              <w:spacing w:after="0" w:line="182"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6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780" w:type="dxa"/>
            <w:vAlign w:val="bottom"/>
            <w:gridSpan w:val="2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42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942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Properties</w:t>
              </w:r>
            </w:hyperlink>
          </w:p>
        </w:tc>
        <w:tc>
          <w:tcPr>
            <w:tcW w:w="738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42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2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45"/>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3">
              <w:r>
                <w:rPr>
                  <w:rFonts w:ascii="Arial" w:cs="Arial" w:eastAsia="Arial" w:hAnsi="Arial"/>
                  <w:sz w:val="18"/>
                  <w:szCs w:val="18"/>
                  <w:b w:val="1"/>
                  <w:bCs w:val="1"/>
                  <w:color w:val="0000EE"/>
                  <w:w w:val="99"/>
                </w:rPr>
                <w:t>PART II</w:t>
              </w:r>
            </w:hyperlink>
          </w:p>
        </w:tc>
        <w:tc>
          <w:tcPr>
            <w:tcW w:w="5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Selected Financial Data</w:t>
              </w:r>
            </w:hyperlink>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Quantitative and Qualitative Disclosures About Market Risk</w:t>
              </w:r>
            </w:hyperlink>
          </w:p>
        </w:tc>
        <w:tc>
          <w:tcPr>
            <w:tcW w:w="506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42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42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76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42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420" w:type="dxa"/>
            <w:vAlign w:val="bottom"/>
            <w:gridSpan w:val="2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Certain Relationships and Related Transactions and Director Independence</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Principal Accounting Fees and Services</w:t>
              </w:r>
            </w:hyperlink>
          </w:p>
        </w:tc>
        <w:tc>
          <w:tcPr>
            <w:tcW w:w="40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45"/>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32">
              <w:r>
                <w:rPr>
                  <w:rFonts w:ascii="Arial" w:cs="Arial" w:eastAsia="Arial" w:hAnsi="Arial"/>
                  <w:sz w:val="18"/>
                  <w:szCs w:val="18"/>
                  <w:b w:val="1"/>
                  <w:bCs w:val="1"/>
                  <w:color w:val="0000EE"/>
                  <w:w w:val="98"/>
                </w:rPr>
                <w:t>PART IV</w:t>
              </w:r>
            </w:hyperlink>
          </w:p>
        </w:tc>
        <w:tc>
          <w:tcPr>
            <w:tcW w:w="4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Exhibits, Financial Statement Schedules</w:t>
              </w:r>
            </w:hyperlink>
          </w:p>
        </w:tc>
        <w:tc>
          <w:tcPr>
            <w:tcW w:w="652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9420" w:type="dxa"/>
            <w:vAlign w:val="bottom"/>
            <w:gridSpan w:val="2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Form 10-K Summary</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35">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18"/>
                <w:szCs w:val="18"/>
                <w:color w:val="auto"/>
              </w:rPr>
            </w:pPr>
          </w:p>
        </w:tc>
        <w:tc>
          <w:tcPr>
            <w:tcW w:w="788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Annual Report, including, without limitation, statements regarding our financial position, business strategy and other plans and objectives for our future operations, are forward-looking statements. 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As a result, you should not put undue reliance on any forward-looking statement.</w:t>
      </w:r>
    </w:p>
    <w:p>
      <w:pPr>
        <w:spacing w:after="0" w:line="16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These forward-looking statements are included throughout this Annual Report. Factors that could cause our actual results to differ materially from those expressed or implied in such forward-looking statements include, but are not limited to, the risk factors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Annual Report.</w:t>
      </w:r>
    </w:p>
    <w:p>
      <w:pPr>
        <w:spacing w:after="0" w:line="184"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Company</w:t>
      </w:r>
    </w:p>
    <w:p>
      <w:pPr>
        <w:spacing w:after="0" w:line="22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color w:val="231F20"/>
        </w:rPr>
        <w:t>Our demand side platform (“DSP”), Adelphic, is an enterprise software platform that is used by marketers and their advertising agencies to centralize the planning, buying and measurement of their advertising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231F20"/>
        </w:rPr>
        <w:t>Our software is designed to make our customers’ lives easier by enabling marketers and their advertising agencies to plan, buy and measure advertising campaigns in a highly automated fashion. We offer an easy-to-use self-service platform that provides customers with transparency and control over their advertising campaigns.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140" w:firstLine="589"/>
        <w:spacing w:after="0" w:line="257" w:lineRule="auto"/>
        <w:rPr>
          <w:sz w:val="20"/>
          <w:szCs w:val="20"/>
          <w:color w:val="auto"/>
        </w:rPr>
      </w:pPr>
      <w:r>
        <w:rPr>
          <w:rFonts w:ascii="Arial" w:cs="Arial" w:eastAsia="Arial" w:hAnsi="Arial"/>
          <w:sz w:val="18"/>
          <w:szCs w:val="18"/>
          <w:color w:val="231F20"/>
        </w:rPr>
        <w:t>Our platform offers customers unique visibility across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spacing w:after="0" w:line="18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231F20"/>
        </w:rPr>
        <w:t>Marketers use our software to deliver advertising campaigns to their desired target audience across channels and formats. Through platform integrations, we offer our customers access to omnichannel advertising inventory, which refers to media available across devices, channels and formats. This includes access to over 300 million unique desktop and mobile users, 114 million connected TVs, 112 million linear TV households, over 200 million unique digital audio users, and 158,000 unique digital billboards, in the U.S. Our platform supports a full range of transaction types including real-time bidding, private marketplace and programmatic guaranteed, allowing customers to easily source and integrate ad inventory directly from publishers and private marketplaces.</w:t>
      </w:r>
    </w:p>
    <w:p>
      <w:pPr>
        <w:spacing w:after="0" w:line="192"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231F20"/>
        </w:rPr>
        <w:t>We enable deep data access through our data integrations to authenticate user identities across a range of devices. Our matching of people-based identifiers enables us to be the nexus point with more than 70 data partners, providing customers with deep access to people-based data across market verticals such as automotive, entertainment, business to business, retail, consumer packaged goods, travel and tourism, and healthcare. Our proprietary identity graph is matched to more than 250 million users across 115 million households in the U.S., which we believe makes it one of the largest in the industry.</w:t>
      </w:r>
    </w:p>
    <w:p>
      <w:pPr>
        <w:spacing w:after="0" w:line="188"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231F20"/>
        </w:rPr>
        <w:t>Our customers are advertising buyers including large advertising holding companies, independent advertising agencies, mid-market advertising service organizations as well as marketers that rely on our self-service software platform for their programmatic ad buying needs. We are a trusted partner to our customers and have had a 95% customer satisfaction rating for the last 3 years based on Viant’s Annual Adelphic Customer Satisfaction Survey. Many of our customers use our software as their primary demand side platform.</w:t>
      </w:r>
    </w:p>
    <w:p>
      <w:pPr>
        <w:spacing w:after="0" w:line="18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231F20"/>
        </w:rPr>
        <w:t>Our platform is built on people-based data. Using our identity resolution capabilities and identity graph, marketers and their advertising agencies can identify targeted consumers using real-world identifiers rather than relying primarily on cookies to track users. We believe the industry is shifting to a people-based framework to replace the cookie in delivering personalized advertising, particularly for identification. People-based data allows marketers to deliver personalized advertising while being able to accurately link ad impressions across multiple devices and to customer sales, letting them know what they get in return for their advertising dollars. In addition, people-based data allows consumers to know who is collecting their data and what it is being used for, and also gives them the right to delete or stop their use of data for personalized advertising. Many of our competitors rely on cookies for the targeting and measurement of digital advertising but this technology has not been effective at accurately measuring the real impact of a marketer’s ad spend on their business results. Apple’s popular web browser, Safari, currently does not allow third party cookies and Google Chrome has announced plans to entirely disallow third party cookies in their browser in early 2022. This market change has created an increase in demand by marketers actively looking for platforms like ours that offer an alternative to cookie-based tracking, which we believe is strengthening our strategic position.</w:t>
      </w:r>
    </w:p>
    <w:p>
      <w:pPr>
        <w:spacing w:after="0" w:line="168" w:lineRule="exact"/>
        <w:rPr>
          <w:sz w:val="20"/>
          <w:szCs w:val="20"/>
          <w:color w:val="auto"/>
        </w:rPr>
      </w:pPr>
    </w:p>
    <w:p>
      <w:pPr>
        <w:ind w:right="280" w:firstLine="589"/>
        <w:spacing w:after="0" w:line="254" w:lineRule="auto"/>
        <w:rPr>
          <w:sz w:val="20"/>
          <w:szCs w:val="20"/>
          <w:color w:val="auto"/>
        </w:rPr>
      </w:pPr>
      <w:r>
        <w:rPr>
          <w:rFonts w:ascii="Arial" w:cs="Arial" w:eastAsia="Arial" w:hAnsi="Arial"/>
          <w:sz w:val="18"/>
          <w:szCs w:val="18"/>
          <w:color w:val="231F20"/>
        </w:rPr>
        <w:t>Programmatic advertising has proven its value to marketers and more organizations are devoting more of their digital ad spend to it. The digital ecosystem continues to evolve and with it programmatic advertising, creating new opportunities and needs for marketers and their agencies. The U.S. programmatic advertising market is expected to grow from $65 billion in 2018 to $140 billion in 2022, a 21%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our software platform is designed to address these needs and expands our market opportunity.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right="40" w:firstLine="589"/>
        <w:spacing w:after="0" w:line="259" w:lineRule="auto"/>
        <w:rPr>
          <w:sz w:val="20"/>
          <w:szCs w:val="20"/>
          <w:color w:val="auto"/>
        </w:rPr>
      </w:pPr>
      <w:r>
        <w:rPr>
          <w:rFonts w:ascii="Arial" w:cs="Arial" w:eastAsia="Arial" w:hAnsi="Arial"/>
          <w:sz w:val="18"/>
          <w:szCs w:val="18"/>
          <w:color w:val="231F20"/>
        </w:rPr>
        <w:t>Our total revenue was $165.3 million, $164.9 million and $108.4 million for the fiscal years ended December 31, 2020, 2019 and 2018, respectively, representing an increase of 0.2% from 2019 to 2020 and 52.1% from 2018 to 2019. We recorded net income of $20.6 million and $9.9 million and Adjusted EBITDA of $31.8 million and $24.7 million for the years ended December 31, 2020 and 2019, respectively, compared to a net loss of $25.5 million and Adjusted EBITDA loss of $7.5 million for the year ended December 31, 2018.</w:t>
      </w:r>
    </w:p>
    <w:p>
      <w:pPr>
        <w:spacing w:after="0" w:line="18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231F20"/>
        </w:rPr>
        <w:t xml:space="preserve">Adjusted EBITDA is a financial measure not presented in accordance with generally accepted </w:t>
      </w:r>
      <w:r>
        <w:rPr>
          <w:rFonts w:ascii="Arial" w:cs="Arial" w:eastAsia="Arial" w:hAnsi="Arial"/>
          <w:sz w:val="18"/>
          <w:szCs w:val="18"/>
          <w:color w:val="000000"/>
        </w:rPr>
        <w:t>accounting principles in the United States of America</w:t>
      </w:r>
      <w:r>
        <w:rPr>
          <w:rFonts w:ascii="Arial" w:cs="Arial" w:eastAsia="Arial" w:hAnsi="Arial"/>
          <w:sz w:val="18"/>
          <w:szCs w:val="18"/>
          <w:color w:val="231F20"/>
        </w:rPr>
        <w:t xml:space="preserve"> (“GAAP”). For a definition of Adjusted EBITDA, an explanation of our management’s use of this measure and a reconciliation of Adjusted EBITDA to our net income or net loss, see </w:t>
      </w:r>
      <w:r>
        <w:rPr>
          <w:rFonts w:ascii="Arial" w:cs="Arial" w:eastAsia="Arial" w:hAnsi="Arial"/>
          <w:sz w:val="18"/>
          <w:szCs w:val="18"/>
          <w:i w:val="1"/>
          <w:iCs w:val="1"/>
          <w:color w:val="231F20"/>
        </w:rPr>
        <w:t>“Management’s Discussion and Analysis of Financial Condition and Results of Operations—Key Operating and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Performance Metrics—Use of Non-GAAP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Industry</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We believe the key industry trends shaping the advertising market include:</w:t>
      </w:r>
    </w:p>
    <w:p>
      <w:pPr>
        <w:spacing w:after="0" w:line="22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b w:val="1"/>
          <w:bCs w:val="1"/>
          <w:i w:val="1"/>
          <w:iCs w:val="1"/>
          <w:color w:val="231F20"/>
        </w:rPr>
        <w:t xml:space="preserve">Advertising dollars shifting towards programmatic advertising: </w:t>
      </w:r>
      <w:r>
        <w:rPr>
          <w:rFonts w:ascii="Arial" w:cs="Arial" w:eastAsia="Arial" w:hAnsi="Arial"/>
          <w:sz w:val="17"/>
          <w:szCs w:val="17"/>
          <w:color w:val="231F20"/>
        </w:rPr>
        <w:t>We believe the advertising industry is still in the early stages of a shift to</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programmatic advertising. The ability to transact through real-time-bidding platforms has evolved beyond banner advertising to be used across a wide range of advertising channels and formats, including desktop, mobile, connected TV, linear TV, streaming audio and digital billboards. U.S. programmatic advertising is experiencing a rapid increase in adoption and, according to eMarketer, is expected to grow at a 21% CAGR from 2018 to 2022, reaching $94 billion in 2020, $118 billion in 2021 and $140 billion by 2022. U.S. programmatic advertising is forecasted to represent 48% of total U.S. media spend by 2022, increasing from 29% in 2018. The TV industry is undergoing significant disruptions as Internet-enabled connected TV has become a preferred vehicle for streaming video content. The amount of connected TV users in the U.S. is forecasted to increase from 195 million, or 59% of the U.S. population, in 2019 to 226 million, or 66% of the U.S. population, in 2024, according to eMarketer. Connected TV also provides a number of benefits to advertisers, including more accurate control of scale, addressability, and measurement. Marketers are increasingly investing in connected TV as more inventory becomes available. According to eMarketer, 51% of connected TV ad spend was transacted programmatically in 2019 and the share of programmatic will increase to nearly 60% in 2021. In addition, connected TV ad spend is expected to grow from $6 billion in 2019 to $8 billion in 2020 to $18 billion in 2024, a 25% CAGR.</w:t>
      </w:r>
    </w:p>
    <w:p>
      <w:pPr>
        <w:spacing w:after="0" w:line="17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b w:val="1"/>
          <w:bCs w:val="1"/>
          <w:i w:val="1"/>
          <w:iCs w:val="1"/>
          <w:color w:val="231F20"/>
        </w:rPr>
        <w:t xml:space="preserve">Strong marketer demand for Return-On-Advertising-Spend measurement across all channels: </w:t>
      </w:r>
      <w:r>
        <w:rPr>
          <w:rFonts w:ascii="Arial" w:cs="Arial" w:eastAsia="Arial" w:hAnsi="Arial"/>
          <w:sz w:val="18"/>
          <w:szCs w:val="18"/>
          <w:color w:val="231F20"/>
        </w:rPr>
        <w:t>Marketers are looking for a centralized view of</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their customers, while connecting online and offline purchases to accurately measure ROAS. Return-on-advertising-spend is a critical metric for marketing campaigns. Insights from ROAS across all campaigns inform marketers about what they are getting for their money across all media investments near real-time. Hence, marketers seek tools to track their ROAS across all channels. We believe people-based platforms are able to provide a more accurate measurement of ROAS as compared to cookie-based platforms.</w:t>
      </w:r>
    </w:p>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b w:val="1"/>
          <w:bCs w:val="1"/>
          <w:i w:val="1"/>
          <w:iCs w:val="1"/>
          <w:color w:val="231F20"/>
        </w:rPr>
        <w:t xml:space="preserve">Demand for scaled people-based platforms: </w:t>
      </w:r>
      <w:r>
        <w:rPr>
          <w:rFonts w:ascii="Arial" w:cs="Arial" w:eastAsia="Arial" w:hAnsi="Arial"/>
          <w:sz w:val="17"/>
          <w:szCs w:val="17"/>
          <w:color w:val="231F20"/>
        </w:rPr>
        <w:t>Advertising has become more data driven and marketers need to be able to target audiences at the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individual and 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software platforms that primarily utilize cookies for device identification. In today’s connected world, marketers need to be able to identify their customers and connect with them across multiple channels, devices and formats. This is driving an industry shift away from cookie-based DSPs to scaled people-based DSPs.</w:t>
      </w:r>
    </w:p>
    <w:p>
      <w:pPr>
        <w:spacing w:after="0" w:line="178"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b w:val="1"/>
          <w:bCs w:val="1"/>
          <w:i w:val="1"/>
          <w:iCs w:val="1"/>
          <w:color w:val="231F20"/>
        </w:rPr>
        <w:t xml:space="preserve">Brands directly selecting advertising software solutions: </w:t>
      </w:r>
      <w:r>
        <w:rPr>
          <w:rFonts w:ascii="Arial" w:cs="Arial" w:eastAsia="Arial" w:hAnsi="Arial"/>
          <w:sz w:val="17"/>
          <w:szCs w:val="17"/>
          <w:color w:val="231F20"/>
        </w:rPr>
        <w:t>Marketers are increasingly becoming directly involved in the selection of their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advertising software solutions as they seek to reduce costs, better leverage their customer data and gain more control over their advertising. These factors have also led to an increase in marketers moving programmatic ad buying functions in-house. The automation of ad-buying technology has enabled fast, accurate and cost-effective decision-making, resulting in ad buying becoming a skillset that an increasing number of Chief Marketing Officers (“CMOs”) want to fully own. According to a recent survey by IAB in 2019, 18% of U.S. brands have completely moved programmatic ad buying in-house, and 51% of U.S. brands have moved a portion of their programmatic ad buying in-house.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231F20"/>
        </w:rPr>
        <w:t>Our Market Opportunity</w:t>
      </w:r>
    </w:p>
    <w:p>
      <w:pPr>
        <w:spacing w:after="0" w:line="229"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231F20"/>
        </w:rPr>
        <w:t>We believe that over the long term, our total addressable market is the total global advertising market which, according to eMarketer, is forecasted to grow from $614 billion in 2020 to $846 billion in 2024, an 8% CAGR. Currently, our focus is primarily on the U.S. market, and according to eMarketer, desktop, mobile, connected TV, linear TV, streaming audio and digital billboard channels are forecasted to grow from $205 billion in 2020 to $314 billion in 2024 in the U.S., an 11% CAGR, broken into the following segments:</w:t>
      </w:r>
    </w:p>
    <w:p>
      <w:pPr>
        <w:spacing w:after="0" w:line="187" w:lineRule="exact"/>
        <w:rPr>
          <w:sz w:val="20"/>
          <w:szCs w:val="20"/>
          <w:color w:val="auto"/>
        </w:rPr>
      </w:pPr>
    </w:p>
    <w:p>
      <w:pPr>
        <w:ind w:left="1160" w:right="280" w:hanging="572"/>
        <w:spacing w:after="0" w:line="277" w:lineRule="auto"/>
        <w:tabs>
          <w:tab w:leader="none" w:pos="1160" w:val="left"/>
        </w:tabs>
        <w:numPr>
          <w:ilvl w:val="0"/>
          <w:numId w:val="3"/>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Mobile and Desktop: </w:t>
      </w:r>
      <w:r>
        <w:rPr>
          <w:rFonts w:ascii="Arial" w:cs="Arial" w:eastAsia="Arial" w:hAnsi="Arial"/>
          <w:sz w:val="18"/>
          <w:szCs w:val="18"/>
          <w:color w:val="231F20"/>
        </w:rPr>
        <w:t>According to eMarketer, U.S. mobile and desktop advertising are forecasted to be a $129.7 billion market in 2020</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forecasted to grow to $218.2 billion in 2024, a 14% CAGR.</w:t>
      </w:r>
    </w:p>
    <w:p>
      <w:pPr>
        <w:spacing w:after="0" w:line="170" w:lineRule="exact"/>
        <w:rPr>
          <w:rFonts w:ascii="Arial" w:cs="Arial" w:eastAsia="Arial" w:hAnsi="Arial"/>
          <w:sz w:val="18"/>
          <w:szCs w:val="18"/>
          <w:color w:val="231F20"/>
        </w:rPr>
      </w:pPr>
    </w:p>
    <w:p>
      <w:pPr>
        <w:ind w:left="1160" w:right="20" w:hanging="572"/>
        <w:spacing w:after="0" w:line="263" w:lineRule="auto"/>
        <w:tabs>
          <w:tab w:leader="none" w:pos="1160" w:val="left"/>
        </w:tabs>
        <w:numPr>
          <w:ilvl w:val="0"/>
          <w:numId w:val="3"/>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Connected TV: </w:t>
      </w:r>
      <w:r>
        <w:rPr>
          <w:rFonts w:ascii="Arial" w:cs="Arial" w:eastAsia="Arial" w:hAnsi="Arial"/>
          <w:sz w:val="18"/>
          <w:szCs w:val="18"/>
          <w:color w:val="231F20"/>
        </w:rPr>
        <w:t>According to eMarketer, U.S. connected TV advertising is forecasted to be an $8.1 billion market in 2020 and forecasted to</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grow to $18.3 billion in 2024, a 23% CAGR. Connected TV includes over-the-top (“OTT”) content delivered through a connected device over the internet.</w:t>
      </w:r>
    </w:p>
    <w:p>
      <w:pPr>
        <w:spacing w:after="0" w:line="183" w:lineRule="exact"/>
        <w:rPr>
          <w:rFonts w:ascii="Arial" w:cs="Arial" w:eastAsia="Arial" w:hAnsi="Arial"/>
          <w:sz w:val="18"/>
          <w:szCs w:val="18"/>
          <w:color w:val="231F20"/>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Linear TV: </w:t>
      </w:r>
      <w:r>
        <w:rPr>
          <w:rFonts w:ascii="Arial" w:cs="Arial" w:eastAsia="Arial" w:hAnsi="Arial"/>
          <w:sz w:val="18"/>
          <w:szCs w:val="18"/>
          <w:color w:val="231F20"/>
        </w:rPr>
        <w:t>According to eMarketer, U.S. linear TV advertising is forecasted to be a $60.0 billion market in 2020 and forecasted to grow to</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$67.5 billion in 2024, a 3% CAGR.</w:t>
      </w:r>
    </w:p>
    <w:p>
      <w:pPr>
        <w:spacing w:after="0" w:line="170" w:lineRule="exact"/>
        <w:rPr>
          <w:rFonts w:ascii="Arial" w:cs="Arial" w:eastAsia="Arial" w:hAnsi="Arial"/>
          <w:sz w:val="18"/>
          <w:szCs w:val="18"/>
          <w:color w:val="231F20"/>
        </w:rPr>
      </w:pPr>
    </w:p>
    <w:p>
      <w:pPr>
        <w:ind w:left="1160" w:hanging="572"/>
        <w:spacing w:after="0" w:line="277" w:lineRule="auto"/>
        <w:tabs>
          <w:tab w:leader="none" w:pos="1160" w:val="left"/>
        </w:tabs>
        <w:numPr>
          <w:ilvl w:val="0"/>
          <w:numId w:val="3"/>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Streaming Audio: </w:t>
      </w:r>
      <w:r>
        <w:rPr>
          <w:rFonts w:ascii="Arial" w:cs="Arial" w:eastAsia="Arial" w:hAnsi="Arial"/>
          <w:sz w:val="18"/>
          <w:szCs w:val="18"/>
          <w:color w:val="231F20"/>
        </w:rPr>
        <w:t>According to eMarketer, U.S. digital audio advertising is forecasted to be a $4.5 billion market in 2020 and forecasted to</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grow to $6.3 billion in 2024, a 9% CAGR.</w:t>
      </w:r>
    </w:p>
    <w:p>
      <w:pPr>
        <w:spacing w:after="0" w:line="170" w:lineRule="exact"/>
        <w:rPr>
          <w:rFonts w:ascii="Arial" w:cs="Arial" w:eastAsia="Arial" w:hAnsi="Arial"/>
          <w:sz w:val="18"/>
          <w:szCs w:val="18"/>
          <w:color w:val="231F20"/>
        </w:rPr>
      </w:pPr>
    </w:p>
    <w:p>
      <w:pPr>
        <w:ind w:left="1160" w:right="200" w:hanging="572"/>
        <w:spacing w:after="0" w:line="277" w:lineRule="auto"/>
        <w:tabs>
          <w:tab w:leader="none" w:pos="1160" w:val="left"/>
        </w:tabs>
        <w:numPr>
          <w:ilvl w:val="0"/>
          <w:numId w:val="3"/>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Digital Billboards: </w:t>
      </w:r>
      <w:r>
        <w:rPr>
          <w:rFonts w:ascii="Arial" w:cs="Arial" w:eastAsia="Arial" w:hAnsi="Arial"/>
          <w:sz w:val="18"/>
          <w:szCs w:val="18"/>
          <w:color w:val="231F20"/>
        </w:rPr>
        <w:t>According to eMarketer, U.S. billboard advertising is forecasted to be a $2.2 billion market in 2020 and forecasted to</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grow to $3.6 billion in 2024, a 14% CAGR.</w:t>
      </w:r>
    </w:p>
    <w:p>
      <w:pPr>
        <w:spacing w:after="0" w:line="170"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231F20"/>
        </w:rPr>
        <w:t>The forecasts above include both programmatic and non-programmatic digital advertising. In recent years, programmatic advertising has represented an increasing portion of total U.S. media spend. According to eMarketer, the U.S. advertising market, as represented by desktop, mobile, connected TV, linear TV, streaming audio and digital billboard channels, is forecasted to grow from $205 billion in 2020 to $241 billion in 2021 and $269 billion in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Solution</w:t>
      </w:r>
    </w:p>
    <w:p>
      <w:pPr>
        <w:spacing w:after="0" w:line="229"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231F20"/>
        </w:rPr>
        <w:t>We provide a software platform that enables marketers and their advertising agencies to plan, buy and measure their advertising across channels. Integrated with our people-based capabilities, we provide our customers with a full suite of forecasting, reporting and automation functionality to make informed decisions around their advertising investments.</w:t>
      </w:r>
    </w:p>
    <w:p>
      <w:pPr>
        <w:spacing w:after="0" w:line="18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b w:val="1"/>
          <w:bCs w:val="1"/>
          <w:i w:val="1"/>
          <w:iCs w:val="1"/>
          <w:color w:val="231F20"/>
        </w:rPr>
        <w:t xml:space="preserve">Cloud-Based, Self-Service Portal: </w:t>
      </w:r>
      <w:r>
        <w:rPr>
          <w:rFonts w:ascii="Arial" w:cs="Arial" w:eastAsia="Arial" w:hAnsi="Arial"/>
          <w:sz w:val="18"/>
          <w:szCs w:val="18"/>
          <w:color w:val="231F20"/>
        </w:rPr>
        <w:t>Our software is available in a self-service interface, providing customers with transparency and control over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their advertising campaigns and underlying data infrastructure. Customers can log on to the self-service platform to immediately create, update or re-align campaigns themselves, without having to involve our employees or any third parties.</w:t>
      </w:r>
    </w:p>
    <w:p>
      <w:pPr>
        <w:spacing w:after="0" w:line="184"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b w:val="1"/>
          <w:bCs w:val="1"/>
          <w:i w:val="1"/>
          <w:iCs w:val="1"/>
          <w:color w:val="231F20"/>
        </w:rPr>
        <w:t xml:space="preserve">Omnichannel Demand Side Platform: </w:t>
      </w:r>
      <w:r>
        <w:rPr>
          <w:rFonts w:ascii="Arial" w:cs="Arial" w:eastAsia="Arial" w:hAnsi="Arial"/>
          <w:sz w:val="17"/>
          <w:szCs w:val="17"/>
          <w:color w:val="231F20"/>
        </w:rPr>
        <w:t>We are a demand side platform for ad buyers. Marketers and their agencies can use our integrated software</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platform to efficiently manage omnichannel campaigns and access metrics from each channel to inform decisions in other channels. Our integrations enable the purchase of advertising media across desktop, mobile, connected TV, linear TV, streaming audio and digital billboards. Our technology leverages machine learning to identify the best supply partners, formats and impressions based on our customers’ goals.</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b w:val="1"/>
          <w:bCs w:val="1"/>
          <w:i w:val="1"/>
          <w:iCs w:val="1"/>
          <w:color w:val="231F20"/>
        </w:rPr>
        <w:t xml:space="preserve">Advanced Reporting and Measurement: </w:t>
      </w:r>
      <w:r>
        <w:rPr>
          <w:rFonts w:ascii="Arial" w:cs="Arial" w:eastAsia="Arial" w:hAnsi="Arial"/>
          <w:sz w:val="18"/>
          <w:szCs w:val="18"/>
          <w:color w:val="231F20"/>
        </w:rPr>
        <w:t>We invest heavily in our measurement capabilities, as we believe this will increase our customers’ usage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of our software. Our software and self-service data lake empower customers with differentiated insights, including foot-traffic data reports, multi-touch attribution and ROAS analytics. Leveraging our people-based framework and machine learning algorithms, our platform provides marketers real-time actionable insights throughout an advertising campaign. Our built-in automation enables marketers to optimize digital campaigns designed to achieve their KPI goals.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220" w:firstLine="589"/>
        <w:spacing w:after="0" w:line="259" w:lineRule="auto"/>
        <w:rPr>
          <w:sz w:val="20"/>
          <w:szCs w:val="20"/>
          <w:color w:val="auto"/>
        </w:rPr>
      </w:pPr>
      <w:r>
        <w:rPr>
          <w:rFonts w:ascii="Arial" w:cs="Arial" w:eastAsia="Arial" w:hAnsi="Arial"/>
          <w:sz w:val="18"/>
          <w:szCs w:val="18"/>
          <w:b w:val="1"/>
          <w:bCs w:val="1"/>
          <w:i w:val="1"/>
          <w:iCs w:val="1"/>
          <w:color w:val="231F20"/>
        </w:rPr>
        <w:t xml:space="preserve">People-Based Identification for Advertising: </w:t>
      </w:r>
      <w:r>
        <w:rPr>
          <w:rFonts w:ascii="Arial" w:cs="Arial" w:eastAsia="Arial" w:hAnsi="Arial"/>
          <w:sz w:val="18"/>
          <w:szCs w:val="18"/>
          <w:color w:val="231F20"/>
        </w:rPr>
        <w:t>Our identity resolution capabilities and identity graph reduce or eliminate the need for cookies by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enabling matching of people-based identifiers, and allow marketers to reach targeted consumers in a privacy-conscious manner, irrespective of device or channel. Our identity graph is matched to more than 250 million users across 115 million households in the U.S., which we believe makes it one of the largest in the industry.</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b w:val="1"/>
          <w:bCs w:val="1"/>
          <w:i w:val="1"/>
          <w:iCs w:val="1"/>
          <w:color w:val="231F20"/>
        </w:rPr>
        <w:t xml:space="preserve">Onboarding: </w:t>
      </w:r>
      <w:r>
        <w:rPr>
          <w:rFonts w:ascii="Arial" w:cs="Arial" w:eastAsia="Arial" w:hAnsi="Arial"/>
          <w:sz w:val="18"/>
          <w:szCs w:val="18"/>
          <w:color w:val="231F20"/>
        </w:rPr>
        <w:t>We enable marketers to onboard their first-party data to gain a view into their customers’ top attributes, create targeting segments and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easily activate these customer segments. Our simple interface allows marketers to upload audience data with ease and create a unique segment or build look-a-like audiences without the need for a separate data management platform. Our data integrations provide marketers with high match rates, which leads to meaningful audience insights for segmentation and targeting.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Strengths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We believe the following attributes and capabilities provide us with long-term competitive advantages:</w:t>
      </w:r>
    </w:p>
    <w:p>
      <w:pPr>
        <w:spacing w:after="0" w:line="225" w:lineRule="exact"/>
        <w:rPr>
          <w:sz w:val="20"/>
          <w:szCs w:val="20"/>
          <w:color w:val="auto"/>
        </w:rPr>
      </w:pPr>
    </w:p>
    <w:p>
      <w:pPr>
        <w:ind w:left="1160" w:right="220" w:hanging="572"/>
        <w:spacing w:after="0" w:line="263" w:lineRule="auto"/>
        <w:tabs>
          <w:tab w:leader="none" w:pos="116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Scalable Self-Service Platform: </w:t>
      </w:r>
      <w:r>
        <w:rPr>
          <w:rFonts w:ascii="Arial" w:cs="Arial" w:eastAsia="Arial" w:hAnsi="Arial"/>
          <w:sz w:val="18"/>
          <w:szCs w:val="18"/>
          <w:color w:val="231F20"/>
        </w:rPr>
        <w:t>We offer a self-service platform that enables customers to operate their ad campaigns without extensive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involvement of our staff. This dynamic allows us to add new customers and allows customers to scale their spend on our platform in a manner that grows our revenue at a faster pace than the growth of our personnel costs.</w:t>
      </w:r>
    </w:p>
    <w:p>
      <w:pPr>
        <w:spacing w:after="0" w:line="183" w:lineRule="exact"/>
        <w:rPr>
          <w:rFonts w:ascii="Arial" w:cs="Arial" w:eastAsia="Arial" w:hAnsi="Arial"/>
          <w:sz w:val="18"/>
          <w:szCs w:val="18"/>
          <w:color w:val="231F20"/>
        </w:rPr>
      </w:pPr>
    </w:p>
    <w:p>
      <w:pPr>
        <w:ind w:left="1160" w:right="40" w:hanging="572"/>
        <w:spacing w:after="0" w:line="279" w:lineRule="auto"/>
        <w:tabs>
          <w:tab w:leader="none" w:pos="1160" w:val="left"/>
        </w:tabs>
        <w:numPr>
          <w:ilvl w:val="0"/>
          <w:numId w:val="4"/>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Centralized Platform: </w:t>
      </w:r>
      <w:r>
        <w:rPr>
          <w:rFonts w:ascii="Arial" w:cs="Arial" w:eastAsia="Arial" w:hAnsi="Arial"/>
          <w:sz w:val="17"/>
          <w:szCs w:val="17"/>
          <w:color w:val="231F20"/>
        </w:rPr>
        <w:t>We believe our software platform enables our customers to plan, buy and measure advertising across more channels</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than our competitors and to centralize the purchase of each type of programmatic media on a single platform. Our supply integrations provide customers with access to over 300 million unique desktop and mobile users, 114 million connected TVs, 112 million linear TV households, over 200 million unique streaming audio users and 158,000 unique digital billboards, in the U.S.</w:t>
      </w:r>
    </w:p>
    <w:p>
      <w:pPr>
        <w:spacing w:after="0" w:line="171" w:lineRule="exact"/>
        <w:rPr>
          <w:rFonts w:ascii="Arial" w:cs="Arial" w:eastAsia="Arial" w:hAnsi="Arial"/>
          <w:sz w:val="17"/>
          <w:szCs w:val="17"/>
          <w:color w:val="231F20"/>
        </w:rPr>
      </w:pPr>
    </w:p>
    <w:p>
      <w:pPr>
        <w:ind w:left="1160" w:right="100" w:hanging="572"/>
        <w:spacing w:after="0" w:line="257" w:lineRule="auto"/>
        <w:tabs>
          <w:tab w:leader="none" w:pos="116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Proprietary Technology: </w:t>
      </w:r>
      <w:r>
        <w:rPr>
          <w:rFonts w:ascii="Arial" w:cs="Arial" w:eastAsia="Arial" w:hAnsi="Arial"/>
          <w:sz w:val="18"/>
          <w:szCs w:val="18"/>
          <w:color w:val="231F20"/>
        </w:rPr>
        <w:t>We leverage a robust suite of proprietary tools and products in order to enable our customers to utilize our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platform and services. We are constantly iterating and developing new tools and products while utilizing our patented technologies and processes. As of December 31, 2020, we have 26 issued patents and 10 additional pending patent applications, which cover many of our proprietary products. As new offerings are developed, we continue to file and obtain patents on the most valuable and innovative products developed at the company.</w:t>
      </w:r>
    </w:p>
    <w:p>
      <w:pPr>
        <w:spacing w:after="0" w:line="187" w:lineRule="exact"/>
        <w:rPr>
          <w:rFonts w:ascii="Arial" w:cs="Arial" w:eastAsia="Arial" w:hAnsi="Arial"/>
          <w:sz w:val="18"/>
          <w:szCs w:val="18"/>
          <w:color w:val="231F20"/>
        </w:rPr>
      </w:pPr>
    </w:p>
    <w:p>
      <w:pPr>
        <w:ind w:left="1160" w:right="400" w:hanging="572"/>
        <w:spacing w:after="0" w:line="286" w:lineRule="auto"/>
        <w:tabs>
          <w:tab w:leader="none" w:pos="1160" w:val="left"/>
        </w:tabs>
        <w:numPr>
          <w:ilvl w:val="0"/>
          <w:numId w:val="4"/>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Machine Learning Capabilities: </w:t>
      </w:r>
      <w:r>
        <w:rPr>
          <w:rFonts w:ascii="Arial" w:cs="Arial" w:eastAsia="Arial" w:hAnsi="Arial"/>
          <w:sz w:val="17"/>
          <w:szCs w:val="17"/>
          <w:color w:val="231F20"/>
        </w:rPr>
        <w:t>We enable the use of machine learning, workflow automation, automated reporting and other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functionalities that allow our customers to update and make thousands of changes automatically to help achieve their desired business outcomes. These capabilities make our customers’ lives easier and improve the performance of their campaigns.</w:t>
      </w:r>
    </w:p>
    <w:p>
      <w:pPr>
        <w:spacing w:after="0" w:line="165" w:lineRule="exact"/>
        <w:rPr>
          <w:rFonts w:ascii="Arial" w:cs="Arial" w:eastAsia="Arial" w:hAnsi="Arial"/>
          <w:sz w:val="17"/>
          <w:szCs w:val="17"/>
          <w:color w:val="231F20"/>
        </w:rPr>
      </w:pPr>
    </w:p>
    <w:p>
      <w:pPr>
        <w:ind w:left="1160" w:right="20" w:hanging="572"/>
        <w:spacing w:after="0" w:line="257" w:lineRule="auto"/>
        <w:tabs>
          <w:tab w:leader="none" w:pos="116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Advanced Reporting and Measurement: </w:t>
      </w:r>
      <w:r>
        <w:rPr>
          <w:rFonts w:ascii="Arial" w:cs="Arial" w:eastAsia="Arial" w:hAnsi="Arial"/>
          <w:sz w:val="18"/>
          <w:szCs w:val="18"/>
          <w:color w:val="231F20"/>
        </w:rPr>
        <w:t>We invest heavily in our measurement capabilities, as we believe this will increase our customers’ usage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of our software. Our platform measures ROAS across all channels and empowers our customers with real-time insights leveraging people-based data, including foot-traffic reports and multi-touch attribution analytics. Our advanced reporting functionality uses our identity graph that is currently matched to more than 250 million users across 115 million households in the U.S. to provide marketers with a holistic view of measurement across all channels.</w:t>
      </w:r>
    </w:p>
    <w:p>
      <w:pPr>
        <w:spacing w:after="0" w:line="187" w:lineRule="exact"/>
        <w:rPr>
          <w:rFonts w:ascii="Arial" w:cs="Arial" w:eastAsia="Arial" w:hAnsi="Arial"/>
          <w:sz w:val="18"/>
          <w:szCs w:val="18"/>
          <w:color w:val="231F20"/>
        </w:rPr>
      </w:pPr>
    </w:p>
    <w:p>
      <w:pPr>
        <w:ind w:left="1160" w:right="220" w:hanging="572"/>
        <w:spacing w:after="0" w:line="259" w:lineRule="auto"/>
        <w:tabs>
          <w:tab w:leader="none" w:pos="116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Differentiated People-Based Capabilities: </w:t>
      </w:r>
      <w:r>
        <w:rPr>
          <w:rFonts w:ascii="Arial" w:cs="Arial" w:eastAsia="Arial" w:hAnsi="Arial"/>
          <w:sz w:val="18"/>
          <w:szCs w:val="18"/>
          <w:color w:val="231F20"/>
        </w:rPr>
        <w:t>Our software is built on a people-based framework. We integrate with over 70 data partners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using people-based identifiers. We believe this allows for a much more effective and privacy-friendly approach to advertising than using cookies for identification. Our platform is built on a foundation of user consent with advanced consumer opt-out capabilities to keep privacy and security on the forefront.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left="1160" w:right="20" w:hanging="572"/>
        <w:spacing w:after="0" w:line="263" w:lineRule="auto"/>
        <w:tabs>
          <w:tab w:leader="none" w:pos="1160" w:val="left"/>
        </w:tabs>
        <w:numPr>
          <w:ilvl w:val="0"/>
          <w:numId w:val="5"/>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Experienced Management Team: </w:t>
      </w:r>
      <w:r>
        <w:rPr>
          <w:rFonts w:ascii="Arial" w:cs="Arial" w:eastAsia="Arial" w:hAnsi="Arial"/>
          <w:sz w:val="18"/>
          <w:szCs w:val="18"/>
          <w:color w:val="231F20"/>
        </w:rPr>
        <w:t>Our management team has deep and extensive experience in the advertising technology sector, which</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we believe provides us with a competitive advantage. This experience of our management team has allowed us to continue to be innovative in developing solutions for our customers.</w:t>
      </w:r>
    </w:p>
    <w:p>
      <w:pPr>
        <w:spacing w:after="0" w:line="183" w:lineRule="exact"/>
        <w:rPr>
          <w:rFonts w:ascii="Arial" w:cs="Arial" w:eastAsia="Arial" w:hAnsi="Arial"/>
          <w:sz w:val="18"/>
          <w:szCs w:val="18"/>
          <w:color w:val="231F20"/>
        </w:rPr>
      </w:pPr>
    </w:p>
    <w:p>
      <w:pPr>
        <w:ind w:left="1160" w:right="160" w:hanging="572"/>
        <w:spacing w:after="0" w:line="279" w:lineRule="auto"/>
        <w:tabs>
          <w:tab w:leader="none" w:pos="116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Profitable Business Model: </w:t>
      </w:r>
      <w:r>
        <w:rPr>
          <w:rFonts w:ascii="Arial" w:cs="Arial" w:eastAsia="Arial" w:hAnsi="Arial"/>
          <w:sz w:val="17"/>
          <w:szCs w:val="17"/>
          <w:color w:val="231F20"/>
        </w:rPr>
        <w:t>Because we are a self-service platform, as we add new customers and as customers increase the use of our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software, we are able to demonstrate strong operating leverage. During the years ended December 31, 2020 and 2019, revenue was $165.3 million and 164.9 million, respectively. Our net income was $20.6 million and $9.9 million and our Adjusted EBITDA was $31.8 million and $24.7 million during the years ended December 31,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Growth Strategy</w:t>
      </w:r>
    </w:p>
    <w:p>
      <w:pPr>
        <w:spacing w:after="0" w:line="229"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231F20"/>
        </w:rPr>
        <w:t>We believe that the advertising market is in the early stages of a secular shift towards programmatic advertising. We intend to capitalize on this opportunity by pursuing the following strategies:</w:t>
      </w:r>
    </w:p>
    <w:p>
      <w:pPr>
        <w:spacing w:after="0" w:line="170" w:lineRule="exact"/>
        <w:rPr>
          <w:sz w:val="20"/>
          <w:szCs w:val="20"/>
          <w:color w:val="auto"/>
        </w:rPr>
      </w:pPr>
    </w:p>
    <w:p>
      <w:pPr>
        <w:ind w:left="1160" w:right="180" w:hanging="572"/>
        <w:spacing w:after="0" w:line="286" w:lineRule="auto"/>
        <w:tabs>
          <w:tab w:leader="none" w:pos="1160" w:val="left"/>
        </w:tabs>
        <w:numPr>
          <w:ilvl w:val="0"/>
          <w:numId w:val="6"/>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Continue to invest in our customers’ success: </w:t>
      </w:r>
      <w:r>
        <w:rPr>
          <w:rFonts w:ascii="Arial" w:cs="Arial" w:eastAsia="Arial" w:hAnsi="Arial"/>
          <w:sz w:val="17"/>
          <w:szCs w:val="17"/>
          <w:color w:val="231F20"/>
        </w:rPr>
        <w:t>Our platform provides extensive functionality designed to provide our customers with a</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high level of control and enable them to run the most efficient campaigns. We continue to enhance new customer onboarding and support while investing in training and education for customers to maximize their success with the platform.</w:t>
      </w:r>
    </w:p>
    <w:p>
      <w:pPr>
        <w:spacing w:after="0" w:line="165" w:lineRule="exact"/>
        <w:rPr>
          <w:rFonts w:ascii="Arial" w:cs="Arial" w:eastAsia="Arial" w:hAnsi="Arial"/>
          <w:sz w:val="17"/>
          <w:szCs w:val="17"/>
          <w:color w:val="231F20"/>
        </w:rPr>
      </w:pPr>
    </w:p>
    <w:p>
      <w:pPr>
        <w:ind w:left="1160" w:hanging="572"/>
        <w:spacing w:after="0" w:line="257" w:lineRule="auto"/>
        <w:tabs>
          <w:tab w:leader="none" w:pos="116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Add new customers and increase our customers’ usage of our platform: </w:t>
      </w:r>
      <w:r>
        <w:rPr>
          <w:rFonts w:ascii="Arial" w:cs="Arial" w:eastAsia="Arial" w:hAnsi="Arial"/>
          <w:sz w:val="18"/>
          <w:szCs w:val="18"/>
          <w:color w:val="231F20"/>
        </w:rPr>
        <w:t>We continue to add functionality to our platform to attract new</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customers and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all channels we believe we are well positioned to capture the increase in programmatic budgets from new and existing customers.</w:t>
      </w:r>
    </w:p>
    <w:p>
      <w:pPr>
        <w:spacing w:after="0" w:line="187" w:lineRule="exact"/>
        <w:rPr>
          <w:rFonts w:ascii="Arial" w:cs="Arial" w:eastAsia="Arial" w:hAnsi="Arial"/>
          <w:sz w:val="18"/>
          <w:szCs w:val="18"/>
          <w:color w:val="231F20"/>
        </w:rPr>
      </w:pPr>
    </w:p>
    <w:p>
      <w:pPr>
        <w:jc w:val="both"/>
        <w:ind w:left="1160" w:right="180" w:hanging="572"/>
        <w:spacing w:after="0" w:line="263" w:lineRule="auto"/>
        <w:tabs>
          <w:tab w:leader="none" w:pos="116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Continue to strengthen our omnichannel partnerships: </w:t>
      </w:r>
      <w:r>
        <w:rPr>
          <w:rFonts w:ascii="Arial" w:cs="Arial" w:eastAsia="Arial" w:hAnsi="Arial"/>
          <w:sz w:val="18"/>
          <w:szCs w:val="18"/>
          <w:color w:val="231F20"/>
        </w:rPr>
        <w:t>We believe we have the largest breadth of advertising inventory across channels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in our industry landscape. We will continue to invest in the integration of new supply partners across all channels, further broadening and deepening our supply of advertising inventory.</w:t>
      </w:r>
    </w:p>
    <w:p>
      <w:pPr>
        <w:spacing w:after="0" w:line="183" w:lineRule="exact"/>
        <w:rPr>
          <w:rFonts w:ascii="Arial" w:cs="Arial" w:eastAsia="Arial" w:hAnsi="Arial"/>
          <w:sz w:val="18"/>
          <w:szCs w:val="18"/>
          <w:color w:val="231F20"/>
        </w:rPr>
      </w:pPr>
    </w:p>
    <w:p>
      <w:pPr>
        <w:ind w:left="1160" w:right="360" w:hanging="572"/>
        <w:spacing w:after="0" w:line="342" w:lineRule="auto"/>
        <w:tabs>
          <w:tab w:leader="none" w:pos="1160" w:val="left"/>
        </w:tabs>
        <w:numPr>
          <w:ilvl w:val="0"/>
          <w:numId w:val="6"/>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Expand our sales and marketing investment: </w:t>
      </w:r>
      <w:r>
        <w:rPr>
          <w:rFonts w:ascii="Arial" w:cs="Arial" w:eastAsia="Arial" w:hAnsi="Arial"/>
          <w:sz w:val="16"/>
          <w:szCs w:val="16"/>
          <w:color w:val="231F20"/>
        </w:rPr>
        <w:t>We intend to continue to expand sales and marketing efforts to increase awareness and</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consideration of our platform and promote the advantages of our people-based framework as cookie-based options continue to decline.</w:t>
      </w:r>
    </w:p>
    <w:p>
      <w:pPr>
        <w:spacing w:after="0" w:line="123" w:lineRule="exact"/>
        <w:rPr>
          <w:rFonts w:ascii="Arial" w:cs="Arial" w:eastAsia="Arial" w:hAnsi="Arial"/>
          <w:sz w:val="16"/>
          <w:szCs w:val="16"/>
          <w:color w:val="231F20"/>
        </w:rPr>
      </w:pPr>
    </w:p>
    <w:p>
      <w:pPr>
        <w:ind w:left="1160" w:right="80" w:hanging="572"/>
        <w:spacing w:after="0" w:line="277" w:lineRule="auto"/>
        <w:tabs>
          <w:tab w:leader="none" w:pos="116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Extend our leadership position in people-based advertising: </w:t>
      </w:r>
      <w:r>
        <w:rPr>
          <w:rFonts w:ascii="Arial" w:cs="Arial" w:eastAsia="Arial" w:hAnsi="Arial"/>
          <w:sz w:val="18"/>
          <w:szCs w:val="18"/>
          <w:color w:val="231F20"/>
        </w:rPr>
        <w:t>We believe there is significant value in continuing to invest in enhancing our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identity resolution capabilities through additional people-based data integrations.</w:t>
      </w:r>
    </w:p>
    <w:p>
      <w:pPr>
        <w:spacing w:after="0" w:line="170" w:lineRule="exact"/>
        <w:rPr>
          <w:rFonts w:ascii="Arial" w:cs="Arial" w:eastAsia="Arial" w:hAnsi="Arial"/>
          <w:sz w:val="18"/>
          <w:szCs w:val="18"/>
          <w:color w:val="231F20"/>
        </w:rPr>
      </w:pPr>
    </w:p>
    <w:p>
      <w:pPr>
        <w:ind w:left="1160" w:right="320" w:hanging="572"/>
        <w:spacing w:after="0" w:line="263" w:lineRule="auto"/>
        <w:tabs>
          <w:tab w:leader="none" w:pos="116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Invest in growth through acquisitions: </w:t>
      </w:r>
      <w:r>
        <w:rPr>
          <w:rFonts w:ascii="Arial" w:cs="Arial" w:eastAsia="Arial" w:hAnsi="Arial"/>
          <w:sz w:val="18"/>
          <w:szCs w:val="18"/>
          <w:color w:val="231F20"/>
        </w:rPr>
        <w:t>We also intend to invest in acquisitions to offer new products and to capitalize on our large and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growing market opportunity. To the extent we find attractive acquisition candidates and business opportunities in the future, we may continue to acquire complementary businesses, products and technologies.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231F20"/>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154305</wp:posOffset>
            </wp:positionV>
            <wp:extent cx="5237480" cy="3094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748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231F20"/>
        </w:rPr>
        <w:t>Our platform enables a marketer or their agency to programmatically buy an ad in linear television, a digital billboard on the side of the highway, a streaming ad on connected TVs, an ad in your favorite mobile app or on your favorite podcast or a dynamically personalized ad on any website, all within a single user interface.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key components of our platform include:</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b w:val="1"/>
          <w:bCs w:val="1"/>
          <w:i w:val="1"/>
          <w:iCs w:val="1"/>
          <w:color w:val="231F20"/>
        </w:rPr>
        <w:t xml:space="preserve">Omnichannel DSP: </w:t>
      </w:r>
      <w:r>
        <w:rPr>
          <w:rFonts w:ascii="Arial" w:cs="Arial" w:eastAsia="Arial" w:hAnsi="Arial"/>
          <w:sz w:val="18"/>
          <w:szCs w:val="18"/>
          <w:color w:val="231F20"/>
        </w:rPr>
        <w:t>We offer an omni-channel, people-based DSP that provides enterprise-ready, self-service technology to enable our customers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to engage with consumers across all channels, devices, and formats.</w:t>
      </w:r>
    </w:p>
    <w:p>
      <w:pPr>
        <w:spacing w:after="0" w:line="170" w:lineRule="exact"/>
        <w:rPr>
          <w:sz w:val="20"/>
          <w:szCs w:val="20"/>
          <w:color w:val="auto"/>
        </w:rPr>
      </w:pPr>
    </w:p>
    <w:p>
      <w:pPr>
        <w:ind w:left="1160" w:right="20" w:hanging="572"/>
        <w:spacing w:after="0" w:line="263" w:lineRule="auto"/>
        <w:tabs>
          <w:tab w:leader="none" w:pos="1160" w:val="left"/>
        </w:tabs>
        <w:numPr>
          <w:ilvl w:val="0"/>
          <w:numId w:val="7"/>
        </w:numPr>
        <w:rPr>
          <w:rFonts w:ascii="Arial" w:cs="Arial" w:eastAsia="Arial" w:hAnsi="Arial"/>
          <w:sz w:val="18"/>
          <w:szCs w:val="18"/>
          <w:color w:val="231F20"/>
        </w:rPr>
      </w:pPr>
      <w:r>
        <w:rPr>
          <w:rFonts w:ascii="Arial" w:cs="Arial" w:eastAsia="Arial" w:hAnsi="Arial"/>
          <w:sz w:val="18"/>
          <w:szCs w:val="18"/>
          <w:i w:val="1"/>
          <w:iCs w:val="1"/>
          <w:color w:val="231F20"/>
        </w:rPr>
        <w:t xml:space="preserve">Comprehensive Forecasting. </w:t>
      </w:r>
      <w:r>
        <w:rPr>
          <w:rFonts w:ascii="Arial" w:cs="Arial" w:eastAsia="Arial" w:hAnsi="Arial"/>
          <w:sz w:val="18"/>
          <w:szCs w:val="18"/>
          <w:color w:val="231F20"/>
        </w:rPr>
        <w:t>Our platform allows customers to plan future marketing campaigns based on desired targeting tactics by</w:t>
      </w:r>
      <w:r>
        <w:rPr>
          <w:rFonts w:ascii="Arial" w:cs="Arial" w:eastAsia="Arial" w:hAnsi="Arial"/>
          <w:sz w:val="18"/>
          <w:szCs w:val="18"/>
          <w:i w:val="1"/>
          <w:iCs w:val="1"/>
          <w:color w:val="231F20"/>
        </w:rPr>
        <w:t xml:space="preserve"> </w:t>
      </w:r>
      <w:r>
        <w:rPr>
          <w:rFonts w:ascii="Arial" w:cs="Arial" w:eastAsia="Arial" w:hAnsi="Arial"/>
          <w:sz w:val="18"/>
          <w:szCs w:val="18"/>
          <w:color w:val="231F20"/>
        </w:rPr>
        <w:t>utilizing historical bid request data to project performance onto available inventory. Customers can easily apply multiple data segmentation filters and see what ad inventory is available and at what price.</w:t>
      </w:r>
    </w:p>
    <w:p>
      <w:pPr>
        <w:spacing w:after="0" w:line="183" w:lineRule="exact"/>
        <w:rPr>
          <w:rFonts w:ascii="Arial" w:cs="Arial" w:eastAsia="Arial" w:hAnsi="Arial"/>
          <w:sz w:val="18"/>
          <w:szCs w:val="18"/>
          <w:color w:val="231F20"/>
        </w:rPr>
      </w:pPr>
    </w:p>
    <w:p>
      <w:pPr>
        <w:ind w:left="1160" w:hanging="572"/>
        <w:spacing w:after="0" w:line="286" w:lineRule="auto"/>
        <w:tabs>
          <w:tab w:leader="none" w:pos="1160" w:val="left"/>
        </w:tabs>
        <w:numPr>
          <w:ilvl w:val="0"/>
          <w:numId w:val="7"/>
        </w:numPr>
        <w:rPr>
          <w:rFonts w:ascii="Arial" w:cs="Arial" w:eastAsia="Arial" w:hAnsi="Arial"/>
          <w:sz w:val="17"/>
          <w:szCs w:val="17"/>
          <w:color w:val="231F20"/>
        </w:rPr>
      </w:pPr>
      <w:r>
        <w:rPr>
          <w:rFonts w:ascii="Arial" w:cs="Arial" w:eastAsia="Arial" w:hAnsi="Arial"/>
          <w:sz w:val="17"/>
          <w:szCs w:val="17"/>
          <w:i w:val="1"/>
          <w:iCs w:val="1"/>
          <w:color w:val="231F20"/>
        </w:rPr>
        <w:t xml:space="preserve">Easy Campaign Setup. </w:t>
      </w:r>
      <w:r>
        <w:rPr>
          <w:rFonts w:ascii="Arial" w:cs="Arial" w:eastAsia="Arial" w:hAnsi="Arial"/>
          <w:sz w:val="17"/>
          <w:szCs w:val="17"/>
          <w:color w:val="231F20"/>
        </w:rPr>
        <w:t>Our intuitive user interface enables marketers to seamlessly move from forecasting to launching live advertising</w:t>
      </w:r>
      <w:r>
        <w:rPr>
          <w:rFonts w:ascii="Arial" w:cs="Arial" w:eastAsia="Arial" w:hAnsi="Arial"/>
          <w:sz w:val="17"/>
          <w:szCs w:val="17"/>
          <w:i w:val="1"/>
          <w:iCs w:val="1"/>
          <w:color w:val="231F20"/>
        </w:rPr>
        <w:t xml:space="preserve"> </w:t>
      </w:r>
      <w:r>
        <w:rPr>
          <w:rFonts w:ascii="Arial" w:cs="Arial" w:eastAsia="Arial" w:hAnsi="Arial"/>
          <w:sz w:val="17"/>
          <w:szCs w:val="17"/>
          <w:color w:val="231F20"/>
        </w:rPr>
        <w:t>campaigns. Our platform reduces the time from planning a campaign to execution, helping marketers to fluidly execute deterministic cross-channel campaigns using a variety of quality data and supply partners to reach their target audience.</w:t>
      </w:r>
    </w:p>
    <w:p>
      <w:pPr>
        <w:spacing w:after="0" w:line="165" w:lineRule="exact"/>
        <w:rPr>
          <w:rFonts w:ascii="Arial" w:cs="Arial" w:eastAsia="Arial" w:hAnsi="Arial"/>
          <w:sz w:val="17"/>
          <w:szCs w:val="17"/>
          <w:color w:val="231F20"/>
        </w:rPr>
      </w:pPr>
    </w:p>
    <w:p>
      <w:pPr>
        <w:ind w:left="1160" w:right="20" w:hanging="572"/>
        <w:spacing w:after="0" w:line="259" w:lineRule="auto"/>
        <w:tabs>
          <w:tab w:leader="none" w:pos="1160" w:val="left"/>
        </w:tabs>
        <w:numPr>
          <w:ilvl w:val="0"/>
          <w:numId w:val="7"/>
        </w:numPr>
        <w:rPr>
          <w:rFonts w:ascii="Arial" w:cs="Arial" w:eastAsia="Arial" w:hAnsi="Arial"/>
          <w:sz w:val="18"/>
          <w:szCs w:val="18"/>
          <w:color w:val="231F20"/>
        </w:rPr>
      </w:pPr>
      <w:r>
        <w:rPr>
          <w:rFonts w:ascii="Arial" w:cs="Arial" w:eastAsia="Arial" w:hAnsi="Arial"/>
          <w:sz w:val="18"/>
          <w:szCs w:val="18"/>
          <w:i w:val="1"/>
          <w:iCs w:val="1"/>
          <w:color w:val="231F20"/>
        </w:rPr>
        <w:t xml:space="preserve">Campaign Decisioning. </w:t>
      </w:r>
      <w:r>
        <w:rPr>
          <w:rFonts w:ascii="Arial" w:cs="Arial" w:eastAsia="Arial" w:hAnsi="Arial"/>
          <w:sz w:val="18"/>
          <w:szCs w:val="18"/>
          <w:color w:val="231F20"/>
        </w:rPr>
        <w:t>We offer the ability to continuously measure and optimize campaigns by leveraging powerful KPIs directly within</w:t>
      </w:r>
      <w:r>
        <w:rPr>
          <w:rFonts w:ascii="Arial" w:cs="Arial" w:eastAsia="Arial" w:hAnsi="Arial"/>
          <w:sz w:val="18"/>
          <w:szCs w:val="18"/>
          <w:i w:val="1"/>
          <w:iCs w:val="1"/>
          <w:color w:val="231F20"/>
        </w:rPr>
        <w:t xml:space="preserve"> </w:t>
      </w:r>
      <w:r>
        <w:rPr>
          <w:rFonts w:ascii="Arial" w:cs="Arial" w:eastAsia="Arial" w:hAnsi="Arial"/>
          <w:sz w:val="18"/>
          <w:szCs w:val="18"/>
          <w:color w:val="231F20"/>
        </w:rPr>
        <w:t>platform reports. Marketers have the ability to log on to the self-service platform to immediately pause, update or re-align campaigns, even if they have already started. This granular decision-making ability provides customers more accurate and real-time understanding over the performance of their live campaigns.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firstLine="589"/>
        <w:spacing w:after="0" w:line="277" w:lineRule="auto"/>
        <w:rPr>
          <w:sz w:val="20"/>
          <w:szCs w:val="20"/>
          <w:color w:val="auto"/>
        </w:rPr>
      </w:pPr>
      <w:r>
        <w:rPr>
          <w:rFonts w:ascii="Arial" w:cs="Arial" w:eastAsia="Arial" w:hAnsi="Arial"/>
          <w:sz w:val="18"/>
          <w:szCs w:val="18"/>
          <w:b w:val="1"/>
          <w:bCs w:val="1"/>
          <w:i w:val="1"/>
          <w:iCs w:val="1"/>
          <w:color w:val="231F20"/>
        </w:rPr>
        <w:t xml:space="preserve">Identity Management: </w:t>
      </w:r>
      <w:r>
        <w:rPr>
          <w:rFonts w:ascii="Arial" w:cs="Arial" w:eastAsia="Arial" w:hAnsi="Arial"/>
          <w:sz w:val="18"/>
          <w:szCs w:val="18"/>
          <w:color w:val="231F20"/>
        </w:rPr>
        <w:t>Marketers can easily sync customer data, build custom audiences, extend target audiences and understand audience insights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seamlessly within our cloud-based, on-demand platform.</w:t>
      </w:r>
    </w:p>
    <w:p>
      <w:pPr>
        <w:spacing w:after="0" w:line="170" w:lineRule="exact"/>
        <w:rPr>
          <w:sz w:val="20"/>
          <w:szCs w:val="20"/>
          <w:color w:val="auto"/>
        </w:rPr>
      </w:pPr>
    </w:p>
    <w:p>
      <w:pPr>
        <w:ind w:left="1160" w:hanging="572"/>
        <w:spacing w:after="0" w:line="263" w:lineRule="auto"/>
        <w:tabs>
          <w:tab w:leader="none" w:pos="1160"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 xml:space="preserve">Onboarding. </w:t>
      </w:r>
      <w:r>
        <w:rPr>
          <w:rFonts w:ascii="Arial" w:cs="Arial" w:eastAsia="Arial" w:hAnsi="Arial"/>
          <w:sz w:val="18"/>
          <w:szCs w:val="18"/>
          <w:color w:val="231F20"/>
        </w:rPr>
        <w:t>Through our simple interface, marketers can easily upload and leverage their first-party data. We enable marketers to onboard</w:t>
      </w:r>
      <w:r>
        <w:rPr>
          <w:rFonts w:ascii="Arial" w:cs="Arial" w:eastAsia="Arial" w:hAnsi="Arial"/>
          <w:sz w:val="18"/>
          <w:szCs w:val="18"/>
          <w:i w:val="1"/>
          <w:iCs w:val="1"/>
          <w:color w:val="231F20"/>
        </w:rPr>
        <w:t xml:space="preserve"> </w:t>
      </w:r>
      <w:r>
        <w:rPr>
          <w:rFonts w:ascii="Arial" w:cs="Arial" w:eastAsia="Arial" w:hAnsi="Arial"/>
          <w:sz w:val="18"/>
          <w:szCs w:val="18"/>
          <w:color w:val="231F20"/>
        </w:rPr>
        <w:t>their first-party data and instantly gain a view into their customers’ top attributes, create targeting segments and easily activate these customer segments.</w:t>
      </w:r>
    </w:p>
    <w:p>
      <w:pPr>
        <w:spacing w:after="0" w:line="183" w:lineRule="exact"/>
        <w:rPr>
          <w:rFonts w:ascii="Arial" w:cs="Arial" w:eastAsia="Arial" w:hAnsi="Arial"/>
          <w:sz w:val="18"/>
          <w:szCs w:val="18"/>
          <w:color w:val="231F20"/>
        </w:rPr>
      </w:pPr>
    </w:p>
    <w:p>
      <w:pPr>
        <w:ind w:left="1160" w:hanging="572"/>
        <w:spacing w:after="0"/>
        <w:tabs>
          <w:tab w:leader="none" w:pos="1160"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 xml:space="preserve">Look-a-Like Modeling. </w:t>
      </w:r>
      <w:r>
        <w:rPr>
          <w:rFonts w:ascii="Arial" w:cs="Arial" w:eastAsia="Arial" w:hAnsi="Arial"/>
          <w:sz w:val="18"/>
          <w:szCs w:val="18"/>
          <w:color w:val="231F20"/>
        </w:rPr>
        <w:t>We help expand the reach of an existing audience segment or prospect list for new customers.</w:t>
      </w:r>
    </w:p>
    <w:p>
      <w:pPr>
        <w:spacing w:after="0" w:line="225" w:lineRule="exact"/>
        <w:rPr>
          <w:rFonts w:ascii="Arial" w:cs="Arial" w:eastAsia="Arial" w:hAnsi="Arial"/>
          <w:sz w:val="18"/>
          <w:szCs w:val="18"/>
          <w:color w:val="231F20"/>
        </w:rPr>
      </w:pPr>
    </w:p>
    <w:p>
      <w:pPr>
        <w:ind w:left="1160" w:right="40" w:hanging="572"/>
        <w:spacing w:after="0" w:line="259" w:lineRule="auto"/>
        <w:tabs>
          <w:tab w:leader="none" w:pos="1160"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 xml:space="preserve">Identity Direct Match to More than 70 Data Partners. </w:t>
      </w:r>
      <w:r>
        <w:rPr>
          <w:rFonts w:ascii="Arial" w:cs="Arial" w:eastAsia="Arial" w:hAnsi="Arial"/>
          <w:sz w:val="18"/>
          <w:szCs w:val="18"/>
          <w:color w:val="231F20"/>
        </w:rPr>
        <w:t>Our DSP is integrated with more than 70 data partners. We use people-based</w:t>
      </w:r>
      <w:r>
        <w:rPr>
          <w:rFonts w:ascii="Arial" w:cs="Arial" w:eastAsia="Arial" w:hAnsi="Arial"/>
          <w:sz w:val="18"/>
          <w:szCs w:val="18"/>
          <w:i w:val="1"/>
          <w:iCs w:val="1"/>
          <w:color w:val="231F20"/>
        </w:rPr>
        <w:t xml:space="preserve"> </w:t>
      </w:r>
      <w:r>
        <w:rPr>
          <w:rFonts w:ascii="Arial" w:cs="Arial" w:eastAsia="Arial" w:hAnsi="Arial"/>
          <w:sz w:val="18"/>
          <w:szCs w:val="18"/>
          <w:color w:val="231F20"/>
        </w:rPr>
        <w:t>identifiers to integrate with these data partners, which allows for marketers to achieve high match rates against 280,000 audience segments for use in targeted ad campaigns. Our latest software innovation, Mediator, quickly matches demand and supply and we believe efficiency will increase significantly as we continue to improve the software.</w:t>
      </w:r>
    </w:p>
    <w:p>
      <w:pPr>
        <w:spacing w:after="0" w:line="186" w:lineRule="exact"/>
        <w:rPr>
          <w:rFonts w:ascii="Arial" w:cs="Arial" w:eastAsia="Arial" w:hAnsi="Arial"/>
          <w:sz w:val="18"/>
          <w:szCs w:val="18"/>
          <w:color w:val="231F20"/>
        </w:rPr>
      </w:pPr>
    </w:p>
    <w:p>
      <w:pPr>
        <w:ind w:left="1160" w:right="620" w:hanging="572"/>
        <w:spacing w:after="0" w:line="342" w:lineRule="auto"/>
        <w:tabs>
          <w:tab w:leader="none" w:pos="1160" w:val="left"/>
        </w:tabs>
        <w:numPr>
          <w:ilvl w:val="0"/>
          <w:numId w:val="8"/>
        </w:numPr>
        <w:rPr>
          <w:rFonts w:ascii="Arial" w:cs="Arial" w:eastAsia="Arial" w:hAnsi="Arial"/>
          <w:sz w:val="16"/>
          <w:szCs w:val="16"/>
          <w:color w:val="231F20"/>
        </w:rPr>
      </w:pPr>
      <w:r>
        <w:rPr>
          <w:rFonts w:ascii="Arial" w:cs="Arial" w:eastAsia="Arial" w:hAnsi="Arial"/>
          <w:sz w:val="16"/>
          <w:szCs w:val="16"/>
          <w:i w:val="1"/>
          <w:iCs w:val="1"/>
          <w:color w:val="231F20"/>
        </w:rPr>
        <w:t xml:space="preserve">Privacy and Security. </w:t>
      </w:r>
      <w:r>
        <w:rPr>
          <w:rFonts w:ascii="Arial" w:cs="Arial" w:eastAsia="Arial" w:hAnsi="Arial"/>
          <w:sz w:val="16"/>
          <w:szCs w:val="16"/>
          <w:color w:val="231F20"/>
        </w:rPr>
        <w:t>We believe in giving consumers more transparency, choice, and control over how their data is used in digital</w:t>
      </w:r>
      <w:r>
        <w:rPr>
          <w:rFonts w:ascii="Arial" w:cs="Arial" w:eastAsia="Arial" w:hAnsi="Arial"/>
          <w:sz w:val="16"/>
          <w:szCs w:val="16"/>
          <w:i w:val="1"/>
          <w:iCs w:val="1"/>
          <w:color w:val="231F20"/>
        </w:rPr>
        <w:t xml:space="preserve"> </w:t>
      </w:r>
      <w:r>
        <w:rPr>
          <w:rFonts w:ascii="Arial" w:cs="Arial" w:eastAsia="Arial" w:hAnsi="Arial"/>
          <w:sz w:val="16"/>
          <w:szCs w:val="16"/>
          <w:color w:val="231F20"/>
        </w:rPr>
        <w:t>advertising. We support most advanced hashing protocols and make data protection a top priority for consumers and customers.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 xml:space="preserve">Advanced Reporting: </w:t>
      </w:r>
      <w:r>
        <w:rPr>
          <w:rFonts w:ascii="Arial" w:cs="Arial" w:eastAsia="Arial" w:hAnsi="Arial"/>
          <w:sz w:val="18"/>
          <w:szCs w:val="18"/>
          <w:color w:val="231F20"/>
        </w:rPr>
        <w:t>We close the loop on digital and traditional media by linking advertising spend to online and offline sales.</w:t>
      </w:r>
    </w:p>
    <w:p>
      <w:pPr>
        <w:spacing w:after="0" w:line="225" w:lineRule="exact"/>
        <w:rPr>
          <w:sz w:val="20"/>
          <w:szCs w:val="20"/>
          <w:color w:val="auto"/>
        </w:rPr>
      </w:pPr>
    </w:p>
    <w:p>
      <w:pPr>
        <w:ind w:left="1160" w:right="40" w:hanging="572"/>
        <w:spacing w:after="0" w:line="277"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Reach and Frequency. </w:t>
      </w:r>
      <w:r>
        <w:rPr>
          <w:rFonts w:ascii="Arial" w:cs="Arial" w:eastAsia="Arial" w:hAnsi="Arial"/>
          <w:sz w:val="18"/>
          <w:szCs w:val="18"/>
          <w:color w:val="231F20"/>
        </w:rPr>
        <w:t>Our platform accurately measures how many households and unique users an advertising campaign reached and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frequency of exposures.</w:t>
      </w:r>
    </w:p>
    <w:p>
      <w:pPr>
        <w:spacing w:after="0" w:line="170" w:lineRule="exact"/>
        <w:rPr>
          <w:rFonts w:ascii="Arial" w:cs="Arial" w:eastAsia="Arial" w:hAnsi="Arial"/>
          <w:sz w:val="18"/>
          <w:szCs w:val="18"/>
          <w:color w:val="231F20"/>
        </w:rPr>
      </w:pPr>
    </w:p>
    <w:p>
      <w:pPr>
        <w:ind w:left="1160" w:hanging="572"/>
        <w:spacing w:after="0" w:line="277"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Cross-Channel Suite. </w:t>
      </w:r>
      <w:r>
        <w:rPr>
          <w:rFonts w:ascii="Arial" w:cs="Arial" w:eastAsia="Arial" w:hAnsi="Arial"/>
          <w:sz w:val="18"/>
          <w:szCs w:val="18"/>
          <w:color w:val="231F20"/>
        </w:rPr>
        <w:t>Our cross-channel reporting capabilities equip customers to analyze cross-device and cross-channel campaign impact</w:t>
      </w:r>
      <w:r>
        <w:rPr>
          <w:rFonts w:ascii="Arial" w:cs="Arial" w:eastAsia="Arial" w:hAnsi="Arial"/>
          <w:sz w:val="18"/>
          <w:szCs w:val="18"/>
          <w:i w:val="1"/>
          <w:iCs w:val="1"/>
          <w:color w:val="231F20"/>
        </w:rPr>
        <w:t xml:space="preserve"> </w:t>
      </w:r>
      <w:r>
        <w:rPr>
          <w:rFonts w:ascii="Arial" w:cs="Arial" w:eastAsia="Arial" w:hAnsi="Arial"/>
          <w:sz w:val="18"/>
          <w:szCs w:val="18"/>
          <w:color w:val="231F20"/>
        </w:rPr>
        <w:t>on sales and other key performance indicators.</w:t>
      </w:r>
    </w:p>
    <w:p>
      <w:pPr>
        <w:spacing w:after="0" w:line="170" w:lineRule="exact"/>
        <w:rPr>
          <w:rFonts w:ascii="Arial" w:cs="Arial" w:eastAsia="Arial" w:hAnsi="Arial"/>
          <w:sz w:val="18"/>
          <w:szCs w:val="18"/>
          <w:color w:val="231F20"/>
        </w:rPr>
      </w:pPr>
    </w:p>
    <w:p>
      <w:pPr>
        <w:ind w:left="1160" w:right="40" w:hanging="572"/>
        <w:spacing w:after="0" w:line="263"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TV Reporting Suite. </w:t>
      </w:r>
      <w:r>
        <w:rPr>
          <w:rFonts w:ascii="Arial" w:cs="Arial" w:eastAsia="Arial" w:hAnsi="Arial"/>
          <w:sz w:val="18"/>
          <w:szCs w:val="18"/>
          <w:color w:val="231F20"/>
        </w:rPr>
        <w:t>Our TV reporting suite gives insights into the impact connected and linear television advertising has on driving digital</w:t>
      </w:r>
      <w:r>
        <w:rPr>
          <w:rFonts w:ascii="Arial" w:cs="Arial" w:eastAsia="Arial" w:hAnsi="Arial"/>
          <w:sz w:val="18"/>
          <w:szCs w:val="18"/>
          <w:i w:val="1"/>
          <w:iCs w:val="1"/>
          <w:color w:val="231F20"/>
        </w:rPr>
        <w:t xml:space="preserve"> </w:t>
      </w:r>
      <w:r>
        <w:rPr>
          <w:rFonts w:ascii="Arial" w:cs="Arial" w:eastAsia="Arial" w:hAnsi="Arial"/>
          <w:sz w:val="18"/>
          <w:szCs w:val="18"/>
          <w:color w:val="231F20"/>
        </w:rPr>
        <w:t>engagement like website visits or conversions, as well as offline sales. These insights create better visibility into the true ROAS of TV ad campaigns.</w:t>
      </w:r>
    </w:p>
    <w:p>
      <w:pPr>
        <w:spacing w:after="0" w:line="183" w:lineRule="exact"/>
        <w:rPr>
          <w:rFonts w:ascii="Arial" w:cs="Arial" w:eastAsia="Arial" w:hAnsi="Arial"/>
          <w:sz w:val="18"/>
          <w:szCs w:val="18"/>
          <w:color w:val="231F20"/>
        </w:rPr>
      </w:pPr>
    </w:p>
    <w:p>
      <w:pPr>
        <w:ind w:left="1160" w:right="140" w:hanging="572"/>
        <w:spacing w:after="0" w:line="263"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Multi-Touch Attribution (“MTA”). </w:t>
      </w:r>
      <w:r>
        <w:rPr>
          <w:rFonts w:ascii="Arial" w:cs="Arial" w:eastAsia="Arial" w:hAnsi="Arial"/>
          <w:sz w:val="18"/>
          <w:szCs w:val="18"/>
          <w:color w:val="231F20"/>
        </w:rPr>
        <w:t>Our MTA suite gives customers the ability to report on six different attribution models, ingest online</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offline files and gain visibility into consumer purchase pathways. The resulting holistic view of ad performance enables customers to close the loop in measurement and better link spend to sales.</w:t>
      </w:r>
    </w:p>
    <w:p>
      <w:pPr>
        <w:spacing w:after="0" w:line="183" w:lineRule="exact"/>
        <w:rPr>
          <w:rFonts w:ascii="Arial" w:cs="Arial" w:eastAsia="Arial" w:hAnsi="Arial"/>
          <w:sz w:val="18"/>
          <w:szCs w:val="18"/>
          <w:color w:val="231F20"/>
        </w:rPr>
      </w:pPr>
    </w:p>
    <w:p>
      <w:pPr>
        <w:ind w:left="1160" w:right="20" w:hanging="572"/>
        <w:spacing w:after="0" w:line="277"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Foot Traffic Attribution. </w:t>
      </w:r>
      <w:r>
        <w:rPr>
          <w:rFonts w:ascii="Arial" w:cs="Arial" w:eastAsia="Arial" w:hAnsi="Arial"/>
          <w:sz w:val="18"/>
          <w:szCs w:val="18"/>
          <w:color w:val="231F20"/>
        </w:rPr>
        <w:t>Our foot traffic data reporting capabilities allow customers to analyze the impact of their ad campaigns on driving</w:t>
      </w:r>
      <w:r>
        <w:rPr>
          <w:rFonts w:ascii="Arial" w:cs="Arial" w:eastAsia="Arial" w:hAnsi="Arial"/>
          <w:sz w:val="18"/>
          <w:szCs w:val="18"/>
          <w:i w:val="1"/>
          <w:iCs w:val="1"/>
          <w:color w:val="231F20"/>
        </w:rPr>
        <w:t xml:space="preserve"> </w:t>
      </w:r>
      <w:r>
        <w:rPr>
          <w:rFonts w:ascii="Arial" w:cs="Arial" w:eastAsia="Arial" w:hAnsi="Arial"/>
          <w:sz w:val="18"/>
          <w:szCs w:val="18"/>
          <w:color w:val="231F20"/>
        </w:rPr>
        <w:t>visits to a physical location.</w:t>
      </w:r>
    </w:p>
    <w:p>
      <w:pPr>
        <w:spacing w:after="0" w:line="170" w:lineRule="exact"/>
        <w:rPr>
          <w:rFonts w:ascii="Arial" w:cs="Arial" w:eastAsia="Arial" w:hAnsi="Arial"/>
          <w:sz w:val="18"/>
          <w:szCs w:val="18"/>
          <w:color w:val="231F20"/>
        </w:rPr>
      </w:pPr>
    </w:p>
    <w:p>
      <w:pPr>
        <w:ind w:left="1160" w:right="300" w:hanging="572"/>
        <w:spacing w:after="0" w:line="263" w:lineRule="auto"/>
        <w:tabs>
          <w:tab w:leader="none" w:pos="116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Digital Billboard Reporting Suite. </w:t>
      </w:r>
      <w:r>
        <w:rPr>
          <w:rFonts w:ascii="Arial" w:cs="Arial" w:eastAsia="Arial" w:hAnsi="Arial"/>
          <w:sz w:val="18"/>
          <w:szCs w:val="18"/>
          <w:color w:val="231F20"/>
        </w:rPr>
        <w:t>Our digital billboard reporting suite provides a holistic view of ad spend, giving customers real-time</w:t>
      </w:r>
      <w:r>
        <w:rPr>
          <w:rFonts w:ascii="Arial" w:cs="Arial" w:eastAsia="Arial" w:hAnsi="Arial"/>
          <w:sz w:val="18"/>
          <w:szCs w:val="18"/>
          <w:i w:val="1"/>
          <w:iCs w:val="1"/>
          <w:color w:val="231F20"/>
        </w:rPr>
        <w:t xml:space="preserve"> </w:t>
      </w:r>
      <w:r>
        <w:rPr>
          <w:rFonts w:ascii="Arial" w:cs="Arial" w:eastAsia="Arial" w:hAnsi="Arial"/>
          <w:sz w:val="18"/>
          <w:szCs w:val="18"/>
          <w:color w:val="231F20"/>
        </w:rPr>
        <w:t>insights into their digital billboard ad performance and helping customers optimize budgets by allocating ad spend on effective digital billboards and venue types.</w:t>
      </w:r>
    </w:p>
    <w:p>
      <w:pPr>
        <w:spacing w:after="0" w:line="183" w:lineRule="exact"/>
        <w:rPr>
          <w:rFonts w:ascii="Arial" w:cs="Arial" w:eastAsia="Arial" w:hAnsi="Arial"/>
          <w:sz w:val="18"/>
          <w:szCs w:val="18"/>
          <w:color w:val="231F20"/>
        </w:rPr>
      </w:pPr>
    </w:p>
    <w:p>
      <w:pPr>
        <w:ind w:left="1160" w:right="40" w:hanging="572"/>
        <w:spacing w:after="0" w:line="286" w:lineRule="auto"/>
        <w:tabs>
          <w:tab w:leader="none" w:pos="1160" w:val="left"/>
        </w:tabs>
        <w:numPr>
          <w:ilvl w:val="0"/>
          <w:numId w:val="9"/>
        </w:numPr>
        <w:rPr>
          <w:rFonts w:ascii="Arial" w:cs="Arial" w:eastAsia="Arial" w:hAnsi="Arial"/>
          <w:sz w:val="17"/>
          <w:szCs w:val="17"/>
          <w:color w:val="231F20"/>
        </w:rPr>
      </w:pPr>
      <w:r>
        <w:rPr>
          <w:rFonts w:ascii="Arial" w:cs="Arial" w:eastAsia="Arial" w:hAnsi="Arial"/>
          <w:sz w:val="17"/>
          <w:szCs w:val="17"/>
          <w:i w:val="1"/>
          <w:iCs w:val="1"/>
          <w:color w:val="231F20"/>
        </w:rPr>
        <w:t xml:space="preserve">Automated Brand Surveys. </w:t>
      </w:r>
      <w:r>
        <w:rPr>
          <w:rFonts w:ascii="Arial" w:cs="Arial" w:eastAsia="Arial" w:hAnsi="Arial"/>
          <w:sz w:val="17"/>
          <w:szCs w:val="17"/>
          <w:color w:val="231F20"/>
        </w:rPr>
        <w:t>Customers using our reporting capabilities can generate on-demand surveys to better gauge the effectiveness of</w:t>
      </w:r>
      <w:r>
        <w:rPr>
          <w:rFonts w:ascii="Arial" w:cs="Arial" w:eastAsia="Arial" w:hAnsi="Arial"/>
          <w:sz w:val="17"/>
          <w:szCs w:val="17"/>
          <w:i w:val="1"/>
          <w:iCs w:val="1"/>
          <w:color w:val="231F20"/>
        </w:rPr>
        <w:t xml:space="preserve"> </w:t>
      </w:r>
      <w:r>
        <w:rPr>
          <w:rFonts w:ascii="Arial" w:cs="Arial" w:eastAsia="Arial" w:hAnsi="Arial"/>
          <w:sz w:val="17"/>
          <w:szCs w:val="17"/>
          <w:color w:val="231F20"/>
        </w:rPr>
        <w:t>advertising campaigns. Brand surveys deliver automated feedback and give customers the ability to create accurate benchmarks for historical performance and for measurement of advertising performance with a real-time feedback loop.</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ind w:right="260" w:firstLine="589"/>
        <w:spacing w:after="0" w:line="277" w:lineRule="auto"/>
        <w:rPr>
          <w:sz w:val="20"/>
          <w:szCs w:val="20"/>
          <w:color w:val="auto"/>
        </w:rPr>
      </w:pPr>
      <w:r>
        <w:rPr>
          <w:rFonts w:ascii="Arial" w:cs="Arial" w:eastAsia="Arial" w:hAnsi="Arial"/>
          <w:sz w:val="18"/>
          <w:szCs w:val="18"/>
          <w:color w:val="231F20"/>
        </w:rPr>
        <w:t>Our platform is built with ad buyers in mind and offers many in-depth features that give buyers the highest levels of control, which helps ensure they are running the most efficient campaigns possible. This includes:</w:t>
      </w:r>
    </w:p>
    <w:p>
      <w:pPr>
        <w:spacing w:after="0" w:line="170" w:lineRule="exact"/>
        <w:rPr>
          <w:sz w:val="20"/>
          <w:szCs w:val="20"/>
          <w:color w:val="auto"/>
        </w:rPr>
      </w:pPr>
    </w:p>
    <w:p>
      <w:pPr>
        <w:jc w:val="both"/>
        <w:ind w:left="1160" w:right="240" w:hanging="572"/>
        <w:spacing w:after="0" w:line="259" w:lineRule="auto"/>
        <w:tabs>
          <w:tab w:leader="none" w:pos="116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Bulk Functionality: </w:t>
      </w:r>
      <w:r>
        <w:rPr>
          <w:rFonts w:ascii="Arial" w:cs="Arial" w:eastAsia="Arial" w:hAnsi="Arial"/>
          <w:sz w:val="18"/>
          <w:szCs w:val="18"/>
          <w:color w:val="231F20"/>
        </w:rPr>
        <w:t>Our platform is built to ease the lives of programmatic traders. With Adelphic, traders can mass edit ad orders and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campaigns, instead of making individual changes one at a time, saving significant time. For example, if a trader wants to change the bid price for all 1,000 of their ad orders, they could simply download a form and upload it, rather than wasting time by editing each ad order one by one.</w:t>
      </w:r>
    </w:p>
    <w:p>
      <w:pPr>
        <w:spacing w:after="0" w:line="186" w:lineRule="exact"/>
        <w:rPr>
          <w:rFonts w:ascii="Arial" w:cs="Arial" w:eastAsia="Arial" w:hAnsi="Arial"/>
          <w:sz w:val="18"/>
          <w:szCs w:val="18"/>
          <w:color w:val="231F20"/>
        </w:rPr>
      </w:pPr>
    </w:p>
    <w:p>
      <w:pPr>
        <w:ind w:left="1160" w:hanging="572"/>
        <w:spacing w:after="0" w:line="259" w:lineRule="auto"/>
        <w:tabs>
          <w:tab w:leader="none" w:pos="116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API Capabilities: </w:t>
      </w:r>
      <w:r>
        <w:rPr>
          <w:rFonts w:ascii="Arial" w:cs="Arial" w:eastAsia="Arial" w:hAnsi="Arial"/>
          <w:sz w:val="18"/>
          <w:szCs w:val="18"/>
          <w:color w:val="231F20"/>
        </w:rPr>
        <w:t>Adelphic provides ease of integration using APIs and tools. The API capabilities provide bilateral data syndication into</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or out of the platform for trafficking and reporting in formats easily accepted by business intelligence teams for programmatic traders. With these, traders can maintain customer identities with a fully integrated platform that links devices and offline activities to real people and seamlessly execute and measure campaigns.</w:t>
      </w:r>
    </w:p>
    <w:p>
      <w:pPr>
        <w:spacing w:after="0" w:line="186" w:lineRule="exact"/>
        <w:rPr>
          <w:rFonts w:ascii="Arial" w:cs="Arial" w:eastAsia="Arial" w:hAnsi="Arial"/>
          <w:sz w:val="18"/>
          <w:szCs w:val="18"/>
          <w:color w:val="231F20"/>
        </w:rPr>
      </w:pPr>
    </w:p>
    <w:p>
      <w:pPr>
        <w:ind w:left="1160" w:right="60" w:hanging="572"/>
        <w:spacing w:after="0" w:line="263" w:lineRule="auto"/>
        <w:tabs>
          <w:tab w:leader="none" w:pos="116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Machine Learning Algorithms: </w:t>
      </w:r>
      <w:r>
        <w:rPr>
          <w:rFonts w:ascii="Arial" w:cs="Arial" w:eastAsia="Arial" w:hAnsi="Arial"/>
          <w:sz w:val="18"/>
          <w:szCs w:val="18"/>
          <w:color w:val="231F20"/>
        </w:rPr>
        <w:t>Our built-in advanced machine learning technology analyzes millions of impressions and data points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every second. Our algorithms find optimal bid prices for maximizing performance and scale across all major KPIs, allowing our customers to strengthen their campaign efforts and build confidence in programmatic campaign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Technology and Development</w:t>
      </w:r>
    </w:p>
    <w:p>
      <w:pPr>
        <w:spacing w:after="0" w:line="229"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231F20"/>
        </w:rPr>
        <w:t>Rapid and continuing innovation is a core driver of our business success and our corporate culture. Our product and engineering team is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 of our user interface and automation functions, and to increase the number of advertising and data inventory integrations in various channels.</w:t>
      </w:r>
    </w:p>
    <w:p>
      <w:pPr>
        <w:spacing w:after="0" w:line="161"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231F20"/>
        </w:rPr>
        <w:t>The technical infrastructure for our platform is currently managed through third-party web hosting services providers and to a limited extent, our own servers which are located at a third-party data center facility. We generally enter into one to two year agreements with our web hosting providers.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Customers</w:t>
      </w:r>
    </w:p>
    <w:p>
      <w:pPr>
        <w:spacing w:after="0" w:line="229"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231F20"/>
        </w:rPr>
        <w:t>Our customers consist of purchasers of programmatic advertising inventory. We define an Active Customer as a customer that had total aggregate revenue ex-TAC of at least $5,000 through our platform during the previous twelve months. We had 264 and 277 Active Customers for the years ended December 31, 2020 and 2019, in each case consisting of advertising buyers, including large advertising holding companies, independent advertising agencies, mid-market advertising service organizations as well as marketers relying on our self-service software platform for their programmatic ad buying needs. For a detailed discussion of Active Customers, see “Management’s Discussion and Analysis of Financial Condition and Results of Operation—Key Operating and Financial Performance Metrics—Number of Active Customers and Average Revenue ex-TAC per Active Customer.” Revenue ex-TAC is a non-GAAP measure. For a detailed discussion of our key operating and financial performance metrics and a reconciliation of revenue ex-TAC to the most directly comparable financial measure calculated in accordance with GAAP, see “Management’s Discussion and Analysis of Financial Condition and Results of Operation—Key Operating and Financial Performance Metrics—Use of Non-GAAP Financial Measures.”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firstLine="589"/>
        <w:spacing w:after="0" w:line="293" w:lineRule="auto"/>
        <w:rPr>
          <w:sz w:val="20"/>
          <w:szCs w:val="20"/>
          <w:color w:val="auto"/>
        </w:rPr>
      </w:pPr>
      <w:r>
        <w:rPr>
          <w:rFonts w:ascii="Arial" w:cs="Arial" w:eastAsia="Arial" w:hAnsi="Arial"/>
          <w:sz w:val="16"/>
          <w:szCs w:val="16"/>
          <w:color w:val="231F20"/>
        </w:rPr>
        <w:t>Many of the advertising agencies that we work with are owned by holding companies, where decision-making is generally highly decentralized such that purchasing decisions are made, and relationships with advertisers are located, at the agency, local branch or division level. Our customer count includes only those parties with which we have a billing relationship. We contract with our customers either through master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Insertion orders are generally limited in scope and can be reduced or canceled by a buyer without penalty.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Advertising and Data Supply</w:t>
      </w:r>
    </w:p>
    <w:p>
      <w:pPr>
        <w:spacing w:after="0" w:line="229"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231F20"/>
        </w:rPr>
        <w:t>We obtain digital advertising inventory primarily through our integrations with supply side platforms (“SSPs”) and directly with publishers. We believe that our integrations across every channel give us the most robust omnichannel integrations of any single platform. These suppliers provide us with access to a breadth of programmatic advertising inventory across desktop, mobile, connected TV, linear TV, streaming audio and digital billboards.</w:t>
      </w:r>
    </w:p>
    <w:p>
      <w:pPr>
        <w:spacing w:after="0" w:line="14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231F20"/>
        </w:rPr>
        <w:t>We enable deep data access through our integrations with over 70 leading data companies, giving our customers access to data across key industry verticals, including auto, retail, consumer packaged goods, travel and health. Customers onboard their own first-party data onto our platform, without the need of a separate data management platform. Our operation of Myspace.com provides certain data assets and intellectual property that we may leverage to continue to offer innovative products and services to our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229"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231F20"/>
        </w:rPr>
        <w:t>We sell our platform through a direct sales team focused on business development across all markets, including sales to new customers and revenue growth within existing customers. We have an experienced sales team of 75 sellers across the United States who are focused on selling access to our platform in our target markets,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Adelphic Certification, that covers programmatic industry trends, technology capabilities and time-saving workflows and have an online knowledge base with robust documentation. We provide dedicated customer support and work with customers as they set up and optimize their campaigns, assist with delivery against key performance indicators and goals, and provide post-campaign support and recommendations.</w:t>
      </w:r>
    </w:p>
    <w:p>
      <w:pPr>
        <w:spacing w:after="0" w:line="166"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231F20"/>
        </w:rPr>
        <w:t>We tailor our contracts and terms to the needs of our customers, including by offering our three different pricing options: a percentage of spend option, a subscription option and a fixed CPM pricing option. Customers can use our platform on a self-service basis or can enlist our services to execute their campaigns.</w:t>
      </w:r>
    </w:p>
    <w:p>
      <w:pPr>
        <w:spacing w:after="0" w:line="18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Our marketing efforts are focused on increasing awareness and consideration for our brands, executing thought-leadership initiatives, participating in industry events, creating comprehensive sales support materials and generating new customer leads. We seek to accomplish these objectives by presenting at industry conferences, hosting customer conferences, publishing white papers and research, public relations activities, advertising campaigns and social media presence.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Privacy and Data Protection</w:t>
      </w:r>
    </w:p>
    <w:p>
      <w:pPr>
        <w:spacing w:after="0" w:line="229" w:lineRule="exact"/>
        <w:rPr>
          <w:sz w:val="20"/>
          <w:szCs w:val="20"/>
          <w:color w:val="auto"/>
        </w:rPr>
      </w:pPr>
    </w:p>
    <w:p>
      <w:pPr>
        <w:ind w:right="460" w:firstLine="589"/>
        <w:spacing w:after="0" w:line="311" w:lineRule="auto"/>
        <w:rPr>
          <w:sz w:val="20"/>
          <w:szCs w:val="20"/>
          <w:color w:val="auto"/>
        </w:rPr>
      </w:pPr>
      <w:r>
        <w:rPr>
          <w:rFonts w:ascii="Arial" w:cs="Arial" w:eastAsia="Arial" w:hAnsi="Arial"/>
          <w:sz w:val="16"/>
          <w:szCs w:val="16"/>
          <w:color w:val="231F20"/>
        </w:rPr>
        <w:t>Modern consumers use multiple platforms to learn about and purchase products and services, and consumers have come to expect a seamless experience across all channels. This challenges marketing organizations to balance the demands of the consumer and the most effective advertising techniques with responsible, privacy-compliant methods of managing data internally and with advertising technology intermediaries.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40" w:firstLine="589"/>
        <w:spacing w:after="0" w:line="273" w:lineRule="auto"/>
        <w:rPr>
          <w:sz w:val="20"/>
          <w:szCs w:val="20"/>
          <w:color w:val="auto"/>
        </w:rPr>
      </w:pPr>
      <w:r>
        <w:rPr>
          <w:rFonts w:ascii="Arial" w:cs="Arial" w:eastAsia="Arial" w:hAnsi="Arial"/>
          <w:sz w:val="17"/>
          <w:szCs w:val="17"/>
          <w:color w:val="231F20"/>
        </w:rPr>
        <w:t>We believe strongly in providing consumers with more visibility and control over their data. We have prioritized protecting the privacy of consumers and their data and offer consumers a robust suite of tools to manage their data. We have policies and operational practices governing our use of data that are designed to actively promote a set of meaningful privacy guidelines, including advanced consumer opt-out capability, best in class security measures, encryption of data using robust industry standards, proactive identification of threats and regular penetration testing. When giving our customers access to personal data, we provide that data in a “hashed,” or de-identified, manner. We have dedicated personnel in place to oversee our compliance with the data protection regulations that govern our business activities in the jurisdictions in which we operate.</w:t>
      </w:r>
    </w:p>
    <w:p>
      <w:pPr>
        <w:spacing w:after="0" w:line="17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231F20"/>
        </w:rPr>
        <w:t>The U.S. Congress and state legislatures, along with federal regulatory authorities, have recently increased their attention on matters concerning the collection and use of consumer data, including relating to internet-based advertising. Data privacy legislation has been introduced in the U.S. Congress, and California has enacted broad-based privacy legislation, the California Consumer Privacy Act. State legislatures outside of California have proposed, and in certain cases enacted, a variety of types of data privacy legislation. Many non-U.S. jurisdictions have also enacted or are developing laws and regulations governing the collection and use of personal data.</w:t>
      </w:r>
    </w:p>
    <w:p>
      <w:pPr>
        <w:spacing w:after="0" w:line="18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231F20"/>
        </w:rPr>
        <w:t>We expect the trend of enacting and revising data protection laws to continue and that new and expanded data privacy legislation in various forms will be implemented in the U.S. and in other countries around the globe.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22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231F20"/>
        </w:rPr>
        <w:t>Our industry is highly competitive and fragmented. We compete with smaller, privately-held companies, along with public companies such as the Trade Desk, and with divisions of large, well-established companies such as Google and Amazon. The competitive landscape in recent years has been affected by consolidation and limited investment in new startups in our industry and there are few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capabilities of our platform, our identity resolution capabilities, our omnichannel capabilities and our advance reporting capabilities. We believe that we are differentiated from our competitors in the following areas:</w:t>
      </w:r>
    </w:p>
    <w:p>
      <w:pPr>
        <w:spacing w:after="0" w:line="195"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we are an independent technology company focused on serving advertising agencies and marketers on the buy-side of our industry;</w:t>
      </w:r>
    </w:p>
    <w:p>
      <w:pPr>
        <w:spacing w:after="0" w:line="236" w:lineRule="exact"/>
        <w:rPr>
          <w:rFonts w:ascii="Arial" w:cs="Arial" w:eastAsia="Arial" w:hAnsi="Arial"/>
          <w:sz w:val="17"/>
          <w:szCs w:val="17"/>
          <w:color w:val="231F20"/>
        </w:rPr>
      </w:pPr>
    </w:p>
    <w:p>
      <w:pPr>
        <w:ind w:left="1160" w:hanging="572"/>
        <w:spacing w:after="0"/>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platform is self-service and easy to use;</w:t>
      </w:r>
    </w:p>
    <w:p>
      <w:pPr>
        <w:spacing w:after="0" w:line="225" w:lineRule="exact"/>
        <w:rPr>
          <w:rFonts w:ascii="Arial" w:cs="Arial" w:eastAsia="Arial" w:hAnsi="Arial"/>
          <w:sz w:val="18"/>
          <w:szCs w:val="18"/>
          <w:color w:val="231F20"/>
        </w:rPr>
      </w:pPr>
    </w:p>
    <w:p>
      <w:pPr>
        <w:ind w:left="1160" w:right="540" w:hanging="572"/>
        <w:spacing w:after="0" w:line="277" w:lineRule="auto"/>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we offer our DSP in an integrated manner with our people-based capabilities, so customers do not need to use separate providers for onboarding client information and ad and data purchasing services;</w:t>
      </w:r>
    </w:p>
    <w:p>
      <w:pPr>
        <w:spacing w:after="0" w:line="170" w:lineRule="exact"/>
        <w:rPr>
          <w:rFonts w:ascii="Arial" w:cs="Arial" w:eastAsia="Arial" w:hAnsi="Arial"/>
          <w:sz w:val="18"/>
          <w:szCs w:val="18"/>
          <w:color w:val="231F20"/>
        </w:rPr>
      </w:pPr>
    </w:p>
    <w:p>
      <w:pPr>
        <w:ind w:left="1160" w:hanging="572"/>
        <w:spacing w:after="0"/>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platform provides comprehensive access to a wide range of inventory types across a broad range of channels;</w:t>
      </w:r>
    </w:p>
    <w:p>
      <w:pPr>
        <w:spacing w:after="0" w:line="225" w:lineRule="exact"/>
        <w:rPr>
          <w:rFonts w:ascii="Arial" w:cs="Arial" w:eastAsia="Arial" w:hAnsi="Arial"/>
          <w:sz w:val="18"/>
          <w:szCs w:val="18"/>
          <w:color w:val="231F20"/>
        </w:rPr>
      </w:pPr>
    </w:p>
    <w:p>
      <w:pPr>
        <w:ind w:left="1160" w:right="360" w:hanging="572"/>
        <w:spacing w:after="0" w:line="277" w:lineRule="auto"/>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platform provides comprehensive access to a wide range of data partners across a broad range of industry verticals and channels to enable precise audience targeting and measurement;</w:t>
      </w:r>
    </w:p>
    <w:p>
      <w:pPr>
        <w:spacing w:after="0" w:line="170" w:lineRule="exact"/>
        <w:rPr>
          <w:rFonts w:ascii="Arial" w:cs="Arial" w:eastAsia="Arial" w:hAnsi="Arial"/>
          <w:sz w:val="18"/>
          <w:szCs w:val="18"/>
          <w:color w:val="231F20"/>
        </w:rPr>
      </w:pPr>
    </w:p>
    <w:p>
      <w:pPr>
        <w:ind w:left="1160" w:hanging="572"/>
        <w:spacing w:after="0"/>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identity resolution capabilities help marketers plan, buy and measure their campaigns more effectively;</w:t>
      </w:r>
    </w:p>
    <w:p>
      <w:pPr>
        <w:spacing w:after="0" w:line="225" w:lineRule="exact"/>
        <w:rPr>
          <w:rFonts w:ascii="Arial" w:cs="Arial" w:eastAsia="Arial" w:hAnsi="Arial"/>
          <w:sz w:val="18"/>
          <w:szCs w:val="18"/>
          <w:color w:val="231F20"/>
        </w:rPr>
      </w:pPr>
    </w:p>
    <w:p>
      <w:pPr>
        <w:ind w:left="1160" w:hanging="572"/>
        <w:spacing w:after="0"/>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we provide customer service and satisfaction; and</w:t>
      </w:r>
    </w:p>
    <w:p>
      <w:pPr>
        <w:spacing w:after="0" w:line="225" w:lineRule="exact"/>
        <w:rPr>
          <w:rFonts w:ascii="Arial" w:cs="Arial" w:eastAsia="Arial" w:hAnsi="Arial"/>
          <w:sz w:val="18"/>
          <w:szCs w:val="18"/>
          <w:color w:val="231F20"/>
        </w:rPr>
      </w:pPr>
    </w:p>
    <w:p>
      <w:pPr>
        <w:ind w:left="1160" w:hanging="572"/>
        <w:spacing w:after="0"/>
        <w:tabs>
          <w:tab w:leader="none" w:pos="11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we provide flexible pricing options to support a wide variety of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231F20"/>
        </w:rPr>
        <w:t>Our Human Capital</w:t>
      </w:r>
    </w:p>
    <w:p>
      <w:pPr>
        <w:spacing w:after="0" w:line="229"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231F20"/>
        </w:rPr>
        <w:t>We are a founder-led business and believe our employees and culture are key to our success. Our employees tend to be long tenured for our industry, with average tenure of the leadership team of nearly 12 years and more than 4 years across all employees. Our business and our culture are anchored on four core values that embody our resourceful mentality: “Live,” “Lead,” “Create” and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18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231F20"/>
        </w:rPr>
        <w:t>As of December 31, 2020, we had 289 employees in 10 offices around the United States. Our team draws from a broad spectrum of backgrounds and experiences across technology and advertising industries.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Diversity and Inclusion</w:t>
      </w:r>
    </w:p>
    <w:p>
      <w:pPr>
        <w:spacing w:after="0" w:line="22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231F20"/>
        </w:rPr>
        <w:t>We are committed to fostering a culture of inclusion where all employees feel valued and included. We believe our greatest asset is the people who work for us, and as part of our investment in our people, we prioritize diversity and inclusion. Our goal is to create a culture where we value, respect, and provide fair treatment and opportunities for all employees. Each year,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w:t>
      </w:r>
    </w:p>
    <w:p>
      <w:pPr>
        <w:spacing w:after="0" w:line="176"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231F20"/>
        </w:rPr>
        <w:t>We are committed to developing a diverse environment through recruiting, development programs, community involvement and fostering conversations about differences.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Talent Development</w:t>
      </w:r>
    </w:p>
    <w:p>
      <w:pPr>
        <w:spacing w:after="0" w:line="225"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231F20"/>
        </w:rPr>
        <w:t>Even though Viant has been around for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Compensation and Benefits</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231F20"/>
        </w:rPr>
        <w:t>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w:t>
      </w:r>
    </w:p>
    <w:p>
      <w:pPr>
        <w:spacing w:after="0" w:line="184"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231F20"/>
        </w:rPr>
        <w:t>In addition to salaries, we provide competitive compensation programs that are in line with our peers and industry. These programs may include bonuses, equity awards, 401(k) plan, healthcare and insurance benefits, flexible spending accounts, paid time off, family leave and employee assistance programs among many others.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Health, Safety and Wellness</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231F20"/>
        </w:rPr>
        <w:t>We strive to provide a work environment where our employees feel safe and are comfortable working. In response to the COVID-19 pandemic, we immediately implemented a teleworking program that complied with all applicable government regulations and protected our employees while allowing them to continue to be effective in their jobs. We continue to stay updated on changes in government regulations and implement them to meet our employees’ changing health and wellness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229" w:lineRule="exact"/>
        <w:rPr>
          <w:sz w:val="20"/>
          <w:szCs w:val="20"/>
          <w:color w:val="auto"/>
        </w:rPr>
      </w:pPr>
    </w:p>
    <w:p>
      <w:pPr>
        <w:ind w:right="560" w:firstLine="589"/>
        <w:spacing w:after="0" w:line="311" w:lineRule="auto"/>
        <w:rPr>
          <w:sz w:val="20"/>
          <w:szCs w:val="20"/>
          <w:color w:val="auto"/>
        </w:rPr>
      </w:pPr>
      <w:r>
        <w:rPr>
          <w:rFonts w:ascii="Arial" w:cs="Arial" w:eastAsia="Arial" w:hAnsi="Arial"/>
          <w:sz w:val="16"/>
          <w:szCs w:val="16"/>
          <w:color w:val="231F20"/>
        </w:rPr>
        <w:t>The protection of our technology and intellectual property is an important component of our success. We rely on intellectual property laws, including trade secret, copyright, patent and trademark laws in the U.S. and abroad, and use contracts, confidentiality procedures, non-disclosure agreements, employee disclosure and invention assignment agreements and other contractual rights to protect our intellectual property.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4" w:name="page15"/>
    <w:bookmarkEnd w:id="14"/>
    <w:p>
      <w:pPr>
        <w:ind w:right="120" w:firstLine="589"/>
        <w:spacing w:after="0" w:line="301" w:lineRule="auto"/>
        <w:rPr>
          <w:sz w:val="20"/>
          <w:szCs w:val="20"/>
          <w:color w:val="auto"/>
        </w:rPr>
      </w:pPr>
      <w:r>
        <w:rPr>
          <w:rFonts w:ascii="Arial" w:cs="Arial" w:eastAsia="Arial" w:hAnsi="Arial"/>
          <w:sz w:val="16"/>
          <w:szCs w:val="16"/>
          <w:color w:val="231F20"/>
        </w:rPr>
        <w:t>As of December 31, 2020, we held 26 issued patents, 10 pending patent applications and 306 issued trademarks. Our issued patents are scheduled to expire between 2025 and 2038. We continually review our development efforts to assess the existence and patentability of new intellectual property. In addition to the intellectual property relating to the operation of Adelphic and our people-based framework, we own intellectual property related to our owned site, Myspace.com. Of our issued patents, 11 relate to our platform and our people-based framework, and 15 relate to the Myspace.com site.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 xml:space="preserve">Viant was founded in 1999 by Tim, Chris and Russ Vanderhook who continue to lead our company today. Viant has been at the forefront of digital advertising technology since its inception and has demonstrated its ability to grow, thrive, and innovate as competitors have come and gone. In 2011, Viant acquired the social network website Myspace.com. In 2011, Tim and Chris Vanderhook started Xumo, a connected TV streaming service, which was acquired by Comcast Corp. in 2020. In 2015, Viant completed its first people-based integration. Viant remained independent until 2016, when Time Inc. acquired a 60% interest in Viant through its subsidiary, Viant Technology Holding Inc. (the “Former Holdco”). That interest was later acquired by Meredith Corporation when it acquired Time Inc. in 2018. In 2017, the Company purchased Adelphic, a DSP. Since the Adelphic acquisition, the Company has materially transformed from a full-service provider of digital advertising solutions into a leading DSP that enables marketers and their advertising agencies to centralize the planning, buying and measurement of their media investments using a people-based framework. Viant has grown from a business operating from a home office to a company with nearly 300 employees in 10 offices throughout the U.S. In 2019, Viant entered into an agreement that resulted in the retirement of the Former Holdco’s interest in Viant and </w:t>
      </w:r>
      <w:r>
        <w:rPr>
          <w:rFonts w:ascii="Arial" w:cs="Arial" w:eastAsia="Arial" w:hAnsi="Arial"/>
          <w:sz w:val="17"/>
          <w:szCs w:val="17"/>
          <w:color w:val="231F20"/>
        </w:rPr>
        <w:t>Tim Vanderhook, Chris Vanderhook and Four Brothers 2 LLC (the “Vanderhook</w:t>
      </w:r>
      <w:r>
        <w:rPr>
          <w:rFonts w:ascii="Arial" w:cs="Arial" w:eastAsia="Arial" w:hAnsi="Arial"/>
          <w:sz w:val="17"/>
          <w:szCs w:val="17"/>
          <w:color w:val="auto"/>
        </w:rPr>
        <w:t xml:space="preserve"> </w:t>
      </w:r>
      <w:r>
        <w:rPr>
          <w:rFonts w:ascii="Arial" w:cs="Arial" w:eastAsia="Arial" w:hAnsi="Arial"/>
          <w:sz w:val="17"/>
          <w:szCs w:val="17"/>
          <w:color w:val="231F20"/>
        </w:rPr>
        <w:t xml:space="preserve">Parties”) </w:t>
      </w:r>
      <w:r>
        <w:rPr>
          <w:rFonts w:ascii="Arial" w:cs="Arial" w:eastAsia="Arial" w:hAnsi="Arial"/>
          <w:sz w:val="17"/>
          <w:szCs w:val="17"/>
          <w:color w:val="000000"/>
        </w:rPr>
        <w:t>acquired that 60% interest in the Company (the “2019 Former Holdco transaction”), allowing it to once again become an independent company.</w:t>
      </w:r>
      <w:r>
        <w:rPr>
          <w:rFonts w:ascii="Arial" w:cs="Arial" w:eastAsia="Arial" w:hAnsi="Arial"/>
          <w:sz w:val="17"/>
          <w:szCs w:val="17"/>
          <w:color w:val="231F20"/>
        </w:rPr>
        <w:t xml:space="preserve"> </w:t>
      </w:r>
      <w:r>
        <w:rPr>
          <w:rFonts w:ascii="Arial" w:cs="Arial" w:eastAsia="Arial" w:hAnsi="Arial"/>
          <w:sz w:val="17"/>
          <w:szCs w:val="17"/>
          <w:color w:val="000000"/>
        </w:rPr>
        <w:t>Viant Technology Inc. was incorporated in Delaware on October 9, 2020. In connection with the consummation of our initial public offering (the “IPO”), Viant Technology Inc.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w:t>
      </w:r>
    </w:p>
    <w:p>
      <w:pPr>
        <w:spacing w:after="0" w:line="18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available, free of charge, through our website,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i w:val="1"/>
          <w:iCs w:val="1"/>
          <w:color w:val="231F20"/>
        </w:rPr>
        <w:t>Investing in our Class A common stock involves a high degree of risk. You should carefully consider the following risks and uncertainties described below, together with all other information contained in this Annual Report and in our other public filings, including our consolidated financial statements and the related notes appearing at the end of this Annual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Factors That May Affect Our Future Results</w:t>
      </w:r>
    </w:p>
    <w:p>
      <w:pPr>
        <w:spacing w:after="0" w:line="229" w:lineRule="exact"/>
        <w:rPr>
          <w:sz w:val="20"/>
          <w:szCs w:val="20"/>
          <w:color w:val="auto"/>
        </w:rPr>
      </w:pPr>
    </w:p>
    <w:p>
      <w:pPr>
        <w:jc w:val="both"/>
        <w:ind w:right="320" w:firstLine="589"/>
        <w:spacing w:after="0" w:line="275" w:lineRule="auto"/>
        <w:rPr>
          <w:sz w:val="20"/>
          <w:szCs w:val="20"/>
          <w:color w:val="auto"/>
        </w:rPr>
      </w:pPr>
      <w:r>
        <w:rPr>
          <w:rFonts w:ascii="Arial" w:cs="Arial" w:eastAsia="Arial" w:hAnsi="Arial"/>
          <w:sz w:val="17"/>
          <w:szCs w:val="17"/>
          <w:i w:val="1"/>
          <w:iCs w:val="1"/>
          <w:color w:val="231F20"/>
        </w:rPr>
        <w:t>The following summarizes the principal factors that make an investment in the Company speculative or risky. This summary should be read in conjunction with the remainder of this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176" w:lineRule="exact"/>
        <w:rPr>
          <w:sz w:val="20"/>
          <w:szCs w:val="20"/>
          <w:color w:val="auto"/>
        </w:rPr>
      </w:pPr>
    </w:p>
    <w:p>
      <w:pPr>
        <w:ind w:left="1160" w:right="4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new customers, effectively educate and train our existing customers on how to make full use of our platform and increase the usage of our platform by our customers;</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the expected benefits of an industry shift away from cookie-based consumer tracking;</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the COVID-19 pandemic and other sustained adverse market events on our and our customers’ business operations;</w:t>
      </w:r>
    </w:p>
    <w:p>
      <w:pPr>
        <w:spacing w:after="0" w:line="236" w:lineRule="exact"/>
        <w:rPr>
          <w:rFonts w:ascii="Arial" w:cs="Arial" w:eastAsia="Arial" w:hAnsi="Arial"/>
          <w:sz w:val="17"/>
          <w:szCs w:val="17"/>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innovate, effectively manage our growth and make the right investment decisions;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relatively new and evolving market for programmatic buying for advertising campaigns;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a significant amount of revenue from select advertising agencies as customers;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 and the varying nature, in terms of mix, of our different pricing options;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lengthy sales cycle and payment-related risks;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diminishment of, or failure to grow, our access to advertising inventory;</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intensely competitive nature of the market in which we participate; and</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on our business of data privacy regulation or data privacy breaches.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Our success and revenue growth is dependent on adding new customers, effectively educating and training our existing customers on how to make full use of our platform and increasing usage of our platform by our customers.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231F20"/>
        </w:rPr>
        <w:t>Our success is dependent on regularly adding new customers and increasing our customers’ usage of our platform.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their advertising spend. Accordingly, we must continually work to win new customers and retain existing customers, increase their usage of our platform and capture a larger share of their advertising spend.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We cannot assure you that our customers will continue to use and increase their spend on our platform or that we will be able to attract a sufficient number of new customers to continue to grow our business and revenue.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We may not realize the expected benefits of an industry shift away from cookie-based consumer tracking as such shift may not occur as rapidly as we expect or may not be realized at all.</w:t>
      </w:r>
    </w:p>
    <w:p>
      <w:pPr>
        <w:spacing w:after="0" w:line="170"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231F20"/>
        </w:rPr>
        <w:t>We expect to benefit as compared to others in our industry from marketers reducing their reliance on vendors and software platforms that utilize third-party cookies for tracking. However, we cannot assure you that the shift away from cookie-based consumer tracking will happen as rapidly as we expect or that such shift will occur at all.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The effects of the ongoing COVID-19 pandemic and other sustained adverse market events have had, and could in the future have, an adverse impact on our business, operating results and financial condition.</w:t>
      </w:r>
    </w:p>
    <w:p>
      <w:pPr>
        <w:spacing w:after="0" w:line="170"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231F20"/>
        </w:rPr>
        <w:t>Our business and operations have been and could in the future be adversely affected by health epidemics, such as the global COVID-19 pandemic. The COVID-19 pandemic and efforts to control its spread have curtailed the movement of people, goods and services worldwide, including in the regions in which we and our customers and partners operate, and are significantly impacting economic activity and financial markets. Many marketers, particularly those in the travel, retail and automotive industries, have decreased or paused their advertising spending as a response to the economic uncertainty, decline in business activity, and other COVID-19-related impacts, which has negatively impacted, and may continue to negatively impact, our revenue and results of operations, the extent and duration of which we may not be able to accurately predict. The spread of an infectious disease may also result in, and, in the case of the COVID-19 pandemic has resulted in, regional quarantines, labor shortages or stoppages, changes in consumer purchasing patterns, disruptions to service providers’ ability to deliver data on a timely basis, or at all, and overall economic instability.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ind w:right="40" w:firstLine="589"/>
        <w:spacing w:after="0" w:line="270" w:lineRule="auto"/>
        <w:rPr>
          <w:sz w:val="20"/>
          <w:szCs w:val="20"/>
          <w:color w:val="auto"/>
        </w:rPr>
      </w:pPr>
      <w:r>
        <w:rPr>
          <w:rFonts w:ascii="Arial" w:cs="Arial" w:eastAsia="Arial" w:hAnsi="Arial"/>
          <w:sz w:val="17"/>
          <w:szCs w:val="17"/>
          <w:color w:val="231F20"/>
        </w:rPr>
        <w:t>A recession, depression or other sustained adverse market events resulting from the spread of COVID-19 could materially and adversely affect our business and that of our customers or potential customers. Our customers’ and potential customers’ businesses or cash flows have been and may continue to be negatively impacted by the COVID-19 pandemic,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the pandemic.</w:t>
      </w:r>
    </w:p>
    <w:p>
      <w:pPr>
        <w:spacing w:after="0" w:line="18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Our operations are subject to a range of external factors related to the COVID-19 pandemic that are not within our control. We have taken precautionary measures intended to minimize the risk of the spread of the virus to our employees, partners and customers, and the communities in which we operate. A wide range of governmental restrictions has also been imposed on our employees’, customers’ and partners’ physical movement to limit the spread of COVID-19. There can be no assurance that precautionary measures, whether adopted by us or imposed by others, will be effective, and such measures could negatively affect our sales, marketing, and customer service efforts, delay and lengthen our sales cycles, decrease our employees’ or customers’ or partners’ productivity, or create operational or other challenges, any of which could harm our business, operating results and financial condition.</w:t>
      </w:r>
    </w:p>
    <w:p>
      <w:pPr>
        <w:spacing w:after="0" w:line="19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economic uncertainty caused by the COVID-19 pandemic has made and may continue to make it difficult for us to forecast revenue and operating results and to make decisions regarding operational cost structures and investments. 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We have committed, and we plan to continue to commit, resources to grow our business, including to expand our employee base and develop our platform and systems, and such investments may not yield anticipated returns, particularly if worldwide business activity continues to be impacted by the COVID-19 pandemic. The duration and extent of the impact from the COVID-19 pandemic depend on future developments that cannot be accurately predicted at this time, and if we are not able to respond to and manage the impact of such events effectively, our business may be harmed. Such future developments may include, among others, the duration and spread of the outbreak, new information that may emerge concerning the severity of COVID-19 and government actions to contain COVID-19 or treat its impact, the level of relief efforts designed to help businesses and consumers, including any declines in such levels, impact on our customers and our sales cycles, impact on our customer, industry or employee events, and effect on our advertising inventory partners.</w:t>
      </w:r>
    </w:p>
    <w:p>
      <w:pPr>
        <w:spacing w:after="0" w:line="179" w:lineRule="exact"/>
        <w:rPr>
          <w:sz w:val="20"/>
          <w:szCs w:val="20"/>
          <w:color w:val="auto"/>
        </w:rPr>
      </w:pPr>
    </w:p>
    <w:p>
      <w:pPr>
        <w:jc w:val="both"/>
        <w:ind w:right="400" w:firstLine="589"/>
        <w:spacing w:after="0" w:line="286" w:lineRule="auto"/>
        <w:rPr>
          <w:sz w:val="20"/>
          <w:szCs w:val="20"/>
          <w:color w:val="auto"/>
        </w:rPr>
      </w:pPr>
      <w:r>
        <w:rPr>
          <w:rFonts w:ascii="Arial" w:cs="Arial" w:eastAsia="Arial" w:hAnsi="Arial"/>
          <w:sz w:val="17"/>
          <w:szCs w:val="17"/>
          <w:color w:val="231F20"/>
        </w:rPr>
        <w:t>Our results may also fluctuate unpredictably as and to the extent there is a recovery from the pandemic and a return to non-pandemic business conditions. We cannot predict the impact of a post-pandemic recovery on the economy, our customers or consumer media consumption patterns or the degree to which certain trends, such as the growth in demand for our connected TV offering, will continue.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If we fail to innovate and make the right investment decisions in our offerings and platform, we may not attract and retain customers and our revenue and results of operations may decline.</w:t>
      </w:r>
    </w:p>
    <w:p>
      <w:pPr>
        <w:spacing w:after="0" w:line="170"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231F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our offerings could become technologically or commercially obsolete over time, in which case our revenue and operating results would suffer.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right="380" w:firstLine="589"/>
        <w:spacing w:after="0" w:line="342" w:lineRule="auto"/>
        <w:rPr>
          <w:sz w:val="20"/>
          <w:szCs w:val="20"/>
          <w:color w:val="auto"/>
        </w:rPr>
      </w:pPr>
      <w:r>
        <w:rPr>
          <w:rFonts w:ascii="Arial" w:cs="Arial" w:eastAsia="Arial" w:hAnsi="Arial"/>
          <w:sz w:val="16"/>
          <w:szCs w:val="16"/>
          <w:color w:val="231F20"/>
        </w:rPr>
        <w:t>If we fail to enhance our current products and services or fail to develop new products to adapt to our rapidly changing industry or to evolving customer needs, demand for our platform could decrease and our business, operating results and financial condition may be adversely affected.</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The market for programmatic buying for advertising campaigns is relatively new and evolving. If this market develops slower or differently than we expect, our business, operating results and financial condition would be adversely affected.</w:t>
      </w:r>
    </w:p>
    <w:p>
      <w:pPr>
        <w:spacing w:after="0" w:line="170"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231F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display ads is relatively established, the market in other channels is still emerging, and our current and potential customers may not shift quickly enough to programmatic ad buying from other buying methods, which would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178"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231F20"/>
        </w:rPr>
        <w:t>In particular, the market for programmatic buying for advertising campaigns across multiple advertising channels, including connected TV, linear TV, streaming audio and digital billboard channels is an emerging market. Our ability to provide capabilities across multiple advertising channels, which we refer to as omnichannel, may be constrained if we are not be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we cannot predict whether the growth in demand for our connected TV offering will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231F20"/>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146"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231F20"/>
        </w:rPr>
        <w:t>A significant amount of our revenue comes from advertising agencies. We had 264 Active Customers for the year ended December 31, 2020,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If all of our individual customer contractual relationships were aggregated at the holding company level, two advertising agency holding companies would represent 13.3% and 13.2%, respectively, of our revenue for 2020. Due to the highly decentralized operations and decision-making at the agencies owned by each of these advertising agency holding companies, we consider the individual agencies rather than the holding company to be our customers.</w:t>
      </w:r>
    </w:p>
    <w:p>
      <w:pPr>
        <w:spacing w:after="0" w:line="16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231F20"/>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187"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231F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20" w:firstLine="589"/>
        <w:spacing w:after="0" w:line="263" w:lineRule="auto"/>
        <w:rPr>
          <w:sz w:val="20"/>
          <w:szCs w:val="20"/>
          <w:color w:val="auto"/>
        </w:rPr>
      </w:pPr>
      <w:r>
        <w:rPr>
          <w:rFonts w:ascii="Arial" w:cs="Arial" w:eastAsia="Arial" w:hAnsi="Arial"/>
          <w:sz w:val="18"/>
          <w:szCs w:val="18"/>
          <w:color w:val="231F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may experience fluctuations in our operating results, which could make our future operating results difficult to predict or cause our operating results to fall below securities analysts’ and investors’ expectations.</w:t>
      </w:r>
    </w:p>
    <w:p>
      <w:pPr>
        <w:spacing w:after="0" w:line="170"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231F20"/>
        </w:rPr>
        <w:t>Our quarterly and annual operating results have fluctuated in the past and we expect our future operating results to fluctuate due to a variety of factors, many of which are beyond our control. In particular, we offer our customers a choice of three different pricing options: a percentage of spend option, a subscription option and a fixed cost per mille (“CPM”) pricing option. We also offer our customers the ability to use our services to aid them in data management, media execution and advanced reporting. Our revenue and revenue ex-TAC vary across these different pricing and service options, and therefore our results may vary based on the mix of pricing and service options chosen by customers in any given period. The varying nature of our pricing mix between periods therefore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environment continues to evolve as a result of the COVID-19 pandemic, our historical operating results may not be necessarily indicative of our future operating results. It is also difficult to predict the impact of a post-pandemic recovery on our business and operating results. In addition to changes in terms of mix of our different pricing options, factors that may cause our operating results to fluctuate include the following:</w:t>
      </w:r>
    </w:p>
    <w:p>
      <w:pPr>
        <w:spacing w:after="0" w:line="168" w:lineRule="exact"/>
        <w:rPr>
          <w:sz w:val="20"/>
          <w:szCs w:val="20"/>
          <w:color w:val="auto"/>
        </w:rPr>
      </w:pPr>
    </w:p>
    <w:p>
      <w:pPr>
        <w:ind w:left="1160" w:right="46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demand for our platform, including those related to the seasonal nature of our customers’ spending on digital advertising campaigns;</w:t>
      </w:r>
    </w:p>
    <w:p>
      <w:pPr>
        <w:spacing w:after="0" w:line="170"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changes in our pricing policies, the pricing policies of our competitors and the pricing or availability of inventory, data or other third-party services;</w:t>
      </w:r>
    </w:p>
    <w:p>
      <w:pPr>
        <w:spacing w:after="0" w:line="170" w:lineRule="exact"/>
        <w:rPr>
          <w:rFonts w:ascii="Arial" w:cs="Arial" w:eastAsia="Arial" w:hAnsi="Arial"/>
          <w:sz w:val="18"/>
          <w:szCs w:val="18"/>
          <w:color w:val="231F20"/>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our customer base and platform offerings;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the addition or loss of advertising agencies and marketers as customers;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advertising budget allocations, agency affiliations or marketing strategies;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to our channel mix (including, for example, changes in demand for connected TV);</w:t>
      </w:r>
    </w:p>
    <w:p>
      <w:pPr>
        <w:spacing w:after="0" w:line="225"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and uncertainty in the regulatory and business environment for us or customers (for example, when Apple or Google change policies for their browsers and operating systems);</w:t>
      </w:r>
    </w:p>
    <w:p>
      <w:pPr>
        <w:spacing w:after="0" w:line="170"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the economic prospects of marketers or the economy generally (due to COVID-19, or otherwise), which could alter marketers’ spending priorities, or could increase the time or costs required to complete advertising inventory sales;</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changes in the availability of advertising inventory or in the cost of reaching end consumers through digital advertising;</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disruptions or outages on our platform;</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the introduction of new technologies or offerings by our competitors;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changes in our capital expenditures as we acquire the hardware, equipment and other assets required to support our business;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20" w:name="page21"/>
    <w:bookmarkEnd w:id="20"/>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timing differences between our payments for advertising inventory and our collection of related advertising revenue;</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length and unpredictability of our sales cycle;</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costs related to acquisitions of businesses or technologies, or employee recruiting; and</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shifting views and behaviors of consumers concerning use of data.</w:t>
      </w:r>
    </w:p>
    <w:p>
      <w:pPr>
        <w:spacing w:after="0" w:line="225" w:lineRule="exact"/>
        <w:rPr>
          <w:sz w:val="20"/>
          <w:szCs w:val="20"/>
          <w:color w:val="auto"/>
        </w:rPr>
      </w:pPr>
    </w:p>
    <w:p>
      <w:pPr>
        <w:ind w:right="80" w:firstLine="589"/>
        <w:spacing w:after="0" w:line="308" w:lineRule="auto"/>
        <w:rPr>
          <w:sz w:val="20"/>
          <w:szCs w:val="20"/>
          <w:color w:val="auto"/>
        </w:rPr>
      </w:pPr>
      <w:r>
        <w:rPr>
          <w:rFonts w:ascii="Arial" w:cs="Arial" w:eastAsia="Arial" w:hAnsi="Arial"/>
          <w:sz w:val="17"/>
          <w:szCs w:val="17"/>
          <w:color w:val="231F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4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231F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2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231F20"/>
        </w:rPr>
        <w:t>Our sales cycle, from initial contact to contract execution and implementation, can take significant time. As part of our sales cycle, we may incur significant expenses before we generate any revenue from a prospective customer. We have no assurance that the substantial time and money spent on our sales efforts will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Some of our customers undertake an evaluation process that frequently involves not only our platform but also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231F20"/>
        </w:rPr>
        <w:t>Customers have the option to use our platform on a self-service basis, which requires us to commit substantial time and expenses towards training potential customers on how to make full use of our platform. If we fail to offer sufficient customer training and support for our platform, we may not be able to attract new customers or maintain our current customers.</w:t>
      </w:r>
    </w:p>
    <w:p>
      <w:pPr>
        <w:spacing w:after="0" w:line="184"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231F20"/>
        </w:rPr>
        <w:t>Because we operate a platform that has many powerful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195"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231F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would suffer and our reputation with existing or potential customers would be harmed, which would negatively impact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ind w:right="660"/>
        <w:spacing w:after="0" w:line="277" w:lineRule="auto"/>
        <w:rPr>
          <w:sz w:val="20"/>
          <w:szCs w:val="20"/>
          <w:color w:val="auto"/>
        </w:rPr>
      </w:pPr>
      <w:r>
        <w:rPr>
          <w:rFonts w:ascii="Arial" w:cs="Arial" w:eastAsia="Arial" w:hAnsi="Arial"/>
          <w:sz w:val="18"/>
          <w:szCs w:val="18"/>
          <w:b w:val="1"/>
          <w:bCs w:val="1"/>
          <w:i w:val="1"/>
          <w:iCs w:val="1"/>
          <w:color w:val="231F20"/>
        </w:rPr>
        <w:t>We are subject to payment-related risks and if our customers do not pay, or dispute their invoices, our business, operating results and financial condition may be adversely affected.</w:t>
      </w:r>
    </w:p>
    <w:p>
      <w:pPr>
        <w:spacing w:after="0" w:line="170"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231F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7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231F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187"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231F20"/>
        </w:rPr>
        <w:t>This payment process will increasingly consume working capital if we continue to be successful in growing our business. In addition, like many companies in our industry, we often experience slow payment by advertising agencies. In this regard, we had average days sales outstanding, or DSO, of 64 days, and average days payable outstanding, or DPO, of 62 for the year ended December 31, 2020. We compute our average DSO as of a given month end based on a weighted average of outstanding accounts receivable. Specifically, the DSO is calculated by multiplying the percentage of accounts receivable outstanding for each monthly billing period by the number of days outstanding related to each billing period and then summing the weighted days outstanding. We compute our DPO as of a given month end by dividing our trade payables (including accrued liabilities) by the average daily cost of media, data, other direct costs and certain operating expenses over the last four months. Historically, our DSOs have fluctuated over time. If our DSOs increase significantly, and we are unable to borrow against these receivables on commercially acceptable terms, our working capital availability could be reduced, and as a consequence our results of operations and financial condition would be adversely impacted.</w:t>
      </w:r>
    </w:p>
    <w:p>
      <w:pPr>
        <w:spacing w:after="0" w:line="166"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231F20"/>
        </w:rPr>
        <w:t>Due to this potential imbalance in our DSOs and DPOs, we may rely on our credit facility to partially or completely fund our working capital requirements. We cannot assure you that as we continue to grow, our business will generate sufficient cash flow from operations or that future borrowings will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therefore be at risk of default thereunder. We cannot assure you that we would be able to access additional financing or increase our borrowing or borrowing capacity under our current or any future credit facility on commercially reasonable terms or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our access to advertising inventory is diminished or fails to grow, our revenue could decline and our growth could be impeded.</w:t>
      </w:r>
    </w:p>
    <w:p>
      <w:pPr>
        <w:spacing w:after="0" w:line="225" w:lineRule="exact"/>
        <w:rPr>
          <w:sz w:val="20"/>
          <w:szCs w:val="20"/>
          <w:color w:val="auto"/>
        </w:rPr>
      </w:pPr>
    </w:p>
    <w:p>
      <w:pPr>
        <w:ind w:right="180" w:firstLine="589"/>
        <w:spacing w:after="0" w:line="272" w:lineRule="auto"/>
        <w:rPr>
          <w:sz w:val="20"/>
          <w:szCs w:val="20"/>
          <w:color w:val="auto"/>
        </w:rPr>
      </w:pPr>
      <w:r>
        <w:rPr>
          <w:rFonts w:ascii="Arial" w:cs="Arial" w:eastAsia="Arial" w:hAnsi="Arial"/>
          <w:sz w:val="17"/>
          <w:szCs w:val="17"/>
          <w:color w:val="231F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As a result, there is no guarantee that we will have access to a consistent supply of inventory on favorable terms.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40" w:firstLine="589"/>
        <w:spacing w:after="0" w:line="257" w:lineRule="auto"/>
        <w:rPr>
          <w:sz w:val="20"/>
          <w:szCs w:val="20"/>
          <w:color w:val="auto"/>
        </w:rPr>
      </w:pPr>
      <w:r>
        <w:rPr>
          <w:rFonts w:ascii="Arial" w:cs="Arial" w:eastAsia="Arial" w:hAnsi="Arial"/>
          <w:sz w:val="18"/>
          <w:szCs w:val="18"/>
          <w:color w:val="231F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increasing our workforce and by adding new features, functions and integrations to our platform. If the digital television advertising market does not grow as we anticipate or we fail to successfully serve such a market, our growth prospects could be harmed.</w:t>
      </w:r>
    </w:p>
    <w:p>
      <w:pPr>
        <w:spacing w:after="0" w:line="188" w:lineRule="exact"/>
        <w:rPr>
          <w:sz w:val="20"/>
          <w:szCs w:val="20"/>
          <w:color w:val="auto"/>
        </w:rPr>
      </w:pPr>
    </w:p>
    <w:p>
      <w:pPr>
        <w:ind w:right="560" w:firstLine="589"/>
        <w:spacing w:after="0" w:line="308" w:lineRule="auto"/>
        <w:rPr>
          <w:sz w:val="20"/>
          <w:szCs w:val="20"/>
          <w:color w:val="auto"/>
        </w:rPr>
      </w:pPr>
      <w:r>
        <w:rPr>
          <w:rFonts w:ascii="Arial" w:cs="Arial" w:eastAsia="Arial" w:hAnsi="Arial"/>
          <w:sz w:val="17"/>
          <w:szCs w:val="17"/>
          <w:color w:val="231F20"/>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If our access to people-based data is diminished, the effectiveness of our platform would be decreased, which could harm our operating results and financial condition.</w:t>
      </w:r>
    </w:p>
    <w:p>
      <w:pPr>
        <w:spacing w:after="0" w:line="170"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231F20"/>
        </w:rPr>
        <w:t>Much of the data that we use is obtained through integrations with third-party data suppliers. We are dependent upon our ability to obtain necessary data licenses on commercially reasonable terms. We could suffer material adverse consequences if we were unable to obtain data through our integrations with data suppliers. Our ability to serve particular customers is also enhanced when such customers upload their own first-party data. Our operation of our platform and access to data could be negatively affected if, due to legal, contractual, privacy, market optics, competition or other economic concerns, third parties cease entering into data integration agreements with us or customers cease uploading their data to our platform. Additionally, we could terminate relationships with our data suppliers if they fail to adhere to our data quality and privacy standards.</w:t>
      </w:r>
    </w:p>
    <w:p>
      <w:pPr>
        <w:spacing w:after="0" w:line="164"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231F20"/>
        </w:rPr>
        <w:t>Furthermore, digital advertising and in-app advertising are largely dependent on established technology companies and their operation of the most commonly used Internet browsers (Chrome, Firefox, Internet Explorer and Safari), devices and operating systems (Android and iOS).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181" w:lineRule="exact"/>
        <w:rPr>
          <w:sz w:val="20"/>
          <w:szCs w:val="20"/>
          <w:color w:val="auto"/>
        </w:rPr>
      </w:pPr>
    </w:p>
    <w:p>
      <w:pPr>
        <w:jc w:val="both"/>
        <w:ind w:right="100" w:firstLine="589"/>
        <w:spacing w:after="0" w:line="342" w:lineRule="auto"/>
        <w:rPr>
          <w:sz w:val="20"/>
          <w:szCs w:val="20"/>
          <w:color w:val="auto"/>
        </w:rPr>
      </w:pPr>
      <w:r>
        <w:rPr>
          <w:rFonts w:ascii="Arial" w:cs="Arial" w:eastAsia="Arial" w:hAnsi="Arial"/>
          <w:sz w:val="16"/>
          <w:szCs w:val="16"/>
          <w:color w:val="231F20"/>
        </w:rPr>
        <w:t>If we were to lose access to significant amounts of the data that enables our people-based framework, our ability to provide products and services to our customers could be materially and adversely impacted, which could be materially adverse to our business, operating results and financial condition.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If we do not effectively grow and train our sales and support teams, we may be unable to add new customers or increase usage of our platform by our existing customers and our business will be adversely affected.</w:t>
      </w:r>
    </w:p>
    <w:p>
      <w:pPr>
        <w:spacing w:after="0" w:line="170"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231F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As our costs increase, we may not be able to generate sufficient revenue to sustain profitability.</w:t>
      </w:r>
    </w:p>
    <w:p>
      <w:pPr>
        <w:spacing w:after="0" w:line="225"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231F20"/>
        </w:rPr>
        <w:t>We have expended significant resources to grow our business in recent years by increasing the offerings of our platform and growing our number of employees and expanding our number of offices in the United States. We anticipate continued growth that could require substantial financial and other resources to, among other things:</w:t>
      </w:r>
    </w:p>
    <w:p>
      <w:pPr>
        <w:spacing w:after="0" w:line="184" w:lineRule="exact"/>
        <w:rPr>
          <w:sz w:val="20"/>
          <w:szCs w:val="20"/>
          <w:color w:val="auto"/>
        </w:rPr>
      </w:pPr>
    </w:p>
    <w:p>
      <w:pPr>
        <w:ind w:left="1160" w:right="5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develop our platform, including by investing in our engineering team, creating, acquiring or licensing new products or features, and improving the functionality, availability and security of our platform;</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231F20"/>
        </w:rPr>
        <w:t>improve our technology infrastructure, including investing in internal technology development and acquiring outside technologies;</w:t>
      </w:r>
    </w:p>
    <w:p>
      <w:pPr>
        <w:spacing w:after="0" w:line="236" w:lineRule="exact"/>
        <w:rPr>
          <w:rFonts w:ascii="Arial" w:cs="Arial" w:eastAsia="Arial" w:hAnsi="Arial"/>
          <w:sz w:val="17"/>
          <w:szCs w:val="17"/>
          <w:color w:val="auto"/>
        </w:rPr>
      </w:pPr>
    </w:p>
    <w:p>
      <w:pPr>
        <w:ind w:left="1160" w:hanging="572"/>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231F20"/>
        </w:rPr>
        <w:t>cover general and administrative expenses, including legal, accounting and other expenses necessary to support a larger organization;</w:t>
      </w:r>
    </w:p>
    <w:p>
      <w:pPr>
        <w:spacing w:after="0" w:line="248" w:lineRule="exact"/>
        <w:rPr>
          <w:rFonts w:ascii="Arial" w:cs="Arial" w:eastAsia="Arial" w:hAnsi="Arial"/>
          <w:sz w:val="16"/>
          <w:szCs w:val="16"/>
          <w:color w:val="auto"/>
        </w:rPr>
      </w:pPr>
    </w:p>
    <w:p>
      <w:pPr>
        <w:ind w:left="1160" w:hanging="572"/>
        <w:spacing w:after="0"/>
        <w:tabs>
          <w:tab w:leader="none" w:pos="11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cover sales and marketing expenses, including a significant expansion of our direct sales organization;</w:t>
      </w:r>
    </w:p>
    <w:p>
      <w:pPr>
        <w:spacing w:after="0" w:line="225" w:lineRule="exact"/>
        <w:rPr>
          <w:rFonts w:ascii="Arial" w:cs="Arial" w:eastAsia="Arial" w:hAnsi="Arial"/>
          <w:sz w:val="18"/>
          <w:szCs w:val="18"/>
          <w:color w:val="231F20"/>
        </w:rPr>
      </w:pPr>
    </w:p>
    <w:p>
      <w:pPr>
        <w:ind w:left="11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cover expenses relating to data collection and consumer privacy compliance, including additional infrastructure, automation and personnel; and</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explore strategic acquisitions.</w:t>
      </w:r>
    </w:p>
    <w:p>
      <w:pPr>
        <w:spacing w:after="0" w:line="225"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231F20"/>
        </w:rPr>
        <w:t>Investing in the foregoing, however, may not yield anticipated returns. Consequently, as our costs increase, we may not be able to generate sufficient revenue to achieve or sustain profitability.</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231F20"/>
        </w:rPr>
        <w:t>A significant inadvertent disclosure or breach of confidential and/or personal information we hold, or of the security of our or our customers’, suppliers’, or other partners’ computer systems could be detrimental to our business, reputation and results of operations.</w:t>
      </w:r>
    </w:p>
    <w:p>
      <w:pPr>
        <w:spacing w:after="0" w:line="124"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231F20"/>
        </w:rPr>
        <w:t>Our business requires the storage, transmission and utilization of data, including personal information, much of which must be maintained on a confidential basis. These activities have made, and may in the future make, us a target of cyber-attacks by third parties seeking unauthorized access to the data we maintain, including our customer data, or to disrupt our ability to provide service. As a result of the types and volume of personal data on our systems, we believe that we are a particularly attractive target for such breaches and attacks. For example, in 2016, we discovered a breach of information from our Myspace databases resulting in the unauthorized access and offer for sale of approximately 360 million Myspace user account email addresses, usernames, and hashed passwords. See “—</w:t>
      </w:r>
      <w:r>
        <w:rPr>
          <w:rFonts w:ascii="Arial" w:cs="Arial" w:eastAsia="Arial" w:hAnsi="Arial"/>
          <w:sz w:val="16"/>
          <w:szCs w:val="16"/>
          <w:i w:val="1"/>
          <w:iCs w:val="1"/>
          <w:color w:val="231F20"/>
        </w:rPr>
        <w:t>We face liabilities arising out of our ownership and operation of Myspace.com.</w:t>
      </w:r>
      <w:r>
        <w:rPr>
          <w:rFonts w:ascii="Arial" w:cs="Arial" w:eastAsia="Arial" w:hAnsi="Arial"/>
          <w:sz w:val="16"/>
          <w:szCs w:val="16"/>
          <w:color w:val="231F20"/>
        </w:rPr>
        <w:t>”</w:t>
      </w:r>
    </w:p>
    <w:p>
      <w:pPr>
        <w:spacing w:after="0" w:line="164" w:lineRule="exact"/>
        <w:rPr>
          <w:sz w:val="20"/>
          <w:szCs w:val="20"/>
          <w:color w:val="auto"/>
        </w:rPr>
      </w:pPr>
    </w:p>
    <w:p>
      <w:pPr>
        <w:ind w:right="260" w:firstLine="589"/>
        <w:spacing w:after="0" w:line="291" w:lineRule="auto"/>
        <w:rPr>
          <w:sz w:val="20"/>
          <w:szCs w:val="20"/>
          <w:color w:val="auto"/>
        </w:rPr>
      </w:pPr>
      <w:r>
        <w:rPr>
          <w:rFonts w:ascii="Arial" w:cs="Arial" w:eastAsia="Arial" w:hAnsi="Arial"/>
          <w:sz w:val="16"/>
          <w:szCs w:val="16"/>
          <w:color w:val="231F20"/>
        </w:rPr>
        <w:t>In recent years, the frequency, severity and sophistication of cyber-attacks, computer malware, viruses, social engineering, and other intentional misconduct by computer hackers has significantly increased, and government agencies and security experts have warned about the growing risks of hackers, cyber criminals and other potential attackers targeting information technology systems. Such third parties could attempt to gain entry to our systems for the purpose of stealing data or disrupting the systems. In addition, our security measures may also be breached due to employee error, malfeasance, system errors or vulnerabilities, including vulnerabilities of our vendors, suppliers, their products, or otherwise. Third parties may also attempt to fraudulently induce employees or customers into disclosing sensitive information such as user names, passwords or other information to gain access to our customers’ data or our data, including intellectual property and other confidential business information.</w:t>
      </w:r>
    </w:p>
    <w:p>
      <w:pPr>
        <w:spacing w:after="0" w:line="16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231F20"/>
        </w:rPr>
        <w:t>We currently serve the majority of our platform functions from third-party data center hosting facilities operated by Google Cloud Platform and Amazon Web Services. While we and our third-party cloud providers have implemented security measures designed to protect against security breaches, these measures could fail or may be insufficient, particularly as techniques used to sabotage or obtain unauthorized access to systems change frequently and generally are not recognized until launched against a target, resulting in the unauthorized disclosure, modification, misuse, destruction, or loss of our or our customers’ data or other sensitive information. Any failure to prevent or mitigate security breaches and improper access to or disclosure of the data we maintain, including personal information, could result in litigation, indemnity obligations, regulatory enforcement actions, investigations, fines, penalties, mitigation and remediation costs, disputes, reputational harm, diversion of management’s attention, and other liabilities and damage to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340" w:firstLine="589"/>
        <w:spacing w:after="0" w:line="311" w:lineRule="auto"/>
        <w:rPr>
          <w:sz w:val="20"/>
          <w:szCs w:val="20"/>
          <w:color w:val="auto"/>
        </w:rPr>
      </w:pPr>
      <w:r>
        <w:rPr>
          <w:rFonts w:ascii="Arial" w:cs="Arial" w:eastAsia="Arial" w:hAnsi="Arial"/>
          <w:sz w:val="16"/>
          <w:szCs w:val="16"/>
          <w:color w:val="231F20"/>
        </w:rPr>
        <w:t>We believe we have taken appropriate measures to protect our systems from intrusion, but we cannot be certain that advances in criminal capabilities, discovery of new vulnerabilities in our systems and attempts to exploit those vulnerabilities, physical system or facility break-ins and data thefts or other developments will not compromise or breach the technology protecting our systems and the information we possess.</w:t>
      </w:r>
    </w:p>
    <w:p>
      <w:pPr>
        <w:spacing w:after="0" w:line="149"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231F20"/>
        </w:rPr>
        <w:t>We may incur significant costs in protecting against or remediating cyber-attacks. Any security breach could result in operational disruptions that impair our ability to meet our customers’ requirements, which could result in decreased revenue. Also, whether there is an actual or a perceived breach of our security, our reputation could suffer irreparable harm, causing our current and prospective customers to reject our products and services in the future, deterring data suppliers from supplying us data or customers from uploading their data on our platform, or changing consumer behaviors and use of our technology. Further, we could be forced to expend significant resources in response to a security breach, including those expended in notifying individuals and providing mitigating services, repairing system damage, increasing cyber security protection costs by deploying additional personnel and protection technologies, and litigating and resolving legal claims or governmental inquiries and investigations, all of which could divert the attention of our management and key personnel away from our business operations. Federal, state and foreign governments continue to consider and implement laws and regulations addressing data privacy, cybersecurity, and data protection laws, which include provisions relating to breaches. For example, statutory damages may be available to users through a private right of action for certain data breaches under the California Consumer Privacy Act (the “CCPA”), and potentially other states’ laws. In any event, a significant security breach could materially harm our business, operating results and financial condition. See “</w:t>
      </w:r>
      <w:r>
        <w:rPr>
          <w:rFonts w:ascii="Arial" w:cs="Arial" w:eastAsia="Arial" w:hAnsi="Arial"/>
          <w:sz w:val="17"/>
          <w:szCs w:val="17"/>
          <w:i w:val="1"/>
          <w:iCs w:val="1"/>
          <w:color w:val="231F20"/>
        </w:rPr>
        <w:t>Risks Related to Data Privacy.</w:t>
      </w:r>
      <w:r>
        <w:rPr>
          <w:rFonts w:ascii="Arial" w:cs="Arial" w:eastAsia="Arial" w:hAnsi="Arial"/>
          <w:sz w:val="17"/>
          <w:szCs w:val="17"/>
          <w:color w:val="231F20"/>
        </w:rPr>
        <w:t>”</w:t>
      </w:r>
    </w:p>
    <w:p>
      <w:pPr>
        <w:spacing w:after="0" w:line="179"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231F20"/>
        </w:rPr>
        <w:t>Our customers, suppliers and other partners are primarily responsible for the security of their information technology environments, and we rely heavily on them and other third parties to supply clean data content and/or to utilize our products and services in a secure manner. Each of these third parties may face risks relating to cyber security, which could disrupt their businesses and therefore materially impact ours. While we provide guidance and specific requirements in some cases, we do not directly control any of such parties’ cyber security operations, or the amount of investment they place in guarding against cyber security threats. Accordingly, we are subject to any flaw in or breaches of their systems, which could materially impact our business, operating results and financial results.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allow our customers and suppliers to utilize application programming interfaces, or APIs, with our platform, which could result in outages or security breaches and negatively impact our business, operating results and financial condition.</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use of application programming interfaces, or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intrusion attacks, data theft, or denial of service attacks.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we cannot guarantee that such measures will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8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231F20"/>
        </w:rPr>
        <w:t>Operational and performance issues with our platform, whether real or perceived, including a failure to respond to technological changes or to upgrade our technology systems, may adversely affect our business, operating results and financial condition.</w:t>
      </w:r>
    </w:p>
    <w:p>
      <w:pPr>
        <w:spacing w:after="0" w:line="14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231F20"/>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firstLine="589"/>
        <w:spacing w:after="0" w:line="289" w:lineRule="auto"/>
        <w:rPr>
          <w:sz w:val="20"/>
          <w:szCs w:val="20"/>
          <w:color w:val="auto"/>
        </w:rPr>
      </w:pPr>
      <w:r>
        <w:rPr>
          <w:rFonts w:ascii="Arial" w:cs="Arial" w:eastAsia="Arial" w:hAnsi="Arial"/>
          <w:sz w:val="16"/>
          <w:szCs w:val="16"/>
          <w:color w:val="231F20"/>
        </w:rPr>
        <w:t>Our platform is complex and multifaceted, and operational and performance issues could arise both from the platform itself or from outside factors, such as cyberattacks or other third party attacks. Errors, failures, vulnerabilities or bugs have been found in the past, and may be found in the future.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166"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231F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164"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231F20"/>
        </w:rPr>
        <w:t>Operational and performance issues with our platform could also result in negative publicity, damage to our brand and reputation, loss of or delay in market acceptance of our platform, increased costs or loss of revenue,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170"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231F20"/>
        </w:rPr>
        <w:t>We currently serve the majority of our platform functions from third-party data center hosting facilities operated by Google Cloud Platform and Amazon Web Services, and we primarily use shared servers in such facilities. We are dependent on these third parties to provide continuous power, cooling,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64"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231F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16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231F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b w:val="1"/>
          <w:bCs w:val="1"/>
          <w:i w:val="1"/>
          <w:iCs w:val="1"/>
          <w:color w:val="231F20"/>
        </w:rPr>
        <w:t>If the non-proprietary technology, software, products and services that we use are unavailable, have future terms we cannot agree to, or do not perform as we expect, our business, operating results and financial condition could be harmed.</w:t>
      </w:r>
    </w:p>
    <w:p>
      <w:pPr>
        <w:spacing w:after="0" w:line="17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231F20"/>
        </w:rPr>
        <w:t>We depend on various technology, software, products and services from third parties or available as open source,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17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231F20"/>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cannot guarantee that we will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or otherwise negatively impact our business,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face potential liability and harm to our business based on the human factor of inputting information into our platform.</w:t>
      </w:r>
    </w:p>
    <w:p>
      <w:pPr>
        <w:spacing w:after="0" w:line="225"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231F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31F20"/>
        </w:rPr>
        <w:t>We face liabilities arising out of our ownership and operation of Myspace.com.</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In 2011, we acquired Myspace LLC, which owns Myspace.com. We have faced and may continue to face claims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passed a directive expanding online platform liability for copyright infringement and regulating certain uses of news content online, which member states must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We could incur significant costs investigating and defending claims related to content published or made available on Myspace.com and, if we are found liable, could face significant damages.</w:t>
      </w:r>
    </w:p>
    <w:p>
      <w:pPr>
        <w:spacing w:after="0" w:line="182"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231F20"/>
        </w:rPr>
        <w:t>In 2011, Myspace LLC was the subject of an investigation by the Federal Trade Commission (“FTC”) relating to its privacy practices. In connection with its settlement of this matter with the FTC in 2012, Myspace LLC agreed to a settlement order that bars Myspace LLC from misrepresenting the extent to which it protects the privacy of users’ personal information or the extent to which it belongs to or complies with any privacy, security or other compliance program. The order also requires that Myspace LLC establish a comprehensive privacy program designed to protect consumers’ information, and to obtain biennial assessments of its privacy program by independent, third-party auditors for 20 years. The order terminates in August 2032. If Myspace LLC fails to comply with the mandates of the FTC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17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231F20"/>
        </w:rPr>
        <w:t>Myspace.com has been and may in the future be a source of cybersecurity incidents or data breaches. In 2016, we announced our discovery of a third-party cyber-attack in which Myspace.com usernames, passwords and email addresses were stolen from the old Myspace platform prior to June 11, 2013, when the site was relaunched with significant steps to strengthen account security. While we took steps to remediate the attack, including notifying and invalidating the passwords of known affected users, any further failure to prevent or mitigate security breaches and improper access to or disclosure of the data on the Myspace.com site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19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231F20"/>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231F20"/>
        </w:rPr>
        <w:t>The market growth forecasts included in this Annual Report may prove to be inaccurate and, even if the market in which we compete achieves forecasted growth, we cannot assure you our business will grow at similar rates, if at all.</w:t>
      </w:r>
    </w:p>
    <w:p>
      <w:pPr>
        <w:spacing w:after="0" w:line="17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231F20"/>
        </w:rPr>
        <w:t>Market growth forecasts are subject to significant uncertainty and are based on assumptions and estimates which may not prove to be accurate. The forecasts in this Annual Report relating to expected growth in the digital advertising and programmatic ad markets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231F20"/>
        </w:rPr>
        <w:t>Risks Related to Data Privacy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Changes in legislative, judicial, regulatory, or cultural environments relating to information collection, use and processing may limit our ability to collect, use and process data. Such developments could cause revenue to decline, increase the cost of data, reduce the availability of data and adversely affect the demand for our products and services.</w:t>
      </w:r>
    </w:p>
    <w:p>
      <w:pPr>
        <w:spacing w:after="0" w:line="184"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231F20"/>
        </w:rPr>
        <w:t>We receive, store and process personal information and other data from and about consumers in addition to personal information and other data from and about our customers, employees, and services providers. Our handling of this data is subject to a wide variety of federal, state, and foreign laws and regulations and is subject to regulation by various government authorities and consumer actions. Our data handling is also subject to contractual obligations and may be deemed to be subject to industry standards.</w:t>
      </w:r>
    </w:p>
    <w:p>
      <w:pPr>
        <w:spacing w:after="0" w:line="18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The U.S. federal and various state and foreign governments have adopted or proposed laws relating to the collection, disclosure, processing, use, storage and security of data relating to individuals and households, including the use of contact information and other data for marketing, advertising and other communications with individuals and businesses. In the U.S., various laws and regulations apply to the collection, disclosure, processing, use, storage and security of certain types of data. Additionally, the FTC, many state attorneys general, and many courts are interpreting federal and state consumer protection laws as imposing standards for the collection, disclosure, process, use, storage and security of data. The regulatory framework for data privacy issues worldwide is complex, continually evolving and often conflicting, and is likely to remain uncertain for the foreseeable future. The occurrence of unanticipated events often rapidly drives the adoption of legislation or regulation affecting the use, collection or other processing of data and manner in which we conduct our business. As a result, further restrictions could be placed upon the collection, disclosure, processing, use, storage and security of information, which could result in a material increase in the cost of obtaining certain kinds of data and could limit the ways in which we may collect, disclose, process, use, store or secure information.</w:t>
      </w:r>
    </w:p>
    <w:p>
      <w:pPr>
        <w:spacing w:after="0" w:line="185" w:lineRule="exact"/>
        <w:rPr>
          <w:sz w:val="20"/>
          <w:szCs w:val="20"/>
          <w:color w:val="auto"/>
        </w:rPr>
      </w:pPr>
    </w:p>
    <w:p>
      <w:pPr>
        <w:ind w:right="20" w:firstLine="589"/>
        <w:spacing w:after="0" w:line="267" w:lineRule="auto"/>
        <w:rPr>
          <w:sz w:val="20"/>
          <w:szCs w:val="20"/>
          <w:color w:val="auto"/>
        </w:rPr>
      </w:pPr>
      <w:r>
        <w:rPr>
          <w:rFonts w:ascii="Arial" w:cs="Arial" w:eastAsia="Arial" w:hAnsi="Arial"/>
          <w:sz w:val="17"/>
          <w:szCs w:val="17"/>
          <w:color w:val="231F20"/>
        </w:rPr>
        <w:t>U.S. federal and state legislatures, along with federal regulatory authorities, have recently increased their focus on matters concerning the collection and use of consumer data, including relating to interest-based advertising, or the use of data to draw inferences about a user’s interests and deliver relevant advertising to that user, and similar or related practices, such as cross-device data collection and aggregation, and steps taken to de-identify personal data and to use and distribute the resulting data, including for purposes of personalization and the targeting of advertisements. In the U.S., non-sensitive consumer data generally may be used under current rules and regulations, subject to certain restrictions, including relating to transparency and affirmative “opt-out” rights of the collection or use of such data in certain instances. To the extent additional opt-out rights are made available in the U.S., additional regulations are imposed, or if an “opt-in” model were to be adopted, less data would be available, the cost of data and compliance would be higher, or we could be required to modify our data processing practices and policies. For example, California recently enacted legislation, the CCPA, that became operative on January 1, 2020 and came under California Attorney General (“AG”) enforcement on July 1, 2020. The CCPA requires covered companies to, among other things, provide new disclosures to California consumers and grant such consumers a new right to opt-out of “sales” of personal information, a concept that is defined broadly. The CCPA is also subject to regulations issued by the California AG, which were finalized and became effective in August 2020. The California Privacy Rights and Enforcement Act (“CPRA”), which was passed as a ballot initiative in November 2020 and comes into effect on January 1, 2023, expands upon the CCPA and, among other things, creates new categories of personal information with additional protections, creates new data subject rights such as a right of correction, creates a new state rulemaking and enforcement agency for the CPRA, expands potential liability for violations and gives consumers rights to opt out of additional forms of data sharing with third parties. It remains unclear how aspects of the CCPA (as amended by the CPRA) or its implementing regulations will be interpreted. We cannot yet fully predict the impact of these laws on our business or operations, but it or future regulations (particularly any regulations using an “opt-in” model), could require us or our customers to modify our data processing practices and policies and to incur substantial costs and expenses in an effort to comply. Decreased availability and increased costs of information and costs of compliance could adversely affect our ability to meet our customers’ expectations and requirements and could result in decreased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60" w:firstLine="589"/>
        <w:spacing w:after="0" w:line="255" w:lineRule="auto"/>
        <w:rPr>
          <w:sz w:val="20"/>
          <w:szCs w:val="20"/>
          <w:color w:val="auto"/>
        </w:rPr>
      </w:pPr>
      <w:r>
        <w:rPr>
          <w:rFonts w:ascii="Arial" w:cs="Arial" w:eastAsia="Arial" w:hAnsi="Arial"/>
          <w:sz w:val="18"/>
          <w:szCs w:val="18"/>
          <w:color w:val="231F20"/>
        </w:rPr>
        <w:t>While our platform and people-based framework operates primarily in the United States, some of our operations, including our owned website Myspace.com, may subject us to data privacy laws outside the United States. In the European Union (“EU”), the European General Data Protection Regulation (“GDPR”) took effect on May 25, 2018 and applies to our processing related to products and services that we provide to individuals who are in the European Union. The GDPR includes significant penalties for noncompliance of up to the greater of €20 million or 4% of an enterprise’s global turnover (or revenue) for the preceding fiscal year and each European Union Member State may provide for other penalties applicable to such noncompliance.</w:t>
      </w:r>
    </w:p>
    <w:p>
      <w:pPr>
        <w:spacing w:after="0" w:line="192"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231F20"/>
        </w:rPr>
        <w:t>We are subject to evolving laws and regulations that dictate whether, how, and under what circumstances we, or our data processors, may transfer, process and/or receive certain data, including data shared between countries or regions in which we operate and data shared among our products and services. For example, ongoing legal uncertainty in Europe regarding the transfer of data to the United States could result in further limitations, including in light of the recent Schrems II ruling from the Court of Justice of the European Union dated July 16, 2020. This ruling effectively invalidated the EU-U.S. Privacy Shield framework, and while it upheld the Standard Contractual Clauses (“SCCs”) as an alternative mechanism, it requires the parties to the SCCs to ensure that the level of protection required by European Union law is respected, potentially by yet-to-be-clarified supplementary measures. Similarly, legal uncertainty could result in further limitations regarding the United Kingdom, which exited the European Union with the transition period ending on December 31, 2020 (transition period for certain matters scheduled to run through December 31, 2020), in particular in relation to data transfers to and from the United Kingdom. However, as part of the European Union and the United Kingdom’s new trade deal, the European Union allows personal data to flow freely to the United Kingdom for a duration of six months in total as from January 1, 2021 (known as the “bridge”), until an adequacy decision has been adopted by the European Commission. In the unlikely event that no such adequacy decision is adopted by the European Commission at the end of the “bridge” period, we will need to rely on SCCs or other GDPR transfer mechanisms to ensure a lawful transfer of data from the European Economic Area to the United Kingdom. Certain countries outside of the EEA have also passed (e.g. Russia, China) or are considering passing laws requiring local data residency or otherwise impeding the transfer of data across borders. If one or more of the legal bases for transferring data to the U.S. is invalidated, if we are unable to transfer or receive data between and among countries and regions in which we operate, or if we are prohibited from sharing data among our products and services, it could affect the manner in which we provide our services or adversely affect our financial results. Similarly, there are a number of European legislative proposals that could also significantly affect our business. For example, the proposal for a Regulation concerning the respect for private life and the protection of personal data in electronic communications and repealing European Union Directive 2002/58/EC, could impose new obligations or limitations in areas affecting our business, notably with respect to the use of cookies.</w:t>
      </w:r>
    </w:p>
    <w:p>
      <w:pPr>
        <w:spacing w:after="0" w:line="16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231F20"/>
        </w:rPr>
        <w:t>In addition to government regulation, self-regulatory standards and other industry standards may legally or contractually apply to us or be argued to apply to us, or we may elect to comply with such standards or to facilitate our customers’ compliance with such standards. Because privacy, data protection, and information security are competitive factors in our industry, we may make statements on our website, in marketing materials, or in other settings about our data security measures and our compliance with, or our ability to facilitate our customers’ compliance with, these standards. We are members of self-regulatory bodies that impose additional requirements related to the collection, use, and disclosure of consumer data. Under the requirements of these self-regulatory bodies, in addition to other compliance obligations, we are obligated to provide all consumers with notice about our use of cookies and other technologies to execute the collection of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68"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231F20"/>
        </w:rPr>
        <w:t>Regulatory investigations and enforcement actions could also impact us. In the U.S., the FTC uses its enforcement powers under Section 5 of the Federal Trade Commission Act (which prohibits “unfair” and “deceptive” trade practices) to investigate companies engaging in online tracking and the processing of consumer personal information more generally. This is the basis on which the FTC investigated Myspace LLC. See “—</w:t>
      </w:r>
      <w:r>
        <w:rPr>
          <w:rFonts w:ascii="Arial" w:cs="Arial" w:eastAsia="Arial" w:hAnsi="Arial"/>
          <w:sz w:val="17"/>
          <w:szCs w:val="17"/>
          <w:i w:val="1"/>
          <w:iCs w:val="1"/>
          <w:color w:val="231F20"/>
        </w:rPr>
        <w:t>We face liabilities</w:t>
      </w:r>
      <w:r>
        <w:rPr>
          <w:rFonts w:ascii="Arial" w:cs="Arial" w:eastAsia="Arial" w:hAnsi="Arial"/>
          <w:sz w:val="17"/>
          <w:szCs w:val="17"/>
          <w:color w:val="231F20"/>
        </w:rPr>
        <w:t xml:space="preserve"> </w:t>
      </w:r>
      <w:r>
        <w:rPr>
          <w:rFonts w:ascii="Arial" w:cs="Arial" w:eastAsia="Arial" w:hAnsi="Arial"/>
          <w:sz w:val="17"/>
          <w:szCs w:val="17"/>
          <w:i w:val="1"/>
          <w:iCs w:val="1"/>
          <w:color w:val="231F20"/>
        </w:rPr>
        <w:t>arising out of our ownership and operation of Myspace.com</w:t>
      </w:r>
      <w:r>
        <w:rPr>
          <w:rFonts w:ascii="Arial" w:cs="Arial" w:eastAsia="Arial" w:hAnsi="Arial"/>
          <w:sz w:val="17"/>
          <w:szCs w:val="17"/>
          <w:color w:val="231F20"/>
        </w:rPr>
        <w:t>.” Advocacy organizations have also filed complaints with data protection authorities against</w:t>
      </w:r>
      <w:r>
        <w:rPr>
          <w:rFonts w:ascii="Arial" w:cs="Arial" w:eastAsia="Arial" w:hAnsi="Arial"/>
          <w:sz w:val="17"/>
          <w:szCs w:val="17"/>
          <w:i w:val="1"/>
          <w:iCs w:val="1"/>
          <w:color w:val="231F20"/>
        </w:rPr>
        <w:t xml:space="preserve"> </w:t>
      </w:r>
      <w:r>
        <w:rPr>
          <w:rFonts w:ascii="Arial" w:cs="Arial" w:eastAsia="Arial" w:hAnsi="Arial"/>
          <w:sz w:val="17"/>
          <w:szCs w:val="17"/>
          <w:color w:val="231F20"/>
        </w:rPr>
        <w:t>advertising technology companies, arguing that certain of these companies’ practices do not comply with the GDPR. It is possible that investigations or enforcement actions will involve our practices or practices similar to ours.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ind w:right="100" w:firstLine="589"/>
        <w:spacing w:after="0" w:line="293" w:lineRule="auto"/>
        <w:rPr>
          <w:sz w:val="20"/>
          <w:szCs w:val="20"/>
          <w:color w:val="auto"/>
        </w:rPr>
      </w:pPr>
      <w:r>
        <w:rPr>
          <w:rFonts w:ascii="Arial" w:cs="Arial" w:eastAsia="Arial" w:hAnsi="Arial"/>
          <w:sz w:val="16"/>
          <w:szCs w:val="16"/>
          <w:color w:val="231F20"/>
        </w:rPr>
        <w:t>Our legal risk depends in part on our customers’ or other third parties’ adherence to privacy laws and regulations and their use of our services in ways consistent with end user expectations. We rely on representations made to us by customers and data suppliers that they will comply with all applicable laws, including all relevant privacy and data protection regulations. Although we make reasonable efforts to enforce such representations and contractual requirements, we do not fully audit our customers’ or data suppliers’ compliance with our recommended disclosures or their adherence to privacy laws and regulations. If our customers or data suppliers fail to adhere to our expectations or contracts in this regard, we and our customers or data suppliers could be subject to adverse publicity, damages, and related possible investigation or other regulatory activity.</w:t>
      </w:r>
    </w:p>
    <w:p>
      <w:pPr>
        <w:spacing w:after="0" w:line="164"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231F20"/>
        </w:rPr>
        <w:t>Because the interpretation and application of privacy and data protection laws, regulations and standards are uncertain, it is possible that these laws, regulations and standards may be interpreted and applied in manners that are, or are asserted to be, inconsistent with our data management practices or the technological features of our products and services. If so, in addition to the possibility of fines, investigations, lawsuits and other claims and proceedings, it may be necessary or desirable for us to fundamentally change our business activities and practices or modify our products and services, which could have an adverse effect on our business. We may be unable to make such changes or modifications in a commercially reasonable manner or at all. Any inability to adequately address privacy concerns, even if unfounded, or any actual or perceived failure to comply with applicable privacy or data protection laws, regulations, standards or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168"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231F20"/>
        </w:rPr>
        <w:t>Adapting our business to the CCPA and its implementing regulations and to the enhanced and evolving privacy obligations in the EU and elsewhere could continue to involve substantial expense and may cause us to divert resources from other aspects of our operations, all of which may adversely affect our business. Further, adaptation of the digital advertising marketplace requires increasingly significant collaboration between participants in the market, such as publishers and marketers. Failure of the industry to adapt to changes required for operating under laws including the CCPA and the GDPR and user response to such changes could negatively impact inventory, data, and demand. We cannot control or predict the pace or effectiveness of such adaptation, and we cannot currently predict the impact such changes may have on our business.</w:t>
      </w:r>
    </w:p>
    <w:p>
      <w:pPr>
        <w:spacing w:after="0" w:line="17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231F20"/>
        </w:rPr>
        <w:t>Our business or ability to operate our platform could be impacted by changes in the technology industry by established technology companies or government regulation. Such developments, including the restriction of “third-party cookies,” could cause instability in the advertising technology industry.</w:t>
      </w:r>
    </w:p>
    <w:p>
      <w:pPr>
        <w:spacing w:after="0" w:line="184"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231F20"/>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1" w:name="page32"/>
    <w:bookmarkEnd w:id="31"/>
    <w:p>
      <w:pPr>
        <w:ind w:right="20" w:firstLine="589"/>
        <w:spacing w:after="0" w:line="269" w:lineRule="auto"/>
        <w:rPr>
          <w:sz w:val="20"/>
          <w:szCs w:val="20"/>
          <w:color w:val="auto"/>
        </w:rPr>
      </w:pPr>
      <w:r>
        <w:rPr>
          <w:rFonts w:ascii="Arial" w:cs="Arial" w:eastAsia="Arial" w:hAnsi="Arial"/>
          <w:sz w:val="17"/>
          <w:szCs w:val="17"/>
          <w:color w:val="231F20"/>
        </w:rPr>
        <w:t>For example, browser providers have recently enacted changes restricting the use of third-party cookies in their browsers, which may cause instability in the digital advertising market. Execution of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In January 2020, Google publicly stated it intends for Chrome to block third-party cookies at some point in the following 24 months.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w:t>
      </w:r>
    </w:p>
    <w:p>
      <w:pPr>
        <w:spacing w:after="0" w:line="179"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231F20"/>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19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However, the potential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231F20"/>
        </w:rPr>
        <w:t>Limitations on our or our customers’ ability to collect and use data for advertising, whether imposed by established technology companies 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legislation, or otherwise, may impact the performance of our platform.</w:t>
      </w:r>
    </w:p>
    <w:p>
      <w:pPr>
        <w:spacing w:after="0" w:line="21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231F20"/>
        </w:rPr>
        <w:t>Uncertainty caused by lack of uniformity among laws to which we are or may become subject and instability in the global legal landscape may cause us to incur additional or unexpected costs and legal risk, increase our risk of reputational harm, or cause us to change our platform or business model.</w:t>
      </w:r>
    </w:p>
    <w:p>
      <w:pPr>
        <w:spacing w:after="0" w:line="100"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231F20"/>
        </w:rPr>
        <w:t>We cannot predict the future of the regulatory landscape regarding the protection of personal information. U.S. (state and federal) and foreign governments are considering enacting additional legislation related to privacy and data protection and we expect to see an increase in, or changes to, legislation and regulation in this area. For example, in the U.S., a federal privacy law is the subject of active discussion and several bills have been introduced. Additionally, industry groups in the U.S. and their international counterparts have self-regulatory guidelines that are subject to periodic updates to which we have agreed to adhere. High profile incidents involving breaches of personal information or misuse of consumer information may increase the likelihood of new U.S. federal, state, or international laws or regulations in addition to those set out above, and such laws and regulations may be inconsistent across jurisdictions.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140" w:firstLine="589"/>
        <w:spacing w:after="0" w:line="272" w:lineRule="auto"/>
        <w:rPr>
          <w:sz w:val="20"/>
          <w:szCs w:val="20"/>
          <w:color w:val="auto"/>
        </w:rPr>
      </w:pPr>
      <w:r>
        <w:rPr>
          <w:rFonts w:ascii="Arial" w:cs="Arial" w:eastAsia="Arial" w:hAnsi="Arial"/>
          <w:sz w:val="17"/>
          <w:szCs w:val="17"/>
          <w:color w:val="231F20"/>
        </w:rPr>
        <w:t>In addition to laws regulating the processing of personal information, we are also subject to regulation with respect to political advertising activities, which are governed by various federal and state laws in the U.S., and national and provincial laws worldwide. Online political advertising laws are rapidly evolving, and in certain jurisdictions have varying transparency and disclosure requirements. We have already seen publishers impose varying prohibitions and restrictions on the types of political advertising and breadth of targeted advertising allowed on their platforms with respect to advertisements for the 2020 U.S. presidential election in response to political advertising scandals in prior election cycles. The lack of uniformity and increasing requirements on transparency and disclosure could adversely impact the inventory made available for political advertising and the demand for such inventory on our platform, and otherwise increase our operating and compliance costs.</w:t>
      </w:r>
    </w:p>
    <w:p>
      <w:pPr>
        <w:spacing w:after="0" w:line="17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231F20"/>
        </w:rPr>
        <w:t>Concerns about political advertising, whether or not valid and whether or not driven by applicable laws and regulations, industry standards, customer or inventory provider expectations, or public perception, may harm our reputation, result in loss of goodwill, and inhibit use of our platform by current and future customers.</w:t>
      </w:r>
    </w:p>
    <w:p>
      <w:pPr>
        <w:spacing w:after="0" w:line="184" w:lineRule="exact"/>
        <w:rPr>
          <w:sz w:val="20"/>
          <w:szCs w:val="20"/>
          <w:color w:val="auto"/>
        </w:rPr>
      </w:pPr>
    </w:p>
    <w:p>
      <w:pPr>
        <w:jc w:val="both"/>
        <w:ind w:right="500" w:firstLine="589"/>
        <w:spacing w:after="0" w:line="263" w:lineRule="auto"/>
        <w:rPr>
          <w:sz w:val="20"/>
          <w:szCs w:val="20"/>
          <w:color w:val="auto"/>
        </w:rPr>
      </w:pPr>
      <w:r>
        <w:rPr>
          <w:rFonts w:ascii="Arial" w:cs="Arial" w:eastAsia="Arial" w:hAnsi="Arial"/>
          <w:sz w:val="18"/>
          <w:szCs w:val="18"/>
          <w:color w:val="231F20"/>
        </w:rPr>
        <w:t>Additionally, as the advertising industry evolves, and new ways of collecting, combining and using data are created, governments may enact legislation in response to technological advancements and changes that could result in our having to re-design features or functions of our platform, therefore incurring unexpected compliance costs.</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These laws and other obligations may be interpreted and applied in a manner that is inconsistent with our existing data management practices or the features of our platform. If so, in addition to the possibility of fines, lawsuits and other claims, we could be required to fundamentally change our business activities and practices or modify our products, which could have an adverse effect on our business. We may be unable to make such changes and modifications in a commercially reasonable manner or at all, and our ability to develop new products and features could be limited. All of this could impair our or our customers’ ability to collect, use, or disclose information relating to consumers, which could decrease demand for our platform, increase our costs, and impair our ability to maintain and grow our customer base and increase our revenue.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Commitments to advertising technology industry self-regulation may subject us to investigation by government or self-regulatory bodies, government or private litigation, and operational costs or harm to reputation or brand.</w:t>
      </w:r>
    </w:p>
    <w:p>
      <w:pPr>
        <w:spacing w:after="0" w:line="17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231F20"/>
        </w:rPr>
        <w:t>In addition to our legal obligations, we have committed to comply, and generally require our customers and partners to comply, with applicable self-regulatory principles, such as the Network Advertising Initiative’s Code of Conduct and the Digital Advertising Alliance’s Self-Regulatory Principles for Online Behavioral Advertising in the U.S., and similar self-regulatory principles in Europe and Canada adopted by the local Digital Advertising Alliance.</w:t>
      </w:r>
    </w:p>
    <w:p>
      <w:pPr>
        <w:spacing w:after="0" w:line="18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231F20"/>
        </w:rPr>
        <w:t>Trade associations and industry self-regulatory groups have also promulgated best practices and other industry standards relating to targeted advertising. Our efforts to comply with these self-regulatory principles include offering Internet users notice and choice when advertising is served to them based, in part, on their interests. If we or our customers or partners make mistakes in the implementation of these principles, or if self-regulatory bodies expand these guidelines or government authorities issue different guidelines regarding Internet-based advertising, or opt out mechanisms fail to work as designed, or if Internet users misunderstand our technology or our commitments with respect to these principles, we may, as a result, be subject to negative publicity, government investigation, government or private litigation, or investigation by self-regulatory bodies or other accountability groups. Any such action against us, or investigations, even if meritless, could be costly and time consuming, require us to change our business practices, cause us to divert management’s attention and our resources, and be damaging to our brand, reputation, and business. In addition, privacy advocates and industry groups may propose new and different self-regulatory standards that either legally or contractually apply to us. We cannot yet determine the impact such future standards may have on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jc w:val="both"/>
        <w:ind w:right="320"/>
        <w:spacing w:after="0" w:line="263" w:lineRule="auto"/>
        <w:rPr>
          <w:sz w:val="20"/>
          <w:szCs w:val="20"/>
          <w:color w:val="auto"/>
        </w:rPr>
      </w:pPr>
      <w:r>
        <w:rPr>
          <w:rFonts w:ascii="Arial" w:cs="Arial" w:eastAsia="Arial" w:hAnsi="Arial"/>
          <w:sz w:val="18"/>
          <w:szCs w:val="18"/>
          <w:b w:val="1"/>
          <w:bCs w:val="1"/>
          <w:i w:val="1"/>
          <w:iCs w:val="1"/>
          <w:color w:val="231F20"/>
        </w:rPr>
        <w:t>Unfavorable publicity and negative public perception about our industry, particularly concerns regarding data privacy and security relating to our industry’s technology and practices, and perceived failure to comply with laws and industry self-regulation, could adversely affect our business and operating results.</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With the growth of digital advertising and e-commerce, there is increasing awareness and concern among the general public, privacy advocates, mainstream media, governmental bodies and others regarding marketing, advertising, and data privacy matters, particularly as they relate to individual privacy interests and the global reach of the online marketplace. Concerns about industry practices with regard to the collection, use, and disclosure of personal information, whether or not valid and whether driven by applicable laws and regulations, industry standards, customer or inventory provider expectations, or the broader public, may harm our reputation, result in loss of goodwill, and inhibit use of our platform by current and future customers. Any unfavorable publicity or negative public perception about us, our industry, including our competitors, or even other data focused industries can affect our business and results of operations, and may lead to digital publishers or our customers changing their business practices or additional regulatory scrutiny or lawmaking that affects us or our industry. For example, in recent years, consumer advocates, mainstream media and elected officials have increasingly and publicly criticized the data and marketing industry for its collection, storage and use of personal data. Additional public scrutiny may lead to general distrust of our industry, consumer reluctance to share and permit use of personal data, increased consumer opt-out rates or increased private class actions, any of which could negatively influence, change or reduce our current and prospective customers’ demand for our products and services, subject us to liability and adversely affect our business and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Our proprietary rights may be difficult to enforce, which could enable others to copy or use aspects of our technology without compensating us, thereby eroding our competitive advantages and harming our business.</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231F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185"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231F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164" w:lineRule="exact"/>
        <w:rPr>
          <w:sz w:val="20"/>
          <w:szCs w:val="20"/>
          <w:color w:val="auto"/>
        </w:rPr>
      </w:pPr>
    </w:p>
    <w:p>
      <w:pPr>
        <w:ind w:right="340" w:firstLine="589"/>
        <w:spacing w:after="0" w:line="301" w:lineRule="auto"/>
        <w:rPr>
          <w:sz w:val="20"/>
          <w:szCs w:val="20"/>
          <w:color w:val="auto"/>
        </w:rPr>
      </w:pPr>
      <w:r>
        <w:rPr>
          <w:rFonts w:ascii="Arial" w:cs="Arial" w:eastAsia="Arial" w:hAnsi="Arial"/>
          <w:sz w:val="16"/>
          <w:szCs w:val="16"/>
          <w:color w:val="231F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660"/>
        <w:spacing w:after="0" w:line="277" w:lineRule="auto"/>
        <w:rPr>
          <w:sz w:val="20"/>
          <w:szCs w:val="20"/>
          <w:color w:val="auto"/>
        </w:rPr>
      </w:pPr>
      <w:r>
        <w:rPr>
          <w:rFonts w:ascii="Arial" w:cs="Arial" w:eastAsia="Arial" w:hAnsi="Arial"/>
          <w:sz w:val="18"/>
          <w:szCs w:val="18"/>
          <w:b w:val="1"/>
          <w:bCs w:val="1"/>
          <w:i w:val="1"/>
          <w:iCs w:val="1"/>
          <w:color w:val="231F20"/>
        </w:rPr>
        <w:t>We are subject to third party claims for alleged infringement of their proprietary rights, which would result in additional expense and potential damages.</w:t>
      </w:r>
    </w:p>
    <w:p>
      <w:pPr>
        <w:spacing w:after="0" w:line="170" w:lineRule="exact"/>
        <w:rPr>
          <w:sz w:val="20"/>
          <w:szCs w:val="20"/>
          <w:color w:val="auto"/>
        </w:rPr>
      </w:pPr>
    </w:p>
    <w:p>
      <w:pPr>
        <w:ind w:right="120" w:firstLine="589"/>
        <w:spacing w:after="0" w:line="268" w:lineRule="auto"/>
        <w:rPr>
          <w:sz w:val="20"/>
          <w:szCs w:val="20"/>
          <w:color w:val="auto"/>
        </w:rPr>
      </w:pPr>
      <w:r>
        <w:rPr>
          <w:rFonts w:ascii="Arial" w:cs="Arial" w:eastAsia="Arial" w:hAnsi="Arial"/>
          <w:sz w:val="17"/>
          <w:szCs w:val="17"/>
          <w:color w:val="231F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The cost of defending against such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face potential liability and harm to our business based on the nature of our business and the content on our platform.</w:t>
      </w:r>
    </w:p>
    <w:p>
      <w:pPr>
        <w:spacing w:after="0" w:line="225"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231F20"/>
        </w:rPr>
        <w:t>Advertising often results in litigation relating to copyright or trademark infringement, public performance royalties or other claims based on the nature and content of advertising that is distributed through our platform. Though we contractually require agencies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Relating to Governmental Regulation and Tax Matters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231F20"/>
        </w:rPr>
        <w:t>Our business is subject to a wide range of laws and regulations, many of which are evolving, and failure to comply with such laws and regulations could harm our business, financial condition, and results of operations.</w:t>
      </w:r>
    </w:p>
    <w:p>
      <w:pPr>
        <w:spacing w:after="0" w:line="170"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231F20"/>
        </w:rPr>
        <w:t>Our business is subject to regulation by various federal, state, local and foreign governmental agencies, including agencies responsible for monitoring and enforcing employment and labor laws, consumer protection laws, anti-bribery laws, import and export controls, federal securities laws, and tax laws and regulations. These laws and regulations impose added costs on our business and could require us to make changes to our business or platform.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400"/>
        <w:spacing w:after="0" w:line="277" w:lineRule="auto"/>
        <w:rPr>
          <w:sz w:val="20"/>
          <w:szCs w:val="20"/>
          <w:color w:val="auto"/>
        </w:rPr>
      </w:pPr>
      <w:r>
        <w:rPr>
          <w:rFonts w:ascii="Arial" w:cs="Arial" w:eastAsia="Arial" w:hAnsi="Arial"/>
          <w:sz w:val="18"/>
          <w:szCs w:val="18"/>
          <w:b w:val="1"/>
          <w:bCs w:val="1"/>
          <w:i w:val="1"/>
          <w:iCs w:val="1"/>
          <w:color w:val="231F20"/>
        </w:rPr>
        <w:t>Viant Technology Inc. depends on distributions from Viant Technology LLC to pay any dividends, if declared, taxes and other expenses, including payments under the Tax Receivable Agreement.</w:t>
      </w:r>
    </w:p>
    <w:p>
      <w:pPr>
        <w:spacing w:after="0" w:line="17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231F20"/>
        </w:rPr>
        <w:t>Viant Technology Inc. is a holding company and its only business is to act as the managing member of Viant Technology LLC, and its only material assets are Class A units representing approximately 19.5% of the membership interests of Viant Technology LLC.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The Internal Revenue Service (“IRS”) might challenge the tax basis step-ups and other tax benefits we received in connection with our IPO and the related transactions and in connection with future acquisitions of Viant Technology LLC units.</w:t>
      </w:r>
    </w:p>
    <w:p>
      <w:pPr>
        <w:spacing w:after="0" w:line="170"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231F20"/>
        </w:rPr>
        <w:t>The Viant Technology LLC units held directly by the members of Viant Technology LLC other than Viant Technology Inc., including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spacing w:after="0" w:line="166"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231F20"/>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231F20"/>
        </w:rPr>
        <w:t>Viant Technology Inc. is required to pay over to continuing members of Viant Technology LLC most of the tax benefits Viant Technology Inc. receives from tax basis step-ups (and certain other tax benefits) attributable to its acquisition of units of Viant Technology LLC, and the amount of those payments are expected to be substantial.</w:t>
      </w:r>
    </w:p>
    <w:p>
      <w:pPr>
        <w:spacing w:after="0" w:line="184"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231F20"/>
        </w:rPr>
        <w:t>Viant Technology Inc. has entered into a Tax Receivable Agreement with Viant Technology LLC, continuing members of Viant Technology LLC (not including Viant Technology Inc.) and the representative of such continuing members of Viant Technology LLC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 w:name="page37"/>
    <w:bookmarkEnd w:id="36"/>
    <w:p>
      <w:pPr>
        <w:ind w:right="80" w:firstLine="589"/>
        <w:spacing w:after="0" w:line="269" w:lineRule="auto"/>
        <w:rPr>
          <w:sz w:val="20"/>
          <w:szCs w:val="20"/>
          <w:color w:val="auto"/>
        </w:rPr>
      </w:pPr>
      <w:r>
        <w:rPr>
          <w:rFonts w:ascii="Arial" w:cs="Arial" w:eastAsia="Arial" w:hAnsi="Arial"/>
          <w:sz w:val="17"/>
          <w:szCs w:val="17"/>
          <w:color w:val="231F20"/>
        </w:rPr>
        <w:t>The term of the Tax Receivable Agreement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The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18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231F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 w:name="page38"/>
    <w:bookmarkEnd w:id="37"/>
    <w:p>
      <w:pPr>
        <w:ind w:right="60"/>
        <w:spacing w:after="0" w:line="277" w:lineRule="auto"/>
        <w:rPr>
          <w:sz w:val="20"/>
          <w:szCs w:val="20"/>
          <w:color w:val="auto"/>
        </w:rPr>
      </w:pPr>
      <w:r>
        <w:rPr>
          <w:rFonts w:ascii="Arial" w:cs="Arial" w:eastAsia="Arial" w:hAnsi="Arial"/>
          <w:sz w:val="18"/>
          <w:szCs w:val="18"/>
          <w:b w:val="1"/>
          <w:bCs w:val="1"/>
          <w:i w:val="1"/>
          <w:iCs w:val="1"/>
          <w:color w:val="231F20"/>
        </w:rPr>
        <w:t>In certain circumstances, payments under the Tax Receivable Agreement may be accelerated and/or significantly exceed the actual tax benefits, if any, that Viant Technology Inc. actually realizes.</w:t>
      </w:r>
    </w:p>
    <w:p>
      <w:pPr>
        <w:spacing w:after="0" w:line="170"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231F20"/>
        </w:rPr>
        <w:t>The Tax Receivable Agreement provides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(“SOFR”) plus 400 basis points.</w:t>
      </w:r>
    </w:p>
    <w:p>
      <w:pPr>
        <w:spacing w:after="0" w:line="38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92"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231F20"/>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b w:val="1"/>
          <w:bCs w:val="1"/>
          <w:i w:val="1"/>
          <w:iCs w:val="1"/>
          <w:color w:val="231F20"/>
        </w:rPr>
        <w:t>In certain circumstances, Viant Technology LLC will be required to make distributions to us and the existing members of Viant Technology LLC, and the distributions that Viant Technology LLC will be required to make may be substantial.</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231F20"/>
        </w:rPr>
        <w:t>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16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231F20"/>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188" w:lineRule="exact"/>
        <w:rPr>
          <w:sz w:val="20"/>
          <w:szCs w:val="20"/>
          <w:color w:val="auto"/>
        </w:rPr>
      </w:pPr>
    </w:p>
    <w:p>
      <w:pPr>
        <w:jc w:val="both"/>
        <w:ind w:right="60" w:firstLine="589"/>
        <w:spacing w:after="0" w:line="279" w:lineRule="auto"/>
        <w:rPr>
          <w:sz w:val="20"/>
          <w:szCs w:val="20"/>
          <w:color w:val="auto"/>
        </w:rPr>
      </w:pPr>
      <w:r>
        <w:rPr>
          <w:rFonts w:ascii="Arial" w:cs="Arial" w:eastAsia="Arial" w:hAnsi="Arial"/>
          <w:sz w:val="17"/>
          <w:szCs w:val="17"/>
          <w:color w:val="231F20"/>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231F20"/>
        </w:rPr>
        <w:t>Pursuant to recent regulations issued under Section 162(m) of the Code, Viant Technology Inc. may not be permitted to deduct its distributive share of compensation expense to the extent that the compensation was paid by Viant Technology LLC to certain of Viant Technology Inc.’s covered employees, potentially resulting in additional U.S. federal income tax liability for Viant Technology Inc. and reducing cash available for distribution to Viant Technology Inc.’s stockholders and/or for the payment of other expenses and obligations of Viant Technology Inc.</w:t>
      </w:r>
    </w:p>
    <w:p>
      <w:pPr>
        <w:spacing w:after="0" w:line="157"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231F20"/>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executive officers for the taxable year (other than the PEO or PFO or an individual acting in such capacity), or (c) was a covered employee of the taxpayer (or any predecessor) for any preceding taxable year beginning after December 31, 2016. Pursuant to final regulations released for publication in the Federal Register by the IRS and the United States Department of the Treasury on December 30, 2020 (the “162(m) Regulations”), Viant Technology Inc. will not be permitted to claim a deduction for the distributive share of compensation expense of Viant Technology LLC allocated to it to the extent that such distributive share, plus the amount of any compensation paid directly by Viant Technology Inc., exceeds $1,000,000 with respect to a covered employee, even if Viant Technology LLC, rather than Viant Technology Inc., pays the compensation. The 162(m) Regulations were effective upon publication of final regulations in the Federal Register but apply to any deduction for compensation that is otherwise allowable for a taxable year ending on or after December 20, 2019. However, the 162(m) Regulations do not apply to compensation paid pursuant to a written binding contract in effect on December 20, 2019 that is not materially modified after that date. Accordingly, to the extent that Viant Technology Inc. is disallowed a deduction for its distributive share of compensation expense under Section 162(m) of the Code, it may result in additional U.S. federal income tax liability for Viant Technology Inc. and/or reduce cash available for distribution to Viant Technology Inc.’s stockholders or for the payment of other expenses and obligations of Viant Technology Inc.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231F20"/>
        </w:rPr>
        <w:t>Future changes to tax laws or our effective tax rate could materially and adversely affect our company and reduce net returns to our stockholders.</w:t>
      </w:r>
    </w:p>
    <w:p>
      <w:pPr>
        <w:spacing w:after="0" w:line="248"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231F20"/>
        </w:rPr>
        <w:t>Our tax treatment is subject to the enactment of, or changes in, tax laws, regulations and treaties, or the interpretation thereof, tax policy initiatives and reforms under consideration and the practices of tax authorities in various jurisdictions,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w:t>
      </w:r>
    </w:p>
    <w:p>
      <w:pPr>
        <w:spacing w:after="0" w:line="19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231F20"/>
        </w:rPr>
        <w:t>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in jurisdictions which we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6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231F20"/>
        </w:rPr>
        <w:t>Our businesses are subject to income taxation in the United States. Tax rates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 required to pay additional taxes because of the U.S. federal partnership audit rules and potentially also state and local tax rules.</w:t>
      </w:r>
    </w:p>
    <w:p>
      <w:pPr>
        <w:spacing w:after="0" w:line="248"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231F20"/>
        </w:rPr>
        <w:t>Under the U.S. federal partnership audit rules, subject to certain exceptions, audit adjustments to items of income, gain, loss, deduction, or credit of an entity (and any holder’s share thereof) is determined, and taxes, interest, and penalties attributable thereto, are assessed and collected, at the entity level. Viant Technology LLC (or any of its applicable subsidiaries or other entities in which Viant Technology LLC directly or indirectly invests that are treated as partnerships for U.S. federal income tax purposes) may be required to pay additional taxes, interest and penalties as a result of an audit adjustment, and Viant Technology Inc., as a member of Viant Technology LLC (or such other entities), could be required to indirectly bear the economic burden of those taxes, interest, and penalties even though we may not otherwise have been required to pay additional corporate-level taxes as a result of the related audit adjustment. Audit adjustments for state or local tax purposes could similarly result in Viant Technology LLC (or any of its applicable subsidiaries or other entities in which Viant Technology LLC directly or indirectly invests) being required to pay or indirectly bear the economic burden of state or local taxes and associated interest, and penalties.</w:t>
      </w:r>
    </w:p>
    <w:p>
      <w:pPr>
        <w:spacing w:after="0" w:line="181"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231F20"/>
        </w:rPr>
        <w:t>Under certain circumstances, Viant Technology LLC or an entity in which Viant Technology LLC directly or indirectly invests may be eligible to make an election to cause members of Viant Technology LLC (or such other entity) to take into account the amount of any understatement, including any interest and penalties, in accordance with such member’s share in Viant Technology LLC in the year under audit. We will decide whether or not to cause Viant Technology LLC to make this election; however, there are circumstances in which the election may not be available and, in the case of an entity in which Viant Technology LLC directly or indirectly invests, such decision may be outside of our control. If Viant Technology LLC or an entity in which Viant Technology LLC directly or indirectly invests does not make this election, the then-current members of Viant Technology LLC (including Viant Technology Inc.) could economically bear the burden of the understatement.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b w:val="1"/>
          <w:bCs w:val="1"/>
          <w:i w:val="1"/>
          <w:iCs w:val="1"/>
          <w:color w:val="231F20"/>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spacing w:after="0" w:line="18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231F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95"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231F20"/>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Ownership of Our Common Stock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The market price of our Class A common stock has been and may continue to be volatile or may decline regardless of our operating performance, and you could lose all or part of your investment.</w:t>
      </w:r>
    </w:p>
    <w:p>
      <w:pPr>
        <w:spacing w:after="0" w:line="170"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231F20"/>
        </w:rPr>
        <w:t>The market price of equity securities of technology companies has historically experienced high levels of volatility. The market price of our Class A common stock has been and may continue to fluctuate significantly in response to numerous factors, some of which are beyond our control and may not be related to our operating performance, including:</w:t>
      </w:r>
    </w:p>
    <w:p>
      <w:pPr>
        <w:spacing w:after="0" w:line="184" w:lineRule="exact"/>
        <w:rPr>
          <w:sz w:val="20"/>
          <w:szCs w:val="20"/>
          <w:color w:val="auto"/>
        </w:rPr>
      </w:pPr>
    </w:p>
    <w:p>
      <w:pPr>
        <w:ind w:left="1160" w:right="30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announcements of new offerings, products, services or technologies, commercial relationships, acquisitions or other events by us or our competitors;</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price and volume fluctuations in the overall stock market from time to time;</w:t>
      </w:r>
    </w:p>
    <w:p>
      <w:pPr>
        <w:spacing w:after="0" w:line="225"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significant volatility in the market price and trading volume of technology companies in general and of companies in the digital advertising industry in particular;</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fluctuations in the trading volume of our shares or the size of our public float;</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actual or anticipated changes or fluctuations in our operating results;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whether our operating results meet the expectations of securities analysts or investors;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actual or anticipated changes in the expectations of investors or securities analysts;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litigation involving us, our industry, or both;</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regulatory developments in the United States, foreign countries, or both;</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general economic conditions and trends;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major catastrophic events;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lockup releases or sales of large blocks of our Class A common stock;</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departures of key employees; or</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an adverse impact on the Company from any of the other risks cited in this Annual Report.</w:t>
      </w:r>
    </w:p>
    <w:p>
      <w:pPr>
        <w:spacing w:after="0" w:line="225"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231F20"/>
        </w:rPr>
        <w:t>In addition, if the stock market for technology companies, or the stock market generally, experiences a loss of investor confidence, the trading price of our Class A common stock could decline for reasons unrelated to our business, operating results or financial condition. Stock prices of many technology companies have fluctuated in a manner unrelated or disproportionate to the operating performance of those companies.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Sales of substantial blocks of our Class A common stock into the public market, or the perception that such sales might occur, could cause the market price of our Class A common stock to decline.</w:t>
      </w:r>
    </w:p>
    <w:p>
      <w:pPr>
        <w:spacing w:after="0" w:line="170"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231F20"/>
        </w:rPr>
        <w:t>Sales of substantial blocks of our Class A common stock into the public market, or the perception that such sales might occur, could cause the market price of our Class A common stock to decline and may make it more difficult for you to sell your Class A common stock at a time and price that you deem appropriate. As of March 19, 2021, we had 11,500,000 shares of Class A common stock outstanding. All of the shares of Class A common stock sold in the IPO are freely tradable without restrictions or further registration under the Securities Act of 1933, as amended, or the Securities Act, except for any shares held by our “affiliates” as defined in Rule 144 under the Securities Act.</w:t>
      </w:r>
    </w:p>
    <w:p>
      <w:pPr>
        <w:spacing w:after="0" w:line="18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Subject to certain exceptions, we, all of our directors and officers and all of the other holders of our capital stock and securities convertible into, or exchangeable for, our capital stock have agreed not to offer, sell or agree to sell, directly or indirectly, any shares of Class A common stock without the permission of BofA Securities for a period of 180 days from February 9, 2021. When the applicable lock-up period expires, we, our directors and officers and locked-up equityholders will be able to sell shares into the public market.</w:t>
      </w:r>
    </w:p>
    <w:p>
      <w:pPr>
        <w:spacing w:after="0" w:line="18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231F20"/>
        </w:rPr>
        <w:t>The underwriters may, in their sole discretion, permit our directors and officers and locked-up equityholders to sell shares prior to the expiration of the restrictive provisions contained in the “lock-up” agreements with the underwriters.</w:t>
      </w:r>
    </w:p>
    <w:p>
      <w:pPr>
        <w:spacing w:after="0" w:line="17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231F20"/>
        </w:rPr>
        <w:t>Pursuant to the Registration Rights Agreement, and subject to the lock-up agreements described above, holders of our Class B common stock have rights to require us to file registration statements covering the sale of shares of Class A common stock issuable upon exchange of Class B common stock or to include such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231F20"/>
        </w:rPr>
        <w:t>The market price of our Class A common stock could decline as a result of the sale of substantial blocks of our Class A common stock into the public market, or the perception that such sales might occur.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220"/>
        <w:spacing w:after="0" w:line="263" w:lineRule="auto"/>
        <w:rPr>
          <w:sz w:val="20"/>
          <w:szCs w:val="20"/>
          <w:color w:val="auto"/>
        </w:rPr>
      </w:pPr>
      <w:r>
        <w:rPr>
          <w:rFonts w:ascii="Arial" w:cs="Arial" w:eastAsia="Arial" w:hAnsi="Arial"/>
          <w:sz w:val="18"/>
          <w:szCs w:val="18"/>
          <w:b w:val="1"/>
          <w:bCs w:val="1"/>
          <w:i w:val="1"/>
          <w:iCs w:val="1"/>
          <w:color w:val="231F20"/>
        </w:rPr>
        <w:t>We are a “controlled company” within the meaning of the listing standards of the Nasdaq Global Select Market (“Nasdaq”) and, as a result, qualify for, and rely on, exemptions from certain corporate governance requirements. You do not have the same protections afforded to stockholders of companies that are subject to such requirements.</w:t>
      </w:r>
    </w:p>
    <w:p>
      <w:pPr>
        <w:spacing w:after="0" w:line="18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231F20"/>
        </w:rPr>
        <w:t>The Vanderhook Parties control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9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231F20"/>
        </w:rPr>
        <w:t>We rely on some or all of these exemptions. We also rely on the transition period with respect to the composition of the audit committee available under the Nasdaq rules. As a result, at least initially, we will not have a majority of independent directors, our audit committee and our compensation committee will not consist entirely of independent directors and our directors may not be nominated or selected entirely by independent directors. Accordingly, you may not have the same protections afforded to stockholders of companies that are subject to all of the corporate governance requirements of Nasdaq.</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Insiders have substantial control over our company, which could limit your ability to influence the outcome of key decisions, including a change of control.</w:t>
      </w:r>
    </w:p>
    <w:p>
      <w:pPr>
        <w:spacing w:after="0" w:line="17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Through their ownership of Class B common stock, the Vanderhook Parties control 74.9% of the voting power of our common stock in the election of directors.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cannot assure you that an active trading market for our Class A common stock will be sustained, and we cannot predict the market price at which our Class A common stock will trade in the future.</w:t>
      </w:r>
    </w:p>
    <w:p>
      <w:pPr>
        <w:spacing w:after="0" w:line="170"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231F20"/>
        </w:rPr>
        <w:t>Our common stock is currently listed on the Nasdaq under the symbol “DSP”. We cannot assure you that an active trading market for our Class A common stock will be sustained. We cannot predict the market price at which our Class A common stock will trade in the future. The lack of an active market may impair the value of your shares, your ability to sell your shares at the time you wish to sell them and the prices that you may obtain for your shares. An inactive market may also impair our ability to raise capital by selling our Class A common stock and our ability to acquire other companies, products or technologies by using our Class A common stock as consideration.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231F20"/>
        </w:rPr>
        <w:t>We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and the terms of our current and future debt arrangements. Accordingly, investors must rely on sales of their Class A common stock after price appreciation, which may never occur, as the only way to realize any future gains on their investments.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divert our management’s attention and affect our ability to attract and retain qualified board members.</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231F20"/>
        </w:rPr>
        <w:t>As a public company, we are subject to the reporting requirements of the Exchange Act, and are required to comply with the applicable requirements of the Sarbanes-Oxley Act and the Dodd-Frank Wall Street Reform and Consumer Protection Act, the listing requirements of Nasdaq, and other applicable securities rules and regulations. Compliance with these rules and regulations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operating results and maintain effective disclosure controls and procedures and internal controls over financial reporting. Significant resources and management oversight are required to maintain and, if required, improve our disclosure controls and procedures and internal controls over financial reporting to meet this standard.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66"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231F20"/>
        </w:rPr>
        <w:t>Being a public company and these new rules and regulations also make it more expensive for us to obtain director and officer liability insurance, and we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Reduced reporting and disclosure requirements applicable to us as an emerging growth company could make our Class A common stock less attractive to investors.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231F20"/>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financial statements may not be comparable to companies that comply with new or revised accounting pronouncements as of the dates such pronouncements are effective for public companies. We could be an EGC for up to five years following the completion of the IPO. We will cease to be an EGC upon the earliest of: (i) the end of the fiscal year following the fifth anniversary of the IPO, (ii) the first fiscal year after our annual gross revenue is $1.07 billion or more, (iii) the date on which we have, during the previous three-year period, issued more than $1 billion in nonconvertible debt securities or (iv) the end of any fiscal year in which the market value of our Class A common stock held by non-affiliates exceeded $700 million as of the end of the second quarter of that fiscal year. We cannot predict whether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146"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231F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ind w:firstLine="589"/>
        <w:spacing w:after="0" w:line="268" w:lineRule="auto"/>
        <w:rPr>
          <w:sz w:val="20"/>
          <w:szCs w:val="20"/>
          <w:color w:val="auto"/>
        </w:rPr>
      </w:pPr>
      <w:r>
        <w:rPr>
          <w:rFonts w:ascii="Arial" w:cs="Arial" w:eastAsia="Arial" w:hAnsi="Arial"/>
          <w:sz w:val="17"/>
          <w:szCs w:val="17"/>
          <w:color w:val="231F20"/>
        </w:rPr>
        <w:t>Our current controls and any new controls that we develop may become inadequate because of changes in conditions in our business. Further, weaknesses in our disclosure controls or our internal control over financial reporting may be discovered in the future. In connection with the audit of our 2018 and 2019 consolidated financial statements, we identified a material weakness in our internal controls caused by the misapplication of accounting principles related to the timing of depreciation of software development costs capitalized and unrecorded disposals of decommissioned software projects. We have remediated this material weakness, which we believe has addressed the underlying causes of this issue. We implemented additional controls around identifying and determining the appropriate timing for which capitalized software development costs should be reclassified from work-in-process to placed-in-service and begin depreciation and ultimately decommissioned, if applicable.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184"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231F20"/>
        </w:rPr>
        <w:t>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second annual report on Form 10-K. Our independent registered public accounting firm is not required to audit the effectiveness of our internal control over financial reporting until after we are no longer an EGC. At such time, our independent registered public accounting firm may issue a report that is adverse in the event it is not satisfied with the level at which our internal control over financial reporting is documented, designed or operating.</w:t>
      </w:r>
    </w:p>
    <w:p>
      <w:pPr>
        <w:spacing w:after="0" w:line="178"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231F20"/>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reports about our business, or publish inaccurate or unfavorable research reports about our business, our share price and trading volume could decline.</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231F20"/>
        </w:rPr>
        <w:t>The trading market for our Class A common stock partially depends on the research and reports that securities or industry analysts publish about us or our business. We do not have any control over these analysts.</w:t>
      </w:r>
    </w:p>
    <w:p>
      <w:pPr>
        <w:spacing w:after="0" w:line="170"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231F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charter documents and Delaware law could discourage takeover attempts and other corporate governance changes.</w:t>
      </w:r>
    </w:p>
    <w:p>
      <w:pPr>
        <w:spacing w:after="0" w:line="225"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231F20"/>
        </w:rPr>
        <w:t>Our certificate of incorporation and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165" w:lineRule="exact"/>
        <w:rPr>
          <w:sz w:val="20"/>
          <w:szCs w:val="20"/>
          <w:color w:val="auto"/>
        </w:rPr>
      </w:pPr>
    </w:p>
    <w:p>
      <w:pPr>
        <w:ind w:left="1160" w:right="44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provide that our board of directors will be classified into three classes with staggered, three-year terms and that directors may only be removed for cause after a Triggering Event (as defined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permit the board of directors to establish the number of directors and fill any vacancies and newly created directorships;</w:t>
      </w:r>
    </w:p>
    <w:p>
      <w:pPr>
        <w:spacing w:after="0" w:line="225"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provide that, after a Triggering Event, vacancies on our board of directors may be filled only by a majority of directors then in office, even though less than a quorum;</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prohibit cumulative voting in the election of directors;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require super-majority voting to amend our certificate of incorporation and bylaws;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authorize the issuance of “blank check” preferred stock that our board of directors could use to implement a stockholder rights plan;</w:t>
      </w:r>
    </w:p>
    <w:p>
      <w:pPr>
        <w:spacing w:after="0" w:line="236" w:lineRule="exact"/>
        <w:rPr>
          <w:rFonts w:ascii="Arial" w:cs="Arial" w:eastAsia="Arial" w:hAnsi="Arial"/>
          <w:sz w:val="17"/>
          <w:szCs w:val="17"/>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eliminate the ability of our stockholders to call special meetings of stockholders;</w:t>
      </w:r>
    </w:p>
    <w:p>
      <w:pPr>
        <w:spacing w:after="0" w:line="22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specify that special meetings of our stockholders can be called only by our board of directors, the chairman of our board of directors, or our chief executive officer with the concurrence of a majority of our board of directors;</w:t>
      </w:r>
    </w:p>
    <w:p>
      <w:pPr>
        <w:spacing w:after="0" w:line="170"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prohibit stockholder action by written consent after a Triggering Event, which requires all stockholder actions to be taken at a meeting of our stockholders;</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restrict the forum for certain litigation against us to Delaware or federal courts;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permit our board of directors to alter our bylaws without obtaining stockholder approval;</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reflect the dual class structure of our common stock, as discussed above; and</w:t>
      </w:r>
    </w:p>
    <w:p>
      <w:pPr>
        <w:spacing w:after="0" w:line="22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right="300" w:firstLine="589"/>
        <w:spacing w:after="0" w:line="257" w:lineRule="auto"/>
        <w:rPr>
          <w:sz w:val="20"/>
          <w:szCs w:val="20"/>
          <w:color w:val="auto"/>
        </w:rPr>
      </w:pPr>
      <w:r>
        <w:rPr>
          <w:rFonts w:ascii="Arial" w:cs="Arial" w:eastAsia="Arial" w:hAnsi="Arial"/>
          <w:sz w:val="18"/>
          <w:szCs w:val="18"/>
          <w:color w:val="231F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Our amended and restated certificate of incorporation includes an exclusive forum clause, which could limit our stockholders’ ability to obtain a favorable judicial forum for disputes with us.</w:t>
      </w:r>
    </w:p>
    <w:p>
      <w:pPr>
        <w:spacing w:after="0" w:line="170"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ind w:right="20" w:firstLine="589"/>
        <w:spacing w:after="0" w:line="296" w:lineRule="auto"/>
        <w:rPr>
          <w:sz w:val="20"/>
          <w:szCs w:val="20"/>
          <w:color w:val="auto"/>
        </w:rPr>
      </w:pPr>
      <w:r>
        <w:rPr>
          <w:rFonts w:ascii="Arial" w:cs="Arial" w:eastAsia="Arial" w:hAnsi="Arial"/>
          <w:sz w:val="16"/>
          <w:szCs w:val="16"/>
          <w:color w:val="231F20"/>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61" w:lineRule="exact"/>
        <w:rPr>
          <w:sz w:val="20"/>
          <w:szCs w:val="20"/>
          <w:color w:val="auto"/>
        </w:rPr>
      </w:pPr>
    </w:p>
    <w:p>
      <w:pPr>
        <w:ind w:right="100" w:firstLine="589"/>
        <w:spacing w:after="0" w:line="308" w:lineRule="auto"/>
        <w:rPr>
          <w:sz w:val="20"/>
          <w:szCs w:val="20"/>
          <w:color w:val="auto"/>
        </w:rPr>
      </w:pPr>
      <w:r>
        <w:rPr>
          <w:rFonts w:ascii="Arial" w:cs="Arial" w:eastAsia="Arial" w:hAnsi="Arial"/>
          <w:sz w:val="17"/>
          <w:szCs w:val="17"/>
          <w:color w:val="231F20"/>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market in which we participate is intensely competitive, and we may not be able to compete successfully with our current or future competitors.</w:t>
      </w:r>
    </w:p>
    <w:p>
      <w:pPr>
        <w:spacing w:after="0" w:line="26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231F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New technologies and methods of buying advertising present a dynamic competitive challenge, as market participants offer multiple new products and services aimed at capturing advertising spend.</w:t>
      </w:r>
    </w:p>
    <w:p>
      <w:pPr>
        <w:spacing w:after="0" w:line="18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231F20"/>
        </w:rPr>
        <w:t>We compete with smaller, privately-held companies, with public companies such as The Trade Desk, and with divisions of large, well-established companies such as Google.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167"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231F20"/>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streaming audio and digital billboard channels, we also expect to face additional competition in those channels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520"/>
        <w:spacing w:after="0" w:line="277" w:lineRule="auto"/>
        <w:rPr>
          <w:sz w:val="20"/>
          <w:szCs w:val="20"/>
          <w:color w:val="auto"/>
        </w:rPr>
      </w:pPr>
      <w:r>
        <w:rPr>
          <w:rFonts w:ascii="Arial" w:cs="Arial" w:eastAsia="Arial" w:hAnsi="Arial"/>
          <w:sz w:val="18"/>
          <w:szCs w:val="18"/>
          <w:b w:val="1"/>
          <w:bCs w:val="1"/>
          <w:i w:val="1"/>
          <w:iCs w:val="1"/>
          <w:color w:val="231F20"/>
        </w:rPr>
        <w:t>Our future success depends on the continuing efforts of our key employees, including Tim Vanderhook and Chris Vanderhook, and our ability to attract, hire, retain and motivate highly skilled employees in the future.</w:t>
      </w:r>
    </w:p>
    <w:p>
      <w:pPr>
        <w:spacing w:after="0" w:line="170"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231F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17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231F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19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our two founders, or our inability to attract and retain highly skilled employees could have an adverse effect on our business, operating results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Failure to manage our growth effectively could cause our business to suffer and have an adverse effect on our business, operating results and financial condition.</w:t>
      </w:r>
    </w:p>
    <w:p>
      <w:pPr>
        <w:spacing w:after="0" w:line="170"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231F20"/>
        </w:rPr>
        <w:t>We have experienced significant growth in a short period of time. To manage our growth effectively, we must continually evaluate and evolve our organization. We must also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our rapid growth may place a strain on our resources, infrastructure and ability to maintain the quality of our platform. You should not consider our revenue growth and levels of profitability in recent periods as indicative of future performance. In future periods, our revenue or profitability could decline or grow more slowly than we expect. Failure to manage our growth effectively could cause our business to suffer and have an adverse effect on our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 fluctuations in advertising activity could have a material impact on our revenue, cash flow and operating results.</w:t>
      </w:r>
    </w:p>
    <w:p>
      <w:pPr>
        <w:spacing w:after="0" w:line="225"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231F20"/>
        </w:rPr>
        <w:t>Our revenue, cash flow, operating results and other key operating and performance metrics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slowest in terms of advertising spend. These patterns may or may not hold true during the COVID-19 pandemic.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center"/>
        <w:ind w:right="260"/>
        <w:spacing w:after="0"/>
        <w:rPr>
          <w:sz w:val="20"/>
          <w:szCs w:val="20"/>
          <w:color w:val="auto"/>
        </w:rPr>
      </w:pPr>
      <w:r>
        <w:rPr>
          <w:rFonts w:ascii="Arial" w:cs="Arial" w:eastAsia="Arial" w:hAnsi="Arial"/>
          <w:sz w:val="15"/>
          <w:szCs w:val="15"/>
          <w:b w:val="1"/>
          <w:bCs w:val="1"/>
          <w:i w:val="1"/>
          <w:iCs w:val="1"/>
          <w:color w:val="231F20"/>
        </w:rPr>
        <w:t>Future acquisitions, strategic investments or alliances could disrupt our business and harm our business, operating results and financial condition.</w:t>
      </w:r>
    </w:p>
    <w:p>
      <w:pPr>
        <w:spacing w:after="0" w:line="260"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231F20"/>
        </w:rPr>
        <w:t>We have engaged in acquisitions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privacy or cybersecurity issues or employee or customer issues. There is no certainty that we will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168"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regulatory hurdles;</w:t>
      </w:r>
    </w:p>
    <w:p>
      <w:pPr>
        <w:spacing w:after="0" w:line="225" w:lineRule="exact"/>
        <w:rPr>
          <w:rFonts w:ascii="Arial" w:cs="Arial" w:eastAsia="Arial" w:hAnsi="Arial"/>
          <w:sz w:val="18"/>
          <w:szCs w:val="18"/>
          <w:color w:val="231F20"/>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failure of anticipated benefits to materialize;</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retention of employees from the acquired company;</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231F20"/>
        </w:rPr>
        <w:t>integration of the acquired company’s accounting, management information, human resources and other administrative systems;</w:t>
      </w:r>
    </w:p>
    <w:p>
      <w:pPr>
        <w:spacing w:after="0" w:line="236" w:lineRule="exact"/>
        <w:rPr>
          <w:rFonts w:ascii="Arial" w:cs="Arial" w:eastAsia="Arial" w:hAnsi="Arial"/>
          <w:sz w:val="17"/>
          <w:szCs w:val="17"/>
          <w:color w:val="auto"/>
        </w:rPr>
      </w:pPr>
    </w:p>
    <w:p>
      <w:pPr>
        <w:ind w:left="1160" w:right="28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need to implement or improve controls, procedures and policies at a business that prior to the acquisition may have lacked effective controls, procedures and policies;</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coordination of product development and sales and marketing functions;</w:t>
      </w:r>
    </w:p>
    <w:p>
      <w:pPr>
        <w:spacing w:after="0" w:line="225"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liability for activities of the acquired company before the acquisition, including known and unknown liabilities; and</w:t>
      </w:r>
    </w:p>
    <w:p>
      <w:pPr>
        <w:spacing w:after="0" w:line="225" w:lineRule="exact"/>
        <w:rPr>
          <w:rFonts w:ascii="Arial" w:cs="Arial" w:eastAsia="Arial" w:hAnsi="Arial"/>
          <w:sz w:val="18"/>
          <w:szCs w:val="18"/>
          <w:color w:val="auto"/>
        </w:rPr>
      </w:pPr>
    </w:p>
    <w:p>
      <w:pPr>
        <w:ind w:left="1160" w:right="88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litigation or other claims in connection with the acquired company, including claims from terminated employees, users, former stockholders or other third parties.</w:t>
      </w:r>
    </w:p>
    <w:p>
      <w:pPr>
        <w:spacing w:after="0" w:line="17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operating results and financial condition.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231F20"/>
        </w:rPr>
        <w:t>Our management team has limited experience managing a public company.</w:t>
      </w:r>
    </w:p>
    <w:p>
      <w:pPr>
        <w:spacing w:after="0" w:line="225"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231F20"/>
        </w:rPr>
        <w:t>Most members of our management team have limited or no experience managing a publicly-traded company, interacting with public company investors, and complying with the increasingly complex laws, rules and regulations that govern public companies. There are significant obligations we will now be subject to relating to reporting, procedures and internal controls, and our management team may not successfully or efficiently manage our transition to being a public company. These new obligations and added scrutiny will require significant attention from our management and could divert their attention away from the day-to-day management of our business, which could adversely affect our business, operating results and financial condition.</w:t>
      </w:r>
    </w:p>
    <w:p>
      <w:pPr>
        <w:spacing w:after="0" w:line="1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Our corporate culture has contributed to our success and, if we are unable to maintain it as we grow, our business, operating results and financial condition could be harmed.</w:t>
      </w:r>
    </w:p>
    <w:p>
      <w:pPr>
        <w:spacing w:after="0" w:line="170"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231F20"/>
        </w:rPr>
        <w:t>We have experienced and may continue to experience rapid expansion of our employee ranks. We had 289 employees in the United States as of December 31, 2020. We believe our corporate culture has been critical to our success and we have invested substantial time and resources in building our team within our company culture. However, as our organization grows, it may be difficult to maintain our culture, which could reduce our ability to innovate and operate effectively and proactively focus on and pursue our corporate objectives. The failure to maintain the key aspects of our culture as our organization grows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as we grow to scale, our business, operating results and financial condition could be harmed.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may not be able to secure additional financing on favorable terms, or at all, to meet our future capital needs, which may in turn impair our growth.</w:t>
      </w:r>
    </w:p>
    <w:p>
      <w:pPr>
        <w:spacing w:after="0" w:line="260"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231F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We are a party to a revolving credit agreement, which contains a number of covenants that may restrict our current and future operations and could adversely affect our ability to execute business needs.</w:t>
      </w:r>
    </w:p>
    <w:p>
      <w:pPr>
        <w:spacing w:after="0" w:line="170"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231F20"/>
        </w:rPr>
        <w:t>Our credit agreement with PNC Bank, National Association (the “Loan Agreement”)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Loan Agreement also contains a financial covenant that requires us to maintain a minimum fixed charge coverage ratio of 1.40 to 1 when undrawn availability under the Loan Agreement is less than 25%. We may not be able to generate sufficient cash flow or sales to meet the financial covenant or pay the principal or interest under the Loan Agreement.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0" w:name="page51"/>
    <w:bookmarkEnd w:id="50"/>
    <w:p>
      <w:pPr>
        <w:ind w:firstLine="589"/>
        <w:spacing w:after="0" w:line="257" w:lineRule="auto"/>
        <w:rPr>
          <w:sz w:val="20"/>
          <w:szCs w:val="20"/>
          <w:color w:val="auto"/>
        </w:rPr>
      </w:pPr>
      <w:r>
        <w:rPr>
          <w:rFonts w:ascii="Arial" w:cs="Arial" w:eastAsia="Arial" w:hAnsi="Arial"/>
          <w:sz w:val="18"/>
          <w:szCs w:val="18"/>
          <w:color w:val="231F20"/>
        </w:rPr>
        <w:t>If we are unable to comply with our payment requirements, our lender may accelerate our obligations under our Loan Agreement and foreclose upon the collateral, or we may be forced to sell assets, restructure our indebtedness or seek additional equity capital, which would dilute our stockholders’ interests. If we fail to comply with our covenants under the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231F20"/>
        </w:rPr>
        <w:t>Interest rates under our Loan Agreement are based partly on LIBOR, the London interbank offered rate, which is the basic rate of interest used in lending between banks on the London interbank market and is widely used as a reference for setting the interest rate on loans globally. ICE Benchmark Administration, the administrator of LIBOR, will cease the publication of certain tenors of U.S. dollar LIBOR after December 31, 2021, and plans to cease the publication of all other tenors of U.S. dollar LIBOR after June 30, 2023. It is unclear if new methods of calculating LIBOR will be established such that it continues to exist after 2023. The U.S. Federal Reserve has begun publishing a Secured Overnight Funding Rate which is currently intended to serve as an alternative reference rate to LIBOR. If the method for calculation of LIBOR changes, if LIBOR is no longer available, or if lenders have increased costs due to changes in LIBOR, we may suffer from potential increases in interest rates on our borrowings. Further, we may need to renegotiate our Loan Agreement or any other borrowings that utilize LIBOR as a factor in determining the interest rate to replace LIBOR with the new standard that is established.</w:t>
      </w:r>
    </w:p>
    <w:p>
      <w:pPr>
        <w:spacing w:after="0" w:line="1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There is no guarantee that our PPP Loan will be forgiven in whole or in part, and we could be subject to audit or enforcement action related to the PPP Loan.</w:t>
      </w:r>
    </w:p>
    <w:p>
      <w:pPr>
        <w:spacing w:after="0" w:line="170"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231F20"/>
        </w:rPr>
        <w:t>In April 2020, we received loan proceeds in the amount of approximately $6.035 million (the “PPP Loan”) from PNC Bank, as lender, under the Paycheck Protection Program (“PPP”), established as part of the Coronavirus Aid, Relief and Economic Security (“CARES”) Act, which provides economic relief to businesses in response to the COVID-19 pandemic. We used the proceeds to support payroll costs, rent and utilities in accordance with the relevant terms and conditions of the CARES Act. The PPP Loan bears interest at an annual rate of 1.0% and matures on April 11, 2022. Under the terms of the CARES Act, all or a portion of the principal of the PPP Loan may be forgiven. Such forgiveness will be determined, subject to limitations, based on the use of the PPP Loan proceeds for payroll costs, mortgage interest payments, lease payments or utility payments. We expect to apply for forgiveness of the PPP Loan, but we cannot provide any assurance that we will be eligible for loan forgiveness or that any amount of the PPP Loan will ultimately be forgiven.</w:t>
      </w:r>
    </w:p>
    <w:p>
      <w:pPr>
        <w:spacing w:after="0" w:line="19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231F20"/>
        </w:rPr>
        <w:t>No interest or principal will be due during the first fifteen months after April 11, 2020, although interest will continue to accrue over this fifteen-month deferral period. In the event that any amounts are not forgiven, such unforgiven amounts shall be payable in equal monthly installments over the remaining term of the facility.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92"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231F20"/>
        </w:rPr>
        <w:t>The PPP Loan is subject to the terms and conditions applicable to loans administered by the Small Business Administration (the “SBA”) under the CARES Act, which is subject to revisions and changes by the SBA and Congress. Given that we received more than $2.0 million under our PPP Loan, we will be subject to an audit by the SBA. We believe that we satisfied all eligibility criteria for the PPP Loan, and that our receipt of the PPP Loan was consistent with the broad objectives of the PPP of the CARES Act. The certification regarding necessity described above did not at the time contain any objective criteria and continues to be subject to interpretation. If, despite our good-faith belief that we satisfied all eligibility requirements for the PPP Loan, we are later determined to have violated any of the laws or governmental regulations that apply to us in connection with the PPP Loan or it is otherwise determined that we were ineligible to receive the PPP Loan, we could be subject to civil, criminal and administrative penalties or adverse publicity. Any such events could consume significant financial and management resources and could have a material adverse effect on our business, results of operations and financial condition.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Our headquarters are located in Irvine, California, where we occupy facilities totaling approximately 47,000 square feet under a lease that expires in June 2022. As of December 31, 2020, we have 9 other office spaces across the United States. These offices are leased, and we do not own any real property. We believe that our current facilities are adequate to meet our current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231F20"/>
        </w:rPr>
        <w:t>From time to time, we are involved in various legal proceedings arising from the normal course of business activities.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Holders of Record</w:t>
      </w:r>
    </w:p>
    <w:p>
      <w:pPr>
        <w:ind w:right="520" w:firstLine="589"/>
        <w:spacing w:after="0" w:line="263" w:lineRule="auto"/>
        <w:rPr>
          <w:sz w:val="20"/>
          <w:szCs w:val="20"/>
          <w:color w:val="auto"/>
        </w:rPr>
      </w:pPr>
      <w:r>
        <w:rPr>
          <w:rFonts w:ascii="Arial" w:cs="Arial" w:eastAsia="Arial" w:hAnsi="Arial"/>
          <w:sz w:val="18"/>
          <w:szCs w:val="18"/>
          <w:color w:val="auto"/>
        </w:rPr>
        <w:t>Our Class A common stock has been listed on Nasdaq under the symbol “DSP” since February 10, 2021. There is no market for our Class B common stock. Each share of Class B common stock has no economic rights but entitles its holders to one vote on all matters to be voted on by the shareholders generally.</w:t>
      </w:r>
    </w:p>
    <w:p>
      <w:pPr>
        <w:spacing w:after="0" w:line="184"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As of March 19, 2021, there was approximately 1 stockholder of record of our Class A common stock and 4 holders of record of our Class B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have not paid any cash dividends on our Class A common stock and have no present intention to pay cash dividends on our common stock. Any determination to pay dividends to holders of our common stock will be at the discretion of our board of directors and will depend upon many factors, including our financial condition, results of operations, projections, liquidity, earnings, legal requirements, restrictions in our existing and any future debt and other factors that our board of directors deems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common stock (inclusive of 1,500,000 shares pursuant to the underwriters’ option to purchase additional shares) at the IPO price of $25.00 per share. The aggregate gross proceeds to the Company from our IPO were $250.0 million and the net proceeds were $232.5 million after deducting underwriting discounts and commissions of $17.5 million. The offer and sale of the shares of common stock in the IPO were registered pursuant to registration statements on Form S-1 (File Nos. 333-252117 and 333-252907), which the SEC declared effective on February 9, 2021. No offering expenses were paid directly or indirectly to any of our directors or officers (or their associates) or persons owning 10% or more of any class of our equity securities or to any other affiliates. The underwriters for our IPO were BofA Securities, Inc., UBS Securities LLC, Canaccord Genuity LLC, JMP Securities LLC, Needham &amp; Company, LLC and Raymond James &amp; Associates, Inc.</w:t>
      </w:r>
    </w:p>
    <w:p>
      <w:pPr>
        <w:spacing w:after="0" w:line="19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filed with the SEC pursuant to Rule 424(b)(4) on February 10,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231F20"/>
        </w:rPr>
        <w:t>The following table sets forth selected financial information and other data of Viant Technology Inc. and Viant Technology LLC on a historical basis. Viant Technology LLC is considered our predecessor for accounting purposes and accordingly, for all periods presented prior to February 12, 2021, our financial statements represent the financial statements of the predecessor. The following selected consolidated statements of operations data for the years ended December 31, 2020, 2019 and 2018 and the selected consolidated balance sheet data as of December 31, 2020, 2019, and 2018 have been derived from the audited consolidated financial statements of Viant Technology LLC. Our historical results and growth rates are not necessarily indicative of results or growth rates to be expected in future periods.</w:t>
      </w:r>
    </w:p>
    <w:p>
      <w:pPr>
        <w:spacing w:after="0" w:line="178"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231F20"/>
        </w:rPr>
        <w:t>You should read the following information in conjunction with “</w:t>
      </w:r>
      <w:r>
        <w:rPr>
          <w:rFonts w:ascii="Arial" w:cs="Arial" w:eastAsia="Arial" w:hAnsi="Arial"/>
          <w:sz w:val="18"/>
          <w:szCs w:val="18"/>
          <w:i w:val="1"/>
          <w:iCs w:val="1"/>
          <w:color w:val="231F20"/>
        </w:rPr>
        <w:t>Management’s Discussion and Analysis of Financial Condition and Results of</w:t>
      </w:r>
      <w:r>
        <w:rPr>
          <w:rFonts w:ascii="Arial" w:cs="Arial" w:eastAsia="Arial" w:hAnsi="Arial"/>
          <w:sz w:val="18"/>
          <w:szCs w:val="18"/>
          <w:color w:val="231F20"/>
        </w:rPr>
        <w:t xml:space="preserve"> </w:t>
      </w:r>
      <w:r>
        <w:rPr>
          <w:rFonts w:ascii="Arial" w:cs="Arial" w:eastAsia="Arial" w:hAnsi="Arial"/>
          <w:sz w:val="18"/>
          <w:szCs w:val="18"/>
          <w:i w:val="1"/>
          <w:iCs w:val="1"/>
          <w:color w:val="231F20"/>
        </w:rPr>
        <w:t>Operations,</w:t>
      </w:r>
      <w:r>
        <w:rPr>
          <w:rFonts w:ascii="Arial" w:cs="Arial" w:eastAsia="Arial" w:hAnsi="Arial"/>
          <w:sz w:val="18"/>
          <w:szCs w:val="18"/>
          <w:color w:val="231F20"/>
        </w:rPr>
        <w:t>” “</w:t>
      </w:r>
      <w:r>
        <w:rPr>
          <w:rFonts w:ascii="Arial" w:cs="Arial" w:eastAsia="Arial" w:hAnsi="Arial"/>
          <w:sz w:val="18"/>
          <w:szCs w:val="18"/>
          <w:i w:val="1"/>
          <w:iCs w:val="1"/>
          <w:color w:val="231F20"/>
        </w:rPr>
        <w:t>Certain Relationships and Related Transactions, and Director Independence</w:t>
      </w:r>
      <w:r>
        <w:rPr>
          <w:rFonts w:ascii="Arial" w:cs="Arial" w:eastAsia="Arial" w:hAnsi="Arial"/>
          <w:sz w:val="18"/>
          <w:szCs w:val="18"/>
          <w:color w:val="231F20"/>
        </w:rPr>
        <w:t>” and our consolidated financial statements and related notes</w:t>
      </w:r>
      <w:r>
        <w:rPr>
          <w:rFonts w:ascii="Arial" w:cs="Arial" w:eastAsia="Arial" w:hAnsi="Arial"/>
          <w:sz w:val="18"/>
          <w:szCs w:val="18"/>
          <w:i w:val="1"/>
          <w:iCs w:val="1"/>
          <w:color w:val="231F20"/>
        </w:rPr>
        <w:t xml:space="preserve"> </w:t>
      </w:r>
      <w:r>
        <w:rPr>
          <w:rFonts w:ascii="Arial" w:cs="Arial" w:eastAsia="Arial" w:hAnsi="Arial"/>
          <w:sz w:val="18"/>
          <w:szCs w:val="18"/>
          <w:color w:val="231F20"/>
        </w:rPr>
        <w:t>thereto included elsewhere in this Annual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9"/>
          </w:tcPr>
          <w:p>
            <w:pPr>
              <w:jc w:val="center"/>
              <w:ind w:right="231"/>
              <w:spacing w:after="0" w:line="133" w:lineRule="exact"/>
              <w:rPr>
                <w:sz w:val="20"/>
                <w:szCs w:val="20"/>
                <w:color w:val="auto"/>
              </w:rPr>
            </w:pPr>
            <w:r>
              <w:rPr>
                <w:rFonts w:ascii="Arial" w:cs="Arial" w:eastAsia="Arial" w:hAnsi="Arial"/>
                <w:sz w:val="14"/>
                <w:szCs w:val="14"/>
                <w:b w:val="1"/>
                <w:bCs w:val="1"/>
                <w:color w:val="auto"/>
                <w:w w:val="92"/>
              </w:rPr>
              <w:t>(in thousands, except per unit data and number of</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customers)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165,251</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164,892</w:t>
            </w:r>
          </w:p>
        </w:tc>
        <w:tc>
          <w:tcPr>
            <w:tcW w:w="260" w:type="dxa"/>
            <w:vAlign w:val="bottom"/>
          </w:tcPr>
          <w:p>
            <w:pPr>
              <w:spacing w:after="0"/>
              <w:rPr>
                <w:sz w:val="19"/>
                <w:szCs w:val="19"/>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108,355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88,260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94,060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74,344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143,484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152,097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21,767</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12,795</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Earnings (loss) per unit—basic</w:t>
            </w:r>
            <w:r>
              <w:rPr>
                <w:rFonts w:ascii="Arial" w:cs="Arial" w:eastAsia="Arial" w:hAnsi="Arial"/>
                <w:sz w:val="15"/>
                <w:szCs w:val="15"/>
                <w:color w:val="auto"/>
              </w:rPr>
              <w:t>(2)</w:t>
            </w: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per unit—diluted</w:t>
            </w:r>
            <w:r>
              <w:rPr>
                <w:rFonts w:ascii="Arial" w:cs="Arial" w:eastAsia="Arial" w:hAnsi="Arial"/>
                <w:sz w:val="15"/>
                <w:szCs w:val="15"/>
                <w:color w:val="auto"/>
              </w:rPr>
              <w:t>(2)</w:t>
            </w: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9"/>
              </w:rPr>
              <w:t>Other Key Operating and Financial Performance</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b w:val="1"/>
                <w:bCs w:val="1"/>
                <w:color w:val="auto"/>
              </w:rPr>
              <w:t>Metrics</w:t>
            </w:r>
            <w:r>
              <w:rPr>
                <w:rFonts w:ascii="Arial" w:cs="Arial" w:eastAsia="Arial" w:hAnsi="Arial"/>
                <w:sz w:val="15"/>
                <w:szCs w:val="15"/>
                <w:b w:val="1"/>
                <w:bCs w:val="1"/>
                <w:color w:val="auto"/>
              </w:rPr>
              <w:t>(3)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 ex-TAC</w:t>
            </w:r>
          </w:p>
        </w:tc>
        <w:tc>
          <w:tcPr>
            <w:tcW w:w="1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110,516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104,440</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Adjusted EBITDA</w:t>
            </w:r>
          </w:p>
        </w:tc>
        <w:tc>
          <w:tcPr>
            <w:tcW w:w="12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31,782</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24,655</w:t>
            </w:r>
          </w:p>
        </w:tc>
        <w:tc>
          <w:tcPr>
            <w:tcW w:w="260" w:type="dxa"/>
            <w:vAlign w:val="bottom"/>
          </w:tcPr>
          <w:p>
            <w:pPr>
              <w:spacing w:after="0"/>
              <w:rPr>
                <w:sz w:val="19"/>
                <w:szCs w:val="19"/>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(7,534)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 as a percentage of gross profit</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Adjusted EBITDA as a percentage of revenue ex-</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TAC</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(4)</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Average revenue ex-TAC per Active Customer</w:t>
            </w:r>
            <w:r>
              <w:rPr>
                <w:rFonts w:ascii="Arial" w:cs="Arial" w:eastAsia="Arial" w:hAnsi="Arial"/>
                <w:sz w:val="15"/>
                <w:szCs w:val="15"/>
                <w:color w:val="auto"/>
              </w:rPr>
              <w:t>(4)</w:t>
            </w:r>
          </w:p>
        </w:tc>
        <w:tc>
          <w:tcPr>
            <w:tcW w:w="12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20"/>
                <w:szCs w:val="20"/>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4,815</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89,767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68,083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133,520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106,857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86,662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29,763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20,480</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debt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23,535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17,500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65,955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105,903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84,152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124,859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Convertible preferred units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members’ equity (deficit)</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20,117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15,205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(83,197)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0" w:right="319" w:bottom="1440" w:gutter="0" w:footer="0" w:header="0"/>
        </w:sectPr>
      </w:pPr>
    </w:p>
    <w:bookmarkStart w:id="54" w:name="page55"/>
    <w:bookmarkEnd w:id="54"/>
    <w:p>
      <w:pPr>
        <w:ind w:left="580" w:hanging="572"/>
        <w:spacing w:after="0"/>
        <w:tabs>
          <w:tab w:leader="none" w:pos="580" w:val="left"/>
        </w:tabs>
        <w:numPr>
          <w:ilvl w:val="0"/>
          <w:numId w:val="21"/>
        </w:numPr>
        <w:rPr>
          <w:rFonts w:ascii="Arial" w:cs="Arial" w:eastAsia="Arial" w:hAnsi="Arial"/>
          <w:sz w:val="13"/>
          <w:szCs w:val="13"/>
          <w:color w:val="231F20"/>
        </w:rPr>
      </w:pPr>
      <w:r>
        <w:rPr>
          <w:rFonts w:ascii="Arial" w:cs="Arial" w:eastAsia="Arial" w:hAnsi="Arial"/>
          <w:sz w:val="16"/>
          <w:szCs w:val="16"/>
          <w:color w:val="231F20"/>
        </w:rPr>
        <w:t>Unit-based compensation expense, depreciation expense and amortization expense included above was as follows:</w:t>
      </w:r>
    </w:p>
    <w:p>
      <w:pPr>
        <w:sectPr>
          <w:pgSz w:w="11900" w:h="16838" w:orient="portrait"/>
          <w:cols w:equalWidth="0" w:num="1">
            <w:col w:w="11220"/>
          </w:cols>
          <w:pgMar w:left="320" w:top="4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Unit-based compensation expense:</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Technology and development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Total unit-based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Depreciation and amortization expense: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Technology and development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depreciation and amortization expense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34"/>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34"/>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7,535</w:t>
            </w:r>
          </w:p>
        </w:tc>
        <w:tc>
          <w:tcPr>
            <w:tcW w:w="200" w:type="dxa"/>
            <w:vAlign w:val="bottom"/>
          </w:tcPr>
          <w:p>
            <w:pPr>
              <w:spacing w:after="0"/>
              <w:rPr>
                <w:sz w:val="24"/>
                <w:szCs w:val="24"/>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8,067</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-2262505</wp:posOffset>
            </wp:positionV>
            <wp:extent cx="570039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-1971040</wp:posOffset>
            </wp:positionV>
            <wp:extent cx="570039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-1679575</wp:posOffset>
            </wp:positionV>
            <wp:extent cx="570039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-908050</wp:posOffset>
            </wp:positionV>
            <wp:extent cx="570039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-616585</wp:posOffset>
            </wp:positionV>
            <wp:extent cx="570039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-325120</wp:posOffset>
            </wp:positionV>
            <wp:extent cx="570039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700" w:space="720"/>
            <w:col w:w="4800"/>
          </w:cols>
          <w:pgMar w:left="320" w:top="463" w:right="359" w:bottom="1440" w:gutter="0" w:footer="0" w:header="0"/>
          <w:type w:val="continuous"/>
        </w:sectPr>
      </w:pPr>
    </w:p>
    <w:p>
      <w:pPr>
        <w:ind w:right="180" w:firstLine="589"/>
        <w:spacing w:after="0" w:line="277" w:lineRule="auto"/>
        <w:rPr>
          <w:sz w:val="20"/>
          <w:szCs w:val="20"/>
          <w:color w:val="auto"/>
        </w:rPr>
      </w:pPr>
      <w:r>
        <w:rPr>
          <w:rFonts w:ascii="Arial" w:cs="Arial" w:eastAsia="Arial" w:hAnsi="Arial"/>
          <w:sz w:val="18"/>
          <w:szCs w:val="18"/>
          <w:color w:val="231F20"/>
        </w:rPr>
        <w:t>See Note 4, Note 5 and Note 9 to our consolidated financial statements included elsewhere in this Annual Report for more information regarding depreciation expense, amortization expense and unit-based compensation expense, respectively.</w:t>
      </w:r>
    </w:p>
    <w:p>
      <w:pPr>
        <w:spacing w:after="0" w:line="62"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4"/>
          <w:szCs w:val="14"/>
          <w:color w:val="231F20"/>
        </w:rPr>
      </w:pPr>
      <w:r>
        <w:rPr>
          <w:rFonts w:ascii="Arial" w:cs="Arial" w:eastAsia="Arial" w:hAnsi="Arial"/>
          <w:sz w:val="17"/>
          <w:szCs w:val="17"/>
          <w:color w:val="231F20"/>
        </w:rPr>
        <w:t>See Note 2 to our audited consolidated financial statements for a description of the earnings (loss) per unit—basic and diluted computations.</w:t>
      </w:r>
    </w:p>
    <w:p>
      <w:pPr>
        <w:spacing w:after="0" w:line="128" w:lineRule="exact"/>
        <w:rPr>
          <w:rFonts w:ascii="Arial" w:cs="Arial" w:eastAsia="Arial" w:hAnsi="Arial"/>
          <w:sz w:val="14"/>
          <w:szCs w:val="14"/>
          <w:color w:val="231F20"/>
        </w:rPr>
      </w:pPr>
    </w:p>
    <w:p>
      <w:pPr>
        <w:ind w:left="580" w:right="20" w:hanging="572"/>
        <w:spacing w:after="0" w:line="259" w:lineRule="auto"/>
        <w:tabs>
          <w:tab w:leader="none" w:pos="580" w:val="left"/>
        </w:tabs>
        <w:numPr>
          <w:ilvl w:val="0"/>
          <w:numId w:val="22"/>
        </w:numPr>
        <w:rPr>
          <w:rFonts w:ascii="Arial" w:cs="Arial" w:eastAsia="Arial" w:hAnsi="Arial"/>
          <w:sz w:val="15"/>
          <w:szCs w:val="15"/>
          <w:color w:val="231F20"/>
        </w:rPr>
      </w:pPr>
      <w:r>
        <w:rPr>
          <w:rFonts w:ascii="Arial" w:cs="Arial" w:eastAsia="Arial" w:hAnsi="Arial"/>
          <w:sz w:val="18"/>
          <w:szCs w:val="18"/>
          <w:color w:val="231F20"/>
        </w:rPr>
        <w:t>For a detailed discussion of our key operating and financial performance metrics and a reconciliation of revenue ex-TAC, Adjusted EBITDA, and Adjusted EBITDA as a percentage of revenue ex-TAC to the most directly comparable financial measures calculated in accordance with GAAP, see “</w:t>
      </w:r>
      <w:r>
        <w:rPr>
          <w:rFonts w:ascii="Arial" w:cs="Arial" w:eastAsia="Arial" w:hAnsi="Arial"/>
          <w:sz w:val="18"/>
          <w:szCs w:val="18"/>
          <w:i w:val="1"/>
          <w:iCs w:val="1"/>
          <w:color w:val="231F20"/>
        </w:rPr>
        <w:t>Management’s Discussion and Analysis of Financial Condition and Results of Operation—Key Operating and Financial Performance Metrics</w:t>
      </w:r>
      <w:r>
        <w:rPr>
          <w:rFonts w:ascii="Arial" w:cs="Arial" w:eastAsia="Arial" w:hAnsi="Arial"/>
          <w:sz w:val="18"/>
          <w:szCs w:val="18"/>
          <w:color w:val="231F20"/>
        </w:rPr>
        <w:t xml:space="preserve"> </w:t>
      </w:r>
      <w:r>
        <w:rPr>
          <w:rFonts w:ascii="Arial" w:cs="Arial" w:eastAsia="Arial" w:hAnsi="Arial"/>
          <w:sz w:val="18"/>
          <w:szCs w:val="18"/>
          <w:i w:val="1"/>
          <w:iCs w:val="1"/>
          <w:color w:val="231F20"/>
        </w:rPr>
        <w:t>—Use of Non-GAAP Financial Measures.</w:t>
      </w:r>
      <w:r>
        <w:rPr>
          <w:rFonts w:ascii="Arial" w:cs="Arial" w:eastAsia="Arial" w:hAnsi="Arial"/>
          <w:sz w:val="18"/>
          <w:szCs w:val="18"/>
          <w:color w:val="231F20"/>
        </w:rPr>
        <w:t>”</w:t>
      </w:r>
    </w:p>
    <w:p>
      <w:pPr>
        <w:spacing w:after="0" w:line="78" w:lineRule="exact"/>
        <w:rPr>
          <w:rFonts w:ascii="Arial" w:cs="Arial" w:eastAsia="Arial" w:hAnsi="Arial"/>
          <w:sz w:val="15"/>
          <w:szCs w:val="15"/>
          <w:color w:val="231F20"/>
        </w:rPr>
      </w:pPr>
    </w:p>
    <w:p>
      <w:pPr>
        <w:ind w:left="580" w:hanging="572"/>
        <w:spacing w:after="0" w:line="257" w:lineRule="auto"/>
        <w:tabs>
          <w:tab w:leader="none" w:pos="580" w:val="left"/>
        </w:tabs>
        <w:numPr>
          <w:ilvl w:val="0"/>
          <w:numId w:val="22"/>
        </w:numPr>
        <w:rPr>
          <w:rFonts w:ascii="Arial" w:cs="Arial" w:eastAsia="Arial" w:hAnsi="Arial"/>
          <w:sz w:val="15"/>
          <w:szCs w:val="15"/>
          <w:color w:val="231F20"/>
        </w:rPr>
      </w:pPr>
      <w:r>
        <w:rPr>
          <w:rFonts w:ascii="Arial" w:cs="Arial" w:eastAsia="Arial" w:hAnsi="Arial"/>
          <w:sz w:val="18"/>
          <w:szCs w:val="18"/>
          <w:color w:val="231F20"/>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w:t>
      </w:r>
      <w:r>
        <w:rPr>
          <w:rFonts w:ascii="Arial" w:cs="Arial" w:eastAsia="Arial" w:hAnsi="Arial"/>
          <w:sz w:val="18"/>
          <w:szCs w:val="18"/>
          <w:i w:val="1"/>
          <w:iCs w:val="1"/>
          <w:color w:val="231F20"/>
        </w:rPr>
        <w:t>Management’s</w:t>
      </w:r>
      <w:r>
        <w:rPr>
          <w:rFonts w:ascii="Arial" w:cs="Arial" w:eastAsia="Arial" w:hAnsi="Arial"/>
          <w:sz w:val="18"/>
          <w:szCs w:val="18"/>
          <w:color w:val="231F20"/>
        </w:rPr>
        <w:t xml:space="preserve"> </w:t>
      </w:r>
      <w:r>
        <w:rPr>
          <w:rFonts w:ascii="Arial" w:cs="Arial" w:eastAsia="Arial" w:hAnsi="Arial"/>
          <w:sz w:val="18"/>
          <w:szCs w:val="18"/>
          <w:i w:val="1"/>
          <w:iCs w:val="1"/>
          <w:color w:val="231F20"/>
        </w:rPr>
        <w:t>Discussion and Analysis of Financial Condition and Results of Operation—Key Operating and Financial Performance Metrics—Number of Active Customers and Average Revenue ex-TAC per Active Customer.</w:t>
      </w:r>
      <w:r>
        <w:rPr>
          <w:rFonts w:ascii="Arial" w:cs="Arial" w:eastAsia="Arial" w:hAnsi="Arial"/>
          <w:sz w:val="18"/>
          <w:szCs w:val="18"/>
          <w:color w:val="231F20"/>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231F20"/>
        </w:rPr>
        <w:t>The following management’s discussion and analysis of our financial condition and results of operations should be read in conjunction with, and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 xml:space="preserve">qualified in its entirety by reference to, the section entitled </w:t>
      </w:r>
      <w:r>
        <w:rPr>
          <w:rFonts w:ascii="Arial" w:cs="Arial" w:eastAsia="Arial" w:hAnsi="Arial"/>
          <w:sz w:val="17"/>
          <w:szCs w:val="17"/>
          <w:color w:val="231F20"/>
        </w:rPr>
        <w:t>“Selected Financial Data”</w:t>
      </w:r>
      <w:r>
        <w:rPr>
          <w:rFonts w:ascii="Arial" w:cs="Arial" w:eastAsia="Arial" w:hAnsi="Arial"/>
          <w:sz w:val="17"/>
          <w:szCs w:val="17"/>
          <w:i w:val="1"/>
          <w:iCs w:val="1"/>
          <w:color w:val="231F20"/>
        </w:rPr>
        <w:t xml:space="preserve"> and the consolidated financial statements and the related notes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included within this Annual Report. This Annual Report, including the historical consolidated financial data discussed below, reflects the historical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results of operations and financial position of Viant Technology LLC, our predecessor for accounting purposes, prior to the corporate reorganization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IPO. This discussion and analysis contains forward-looking statements that involve risks and uncertainties which could cause our actual results to differ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materially from those anticipated in these forward-looking statements, including, but not limited to, risks and uncertainties discussed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w:t>
      </w:r>
      <w:r>
        <w:rPr>
          <w:rFonts w:ascii="Arial" w:cs="Arial" w:eastAsia="Arial" w:hAnsi="Arial"/>
          <w:sz w:val="16"/>
          <w:szCs w:val="16"/>
          <w:color w:val="231F20"/>
        </w:rPr>
        <w:t>Forward-Looking Statements</w:t>
      </w:r>
      <w:r>
        <w:rPr>
          <w:rFonts w:ascii="Arial" w:cs="Arial" w:eastAsia="Arial" w:hAnsi="Arial"/>
          <w:sz w:val="16"/>
          <w:szCs w:val="16"/>
          <w:i w:val="1"/>
          <w:iCs w:val="1"/>
          <w:color w:val="231F20"/>
        </w:rPr>
        <w:t>” and “</w:t>
      </w:r>
      <w:r>
        <w:rPr>
          <w:rFonts w:ascii="Arial" w:cs="Arial" w:eastAsia="Arial" w:hAnsi="Arial"/>
          <w:sz w:val="16"/>
          <w:szCs w:val="16"/>
          <w:color w:val="231F20"/>
        </w:rPr>
        <w:t>Risk Factors</w:t>
      </w:r>
      <w:r>
        <w:rPr>
          <w:rFonts w:ascii="Arial" w:cs="Arial" w:eastAsia="Arial" w:hAnsi="Arial"/>
          <w:sz w:val="16"/>
          <w:szCs w:val="16"/>
          <w:i w:val="1"/>
          <w:iCs w:val="1"/>
          <w:color w:val="231F20"/>
        </w:rPr>
        <w:t>” and discussed elsewhere in this Annual Report. Additionally, our historical results are not necessarily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indicative of the results that may be expected for any period in the future.</w:t>
      </w:r>
    </w:p>
    <w:p>
      <w:pPr>
        <w:spacing w:after="0" w:line="21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i w:val="1"/>
          <w:iCs w:val="1"/>
          <w:color w:val="auto"/>
        </w:rPr>
        <w:t xml:space="preserve">The following primarily discusses 2020 and 2019 items and year over year comparisons between 2020 and 2019. </w:t>
      </w:r>
      <w:r>
        <w:rPr>
          <w:rFonts w:ascii="Arial" w:cs="Arial" w:eastAsia="Arial" w:hAnsi="Arial"/>
          <w:sz w:val="18"/>
          <w:szCs w:val="18"/>
          <w:i w:val="1"/>
          <w:iCs w:val="1"/>
          <w:color w:val="231F20"/>
        </w:rPr>
        <w:t>Discussions of the year ended</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231F20"/>
        </w:rPr>
        <w:t>December 31, 2018 items and comparisons between the year ended December 31, 2019 and the year ended December 31, 2018 can be found in “Management’s Discussion and Analysis of Financial Condition and Results of Operations” included in our prospectus dated February 9, 2021, filed with the U.S. Securities and Exchange Commission on February 11,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231F20"/>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231F20"/>
        </w:rPr>
        <w:t>Viant was founded in 1999 by Tim, Chris and Russ Vanderhook who continue to lead our company today. Viant has been at the forefront of digital advertising technology since its inception and has demonstrated its ability to grow, thrive, and innovate as competitors have come and gone. In 2011, Viant acquired the social network website Myspace.com. In 2011, Tim and Chris Vanderhook started Xumo, a connected TV streaming service, which was acquired by Comcast Corp. in 2020. In 2015, Viant completed its first people-based integration. Viant remained independent until 2016, when Time Inc. acquired a 60% interest in Viant through its subsidiary, the Former Holdco. That interest was later acquired by Meredith Corporation when it acquired Time Inc. in 2018. In 2017, the Company purchased Adelphic, a DSP. Since the Adelphic acquisition, the Company has materially transformed from a full-service provider of digital advertising solutions into a leading DSP that enables marketers and their advertising agencies to centralize the planning, buying and measurement of their media investments using a people-based framework. Viant has grown from a business operating from a home office to a company with nearly 300 employees in 10 offices throughout the U.S. In 2019, Viant entered into the 2019 Former Holdco transaction that resulted in the retirement of the Former Holdco’s interest in Viant and the Vanderhook Parties acquired that 60% interest in the Company, allowing it to once again become an independent company. Viant completed its IPO on February 12, 2021.</w:t>
      </w:r>
    </w:p>
    <w:p>
      <w:pPr>
        <w:spacing w:after="0" w:line="18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right="60" w:firstLine="589"/>
        <w:spacing w:after="0" w:line="288" w:lineRule="auto"/>
        <w:rPr>
          <w:sz w:val="20"/>
          <w:szCs w:val="20"/>
          <w:color w:val="auto"/>
        </w:rPr>
      </w:pPr>
      <w:r>
        <w:rPr>
          <w:rFonts w:ascii="Arial" w:cs="Arial" w:eastAsia="Arial" w:hAnsi="Arial"/>
          <w:sz w:val="16"/>
          <w:szCs w:val="16"/>
          <w:color w:val="231F20"/>
        </w:rPr>
        <w:t>We make our platform available through different pricing options to tailor to multiple client types and customer needs. These options consist of a percentage of spend option, a subscription option and a fixed CPM pricing option. CPM refers to a payment option in which customers pay a price for every 1,000 impressions an ad receives. Customers can enter into master service agreements (“MSAs”) with us that enable them to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pricing options provides our customers greater flexibility and access to our platform. Some of our pricing options are relatively new to the market and are not yet material to our business from a financial perspective.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Our financial results include:</w:t>
      </w:r>
    </w:p>
    <w:p>
      <w:pPr>
        <w:spacing w:after="0" w:line="117" w:lineRule="exact"/>
        <w:rPr>
          <w:sz w:val="20"/>
          <w:szCs w:val="20"/>
          <w:color w:val="auto"/>
        </w:rPr>
      </w:pPr>
    </w:p>
    <w:p>
      <w:pPr>
        <w:ind w:left="1160" w:right="1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Revenue of $165.3 million and $164.9 million for the years ended December 31, 2020 and 2019, respectively, representing an increase of 0.2%;</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Revenue ex-TAC of $110.5 million and $104.4 million for the years ended December 31, 2020 and 2019, respectively, representing an increase of 6%;</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Net income of $20.6 million and $9.9 million for the years ended December 31, 2020 and 2019, respectively, representing an increase of 108%; and</w:t>
      </w:r>
    </w:p>
    <w:p>
      <w:pPr>
        <w:spacing w:after="0" w:line="62"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Adjusted EBITDA of $31.8 million and $24.7 million for the years ended December 31, 2020 and 2019, respectively, representing an increase of 29%.</w:t>
      </w:r>
    </w:p>
    <w:p>
      <w:pPr>
        <w:spacing w:after="0" w:line="170"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231F20"/>
        </w:rPr>
        <w:t>Revenue ex-TAC and Adjusted EBITDA are non-GAAP measures. For a detailed discussion of our key operating and financial performance metrics and a reconciliation of revenue ex-TAC and Adjusted EBITDA to the most directly comparable financial measures calculated in accordance with GAAP, see “</w:t>
      </w:r>
      <w:r>
        <w:rPr>
          <w:rFonts w:ascii="Arial" w:cs="Arial" w:eastAsia="Arial" w:hAnsi="Arial"/>
          <w:sz w:val="18"/>
          <w:szCs w:val="18"/>
          <w:i w:val="1"/>
          <w:iCs w:val="1"/>
          <w:color w:val="231F20"/>
        </w:rPr>
        <w:t>—Key Operating and Financial Performance Metrics—Use of Non-GAAP Financial Measures</w:t>
      </w:r>
      <w:r>
        <w:rPr>
          <w:rFonts w:ascii="Arial" w:cs="Arial" w:eastAsia="Arial" w:hAnsi="Arial"/>
          <w:sz w:val="18"/>
          <w:szCs w:val="18"/>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In March 2020, the World Health Organization characterized the coronavirus (“COVID-19”) a pandemic, and in March 2020, the President of the United States declared the COVID-19 outbreak a national emergency. COVID-19 has spread across the globe during 2020 and has impacted economic activity worldwide.</w:t>
      </w:r>
    </w:p>
    <w:p>
      <w:pPr>
        <w:spacing w:after="0" w:line="184"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231F20"/>
        </w:rPr>
        <w:t>The challenges posed by the COVID-19 pandemic on the global economy increased significantly as the first quarter of 2020 progressed and have continued throughout 2020.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The Company instituted temporary salary reductions in the second and third quarters of 2020 due to COVID-19. In the fourth quarter of 2020, normal salaries were reinstated and the Company paid employees for the amounts by which their salaries had been reduced in the second and third quarters of 2020. Certain marketers in industries such as travel and tourism, retail and automotive, decreased or paused their advertising spend as a response to the economic uncertainty. As a result, our revenue and Adjusted EBITDA have been negatively impacted during 2020 as a result of the COVID-19 pandemic. In addition, as a result of our temporary salary reductions in the second and third quarters, our personnel costs temporarily decreased. 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 See “</w:t>
      </w:r>
      <w:r>
        <w:rPr>
          <w:rFonts w:ascii="Arial" w:cs="Arial" w:eastAsia="Arial" w:hAnsi="Arial"/>
          <w:sz w:val="16"/>
          <w:szCs w:val="16"/>
          <w:i w:val="1"/>
          <w:iCs w:val="1"/>
          <w:color w:val="231F20"/>
        </w:rPr>
        <w:t>Risk Factors—The effects of</w:t>
      </w:r>
      <w:r>
        <w:rPr>
          <w:rFonts w:ascii="Arial" w:cs="Arial" w:eastAsia="Arial" w:hAnsi="Arial"/>
          <w:sz w:val="16"/>
          <w:szCs w:val="16"/>
          <w:color w:val="231F20"/>
        </w:rPr>
        <w:t xml:space="preserve"> </w:t>
      </w:r>
      <w:r>
        <w:rPr>
          <w:rFonts w:ascii="Arial" w:cs="Arial" w:eastAsia="Arial" w:hAnsi="Arial"/>
          <w:sz w:val="16"/>
          <w:szCs w:val="16"/>
          <w:i w:val="1"/>
          <w:iCs w:val="1"/>
          <w:color w:val="231F20"/>
        </w:rPr>
        <w:t>the ongoing COVID-19 pandemic and other sustained adverse market events have had, and could in the future have, an adverse impact on our business, operating results and financial condition</w:t>
      </w:r>
      <w:r>
        <w:rPr>
          <w:rFonts w:ascii="Arial" w:cs="Arial" w:eastAsia="Arial" w:hAnsi="Arial"/>
          <w:sz w:val="16"/>
          <w:szCs w:val="16"/>
          <w:color w:val="231F20"/>
        </w:rPr>
        <w:t>” for further discussion of the potential impacts of the COVID-19 pandemic on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231F20"/>
        </w:rPr>
        <w:t>Our recent growth has been driven by expanding the usage of our platform by our existing customers as well as adding new customers. We believe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that our customers value our solutions, as our average revenue ex-TAC per Active Customer has increased from $377,000 per Active Customer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$419,000 per Active Customer, an increase of $42,000 or 11.1%, from the year ended December 31, 2019 to the year ended December 31,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number of Active Customers decreased by 13 customers or 4.7%, from the year ended December 31, 2019 to the year ended December 31, 2020.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review changes in usage of our platform as represented by changes in aggregate spend on the platform as a metric of customer engagement. Platform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spend, which we previously referred to in our registration statement on Form S-1 as ‘platform usage’ is represented by aggregate spend on the platform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and increased by 17% for the year ended December 31, 2020. For a detailed discussion of our key operating metrics including the definition of Active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Customers, see “</w:t>
      </w:r>
      <w:r>
        <w:rPr>
          <w:rFonts w:ascii="Arial" w:cs="Arial" w:eastAsia="Arial" w:hAnsi="Arial"/>
          <w:sz w:val="18"/>
          <w:szCs w:val="18"/>
          <w:i w:val="1"/>
          <w:iCs w:val="1"/>
          <w:color w:val="231F20"/>
        </w:rPr>
        <w:t>—Key Operating and Financial Performance Metrics—Use of Non-GAAP Financial Measures</w:t>
      </w:r>
      <w:r>
        <w:rPr>
          <w:rFonts w:ascii="Arial" w:cs="Arial" w:eastAsia="Arial" w:hAnsi="Arial"/>
          <w:sz w:val="18"/>
          <w:szCs w:val="18"/>
          <w:color w:val="231F20"/>
        </w:rPr>
        <w:t>.”</w:t>
      </w:r>
    </w:p>
    <w:p>
      <w:pPr>
        <w:spacing w:after="0" w:line="211"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231F20"/>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marketing efforts to increase awareness of our Adelphic platform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225"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231F20"/>
        </w:rPr>
        <w:t>We believe that the advertising market is in the early stages of a secular shift towards programmatic advertising. We plan to invest for long-term growth. We anticipate that our operating expenses will increase significantly in the foreseeable future as we invest in platform operations and technology and development to enhance our product capabilities including identity resolution and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225"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COVID-19 pandemic. We expect our revenue to continue to fluctuate based on seasonal factors that affect the advertising industry as a whole.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We have one primary business activity and operate in a single operating and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2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231F20"/>
        </w:rPr>
        <w:t>We generate revenue by providing marketers and their advertising agencies with the ability to plan, buy and measure their digital advertising campaigns using our people-based DSP. We maintain agreements with customers in the form of MSAs (in connection with the percentage of spend and monthly subscription pricing options, as well as in instances where we charge our customers a flat monthly fee for services in connection with data management and advanced reporting) and IOs (in connection with the fixed CPM pricing option) which set out the terms of the relationship and use of our platform.</w:t>
      </w:r>
    </w:p>
    <w:p>
      <w:pPr>
        <w:spacing w:after="0" w:line="18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231F20"/>
        </w:rPr>
        <w:t>We recognize revenue when we transfer control of promised services directly to our customers in an amount that reflects the consideration to which we expect to be entitled in exchange for those services. For the percentage of spend pricing option, we recognize revenue at the point in time when a purchase by the customer occurs through our platform. For the monthly subscription pricing option, we recognize subscription fees as revenue over time on a ratable basis over the term of the agreement. In both instances, revenue is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For data management and advanced reporting services, we recognize revenue over time on a ratable basis over the term of the agreement.</w:t>
      </w:r>
    </w:p>
    <w:p>
      <w:pPr>
        <w:spacing w:after="0" w:line="166" w:lineRule="exact"/>
        <w:rPr>
          <w:sz w:val="20"/>
          <w:szCs w:val="20"/>
          <w:color w:val="auto"/>
        </w:rPr>
      </w:pPr>
    </w:p>
    <w:p>
      <w:pPr>
        <w:ind w:right="160" w:firstLine="589"/>
        <w:spacing w:after="0" w:line="342" w:lineRule="auto"/>
        <w:rPr>
          <w:sz w:val="20"/>
          <w:szCs w:val="20"/>
          <w:color w:val="auto"/>
        </w:rPr>
      </w:pPr>
      <w:r>
        <w:rPr>
          <w:rFonts w:ascii="Arial" w:cs="Arial" w:eastAsia="Arial" w:hAnsi="Arial"/>
          <w:sz w:val="16"/>
          <w:szCs w:val="16"/>
          <w:color w:val="231F20"/>
        </w:rPr>
        <w:t>For the fixed CPM pricing option, we recognize revenue at the point in time when the advertising impressions are delivered to the customer. This revenue is reported gross of any amounts incurred and payable to suppliers for TAC, since we control such features prior to transfer to the customer.</w:t>
      </w:r>
    </w:p>
    <w:p>
      <w:pPr>
        <w:spacing w:after="0" w:line="124" w:lineRule="exact"/>
        <w:rPr>
          <w:sz w:val="20"/>
          <w:szCs w:val="20"/>
          <w:color w:val="auto"/>
        </w:rPr>
      </w:pPr>
    </w:p>
    <w:p>
      <w:pPr>
        <w:jc w:val="both"/>
        <w:ind w:right="160" w:firstLine="589"/>
        <w:spacing w:after="0" w:line="342" w:lineRule="auto"/>
        <w:rPr>
          <w:sz w:val="20"/>
          <w:szCs w:val="20"/>
          <w:color w:val="auto"/>
        </w:rPr>
      </w:pPr>
      <w:r>
        <w:rPr>
          <w:rFonts w:ascii="Arial" w:cs="Arial" w:eastAsia="Arial" w:hAnsi="Arial"/>
          <w:sz w:val="16"/>
          <w:szCs w:val="16"/>
          <w:color w:val="231F20"/>
        </w:rPr>
        <w:t>We expect the portion of our revenue derived from the percentage of spend and monthly subscription pricing options to increase in the aggregate over time, which would reduce the percentage of revenue that the Company recognizes on a gross basis in connection with the fixed CPM pricing option.</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See “</w:t>
      </w:r>
      <w:r>
        <w:rPr>
          <w:rFonts w:ascii="Arial" w:cs="Arial" w:eastAsia="Arial" w:hAnsi="Arial"/>
          <w:sz w:val="18"/>
          <w:szCs w:val="18"/>
          <w:i w:val="1"/>
          <w:iCs w:val="1"/>
          <w:color w:val="231F20"/>
        </w:rPr>
        <w:t>Critical Accounting Policies and Estimates—Revenue Recognition</w:t>
      </w:r>
      <w:r>
        <w:rPr>
          <w:rFonts w:ascii="Arial" w:cs="Arial" w:eastAsia="Arial" w:hAnsi="Arial"/>
          <w:sz w:val="18"/>
          <w:szCs w:val="18"/>
          <w:color w:val="231F20"/>
        </w:rPr>
        <w:t>” for a description of our revenue recognition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231F20"/>
        </w:rPr>
        <w:t>We classify our operating expenses into the following four categories. Each expense category includes overhead such as rent and occupancy charges, which is allocated based on headcount.</w:t>
      </w:r>
    </w:p>
    <w:p>
      <w:pPr>
        <w:spacing w:after="0" w:line="170"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i w:val="1"/>
          <w:iCs w:val="1"/>
          <w:color w:val="231F20"/>
        </w:rPr>
        <w:t>Platform Operations</w:t>
      </w:r>
      <w:r>
        <w:rPr>
          <w:rFonts w:ascii="Arial" w:cs="Arial" w:eastAsia="Arial" w:hAnsi="Arial"/>
          <w:sz w:val="18"/>
          <w:szCs w:val="18"/>
          <w:color w:val="231F20"/>
        </w:rPr>
        <w:t>. Platform operations expense represents our cost of revenues, which consists of TAC, hosting costs, personnel costs,</w:t>
      </w:r>
      <w:r>
        <w:rPr>
          <w:rFonts w:ascii="Arial" w:cs="Arial" w:eastAsia="Arial" w:hAnsi="Arial"/>
          <w:sz w:val="18"/>
          <w:szCs w:val="18"/>
          <w:i w:val="1"/>
          <w:iCs w:val="1"/>
          <w:color w:val="231F20"/>
        </w:rPr>
        <w:t xml:space="preserve"> </w:t>
      </w:r>
      <w:r>
        <w:rPr>
          <w:rFonts w:ascii="Arial" w:cs="Arial" w:eastAsia="Arial" w:hAnsi="Arial"/>
          <w:sz w:val="18"/>
          <w:szCs w:val="18"/>
          <w:color w:val="231F20"/>
        </w:rPr>
        <w:t>depreciation of capitalized software development costs related to our platform, customer support costs and allocated overhead. TAC recorded in platform operations consist of amounts incurred and payable to suppliers for costs associated with our fixed CPM pricing option. Personnel costs within platform operations include salaries, bonuses, unit-based compensation expense and employee benefit costs primarily attributable to personnel who directly support our platform.</w:t>
      </w:r>
    </w:p>
    <w:p>
      <w:pPr>
        <w:spacing w:after="0" w:line="18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231F20"/>
        </w:rPr>
        <w:t>Other than TAC, many of the costs included in platform operations expense do not increase or decrease proportionately with increases or decreases in our revenue. We expect platform operations expenses to increase in future periods, including as a result of stock based compensation expense and depreciation of capitalized software development costs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right="340" w:firstLine="589"/>
        <w:spacing w:after="0" w:line="311" w:lineRule="auto"/>
        <w:rPr>
          <w:sz w:val="20"/>
          <w:szCs w:val="20"/>
          <w:color w:val="auto"/>
        </w:rPr>
      </w:pPr>
      <w:r>
        <w:rPr>
          <w:rFonts w:ascii="Arial" w:cs="Arial" w:eastAsia="Arial" w:hAnsi="Arial"/>
          <w:sz w:val="16"/>
          <w:szCs w:val="16"/>
          <w:i w:val="1"/>
          <w:iCs w:val="1"/>
          <w:color w:val="231F20"/>
        </w:rPr>
        <w:t>Sales and Marketing</w:t>
      </w:r>
      <w:r>
        <w:rPr>
          <w:rFonts w:ascii="Arial" w:cs="Arial" w:eastAsia="Arial" w:hAnsi="Arial"/>
          <w:sz w:val="16"/>
          <w:szCs w:val="16"/>
          <w:color w:val="231F20"/>
        </w:rPr>
        <w:t>. Sales and marketing expense consists primarily of personnel costs, including salaries, bonuses, unit-based compensation</w:t>
      </w:r>
      <w:r>
        <w:rPr>
          <w:rFonts w:ascii="Arial" w:cs="Arial" w:eastAsia="Arial" w:hAnsi="Arial"/>
          <w:sz w:val="16"/>
          <w:szCs w:val="16"/>
          <w:i w:val="1"/>
          <w:iCs w:val="1"/>
          <w:color w:val="231F20"/>
        </w:rPr>
        <w:t xml:space="preserve"> </w:t>
      </w:r>
      <w:r>
        <w:rPr>
          <w:rFonts w:ascii="Arial" w:cs="Arial" w:eastAsia="Arial" w:hAnsi="Arial"/>
          <w:sz w:val="16"/>
          <w:szCs w:val="16"/>
          <w:color w:val="231F20"/>
        </w:rPr>
        <w:t>expense, 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4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231F20"/>
        </w:rPr>
        <w:t>Our sales and marketing organization focuses on marketing our platform to increase its adoption by existing and new customers. As a result, we expect sales and marketing expenses to increase in future periods, including as a result of stock based compensation expense. Sales and marketing expense as a percentage of revenue may fluctuate from period to period based on revenue levels and the timing of our investments in our sales and marketing functions as these investments may vary in scope and scale over time.</w:t>
      </w:r>
    </w:p>
    <w:p>
      <w:pPr>
        <w:spacing w:after="0" w:line="18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i w:val="1"/>
          <w:iCs w:val="1"/>
          <w:color w:val="231F20"/>
        </w:rPr>
        <w:t>Technology and Development</w:t>
      </w:r>
      <w:r>
        <w:rPr>
          <w:rFonts w:ascii="Arial" w:cs="Arial" w:eastAsia="Arial" w:hAnsi="Arial"/>
          <w:sz w:val="16"/>
          <w:szCs w:val="16"/>
          <w:color w:val="231F20"/>
        </w:rPr>
        <w:t>. Technology and development expense consists primarily of personnel costs, including salaries, bonuses, unit-based</w:t>
      </w:r>
      <w:r>
        <w:rPr>
          <w:rFonts w:ascii="Arial" w:cs="Arial" w:eastAsia="Arial" w:hAnsi="Arial"/>
          <w:sz w:val="16"/>
          <w:szCs w:val="16"/>
          <w:i w:val="1"/>
          <w:iCs w:val="1"/>
          <w:color w:val="231F20"/>
        </w:rPr>
        <w:t xml:space="preserve"> </w:t>
      </w:r>
      <w:r>
        <w:rPr>
          <w:rFonts w:ascii="Arial" w:cs="Arial" w:eastAsia="Arial" w:hAnsi="Arial"/>
          <w:sz w:val="16"/>
          <w:szCs w:val="16"/>
          <w:color w:val="231F20"/>
        </w:rPr>
        <w:t>compensation expense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 We record depreciation expense for capitalized software development costs not related to our platform within technology and development expense.</w:t>
      </w:r>
    </w:p>
    <w:p>
      <w:pPr>
        <w:spacing w:after="0" w:line="161"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231F20"/>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spacing w:after="0" w:line="149"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i w:val="1"/>
          <w:iCs w:val="1"/>
          <w:color w:val="231F20"/>
        </w:rPr>
        <w:t>General and Administrative</w:t>
      </w:r>
      <w:r>
        <w:rPr>
          <w:rFonts w:ascii="Arial" w:cs="Arial" w:eastAsia="Arial" w:hAnsi="Arial"/>
          <w:sz w:val="16"/>
          <w:szCs w:val="16"/>
          <w:color w:val="231F20"/>
        </w:rPr>
        <w:t>. General and administrative expense consists primarily of personnel costs, including salaries, bonuses, unit-based</w:t>
      </w:r>
      <w:r>
        <w:rPr>
          <w:rFonts w:ascii="Arial" w:cs="Arial" w:eastAsia="Arial" w:hAnsi="Arial"/>
          <w:sz w:val="16"/>
          <w:szCs w:val="16"/>
          <w:i w:val="1"/>
          <w:iCs w:val="1"/>
          <w:color w:val="231F20"/>
        </w:rPr>
        <w:t xml:space="preserve"> </w:t>
      </w:r>
      <w:r>
        <w:rPr>
          <w:rFonts w:ascii="Arial" w:cs="Arial" w:eastAsia="Arial" w:hAnsi="Arial"/>
          <w:sz w:val="16"/>
          <w:szCs w:val="16"/>
          <w:color w:val="231F20"/>
        </w:rPr>
        <w:t>compensation expense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49"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231F20"/>
        </w:rPr>
        <w:t>We expect to continue to invest in corporate infrastructure and incur additional expenses associated with our operation as a public company, including increased legal and accounting costs, investor relations costs, higher insurance premiums and compliance costs associated with developing the requisite infrastructure required for internal controls over financial reporting. As a result, we expect general and administrative expenses to increase in future periods, including as a result of stock 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Net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231F20"/>
        </w:rPr>
        <w:t>Interest Expense, Net</w:t>
      </w:r>
      <w:r>
        <w:rPr>
          <w:rFonts w:ascii="Arial" w:cs="Arial" w:eastAsia="Arial" w:hAnsi="Arial"/>
          <w:sz w:val="18"/>
          <w:szCs w:val="18"/>
          <w:color w:val="231F20"/>
        </w:rPr>
        <w:t>. Interest expense, net is primarily related to our long-term debt and revolving credit facility.</w:t>
      </w:r>
    </w:p>
    <w:p>
      <w:pPr>
        <w:spacing w:after="0" w:line="225"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i w:val="1"/>
          <w:iCs w:val="1"/>
          <w:color w:val="231F20"/>
        </w:rPr>
        <w:t>Other Expense (Income), Net</w:t>
      </w:r>
      <w:r>
        <w:rPr>
          <w:rFonts w:ascii="Arial" w:cs="Arial" w:eastAsia="Arial" w:hAnsi="Arial"/>
          <w:sz w:val="18"/>
          <w:szCs w:val="18"/>
          <w:color w:val="231F20"/>
        </w:rPr>
        <w:t>. Other expense (income), net consists primarily of foreign currency exchange gains and losses and miscellaneous</w:t>
      </w:r>
      <w:r>
        <w:rPr>
          <w:rFonts w:ascii="Arial" w:cs="Arial" w:eastAsia="Arial" w:hAnsi="Arial"/>
          <w:sz w:val="18"/>
          <w:szCs w:val="18"/>
          <w:i w:val="1"/>
          <w:iCs w:val="1"/>
          <w:color w:val="231F20"/>
        </w:rPr>
        <w:t xml:space="preserve"> </w:t>
      </w:r>
      <w:r>
        <w:rPr>
          <w:rFonts w:ascii="Arial" w:cs="Arial" w:eastAsia="Arial" w:hAnsi="Arial"/>
          <w:sz w:val="18"/>
          <w:szCs w:val="18"/>
          <w:color w:val="231F20"/>
        </w:rPr>
        <w:t>expenses not attributable to operations. During the year ended December 31, 2019, other expense (income), net primarily related to a gain on the dissolution of our UK subsidiary.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231F20"/>
        </w:rPr>
        <w:t>Results of Operations</w:t>
      </w:r>
    </w:p>
    <w:p>
      <w:pPr>
        <w:spacing w:after="0" w:line="229" w:lineRule="exact"/>
        <w:rPr>
          <w:sz w:val="20"/>
          <w:szCs w:val="20"/>
          <w:color w:val="auto"/>
        </w:rPr>
      </w:pPr>
    </w:p>
    <w:p>
      <w:pPr>
        <w:ind w:right="440" w:firstLine="589"/>
        <w:spacing w:after="0" w:line="263" w:lineRule="auto"/>
        <w:rPr>
          <w:sz w:val="20"/>
          <w:szCs w:val="20"/>
          <w:color w:val="auto"/>
        </w:rPr>
      </w:pPr>
      <w:r>
        <w:rPr>
          <w:rFonts w:ascii="Arial" w:cs="Arial" w:eastAsia="Arial" w:hAnsi="Arial"/>
          <w:sz w:val="18"/>
          <w:szCs w:val="18"/>
          <w:color w:val="231F20"/>
        </w:rPr>
        <w:t>The following tables set forth our consolidated results of operations, our consolidated results of operations as a percentage of revenue, and the impact of unit-based compensation expense, depreciation expense and amortization expense on each operating expense line item for the years ended December 31, 2020 and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165,251</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164,892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Platform operations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88,260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28,887</w:t>
            </w: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29,027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Technology and development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17,639</w:t>
            </w: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40" w:type="dxa"/>
            <w:vAlign w:val="bottom"/>
            <w:gridSpan w:val="2"/>
          </w:tcPr>
          <w:p>
            <w:pPr>
              <w:ind w:left="136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143,484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152,097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21,767</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20,638</w:t>
            </w: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9,924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7"/>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Platform operations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Technology and development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40" w:type="dxa"/>
            <w:vAlign w:val="bottom"/>
            <w:gridSpan w:val="2"/>
            <w:vMerge w:val="restart"/>
          </w:tcPr>
          <w:p>
            <w:pPr>
              <w:ind w:left="13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66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Borders>
              <w:right w:val="single" w:sz="8" w:color="CFF0FC"/>
            </w:tcBorders>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400" w:type="dxa"/>
            <w:vAlign w:val="bottom"/>
            <w:tcBorders>
              <w:right w:val="single" w:sz="8" w:color="CFF0FC"/>
            </w:tcBorders>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5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0" w:type="dxa"/>
            <w:vAlign w:val="bottom"/>
          </w:tcPr>
          <w:p>
            <w:pPr>
              <w:jc w:val="right"/>
              <w:ind w:right="150"/>
              <w:spacing w:after="0"/>
              <w:rPr>
                <w:sz w:val="20"/>
                <w:szCs w:val="20"/>
                <w:color w:val="auto"/>
              </w:rPr>
            </w:pPr>
            <w:r>
              <w:rPr>
                <w:rFonts w:ascii="Arial" w:cs="Arial" w:eastAsia="Arial" w:hAnsi="Arial"/>
                <w:sz w:val="18"/>
                <w:szCs w:val="18"/>
                <w:color w:val="231F20"/>
              </w:rPr>
              <w:t>*</w:t>
            </w:r>
          </w:p>
        </w:tc>
        <w:tc>
          <w:tcPr>
            <w:tcW w:w="6640" w:type="dxa"/>
            <w:vAlign w:val="bottom"/>
            <w:gridSpan w:val="2"/>
          </w:tcPr>
          <w:p>
            <w:pPr>
              <w:ind w:left="240"/>
              <w:spacing w:after="0"/>
              <w:rPr>
                <w:sz w:val="20"/>
                <w:szCs w:val="20"/>
                <w:color w:val="auto"/>
              </w:rPr>
            </w:pPr>
            <w:r>
              <w:rPr>
                <w:rFonts w:ascii="Arial" w:cs="Arial" w:eastAsia="Arial" w:hAnsi="Arial"/>
                <w:sz w:val="18"/>
                <w:szCs w:val="18"/>
                <w:color w:val="231F20"/>
              </w:rPr>
              <w:t>Percentages may not sum due to rounding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5"/>
          <w:szCs w:val="15"/>
          <w:color w:val="231F20"/>
        </w:rPr>
      </w:pPr>
      <w:r>
        <w:rPr>
          <w:rFonts w:ascii="Arial" w:cs="Arial" w:eastAsia="Arial" w:hAnsi="Arial"/>
          <w:sz w:val="18"/>
          <w:szCs w:val="18"/>
          <w:color w:val="231F20"/>
        </w:rPr>
        <w:t>Unit-based compensation expense, depreciation expense, and amortization expense included above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Unit-based compensation expense:</w:t>
            </w:r>
          </w:p>
        </w:tc>
        <w:tc>
          <w:tcPr>
            <w:tcW w:w="2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Platform operations</w:t>
            </w:r>
          </w:p>
        </w:tc>
        <w:tc>
          <w:tcPr>
            <w:tcW w:w="276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700"/>
              <w:spacing w:after="0"/>
              <w:rPr>
                <w:sz w:val="20"/>
                <w:szCs w:val="20"/>
                <w:color w:val="auto"/>
              </w:rPr>
            </w:pPr>
            <w:r>
              <w:rPr>
                <w:rFonts w:ascii="Arial" w:cs="Arial" w:eastAsia="Arial" w:hAnsi="Arial"/>
                <w:sz w:val="18"/>
                <w:szCs w:val="18"/>
                <w:color w:val="auto"/>
              </w:rPr>
              <w:t>Total unit-based compensation expense</w:t>
            </w:r>
          </w:p>
        </w:tc>
        <w:tc>
          <w:tcPr>
            <w:tcW w:w="2020" w:type="dxa"/>
            <w:vAlign w:val="bottom"/>
          </w:tcPr>
          <w:p>
            <w:pPr>
              <w:spacing w:after="0"/>
              <w:rPr>
                <w:sz w:val="19"/>
                <w:szCs w:val="19"/>
                <w:color w:val="auto"/>
              </w:rPr>
            </w:pPr>
          </w:p>
        </w:tc>
        <w:tc>
          <w:tcPr>
            <w:tcW w:w="74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20" w:type="dxa"/>
            <w:vAlign w:val="bottom"/>
            <w:vMerge w:val="restart"/>
          </w:tcPr>
          <w:p>
            <w:pPr>
              <w:jc w:val="right"/>
              <w:ind w:right="1250"/>
              <w:spacing w:after="0"/>
              <w:rPr>
                <w:sz w:val="20"/>
                <w:szCs w:val="20"/>
                <w:color w:val="auto"/>
              </w:rPr>
            </w:pPr>
            <w:r>
              <w:rPr>
                <w:rFonts w:ascii="Arial" w:cs="Arial" w:eastAsia="Arial" w:hAnsi="Arial"/>
                <w:sz w:val="18"/>
                <w:szCs w:val="18"/>
                <w:color w:val="auto"/>
              </w:rPr>
              <w:t>61</w:t>
            </w: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1" w:name="page62"/>
    <w:bookmarkEnd w:id="61"/>
    <w:tbl>
      <w:tblPr>
        <w:tblLayout w:type="fixed"/>
        <w:tblInd w:w="17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gridSpan w:val="7"/>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w w:val="83"/>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expense:</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Platform operations</w:t>
            </w:r>
          </w:p>
        </w:tc>
        <w:tc>
          <w:tcPr>
            <w:tcW w:w="23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6,638</w:t>
            </w:r>
          </w:p>
        </w:tc>
        <w:tc>
          <w:tcPr>
            <w:tcW w:w="18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6,832</w:t>
            </w:r>
          </w:p>
        </w:tc>
        <w:tc>
          <w:tcPr>
            <w:tcW w:w="8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8,877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00" w:type="dxa"/>
            <w:vAlign w:val="bottom"/>
            <w:gridSpan w:val="7"/>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w w:val="83"/>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Platform operations</w:t>
            </w:r>
          </w:p>
        </w:tc>
        <w:tc>
          <w:tcPr>
            <w:tcW w:w="23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amortization expense</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00" w:type="dxa"/>
            <w:vAlign w:val="bottom"/>
            <w:gridSpan w:val="5"/>
          </w:tcPr>
          <w:p>
            <w:pPr>
              <w:jc w:val="right"/>
              <w:ind w:right="399"/>
              <w:spacing w:after="0" w:line="155" w:lineRule="exact"/>
              <w:rPr>
                <w:sz w:val="20"/>
                <w:szCs w:val="20"/>
                <w:color w:val="auto"/>
              </w:rPr>
            </w:pPr>
            <w:r>
              <w:rPr>
                <w:rFonts w:ascii="Arial" w:cs="Arial" w:eastAsia="Arial" w:hAnsi="Arial"/>
                <w:sz w:val="14"/>
                <w:szCs w:val="14"/>
                <w:b w:val="1"/>
                <w:bCs w:val="1"/>
                <w:color w:val="auto"/>
                <w:w w:val="93"/>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165,251</w:t>
            </w:r>
          </w:p>
        </w:tc>
        <w:tc>
          <w:tcPr>
            <w:tcW w:w="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359</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Revenue increased by $0.4 million, or 0.2% during the year ended December 31, 2020 compared to the year ended December 3</w:t>
      </w:r>
      <w:r>
        <w:rPr>
          <w:rFonts w:ascii="Arial" w:cs="Arial" w:eastAsia="Arial" w:hAnsi="Arial"/>
          <w:sz w:val="17"/>
          <w:szCs w:val="17"/>
          <w:color w:val="000000"/>
        </w:rPr>
        <w:t>1, 2019. The</w:t>
      </w:r>
      <w:r>
        <w:rPr>
          <w:rFonts w:ascii="Arial" w:cs="Arial" w:eastAsia="Arial" w:hAnsi="Arial"/>
          <w:sz w:val="17"/>
          <w:szCs w:val="17"/>
          <w:color w:val="231F20"/>
        </w:rPr>
        <w:t xml:space="preserve"> </w:t>
      </w:r>
      <w:r>
        <w:rPr>
          <w:rFonts w:ascii="Arial" w:cs="Arial" w:eastAsia="Arial" w:hAnsi="Arial"/>
          <w:sz w:val="17"/>
          <w:szCs w:val="17"/>
          <w:color w:val="000000"/>
        </w:rPr>
        <w:t>minimal increase in revenue was primarily due to adverse effects of the COVID-19 pandemic. Certain marketers in industries such as travel and tourism, retail and automotive decreased or paused their advertising spending as a response to the economic uncertainty created by the COVID-19 pandemic. Despite the negative impacts of the COVID-19 pandemic, we have continued to experience increased customer usage of our platform, particularly in the percentage of spend pricing option, and continuing demand for our people-based advertising products and services. Platform spend, as represented by aggregate spend on the platform, increased by 17% in the comparative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54,735</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(5,717)</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88,260</w:t>
            </w:r>
          </w:p>
        </w:tc>
        <w:tc>
          <w:tcPr>
            <w:tcW w:w="20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94,060</w:t>
            </w:r>
          </w:p>
        </w:tc>
        <w:tc>
          <w:tcPr>
            <w:tcW w:w="3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(5,800)</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Platform operations as a percentage of revenue</w:t>
            </w: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231F20"/>
        </w:rPr>
        <w:t>Platform operations expense decreased by $5.8 million, or 6%, during the year ended December 31, 2020 compared to the year ended December 31, 2019. This is primarily comprised of a $5.7 million decrease in TAC associated with our fixed CPM pricing option due to a shift in mix of platform spend toward our percentage of spend pricing option. Other platform operations remained consistent from the prior year and included a $0.3 million decrease in third-party hosting services due to concerted efforts to increase the efficiency of our cloud infrastructure.</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630" w:right="5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14"/>
                <w:szCs w:val="14"/>
                <w:color w:val="auto"/>
              </w:rPr>
            </w:pPr>
          </w:p>
        </w:tc>
        <w:tc>
          <w:tcPr>
            <w:tcW w:w="12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28,887</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(140)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14" w:lineRule="exact"/>
        <w:rPr>
          <w:sz w:val="20"/>
          <w:szCs w:val="20"/>
          <w:color w:val="auto"/>
        </w:rPr>
      </w:pPr>
    </w:p>
    <w:p>
      <w:pPr>
        <w:jc w:val="both"/>
        <w:ind w:right="80" w:firstLine="589"/>
        <w:spacing w:after="0" w:line="286" w:lineRule="auto"/>
        <w:rPr>
          <w:sz w:val="20"/>
          <w:szCs w:val="20"/>
          <w:color w:val="auto"/>
        </w:rPr>
      </w:pPr>
      <w:r>
        <w:rPr>
          <w:rFonts w:ascii="Arial" w:cs="Arial" w:eastAsia="Arial" w:hAnsi="Arial"/>
          <w:sz w:val="17"/>
          <w:szCs w:val="17"/>
          <w:color w:val="231F20"/>
        </w:rPr>
        <w:t>Sales and marketing expense decreased by $0.1 million, or 0.5%, during the year ended December 31, 2020 compared to the year ended December 31, 2019. The change in sales and marketing expense was primarily due to a $1.7 million increase in personnel costs associated with salesforce headcount increases offset by a $1.8 million decrease in travel and entertainment costs as a result of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14"/>
                <w:szCs w:val="14"/>
                <w:color w:val="auto"/>
              </w:rPr>
            </w:pPr>
          </w:p>
        </w:tc>
        <w:tc>
          <w:tcPr>
            <w:tcW w:w="12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8,698</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(542)</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1"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231F20"/>
        </w:rPr>
        <w:t>Technology and development expense decreased by $0.5 million, or 6%, during the year ended December 31, 2020 compared to the year ended December 31, 2019. The decrease in technology and development expense was attributable to a $0.3 million decrease in allocated overhead primarily due to the reduction of rent expense related to the relocation of our corporate headquarters in 2019. Additionally, the amount of overhead allocated to technology and development expense decreased as a result of salesforce headcount increases which increased at a higher rate than other departments.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Year Ended December 31,</w:t>
            </w:r>
          </w:p>
        </w:tc>
        <w:tc>
          <w:tcPr>
            <w:tcW w:w="280" w:type="dxa"/>
            <w:vAlign w:val="bottom"/>
          </w:tcPr>
          <w:p>
            <w:pPr>
              <w:spacing w:after="0"/>
              <w:rPr>
                <w:sz w:val="14"/>
                <w:szCs w:val="14"/>
                <w:color w:val="auto"/>
              </w:rPr>
            </w:pPr>
          </w:p>
        </w:tc>
        <w:tc>
          <w:tcPr>
            <w:tcW w:w="12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17,639</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(2,131)</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4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231F20"/>
        </w:rPr>
        <w:t>General and administrative expense decreased by $2.1 million, or 11%, during the year ended December 31, 2020 compared to the year ended December 31, 2019. The decrease in general and administrative expense was primarily due to a $1.2 million decrease in bad debt expense resulting from recoveries of bad debt in the current year, a $0.9 million decrease in unit-based compensation expense, and a $1.0 million decrease in legal and consulting services expense related to costs incurred in connection with the 2019 Former Holdco transaction. These decreases were offset by a $0.8 million increase in accounting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Pr>
          <w:p>
            <w:pPr>
              <w:spacing w:after="0"/>
              <w:rPr>
                <w:sz w:val="14"/>
                <w:szCs w:val="14"/>
                <w:color w:val="auto"/>
              </w:rPr>
            </w:pPr>
          </w:p>
        </w:tc>
        <w:tc>
          <w:tcPr>
            <w:tcW w:w="12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1,129</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(1,742)</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63" w:name="page64"/>
    <w:bookmarkEnd w:id="63"/>
    <w:p>
      <w:pPr>
        <w:ind w:right="160" w:firstLine="589"/>
        <w:spacing w:after="0" w:line="279" w:lineRule="auto"/>
        <w:rPr>
          <w:sz w:val="20"/>
          <w:szCs w:val="20"/>
          <w:color w:val="auto"/>
        </w:rPr>
      </w:pPr>
      <w:r>
        <w:rPr>
          <w:rFonts w:ascii="Arial" w:cs="Arial" w:eastAsia="Arial" w:hAnsi="Arial"/>
          <w:sz w:val="17"/>
          <w:szCs w:val="17"/>
          <w:color w:val="231F20"/>
        </w:rPr>
        <w:t>Total other expense, net decreased by $1.7 million, or 61%, during the year ended December 31, 2020 compared to the year ended December 31, 2019. The decrease in total other expense, net was primarily due to a $2.9 million decrease in interest expense as a result of the lower interest rates and principal outstanding on our revolving credit facility in the current year compared to the long term debt owed to the Former Holdco in the prior year. This decrease was offset by a net increase related to a $0.9 million gain on the dissolution of our UK subsidiary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Quarterly Results of Operations</w:t>
      </w:r>
    </w:p>
    <w:p>
      <w:pPr>
        <w:spacing w:after="0" w:line="229"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231F20"/>
        </w:rPr>
        <w:t>The following table sets forth our unaudited quarterly consolidated statements of operations data for each of the quarters in the years ended December 31, 2020 and 2019. The information for each of these quarters has been prepared on a basis consistent with our audited consolidated financial statements and, in our opinion, includes all adjustments, consisting only of normal recurring adjustments necessary for the fair presentation of the financial information contained in those statements. The following unaudited consolidated quarterly financial data should be read in conjunction with our annual consolidated financial statements and the related notes included elsewhere in this Annual Report. These quarterly results are not necessarily indicative of our operating results for a full year or any future period.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60"/>
              <w:spacing w:after="0" w:line="124" w:lineRule="exact"/>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0"/>
                <w:szCs w:val="10"/>
                <w:color w:val="auto"/>
              </w:rPr>
            </w:pPr>
          </w:p>
        </w:tc>
        <w:tc>
          <w:tcPr>
            <w:tcW w:w="82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w w:val="85"/>
              </w:rPr>
              <w:t>September 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24" w:lineRule="exact"/>
              <w:rPr>
                <w:sz w:val="20"/>
                <w:szCs w:val="20"/>
                <w:color w:val="auto"/>
              </w:rPr>
            </w:pPr>
            <w:r>
              <w:rPr>
                <w:rFonts w:ascii="Arial" w:cs="Arial" w:eastAsia="Arial" w:hAnsi="Arial"/>
                <w:sz w:val="13"/>
                <w:szCs w:val="13"/>
                <w:b w:val="1"/>
                <w:bCs w:val="1"/>
                <w:color w:val="auto"/>
                <w:w w:val="93"/>
              </w:rPr>
              <w:t>March 31,</w:t>
            </w:r>
          </w:p>
        </w:tc>
        <w:tc>
          <w:tcPr>
            <w:tcW w:w="220" w:type="dxa"/>
            <w:vAlign w:val="bottom"/>
          </w:tcPr>
          <w:p>
            <w:pPr>
              <w:spacing w:after="0"/>
              <w:rPr>
                <w:sz w:val="10"/>
                <w:szCs w:val="10"/>
                <w:color w:val="auto"/>
              </w:rPr>
            </w:pPr>
          </w:p>
        </w:tc>
        <w:tc>
          <w:tcPr>
            <w:tcW w:w="860" w:type="dxa"/>
            <w:vAlign w:val="bottom"/>
            <w:gridSpan w:val="3"/>
          </w:tcPr>
          <w:p>
            <w:pPr>
              <w:jc w:val="right"/>
              <w:ind w:right="100"/>
              <w:spacing w:after="0" w:line="124" w:lineRule="exact"/>
              <w:rPr>
                <w:sz w:val="20"/>
                <w:szCs w:val="20"/>
                <w:color w:val="auto"/>
              </w:rPr>
            </w:pPr>
            <w:r>
              <w:rPr>
                <w:rFonts w:ascii="Arial" w:cs="Arial" w:eastAsia="Arial" w:hAnsi="Arial"/>
                <w:sz w:val="13"/>
                <w:szCs w:val="13"/>
                <w:b w:val="1"/>
                <w:bCs w:val="1"/>
                <w:color w:val="auto"/>
                <w:w w:val="87"/>
              </w:rPr>
              <w:t>December 31,</w:t>
            </w:r>
          </w:p>
        </w:tc>
        <w:tc>
          <w:tcPr>
            <w:tcW w:w="180" w:type="dxa"/>
            <w:vAlign w:val="bottom"/>
          </w:tcPr>
          <w:p>
            <w:pPr>
              <w:spacing w:after="0"/>
              <w:rPr>
                <w:sz w:val="10"/>
                <w:szCs w:val="10"/>
                <w:color w:val="auto"/>
              </w:rPr>
            </w:pPr>
          </w:p>
        </w:tc>
        <w:tc>
          <w:tcPr>
            <w:tcW w:w="8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w w:val="87"/>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4"/>
              </w:rPr>
              <w:t>June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2019</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8"/>
          </w:tcPr>
          <w:p>
            <w:pPr>
              <w:jc w:val="right"/>
              <w:ind w:right="40"/>
              <w:spacing w:after="0" w:line="142" w:lineRule="exact"/>
              <w:rPr>
                <w:sz w:val="20"/>
                <w:szCs w:val="20"/>
                <w:color w:val="auto"/>
              </w:rPr>
            </w:pPr>
            <w:r>
              <w:rPr>
                <w:rFonts w:ascii="Arial" w:cs="Arial" w:eastAsia="Arial" w:hAnsi="Arial"/>
                <w:sz w:val="13"/>
                <w:szCs w:val="13"/>
                <w:b w:val="1"/>
                <w:bCs w:val="1"/>
                <w:color w:val="auto"/>
                <w:w w:val="89"/>
              </w:rPr>
              <w:t>(in thousands, except per unit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Revenue</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56,461</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40,205</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30,425</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38,160</w:t>
            </w:r>
          </w:p>
        </w:tc>
        <w:tc>
          <w:tcPr>
            <w:tcW w:w="48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51,954</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38,855</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41,788</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32,295</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Arial" w:cs="Arial" w:eastAsia="Arial" w:hAnsi="Arial"/>
                <w:sz w:val="15"/>
                <w:szCs w:val="15"/>
                <w:color w:val="auto"/>
              </w:rPr>
              <w:t>Operating expenses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Platform operations</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25,944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20,124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18,589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23,603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28,710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23,415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19,644</w:t>
            </w:r>
          </w:p>
        </w:tc>
        <w:tc>
          <w:tcPr>
            <w:tcW w:w="0" w:type="dxa"/>
            <w:vAlign w:val="bottom"/>
          </w:tcPr>
          <w:p>
            <w:pPr>
              <w:spacing w:after="0"/>
              <w:rPr>
                <w:sz w:val="1"/>
                <w:szCs w:val="1"/>
                <w:color w:val="auto"/>
              </w:rPr>
            </w:pPr>
          </w:p>
        </w:tc>
      </w:tr>
      <w:tr>
        <w:trPr>
          <w:trHeight w:val="213"/>
        </w:trPr>
        <w:tc>
          <w:tcPr>
            <w:tcW w:w="3040" w:type="dxa"/>
            <w:vAlign w:val="bottom"/>
            <w:gridSpan w:val="3"/>
          </w:tcPr>
          <w:p>
            <w:pPr>
              <w:ind w:left="260"/>
              <w:spacing w:after="0"/>
              <w:rPr>
                <w:sz w:val="20"/>
                <w:szCs w:val="20"/>
                <w:color w:val="auto"/>
              </w:rPr>
            </w:pPr>
            <w:r>
              <w:rPr>
                <w:rFonts w:ascii="Arial" w:cs="Arial" w:eastAsia="Arial" w:hAnsi="Arial"/>
                <w:sz w:val="16"/>
                <w:szCs w:val="16"/>
                <w:color w:val="auto"/>
              </w:rPr>
              <w:t>Sales and marketing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9,494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6,521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5,742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7,130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8,277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7,042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6,754</w:t>
            </w:r>
          </w:p>
        </w:tc>
        <w:tc>
          <w:tcPr>
            <w:tcW w:w="0" w:type="dxa"/>
            <w:vAlign w:val="bottom"/>
          </w:tcPr>
          <w:p>
            <w:pPr>
              <w:spacing w:after="0"/>
              <w:rPr>
                <w:sz w:val="1"/>
                <w:szCs w:val="1"/>
                <w:color w:val="auto"/>
              </w:rPr>
            </w:pPr>
          </w:p>
        </w:tc>
      </w:tr>
      <w:tr>
        <w:trPr>
          <w:trHeight w:val="219"/>
        </w:trPr>
        <w:tc>
          <w:tcPr>
            <w:tcW w:w="304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Technology and development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2,618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2,150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FF0FC"/>
            </w:tcBorders>
            <w:gridSpan w:val="3"/>
          </w:tcPr>
          <w:p>
            <w:pPr>
              <w:ind w:left="26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5,231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3,861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3,891</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4,656</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6,597</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4,195</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13"/>
        </w:trPr>
        <w:tc>
          <w:tcPr>
            <w:tcW w:w="30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43,287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32,452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30,206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37,539</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46,169</w:t>
            </w:r>
          </w:p>
        </w:tc>
        <w:tc>
          <w:tcPr>
            <w:tcW w:w="1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35,970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36,884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33,074</w:t>
            </w:r>
          </w:p>
        </w:tc>
        <w:tc>
          <w:tcPr>
            <w:tcW w:w="0" w:type="dxa"/>
            <w:vAlign w:val="bottom"/>
          </w:tcPr>
          <w:p>
            <w:pPr>
              <w:spacing w:after="0"/>
              <w:rPr>
                <w:sz w:val="1"/>
                <w:szCs w:val="1"/>
                <w:color w:val="auto"/>
              </w:rPr>
            </w:pPr>
          </w:p>
        </w:tc>
      </w:tr>
      <w:tr>
        <w:trPr>
          <w:trHeight w:val="207"/>
        </w:trPr>
        <w:tc>
          <w:tcPr>
            <w:tcW w:w="3040" w:type="dxa"/>
            <w:vAlign w:val="bottom"/>
            <w:gridSpan w:val="3"/>
          </w:tcPr>
          <w:p>
            <w:pPr>
              <w:spacing w:after="0"/>
              <w:rPr>
                <w:sz w:val="20"/>
                <w:szCs w:val="20"/>
                <w:color w:val="auto"/>
              </w:rPr>
            </w:pPr>
            <w:r>
              <w:rPr>
                <w:rFonts w:ascii="Arial" w:cs="Arial" w:eastAsia="Arial" w:hAnsi="Arial"/>
                <w:sz w:val="16"/>
                <w:szCs w:val="16"/>
                <w:color w:val="auto"/>
              </w:rPr>
              <w:t>Income (loss) from operations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13,174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7,753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5,785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2,885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4,904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9"/>
        </w:trPr>
        <w:tc>
          <w:tcPr>
            <w:tcW w:w="30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other expense, net</w:t>
            </w: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27"/>
        </w:trPr>
        <w:tc>
          <w:tcPr>
            <w:tcW w:w="3040" w:type="dxa"/>
            <w:vAlign w:val="bottom"/>
            <w:gridSpan w:val="3"/>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12,861</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7,478</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(30)</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329</w:t>
            </w:r>
          </w:p>
        </w:tc>
        <w:tc>
          <w:tcPr>
            <w:tcW w:w="48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5,410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2,497</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3,785</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gridSpan w:val="3"/>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Earnings (loss) per unit—basic</w:t>
            </w:r>
            <w:r>
              <w:rPr>
                <w:rFonts w:ascii="Arial" w:cs="Arial" w:eastAsia="Arial" w:hAnsi="Arial"/>
                <w:sz w:val="25"/>
                <w:szCs w:val="25"/>
                <w:color w:val="auto"/>
                <w:vertAlign w:val="superscript"/>
              </w:rPr>
              <w:t>(2)</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40" w:type="dxa"/>
            <w:vAlign w:val="bottom"/>
            <w:gridSpan w:val="3"/>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(0.08)</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23.46</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2.97</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gridSpan w:val="3"/>
            <w:vMerge w:val="restart"/>
          </w:tcPr>
          <w:p>
            <w:pPr>
              <w:spacing w:after="0" w:line="236" w:lineRule="exact"/>
              <w:rPr>
                <w:sz w:val="20"/>
                <w:szCs w:val="20"/>
                <w:color w:val="auto"/>
              </w:rPr>
            </w:pPr>
            <w:r>
              <w:rPr>
                <w:rFonts w:ascii="Arial" w:cs="Arial" w:eastAsia="Arial" w:hAnsi="Arial"/>
                <w:sz w:val="16"/>
                <w:szCs w:val="16"/>
                <w:color w:val="auto"/>
              </w:rPr>
              <w:t>Earnings (loss) per unit—diluted</w:t>
            </w:r>
            <w:r>
              <w:rPr>
                <w:rFonts w:ascii="Arial" w:cs="Arial" w:eastAsia="Arial" w:hAnsi="Arial"/>
                <w:sz w:val="27"/>
                <w:szCs w:val="27"/>
                <w:color w:val="auto"/>
                <w:vertAlign w:val="superscript"/>
              </w:rPr>
              <w:t>(2)</w:t>
            </w: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12.86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7.48</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(0.08)</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22.85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2.50</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3.79</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gridSpan w:val="3"/>
            <w:vMerge w:val="restart"/>
            <w:shd w:val="clear" w:color="auto" w:fill="CFF0FC"/>
          </w:tcPr>
          <w:p>
            <w:pPr>
              <w:spacing w:after="0" w:line="216" w:lineRule="exact"/>
              <w:rPr>
                <w:sz w:val="20"/>
                <w:szCs w:val="20"/>
                <w:color w:val="auto"/>
              </w:rPr>
            </w:pPr>
            <w:r>
              <w:rPr>
                <w:rFonts w:ascii="Arial" w:cs="Arial" w:eastAsia="Arial" w:hAnsi="Arial"/>
                <w:sz w:val="15"/>
                <w:szCs w:val="15"/>
                <w:color w:val="auto"/>
              </w:rPr>
              <w:t>Non-GAAP earnings (loss) per unit—basic</w:t>
            </w:r>
            <w:r>
              <w:rPr>
                <w:rFonts w:ascii="Arial" w:cs="Arial" w:eastAsia="Arial" w:hAnsi="Arial"/>
                <w:sz w:val="25"/>
                <w:szCs w:val="25"/>
                <w:color w:val="auto"/>
                <w:vertAlign w:val="superscript"/>
              </w:rPr>
              <w:t>(3)</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gridSpan w:val="3"/>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(0.08)</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5.55</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2.97</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6"/>
                <w:szCs w:val="16"/>
                <w:color w:val="auto"/>
              </w:rPr>
              <w:t>Non-GAAP earnings (loss) per unit—</w:t>
            </w: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line="216" w:lineRule="exact"/>
              <w:rPr>
                <w:sz w:val="20"/>
                <w:szCs w:val="20"/>
                <w:color w:val="auto"/>
              </w:rPr>
            </w:pPr>
            <w:r>
              <w:rPr>
                <w:rFonts w:ascii="Arial" w:cs="Arial" w:eastAsia="Arial" w:hAnsi="Arial"/>
                <w:sz w:val="15"/>
                <w:szCs w:val="15"/>
                <w:color w:val="auto"/>
              </w:rPr>
              <w:t>diluted</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12.86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7.48</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(0.08)</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0.33</w:t>
            </w:r>
          </w:p>
        </w:tc>
        <w:tc>
          <w:tcPr>
            <w:tcW w:w="48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5.41</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2.50</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3.79</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Three Months Ended</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gridSpan w:val="5"/>
          </w:tcPr>
          <w:p>
            <w:pPr>
              <w:jc w:val="right"/>
              <w:ind w:right="360"/>
              <w:spacing w:after="0" w:line="124" w:lineRule="exact"/>
              <w:rPr>
                <w:sz w:val="20"/>
                <w:szCs w:val="20"/>
                <w:color w:val="auto"/>
              </w:rPr>
            </w:pPr>
            <w:r>
              <w:rPr>
                <w:rFonts w:ascii="Arial" w:cs="Arial" w:eastAsia="Arial" w:hAnsi="Arial"/>
                <w:sz w:val="13"/>
                <w:szCs w:val="13"/>
                <w:b w:val="1"/>
                <w:bCs w:val="1"/>
                <w:color w:val="auto"/>
                <w:w w:val="87"/>
              </w:rPr>
              <w:t>December 31,</w:t>
            </w:r>
          </w:p>
        </w:tc>
        <w:tc>
          <w:tcPr>
            <w:tcW w:w="1060" w:type="dxa"/>
            <w:vAlign w:val="bottom"/>
            <w:gridSpan w:val="4"/>
          </w:tcPr>
          <w:p>
            <w:pPr>
              <w:jc w:val="center"/>
              <w:ind w:right="320"/>
              <w:spacing w:after="0" w:line="124" w:lineRule="exact"/>
              <w:rPr>
                <w:sz w:val="20"/>
                <w:szCs w:val="20"/>
                <w:color w:val="auto"/>
              </w:rPr>
            </w:pPr>
            <w:r>
              <w:rPr>
                <w:rFonts w:ascii="Arial" w:cs="Arial" w:eastAsia="Arial" w:hAnsi="Arial"/>
                <w:sz w:val="13"/>
                <w:szCs w:val="13"/>
                <w:b w:val="1"/>
                <w:bCs w:val="1"/>
                <w:color w:val="auto"/>
                <w:w w:val="83"/>
              </w:rPr>
              <w:t>September 30,</w:t>
            </w:r>
          </w:p>
        </w:tc>
        <w:tc>
          <w:tcPr>
            <w:tcW w:w="1100" w:type="dxa"/>
            <w:vAlign w:val="bottom"/>
            <w:gridSpan w:val="5"/>
          </w:tcPr>
          <w:p>
            <w:pPr>
              <w:ind w:left="120"/>
              <w:spacing w:after="0" w:line="124" w:lineRule="exact"/>
              <w:rPr>
                <w:sz w:val="20"/>
                <w:szCs w:val="20"/>
                <w:color w:val="auto"/>
              </w:rPr>
            </w:pPr>
            <w:r>
              <w:rPr>
                <w:rFonts w:ascii="Arial" w:cs="Arial" w:eastAsia="Arial" w:hAnsi="Arial"/>
                <w:sz w:val="13"/>
                <w:szCs w:val="13"/>
                <w:b w:val="1"/>
                <w:bCs w:val="1"/>
                <w:color w:val="auto"/>
              </w:rPr>
              <w:t>June 30,</w:t>
            </w:r>
          </w:p>
        </w:tc>
        <w:tc>
          <w:tcPr>
            <w:tcW w:w="940" w:type="dxa"/>
            <w:vAlign w:val="bottom"/>
            <w:gridSpan w:val="4"/>
          </w:tcPr>
          <w:p>
            <w:pPr>
              <w:jc w:val="right"/>
              <w:ind w:right="380"/>
              <w:spacing w:after="0" w:line="124" w:lineRule="exact"/>
              <w:rPr>
                <w:sz w:val="20"/>
                <w:szCs w:val="20"/>
                <w:color w:val="auto"/>
              </w:rPr>
            </w:pPr>
            <w:r>
              <w:rPr>
                <w:rFonts w:ascii="Arial" w:cs="Arial" w:eastAsia="Arial" w:hAnsi="Arial"/>
                <w:sz w:val="13"/>
                <w:szCs w:val="13"/>
                <w:b w:val="1"/>
                <w:bCs w:val="1"/>
                <w:color w:val="auto"/>
                <w:w w:val="89"/>
              </w:rPr>
              <w:t>March 31,</w:t>
            </w:r>
          </w:p>
        </w:tc>
        <w:tc>
          <w:tcPr>
            <w:tcW w:w="1080" w:type="dxa"/>
            <w:vAlign w:val="bottom"/>
            <w:gridSpan w:val="4"/>
          </w:tcPr>
          <w:p>
            <w:pPr>
              <w:jc w:val="right"/>
              <w:ind w:right="300"/>
              <w:spacing w:after="0" w:line="124" w:lineRule="exact"/>
              <w:rPr>
                <w:sz w:val="20"/>
                <w:szCs w:val="20"/>
                <w:color w:val="auto"/>
              </w:rPr>
            </w:pPr>
            <w:r>
              <w:rPr>
                <w:rFonts w:ascii="Arial" w:cs="Arial" w:eastAsia="Arial" w:hAnsi="Arial"/>
                <w:sz w:val="13"/>
                <w:szCs w:val="13"/>
                <w:b w:val="1"/>
                <w:bCs w:val="1"/>
                <w:color w:val="auto"/>
                <w:w w:val="89"/>
              </w:rPr>
              <w:t>December 31,</w:t>
            </w:r>
          </w:p>
        </w:tc>
        <w:tc>
          <w:tcPr>
            <w:tcW w:w="980" w:type="dxa"/>
            <w:vAlign w:val="bottom"/>
            <w:gridSpan w:val="4"/>
          </w:tcPr>
          <w:p>
            <w:pPr>
              <w:jc w:val="center"/>
              <w:ind w:right="200"/>
              <w:spacing w:after="0" w:line="124" w:lineRule="exact"/>
              <w:rPr>
                <w:sz w:val="20"/>
                <w:szCs w:val="20"/>
                <w:color w:val="auto"/>
              </w:rPr>
            </w:pPr>
            <w:r>
              <w:rPr>
                <w:rFonts w:ascii="Arial" w:cs="Arial" w:eastAsia="Arial" w:hAnsi="Arial"/>
                <w:sz w:val="13"/>
                <w:szCs w:val="13"/>
                <w:b w:val="1"/>
                <w:bCs w:val="1"/>
                <w:color w:val="auto"/>
                <w:w w:val="87"/>
              </w:rPr>
              <w:t>September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800" w:type="dxa"/>
            <w:vAlign w:val="bottom"/>
            <w:gridSpan w:val="3"/>
          </w:tcPr>
          <w:p>
            <w:pPr>
              <w:ind w:left="120"/>
              <w:spacing w:after="0" w:line="124"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8"/>
          </w:tcPr>
          <w:p>
            <w:pPr>
              <w:jc w:val="right"/>
              <w:ind w:right="420"/>
              <w:spacing w:after="0" w:line="142" w:lineRule="exact"/>
              <w:rPr>
                <w:sz w:val="20"/>
                <w:szCs w:val="20"/>
                <w:color w:val="auto"/>
              </w:rPr>
            </w:pPr>
            <w:r>
              <w:rPr>
                <w:rFonts w:ascii="Arial" w:cs="Arial" w:eastAsia="Arial" w:hAnsi="Arial"/>
                <w:sz w:val="13"/>
                <w:szCs w:val="13"/>
                <w:b w:val="1"/>
                <w:bCs w:val="1"/>
                <w:color w:val="auto"/>
                <w:w w:val="87"/>
              </w:rPr>
              <w:t>(as a percentage of revenue*)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2"/>
              </w:rPr>
              <w:t>100%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04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Platform operations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3040" w:type="dxa"/>
            <w:vAlign w:val="bottom"/>
            <w:gridSpan w:val="3"/>
          </w:tcPr>
          <w:p>
            <w:pPr>
              <w:ind w:left="260"/>
              <w:spacing w:after="0"/>
              <w:rPr>
                <w:sz w:val="20"/>
                <w:szCs w:val="20"/>
                <w:color w:val="auto"/>
              </w:rPr>
            </w:pPr>
            <w:r>
              <w:rPr>
                <w:rFonts w:ascii="Arial" w:cs="Arial" w:eastAsia="Arial" w:hAnsi="Arial"/>
                <w:sz w:val="16"/>
                <w:szCs w:val="16"/>
                <w:color w:val="auto"/>
              </w:rPr>
              <w:t>Sales and marketing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304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Technology and development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840" w:type="dxa"/>
            <w:vAlign w:val="bottom"/>
            <w:gridSpan w:val="2"/>
          </w:tcPr>
          <w:p>
            <w:pPr>
              <w:ind w:left="26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other expense, net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4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Percentages may not sum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4" w:name="page65"/>
    <w:bookmarkEnd w:id="64"/>
    <w:p>
      <w:pPr>
        <w:ind w:left="580" w:hanging="572"/>
        <w:spacing w:after="0"/>
        <w:tabs>
          <w:tab w:leader="none" w:pos="580" w:val="left"/>
        </w:tabs>
        <w:numPr>
          <w:ilvl w:val="0"/>
          <w:numId w:val="26"/>
        </w:numPr>
        <w:rPr>
          <w:rFonts w:ascii="Arial" w:cs="Arial" w:eastAsia="Arial" w:hAnsi="Arial"/>
          <w:sz w:val="15"/>
          <w:szCs w:val="15"/>
          <w:color w:val="231F20"/>
        </w:rPr>
      </w:pPr>
      <w:r>
        <w:rPr>
          <w:rFonts w:ascii="Arial" w:cs="Arial" w:eastAsia="Arial" w:hAnsi="Arial"/>
          <w:sz w:val="18"/>
          <w:szCs w:val="18"/>
          <w:color w:val="231F20"/>
        </w:rPr>
        <w:t>Unit-based compensation expense, depreciation expense, and amortization expense included above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3"/>
                <w:szCs w:val="13"/>
                <w:b w:val="1"/>
                <w:bCs w:val="1"/>
                <w:color w:val="auto"/>
                <w:w w:val="88"/>
              </w:rPr>
              <w:t>Three Months Ended</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4"/>
        </w:trPr>
        <w:tc>
          <w:tcPr>
            <w:tcW w:w="308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3"/>
                <w:szCs w:val="13"/>
                <w:b w:val="1"/>
                <w:bCs w:val="1"/>
                <w:color w:val="auto"/>
              </w:rPr>
              <w:t>December 31,</w:t>
            </w:r>
          </w:p>
        </w:tc>
        <w:tc>
          <w:tcPr>
            <w:tcW w:w="10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680" w:type="dxa"/>
            <w:vAlign w:val="bottom"/>
          </w:tcPr>
          <w:p>
            <w:pPr>
              <w:jc w:val="right"/>
              <w:ind w:right="101"/>
              <w:spacing w:after="0" w:line="124" w:lineRule="exact"/>
              <w:rPr>
                <w:sz w:val="20"/>
                <w:szCs w:val="20"/>
                <w:color w:val="auto"/>
              </w:rPr>
            </w:pPr>
            <w:r>
              <w:rPr>
                <w:rFonts w:ascii="Arial" w:cs="Arial" w:eastAsia="Arial" w:hAnsi="Arial"/>
                <w:sz w:val="13"/>
                <w:szCs w:val="13"/>
                <w:b w:val="1"/>
                <w:bCs w:val="1"/>
                <w:color w:val="auto"/>
                <w:w w:val="92"/>
              </w:rPr>
              <w:t>June 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43"/>
              <w:spacing w:after="0" w:line="124" w:lineRule="exact"/>
              <w:rPr>
                <w:sz w:val="20"/>
                <w:szCs w:val="20"/>
                <w:color w:val="auto"/>
              </w:rPr>
            </w:pPr>
            <w:r>
              <w:rPr>
                <w:rFonts w:ascii="Arial" w:cs="Arial" w:eastAsia="Arial" w:hAnsi="Arial"/>
                <w:sz w:val="13"/>
                <w:szCs w:val="13"/>
                <w:b w:val="1"/>
                <w:bCs w:val="1"/>
                <w:color w:val="auto"/>
                <w:w w:val="93"/>
              </w:rPr>
              <w:t>March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88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680" w:type="dxa"/>
            <w:vAlign w:val="bottom"/>
          </w:tcPr>
          <w:p>
            <w:pPr>
              <w:jc w:val="right"/>
              <w:ind w:right="41"/>
              <w:spacing w:after="0" w:line="124" w:lineRule="exact"/>
              <w:rPr>
                <w:sz w:val="20"/>
                <w:szCs w:val="20"/>
                <w:color w:val="auto"/>
              </w:rPr>
            </w:pPr>
            <w:r>
              <w:rPr>
                <w:rFonts w:ascii="Arial" w:cs="Arial" w:eastAsia="Arial" w:hAnsi="Arial"/>
                <w:sz w:val="13"/>
                <w:szCs w:val="13"/>
                <w:b w:val="1"/>
                <w:bCs w:val="1"/>
                <w:color w:val="auto"/>
                <w:w w:val="89"/>
              </w:rPr>
              <w:t>March 31,</w:t>
            </w:r>
          </w:p>
        </w:tc>
        <w:tc>
          <w:tcPr>
            <w:tcW w:w="60" w:type="dxa"/>
            <w:vAlign w:val="bottom"/>
          </w:tcPr>
          <w:p>
            <w:pPr>
              <w:spacing w:after="0"/>
              <w:rPr>
                <w:sz w:val="10"/>
                <w:szCs w:val="10"/>
                <w:color w:val="auto"/>
              </w:rPr>
            </w:pPr>
          </w:p>
        </w:tc>
      </w:tr>
      <w:tr>
        <w:trPr>
          <w:trHeight w:val="153"/>
        </w:trPr>
        <w:tc>
          <w:tcPr>
            <w:tcW w:w="3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r>
      <w:tr>
        <w:trPr>
          <w:trHeight w:val="142"/>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5"/>
          </w:tcPr>
          <w:p>
            <w:pPr>
              <w:jc w:val="center"/>
              <w:ind w:right="460"/>
              <w:spacing w:after="0" w:line="142" w:lineRule="exact"/>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Unit-based compensation expense:</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Platform operations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FF0FC"/>
          </w:tcPr>
          <w:p>
            <w:pPr>
              <w:spacing w:after="0"/>
              <w:rPr>
                <w:sz w:val="19"/>
                <w:szCs w:val="19"/>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60" w:type="dxa"/>
            <w:vAlign w:val="bottom"/>
            <w:shd w:val="clear" w:color="auto" w:fill="CFF0FC"/>
          </w:tcPr>
          <w:p>
            <w:pPr>
              <w:spacing w:after="0"/>
              <w:rPr>
                <w:sz w:val="19"/>
                <w:szCs w:val="19"/>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6"/>
                <w:szCs w:val="16"/>
                <w:color w:val="auto"/>
              </w:rPr>
              <w:t>Total unit-based compensation expense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624</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17"/>
                <w:szCs w:val="17"/>
                <w:color w:val="auto"/>
              </w:rPr>
            </w:pPr>
          </w:p>
        </w:tc>
      </w:tr>
      <w:tr>
        <w:trPr>
          <w:trHeight w:val="21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Depreciation expense:</w:t>
            </w: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Platform operations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1,579</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1,619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1,762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1,704</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1,674</w:t>
            </w:r>
          </w:p>
        </w:tc>
        <w:tc>
          <w:tcPr>
            <w:tcW w:w="60" w:type="dxa"/>
            <w:vAlign w:val="bottom"/>
          </w:tcPr>
          <w:p>
            <w:pPr>
              <w:spacing w:after="0"/>
              <w:rPr>
                <w:sz w:val="18"/>
                <w:szCs w:val="18"/>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w:t>
            </w:r>
          </w:p>
        </w:tc>
        <w:tc>
          <w:tcPr>
            <w:tcW w:w="60" w:type="dxa"/>
            <w:vAlign w:val="bottom"/>
          </w:tcPr>
          <w:p>
            <w:pPr>
              <w:spacing w:after="0"/>
              <w:rPr>
                <w:sz w:val="18"/>
                <w:szCs w:val="18"/>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60" w:type="dxa"/>
            <w:vAlign w:val="bottom"/>
            <w:shd w:val="clear" w:color="auto" w:fill="CFF0FC"/>
          </w:tcPr>
          <w:p>
            <w:pPr>
              <w:spacing w:after="0"/>
              <w:rPr>
                <w:sz w:val="19"/>
                <w:szCs w:val="19"/>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6"/>
                <w:szCs w:val="16"/>
                <w:color w:val="auto"/>
              </w:rPr>
              <w:t>Total depreciation expense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2,144</w:t>
            </w:r>
          </w:p>
        </w:tc>
        <w:tc>
          <w:tcPr>
            <w:tcW w:w="2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2,193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2,233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2,244</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2,256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2,185</w:t>
            </w:r>
          </w:p>
        </w:tc>
        <w:tc>
          <w:tcPr>
            <w:tcW w:w="60" w:type="dxa"/>
            <w:vAlign w:val="bottom"/>
          </w:tcPr>
          <w:p>
            <w:pPr>
              <w:spacing w:after="0"/>
              <w:rPr>
                <w:sz w:val="17"/>
                <w:szCs w:val="17"/>
                <w:color w:val="auto"/>
              </w:rPr>
            </w:pPr>
          </w:p>
        </w:tc>
      </w:tr>
      <w:tr>
        <w:trPr>
          <w:trHeight w:val="21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Amortization expense:</w:t>
            </w: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Platform operations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175</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18"/>
                <w:szCs w:val="18"/>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Technology and development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CFF0FC"/>
          </w:tcPr>
          <w:p>
            <w:pPr>
              <w:spacing w:after="0"/>
              <w:rPr>
                <w:sz w:val="19"/>
                <w:szCs w:val="19"/>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6"/>
                <w:szCs w:val="16"/>
                <w:color w:val="auto"/>
              </w:rPr>
              <w:t>Total amortization expense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w:t>
            </w:r>
          </w:p>
        </w:tc>
        <w:tc>
          <w:tcPr>
            <w:tcW w:w="6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231F20"/>
        </w:rPr>
        <w:t>See Note 4, Note 5 and Note 9 to our consolidated financial statements included elsewhere in this Annual Report for more information regarding depreciation expense, amortization expense and unit-based compensation expense, respectively.</w:t>
      </w:r>
    </w:p>
    <w:p>
      <w:pPr>
        <w:spacing w:after="0" w:line="62"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5"/>
          <w:szCs w:val="15"/>
          <w:color w:val="231F20"/>
        </w:rPr>
      </w:pPr>
      <w:r>
        <w:rPr>
          <w:rFonts w:ascii="Arial" w:cs="Arial" w:eastAsia="Arial" w:hAnsi="Arial"/>
          <w:sz w:val="18"/>
          <w:szCs w:val="18"/>
          <w:color w:val="231F20"/>
        </w:rPr>
        <w:t>See Note 2 to our consolidated financial statements for a description of the earnings (loss) per unit—basic and diluted computations.</w:t>
      </w:r>
    </w:p>
    <w:p>
      <w:pPr>
        <w:spacing w:after="0" w:line="117" w:lineRule="exact"/>
        <w:rPr>
          <w:rFonts w:ascii="Arial" w:cs="Arial" w:eastAsia="Arial" w:hAnsi="Arial"/>
          <w:sz w:val="15"/>
          <w:szCs w:val="15"/>
          <w:color w:val="231F20"/>
        </w:rPr>
      </w:pPr>
    </w:p>
    <w:p>
      <w:pPr>
        <w:ind w:left="580" w:right="440" w:hanging="572"/>
        <w:spacing w:after="0" w:line="308" w:lineRule="auto"/>
        <w:tabs>
          <w:tab w:leader="none" w:pos="580" w:val="left"/>
        </w:tabs>
        <w:numPr>
          <w:ilvl w:val="0"/>
          <w:numId w:val="27"/>
        </w:numPr>
        <w:rPr>
          <w:rFonts w:ascii="Arial" w:cs="Arial" w:eastAsia="Arial" w:hAnsi="Arial"/>
          <w:sz w:val="14"/>
          <w:szCs w:val="14"/>
          <w:color w:val="231F20"/>
        </w:rPr>
      </w:pPr>
      <w:r>
        <w:rPr>
          <w:rFonts w:ascii="Arial" w:cs="Arial" w:eastAsia="Arial" w:hAnsi="Arial"/>
          <w:sz w:val="17"/>
          <w:szCs w:val="17"/>
          <w:color w:val="231F20"/>
        </w:rPr>
        <w:t>For a reconciliation of Non-GAAP earnings (loss) per unit—basic and diluted to the most directly comparable financial measure calculated in accordance with GAAP, see “</w:t>
      </w:r>
      <w:r>
        <w:rPr>
          <w:rFonts w:ascii="Arial" w:cs="Arial" w:eastAsia="Arial" w:hAnsi="Arial"/>
          <w:sz w:val="17"/>
          <w:szCs w:val="17"/>
          <w:i w:val="1"/>
          <w:iCs w:val="1"/>
          <w:color w:val="231F20"/>
        </w:rPr>
        <w:t>Key Operating and Financial Performance Metrics—Use of Non-GAAP Financial Measures.</w:t>
      </w:r>
      <w:r>
        <w:rPr>
          <w:rFonts w:ascii="Arial" w:cs="Arial" w:eastAsia="Arial" w:hAnsi="Arial"/>
          <w:sz w:val="17"/>
          <w:szCs w:val="17"/>
          <w:color w:val="231F20"/>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sets forth a reconciliation of net income (loss) to Adjusted EBITDA for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w w:val="87"/>
              </w:rPr>
              <w:t>September 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20"/>
              <w:spacing w:after="0" w:line="124"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46"/>
              <w:spacing w:after="0" w:line="124" w:lineRule="exact"/>
              <w:rPr>
                <w:sz w:val="20"/>
                <w:szCs w:val="20"/>
                <w:color w:val="auto"/>
              </w:rPr>
            </w:pPr>
            <w:r>
              <w:rPr>
                <w:rFonts w:ascii="Arial" w:cs="Arial" w:eastAsia="Arial" w:hAnsi="Arial"/>
                <w:sz w:val="13"/>
                <w:szCs w:val="13"/>
                <w:b w:val="1"/>
                <w:bCs w:val="1"/>
                <w:color w:val="auto"/>
                <w:w w:val="93"/>
              </w:rPr>
              <w:t>March 31,</w:t>
            </w:r>
          </w:p>
        </w:tc>
        <w:tc>
          <w:tcPr>
            <w:tcW w:w="220" w:type="dxa"/>
            <w:vAlign w:val="bottom"/>
          </w:tcPr>
          <w:p>
            <w:pPr>
              <w:spacing w:after="0"/>
              <w:rPr>
                <w:sz w:val="10"/>
                <w:szCs w:val="10"/>
                <w:color w:val="auto"/>
              </w:rPr>
            </w:pPr>
          </w:p>
        </w:tc>
        <w:tc>
          <w:tcPr>
            <w:tcW w:w="940" w:type="dxa"/>
            <w:vAlign w:val="bottom"/>
            <w:gridSpan w:val="3"/>
          </w:tcPr>
          <w:p>
            <w:pPr>
              <w:jc w:val="right"/>
              <w:ind w:right="180"/>
              <w:spacing w:after="0" w:line="124"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0"/>
                <w:szCs w:val="10"/>
                <w:color w:val="auto"/>
              </w:rPr>
            </w:pPr>
          </w:p>
        </w:tc>
        <w:tc>
          <w:tcPr>
            <w:tcW w:w="9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720" w:type="dxa"/>
            <w:vAlign w:val="bottom"/>
          </w:tcPr>
          <w:p>
            <w:pPr>
              <w:jc w:val="right"/>
              <w:ind w:right="63"/>
              <w:spacing w:after="0" w:line="124" w:lineRule="exact"/>
              <w:rPr>
                <w:sz w:val="20"/>
                <w:szCs w:val="20"/>
                <w:color w:val="auto"/>
              </w:rPr>
            </w:pPr>
            <w:r>
              <w:rPr>
                <w:rFonts w:ascii="Arial" w:cs="Arial" w:eastAsia="Arial" w:hAnsi="Arial"/>
                <w:sz w:val="13"/>
                <w:szCs w:val="13"/>
                <w:b w:val="1"/>
                <w:bCs w:val="1"/>
                <w:color w:val="auto"/>
                <w:w w:val="93"/>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12,861</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48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5,410</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Add back: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w w:val="98"/>
              </w:rPr>
              <w:t>Depreciation and amortization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Unit-based compensation expense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w w:val="93"/>
              </w:rPr>
              <w:t>2019 Former Holdco transaction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UK subsidiary closure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31"/>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15,562</w:t>
            </w:r>
          </w:p>
        </w:tc>
        <w:tc>
          <w:tcPr>
            <w:tcW w:w="2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10,242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2,754</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3,224</w:t>
            </w:r>
          </w:p>
        </w:tc>
        <w:tc>
          <w:tcPr>
            <w:tcW w:w="48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9,368</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5,653</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7,616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left="600"/>
        <w:spacing w:after="0"/>
        <w:rPr>
          <w:sz w:val="20"/>
          <w:szCs w:val="20"/>
          <w:color w:val="auto"/>
        </w:rPr>
      </w:pPr>
      <w:r>
        <w:rPr>
          <w:rFonts w:ascii="Arial" w:cs="Arial" w:eastAsia="Arial" w:hAnsi="Arial"/>
          <w:sz w:val="16"/>
          <w:szCs w:val="16"/>
          <w:color w:val="231F20"/>
        </w:rPr>
        <w:t>The following table presents the reconciliation of net income as a percentage of gross profit to Adjusted EBITDA as a percentage of revenue 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TAC for the periods presented: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1080" w:type="dxa"/>
            <w:vAlign w:val="bottom"/>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w w:val="89"/>
              </w:rPr>
              <w:t>December 31,</w:t>
            </w:r>
          </w:p>
        </w:tc>
        <w:tc>
          <w:tcPr>
            <w:tcW w:w="10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820" w:type="dxa"/>
            <w:vAlign w:val="bottom"/>
            <w:gridSpan w:val="2"/>
          </w:tcPr>
          <w:p>
            <w:pPr>
              <w:jc w:val="right"/>
              <w:ind w:right="320"/>
              <w:spacing w:after="0" w:line="124"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line="124" w:lineRule="exact"/>
              <w:rPr>
                <w:sz w:val="20"/>
                <w:szCs w:val="20"/>
                <w:color w:val="auto"/>
              </w:rPr>
            </w:pPr>
            <w:r>
              <w:rPr>
                <w:rFonts w:ascii="Arial" w:cs="Arial" w:eastAsia="Arial" w:hAnsi="Arial"/>
                <w:sz w:val="13"/>
                <w:szCs w:val="13"/>
                <w:b w:val="1"/>
                <w:bCs w:val="1"/>
                <w:color w:val="auto"/>
                <w:w w:val="89"/>
              </w:rPr>
              <w:t>March 31,</w:t>
            </w:r>
          </w:p>
        </w:tc>
        <w:tc>
          <w:tcPr>
            <w:tcW w:w="1080" w:type="dxa"/>
            <w:vAlign w:val="bottom"/>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w w:val="89"/>
              </w:rPr>
              <w:t>December 31,</w:t>
            </w:r>
          </w:p>
        </w:tc>
        <w:tc>
          <w:tcPr>
            <w:tcW w:w="10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940" w:type="dxa"/>
            <w:vAlign w:val="bottom"/>
            <w:gridSpan w:val="2"/>
          </w:tcPr>
          <w:p>
            <w:pPr>
              <w:jc w:val="right"/>
              <w:ind w:right="440"/>
              <w:spacing w:after="0" w:line="124" w:lineRule="exact"/>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0"/>
                <w:szCs w:val="10"/>
                <w:color w:val="auto"/>
              </w:rPr>
            </w:pPr>
          </w:p>
        </w:tc>
        <w:tc>
          <w:tcPr>
            <w:tcW w:w="700" w:type="dxa"/>
            <w:vAlign w:val="bottom"/>
          </w:tcPr>
          <w:p>
            <w:pPr>
              <w:jc w:val="right"/>
              <w:ind w:right="64"/>
              <w:spacing w:after="0" w:line="124" w:lineRule="exact"/>
              <w:rPr>
                <w:sz w:val="20"/>
                <w:szCs w:val="20"/>
                <w:color w:val="auto"/>
              </w:rPr>
            </w:pPr>
            <w:r>
              <w:rPr>
                <w:rFonts w:ascii="Arial" w:cs="Arial" w:eastAsia="Arial" w:hAnsi="Arial"/>
                <w:sz w:val="13"/>
                <w:szCs w:val="13"/>
                <w:b w:val="1"/>
                <w:bCs w:val="1"/>
                <w:color w:val="auto"/>
                <w:w w:val="89"/>
              </w:rPr>
              <w:t>March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7"/>
          </w:tcPr>
          <w:p>
            <w:pPr>
              <w:jc w:val="right"/>
              <w:ind w:right="200"/>
              <w:spacing w:after="0" w:line="142" w:lineRule="exact"/>
              <w:rPr>
                <w:sz w:val="20"/>
                <w:szCs w:val="20"/>
                <w:color w:val="auto"/>
              </w:rPr>
            </w:pPr>
            <w:r>
              <w:rPr>
                <w:rFonts w:ascii="Arial" w:cs="Arial" w:eastAsia="Arial" w:hAnsi="Arial"/>
                <w:sz w:val="13"/>
                <w:szCs w:val="13"/>
                <w:b w:val="1"/>
                <w:bCs w:val="1"/>
                <w:color w:val="auto"/>
                <w:w w:val="84"/>
              </w:rPr>
              <w:t>(in thousands, except for percentages)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30,517</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11,836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23,244</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12,861</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7,478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5,410</w:t>
            </w: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3,785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4"/>
              </w:rPr>
              <w:t>Net income as a percentage of gross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 xml:space="preserve">Revenue ex-TAC </w:t>
            </w:r>
            <w:r>
              <w:rPr>
                <w:rFonts w:ascii="Arial" w:cs="Arial" w:eastAsia="Arial" w:hAnsi="Arial"/>
                <w:sz w:val="27"/>
                <w:szCs w:val="27"/>
                <w:color w:val="auto"/>
                <w:vertAlign w:val="superscript"/>
              </w:rPr>
              <w:t>(1)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vMerge w:val="continue"/>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39,135</w:t>
            </w:r>
          </w:p>
        </w:tc>
        <w:tc>
          <w:tcPr>
            <w:tcW w:w="2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27,995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20,045</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23,341</w:t>
            </w:r>
          </w:p>
        </w:tc>
        <w:tc>
          <w:tcPr>
            <w:tcW w:w="2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32,843</w:t>
            </w:r>
          </w:p>
        </w:tc>
        <w:tc>
          <w:tcPr>
            <w:tcW w:w="2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25,033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26,388</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25"/>
                <w:szCs w:val="25"/>
                <w:color w:val="auto"/>
                <w:vertAlign w:val="superscript"/>
              </w:rPr>
              <w:t>(2)</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15,562</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9,368</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6"/>
                <w:szCs w:val="16"/>
                <w:color w:val="auto"/>
              </w:rPr>
              <w:t>Adjusted EBITDA as a percentage of</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6"/>
                <w:szCs w:val="16"/>
                <w:color w:val="auto"/>
              </w:rPr>
              <w:t>revenue ex-TAC</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97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8" w:lineRule="exact"/>
        <w:rPr>
          <w:sz w:val="20"/>
          <w:szCs w:val="20"/>
          <w:color w:val="auto"/>
        </w:rPr>
      </w:pPr>
    </w:p>
    <w:p>
      <w:pPr>
        <w:ind w:left="580" w:right="220" w:hanging="572"/>
        <w:spacing w:after="0" w:line="277" w:lineRule="auto"/>
        <w:tabs>
          <w:tab w:leader="none" w:pos="580" w:val="left"/>
        </w:tabs>
        <w:numPr>
          <w:ilvl w:val="0"/>
          <w:numId w:val="28"/>
        </w:numPr>
        <w:rPr>
          <w:rFonts w:ascii="Arial" w:cs="Arial" w:eastAsia="Arial" w:hAnsi="Arial"/>
          <w:sz w:val="15"/>
          <w:szCs w:val="15"/>
          <w:color w:val="231F20"/>
        </w:rPr>
      </w:pPr>
      <w:r>
        <w:rPr>
          <w:rFonts w:ascii="Arial" w:cs="Arial" w:eastAsia="Arial" w:hAnsi="Arial"/>
          <w:sz w:val="18"/>
          <w:szCs w:val="18"/>
          <w:color w:val="231F20"/>
        </w:rPr>
        <w:t>For a reconciliation of revenue ex-TAC to the most directly comparable financial measure calculated in accordance with GAAP, see “—Revenue ex-TAC.”</w:t>
      </w:r>
    </w:p>
    <w:p>
      <w:pPr>
        <w:spacing w:after="0" w:line="62" w:lineRule="exact"/>
        <w:rPr>
          <w:rFonts w:ascii="Arial" w:cs="Arial" w:eastAsia="Arial" w:hAnsi="Arial"/>
          <w:sz w:val="15"/>
          <w:szCs w:val="15"/>
          <w:color w:val="231F20"/>
        </w:rPr>
      </w:pPr>
    </w:p>
    <w:p>
      <w:pPr>
        <w:ind w:left="580" w:right="40" w:hanging="572"/>
        <w:spacing w:after="0" w:line="277" w:lineRule="auto"/>
        <w:tabs>
          <w:tab w:leader="none" w:pos="580" w:val="left"/>
        </w:tabs>
        <w:numPr>
          <w:ilvl w:val="0"/>
          <w:numId w:val="28"/>
        </w:numPr>
        <w:rPr>
          <w:rFonts w:ascii="Arial" w:cs="Arial" w:eastAsia="Arial" w:hAnsi="Arial"/>
          <w:sz w:val="15"/>
          <w:szCs w:val="15"/>
          <w:color w:val="231F20"/>
        </w:rPr>
      </w:pPr>
      <w:r>
        <w:rPr>
          <w:rFonts w:ascii="Arial" w:cs="Arial" w:eastAsia="Arial" w:hAnsi="Arial"/>
          <w:sz w:val="18"/>
          <w:szCs w:val="18"/>
          <w:color w:val="231F20"/>
        </w:rPr>
        <w:t>For a reconciliation of Adjusted EBITDA to the most directly comparable financial measure calculated in accordance with GAAP, see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ex-TAC</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sets forth a reconciliation of revenue to gross profit to revenue ex-TAC for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20"/>
              <w:spacing w:after="0" w:line="124"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93"/>
              </w:rPr>
              <w:t>March 31,</w:t>
            </w:r>
          </w:p>
        </w:tc>
        <w:tc>
          <w:tcPr>
            <w:tcW w:w="80" w:type="dxa"/>
            <w:vAlign w:val="bottom"/>
          </w:tcPr>
          <w:p>
            <w:pPr>
              <w:spacing w:after="0"/>
              <w:rPr>
                <w:sz w:val="10"/>
                <w:szCs w:val="10"/>
                <w:color w:val="auto"/>
              </w:rPr>
            </w:pPr>
          </w:p>
        </w:tc>
        <w:tc>
          <w:tcPr>
            <w:tcW w:w="940" w:type="dxa"/>
            <w:vAlign w:val="bottom"/>
            <w:gridSpan w:val="3"/>
          </w:tcPr>
          <w:p>
            <w:pPr>
              <w:jc w:val="right"/>
              <w:ind w:right="180"/>
              <w:spacing w:after="0" w:line="124"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0"/>
                <w:szCs w:val="10"/>
                <w:color w:val="auto"/>
              </w:rPr>
            </w:pPr>
          </w:p>
        </w:tc>
        <w:tc>
          <w:tcPr>
            <w:tcW w:w="9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20"/>
              <w:spacing w:after="0" w:line="124"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24"/>
              <w:spacing w:after="0" w:line="124" w:lineRule="exact"/>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20" w:type="dxa"/>
            <w:vAlign w:val="bottom"/>
            <w:gridSpan w:val="2"/>
            <w:shd w:val="clear" w:color="auto" w:fill="CFF0FC"/>
          </w:tcPr>
          <w:p>
            <w:pPr>
              <w:jc w:val="right"/>
              <w:ind w:right="3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56,461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40,205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30,425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38,160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51,954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38,855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32,295</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Less: Platform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(25,944)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(20,124)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(18,589)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(23,603)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(28,710)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(22,291)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(23,415)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(19,644)</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11,836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14,557</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23,244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12,651</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Add back: Other platform operations</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9,599</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7,525</w:t>
            </w: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Revenue ex-TAC</w:t>
            </w:r>
          </w:p>
        </w:tc>
        <w:tc>
          <w:tcPr>
            <w:tcW w:w="420" w:type="dxa"/>
            <w:vAlign w:val="bottom"/>
            <w:gridSpan w:val="2"/>
            <w:shd w:val="clear" w:color="auto" w:fill="CFF0FC"/>
          </w:tcPr>
          <w:p>
            <w:pPr>
              <w:jc w:val="right"/>
              <w:ind w:right="31"/>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27,995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20,045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23,341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17"/>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32,843</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25,033</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26,388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20,176</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231F20"/>
        </w:rPr>
        <w:t>Key Operating and Financial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22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231F20"/>
        </w:rPr>
        <w:t>We monitor the key operating and financial performance metrics set forth below to help us evaluate growth trends, establish budgets, measure the effectiveness of our sales and marketing efforts and assess our operational efficiencies. This Annual Report includes financial measures defined as non-GAAP financial measures by the SEC. These non-GAAP measures include revenue ex-TAC and Adjusted EBITDA, which are discussed immediately following the table below, along with the operational performance measure Active Customers. These measures are not calculated in accordance with GAAP.</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right="313"/>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60" w:type="dxa"/>
            <w:vAlign w:val="bottom"/>
            <w:tcBorders>
              <w:top w:val="single" w:sz="8" w:color="auto"/>
            </w:tcBorders>
            <w:gridSpan w:val="3"/>
          </w:tcPr>
          <w:p>
            <w:pPr>
              <w:jc w:val="center"/>
              <w:ind w:left="528"/>
              <w:spacing w:after="0" w:line="133" w:lineRule="exact"/>
              <w:rPr>
                <w:sz w:val="20"/>
                <w:szCs w:val="20"/>
                <w:color w:val="auto"/>
              </w:rPr>
            </w:pPr>
            <w:r>
              <w:rPr>
                <w:rFonts w:ascii="Arial" w:cs="Arial" w:eastAsia="Arial" w:hAnsi="Arial"/>
                <w:sz w:val="14"/>
                <w:szCs w:val="14"/>
                <w:b w:val="1"/>
                <w:bCs w:val="1"/>
                <w:color w:val="auto"/>
                <w:w w:val="89"/>
              </w:rPr>
              <w:t>(in thousands, except for percentages,</w:t>
            </w: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6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2"/>
              </w:rPr>
              <w:t>number of customers and per unit data)</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and Financial Performance Metrics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Revenue ex-TAC</w:t>
            </w:r>
          </w:p>
        </w:tc>
        <w:tc>
          <w:tcPr>
            <w:tcW w:w="19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w w:val="95"/>
              </w:rPr>
              <w:t>110,516</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104,440</w:t>
            </w: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9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31,782</w:t>
            </w:r>
          </w:p>
        </w:tc>
        <w:tc>
          <w:tcPr>
            <w:tcW w:w="114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Adjusted EBITDA as a percentage of revenue ex-TAC</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(1)</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264</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Average revenue ex-TAC per Active Customer</w:t>
            </w:r>
            <w:r>
              <w:rPr>
                <w:rFonts w:ascii="Arial" w:cs="Arial" w:eastAsia="Arial" w:hAnsi="Arial"/>
                <w:sz w:val="15"/>
                <w:szCs w:val="15"/>
                <w:color w:val="auto"/>
              </w:rPr>
              <w:t>(1)</w:t>
            </w:r>
          </w:p>
        </w:tc>
        <w:tc>
          <w:tcPr>
            <w:tcW w:w="19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419</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Non-GAAP earnings (loss) per unit—basic</w:t>
            </w:r>
          </w:p>
        </w:tc>
        <w:tc>
          <w:tcPr>
            <w:tcW w:w="19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20.64</w:t>
            </w:r>
          </w:p>
        </w:tc>
        <w:tc>
          <w:tcPr>
            <w:tcW w:w="114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Non-GAAP earnings (loss) per unit—diluted</w:t>
            </w:r>
          </w:p>
        </w:tc>
        <w:tc>
          <w:tcPr>
            <w:tcW w:w="19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20.64</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right="40" w:hanging="572"/>
        <w:spacing w:after="0" w:line="259" w:lineRule="auto"/>
        <w:tabs>
          <w:tab w:leader="none" w:pos="580" w:val="left"/>
        </w:tabs>
        <w:numPr>
          <w:ilvl w:val="0"/>
          <w:numId w:val="29"/>
        </w:numPr>
        <w:rPr>
          <w:rFonts w:ascii="Arial" w:cs="Arial" w:eastAsia="Arial" w:hAnsi="Arial"/>
          <w:sz w:val="15"/>
          <w:szCs w:val="15"/>
          <w:color w:val="231F20"/>
        </w:rPr>
      </w:pPr>
      <w:r>
        <w:rPr>
          <w:rFonts w:ascii="Arial" w:cs="Arial" w:eastAsia="Arial" w:hAnsi="Arial"/>
          <w:sz w:val="18"/>
          <w:szCs w:val="18"/>
          <w:color w:val="231F20"/>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w:t>
      </w:r>
      <w:r>
        <w:rPr>
          <w:rFonts w:ascii="Arial" w:cs="Arial" w:eastAsia="Arial" w:hAnsi="Arial"/>
          <w:sz w:val="18"/>
          <w:szCs w:val="18"/>
          <w:i w:val="1"/>
          <w:iCs w:val="1"/>
          <w:color w:val="231F20"/>
        </w:rPr>
        <w:t>Number of Active</w:t>
      </w:r>
      <w:r>
        <w:rPr>
          <w:rFonts w:ascii="Arial" w:cs="Arial" w:eastAsia="Arial" w:hAnsi="Arial"/>
          <w:sz w:val="18"/>
          <w:szCs w:val="18"/>
          <w:color w:val="231F20"/>
        </w:rPr>
        <w:t xml:space="preserve"> </w:t>
      </w:r>
      <w:r>
        <w:rPr>
          <w:rFonts w:ascii="Arial" w:cs="Arial" w:eastAsia="Arial" w:hAnsi="Arial"/>
          <w:sz w:val="18"/>
          <w:szCs w:val="18"/>
          <w:i w:val="1"/>
          <w:iCs w:val="1"/>
          <w:color w:val="231F20"/>
        </w:rPr>
        <w:t>Customers and Average Revenue ex-TAC per Active Customer</w:t>
      </w:r>
      <w:r>
        <w:rPr>
          <w:rFonts w:ascii="Arial" w:cs="Arial" w:eastAsia="Arial" w:hAnsi="Arial"/>
          <w:sz w:val="18"/>
          <w:szCs w:val="18"/>
          <w:color w:val="231F20"/>
        </w:rPr>
        <w:t>.”</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Revenue ex-TAC</w:t>
      </w:r>
    </w:p>
    <w:p>
      <w:pPr>
        <w:spacing w:after="0" w:line="225"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231F20"/>
        </w:rPr>
        <w:t>Revenue ex-TAC is a non-GAAP financial measure. Gross profit is the most comparable GAAP measurement, which is calculated as revenue less platform operations. In calculating revenue ex-TAC, we add back other platform operations expense to gross profit. Revenue ex-TAC is a key profitability measure used by our management and board to understand and evaluate our operating performance and trends, develop short-and long-term operational plans and make strategic decisions regarding the allocation of capital. In particular, we believe that revenue ex-TAC can provide a useful measure of period-to-period comparisons for all pricing options within our business. Accordingly, we believe that this measure provides useful information to investors and the market in understanding and evaluating our operating results in the same manner as our management and board.</w:t>
      </w:r>
    </w:p>
    <w:p>
      <w:pPr>
        <w:spacing w:after="0" w:line="164"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231F20"/>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7" w:name="page68"/>
    <w:bookmarkEnd w:id="67"/>
    <w:p>
      <w:pPr>
        <w:ind w:right="100" w:firstLine="589"/>
        <w:spacing w:after="0" w:line="277" w:lineRule="auto"/>
        <w:rPr>
          <w:sz w:val="20"/>
          <w:szCs w:val="20"/>
          <w:color w:val="auto"/>
        </w:rPr>
      </w:pPr>
      <w:r>
        <w:rPr>
          <w:rFonts w:ascii="Arial" w:cs="Arial" w:eastAsia="Arial" w:hAnsi="Arial"/>
          <w:sz w:val="18"/>
          <w:szCs w:val="18"/>
          <w:color w:val="231F20"/>
        </w:rPr>
        <w:t>The following table presents the calculation of gross profit and reconciliation of gross profit to revenue ex-TAC for the years ended December 31, 2020 and 2019:</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165,251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Less: Platform operations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(88,260)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(94,060)</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76,991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70,832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Add back: Other platform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ex-TAC</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110,516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25"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231F20"/>
        </w:rPr>
        <w:t>Adjusted EBITDA is a non-GAAP financial measure defined by us as net income (loss), the most comparable GAAP measurement, before interest expense, net, depreciation expense, amortization expense, unit-based compensation expense, and certain other items that are not related to our core operations such as restructuring charges, transaction expenses associated with the 2019 Former Holdco transaction described in Note 7 to our consolidated financial statements, and expenses or benefits related to the dissolution of our UK subsidiary.</w:t>
      </w:r>
    </w:p>
    <w:p>
      <w:pPr>
        <w:spacing w:after="0" w:line="17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231F20"/>
        </w:rPr>
        <w:t>Adjusted EBITDA and Adjusted EBITDA as a percentage of revenue ex-TAC are key measures used by our management and board to understand and evaluate our core operating performance and trends, to prepare and approve our annual budget and to develop short-and long-term operational plans. In particular, we believe that the exclusion of the amounts eliminated in calculating Adjusted EBITDA can provide a useful measure for period-to-period comparisons of our business. Adjusted EBITDA as a percentage of our non-GAAP metric, revenue ex-TAC, is used by our management and board to evaluate Adjusted EBITDA relative to our profitability after costs that are directly variable to revenues, which comprise traffic acquisition costs. Accordingly, we believe that Adjusted EBITDA and Adjusted EBITDA as a percentage of revenue ex-TAC provide useful information to investors and the market in understanding and evaluating our operating results in the same manner as our management and board.</w:t>
      </w:r>
    </w:p>
    <w:p>
      <w:pPr>
        <w:spacing w:after="0" w:line="17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Our use of Adjusted EBITDA and Adjusted EBITDA as a percentage of revenue ex-TAC has limitations as an analytical tool, and you should not consider these measures in isolation or as a substitute for analysis of our financial results as reported under GAAP. Some of these potential limitations include:</w:t>
      </w:r>
    </w:p>
    <w:p>
      <w:pPr>
        <w:spacing w:after="0" w:line="76" w:lineRule="exact"/>
        <w:rPr>
          <w:sz w:val="20"/>
          <w:szCs w:val="20"/>
          <w:color w:val="auto"/>
        </w:rPr>
      </w:pPr>
    </w:p>
    <w:p>
      <w:pPr>
        <w:ind w:left="1160" w:right="400" w:hanging="572"/>
        <w:spacing w:after="0" w:line="263"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which have similar business arrangements, may report Adjusted EBITDA or Adjusted EBITDA as a percentage of revenue ex-TAC, or similarly titled measures but calculate them differently, which reduces their usefulness as comparative measures.</w:t>
      </w:r>
    </w:p>
    <w:p>
      <w:pPr>
        <w:spacing w:after="0" w:line="75"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unit-based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340" w:firstLine="589"/>
        <w:spacing w:after="0" w:line="263"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revenue, net income (loss) and cash flows. The following table presents the reconciliation of net income to Adjusted EBITDA for the years ended December 31, 2020 and 2019:</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Add back:</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10,155</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Unit-based compensation expense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2019 Former Holdco transaction expense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UK subsidiary closure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(933)</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Adjusted EBITDA</w:t>
            </w:r>
          </w:p>
        </w:tc>
        <w:tc>
          <w:tcPr>
            <w:tcW w:w="10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231F20"/>
        </w:rPr>
        <w:t>The following table presents the reconciliation of net income as a percentage of gross profit to Adjusted EBITDA as a percentage of revenue 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TAC for the years ended December 31, 2020 and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tcPr>
          <w:p>
            <w:pPr>
              <w:jc w:val="center"/>
              <w:ind w:right="173"/>
              <w:spacing w:after="0" w:line="133" w:lineRule="exact"/>
              <w:rPr>
                <w:sz w:val="20"/>
                <w:szCs w:val="20"/>
                <w:color w:val="auto"/>
              </w:rPr>
            </w:pPr>
            <w:r>
              <w:rPr>
                <w:rFonts w:ascii="Arial" w:cs="Arial" w:eastAsia="Arial" w:hAnsi="Arial"/>
                <w:sz w:val="14"/>
                <w:szCs w:val="14"/>
                <w:b w:val="1"/>
                <w:bCs w:val="1"/>
                <w:color w:val="auto"/>
                <w:w w:val="90"/>
              </w:rPr>
              <w:t>(in thousands, except for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left="437"/>
              <w:spacing w:after="0"/>
              <w:rPr>
                <w:sz w:val="20"/>
                <w:szCs w:val="20"/>
                <w:color w:val="auto"/>
              </w:rPr>
            </w:pPr>
            <w:r>
              <w:rPr>
                <w:rFonts w:ascii="Arial" w:cs="Arial" w:eastAsia="Arial" w:hAnsi="Arial"/>
                <w:sz w:val="14"/>
                <w:szCs w:val="14"/>
                <w:b w:val="1"/>
                <w:bCs w:val="1"/>
                <w:color w:val="auto"/>
                <w:w w:val="89"/>
              </w:rPr>
              <w:t>percentages)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Borders>
              <w:right w:val="single" w:sz="8" w:color="CFF0FC"/>
            </w:tcBorders>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76,991</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40" w:type="dxa"/>
            <w:vAlign w:val="bottom"/>
            <w:tcBorders>
              <w:right w:val="single" w:sz="8" w:color="CFF0FC"/>
            </w:tcBorders>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income as a percentage of gross profit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740" w:type="dxa"/>
            <w:vAlign w:val="bottom"/>
            <w:tcBorders>
              <w:right w:val="single" w:sz="8" w:color="CFF0FC"/>
            </w:tcBorders>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ind w:left="1700"/>
              <w:spacing w:after="0"/>
              <w:rPr>
                <w:sz w:val="20"/>
                <w:szCs w:val="20"/>
                <w:color w:val="auto"/>
              </w:rPr>
            </w:pPr>
            <w:r>
              <w:rPr>
                <w:rFonts w:ascii="Arial" w:cs="Arial" w:eastAsia="Arial" w:hAnsi="Arial"/>
                <w:sz w:val="18"/>
                <w:szCs w:val="18"/>
                <w:color w:val="auto"/>
              </w:rPr>
              <w:t>Revenue ex-TAC</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tcBorders>
              <w:right w:val="single" w:sz="8" w:color="CFF0FC"/>
            </w:tcBorders>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700"/>
              <w:spacing w:after="0"/>
              <w:rPr>
                <w:sz w:val="20"/>
                <w:szCs w:val="20"/>
                <w:color w:val="auto"/>
              </w:rPr>
            </w:pPr>
            <w:r>
              <w:rPr>
                <w:rFonts w:ascii="Arial" w:cs="Arial" w:eastAsia="Arial" w:hAnsi="Arial"/>
                <w:sz w:val="18"/>
                <w:szCs w:val="18"/>
                <w:color w:val="auto"/>
              </w:rPr>
              <w:t>Adjusted EBITDA as a percentage of revenue ex-TAC</w:t>
            </w: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right="200" w:hanging="572"/>
        <w:spacing w:after="0" w:line="277" w:lineRule="auto"/>
        <w:tabs>
          <w:tab w:leader="none" w:pos="580" w:val="left"/>
        </w:tabs>
        <w:numPr>
          <w:ilvl w:val="0"/>
          <w:numId w:val="31"/>
        </w:numPr>
        <w:rPr>
          <w:rFonts w:ascii="Arial" w:cs="Arial" w:eastAsia="Arial" w:hAnsi="Arial"/>
          <w:sz w:val="15"/>
          <w:szCs w:val="15"/>
          <w:color w:val="231F20"/>
        </w:rPr>
      </w:pPr>
      <w:r>
        <w:rPr>
          <w:rFonts w:ascii="Arial" w:cs="Arial" w:eastAsia="Arial" w:hAnsi="Arial"/>
          <w:sz w:val="18"/>
          <w:szCs w:val="18"/>
          <w:color w:val="231F20"/>
        </w:rPr>
        <w:t>For a reconciliation of revenue ex-TAC to the most directly comparable financial measure calculated in accordance with GAAP, see “</w:t>
      </w:r>
      <w:r>
        <w:rPr>
          <w:rFonts w:ascii="Arial" w:cs="Arial" w:eastAsia="Arial" w:hAnsi="Arial"/>
          <w:sz w:val="18"/>
          <w:szCs w:val="18"/>
          <w:i w:val="1"/>
          <w:iCs w:val="1"/>
          <w:color w:val="231F20"/>
        </w:rPr>
        <w:t>—Revenue</w:t>
      </w:r>
      <w:r>
        <w:rPr>
          <w:rFonts w:ascii="Arial" w:cs="Arial" w:eastAsia="Arial" w:hAnsi="Arial"/>
          <w:sz w:val="18"/>
          <w:szCs w:val="18"/>
          <w:color w:val="231F20"/>
        </w:rPr>
        <w:t xml:space="preserve"> </w:t>
      </w:r>
      <w:r>
        <w:rPr>
          <w:rFonts w:ascii="Arial" w:cs="Arial" w:eastAsia="Arial" w:hAnsi="Arial"/>
          <w:sz w:val="18"/>
          <w:szCs w:val="18"/>
          <w:i w:val="1"/>
          <w:iCs w:val="1"/>
          <w:color w:val="231F20"/>
        </w:rPr>
        <w:t>ex-TAC</w:t>
      </w:r>
      <w:r>
        <w:rPr>
          <w:rFonts w:ascii="Arial" w:cs="Arial" w:eastAsia="Arial" w:hAnsi="Arial"/>
          <w:sz w:val="18"/>
          <w:szCs w:val="18"/>
          <w:color w:val="231F20"/>
        </w:rPr>
        <w:t>.”</w:t>
      </w:r>
    </w:p>
    <w:p>
      <w:pPr>
        <w:spacing w:after="0" w:line="62" w:lineRule="exact"/>
        <w:rPr>
          <w:rFonts w:ascii="Arial" w:cs="Arial" w:eastAsia="Arial" w:hAnsi="Arial"/>
          <w:sz w:val="15"/>
          <w:szCs w:val="15"/>
          <w:color w:val="231F20"/>
        </w:rPr>
      </w:pPr>
    </w:p>
    <w:p>
      <w:pPr>
        <w:ind w:left="580" w:hanging="572"/>
        <w:spacing w:after="0" w:line="277" w:lineRule="auto"/>
        <w:tabs>
          <w:tab w:leader="none" w:pos="580" w:val="left"/>
        </w:tabs>
        <w:numPr>
          <w:ilvl w:val="0"/>
          <w:numId w:val="31"/>
        </w:numPr>
        <w:rPr>
          <w:rFonts w:ascii="Arial" w:cs="Arial" w:eastAsia="Arial" w:hAnsi="Arial"/>
          <w:sz w:val="15"/>
          <w:szCs w:val="15"/>
          <w:color w:val="231F20"/>
        </w:rPr>
      </w:pPr>
      <w:r>
        <w:rPr>
          <w:rFonts w:ascii="Arial" w:cs="Arial" w:eastAsia="Arial" w:hAnsi="Arial"/>
          <w:sz w:val="18"/>
          <w:szCs w:val="18"/>
          <w:color w:val="231F20"/>
        </w:rPr>
        <w:t>For a reconciliation of Adjusted EBITDA to the most directly comparable financial measure calculated in accordance with GAAP, see “</w:t>
      </w:r>
      <w:r>
        <w:rPr>
          <w:rFonts w:ascii="Arial" w:cs="Arial" w:eastAsia="Arial" w:hAnsi="Arial"/>
          <w:sz w:val="18"/>
          <w:szCs w:val="18"/>
          <w:i w:val="1"/>
          <w:iCs w:val="1"/>
          <w:color w:val="231F20"/>
        </w:rPr>
        <w:t>—Adjusted</w:t>
      </w:r>
      <w:r>
        <w:rPr>
          <w:rFonts w:ascii="Arial" w:cs="Arial" w:eastAsia="Arial" w:hAnsi="Arial"/>
          <w:sz w:val="18"/>
          <w:szCs w:val="18"/>
          <w:color w:val="231F20"/>
        </w:rPr>
        <w:t xml:space="preserve"> </w:t>
      </w:r>
      <w:r>
        <w:rPr>
          <w:rFonts w:ascii="Arial" w:cs="Arial" w:eastAsia="Arial" w:hAnsi="Arial"/>
          <w:sz w:val="18"/>
          <w:szCs w:val="18"/>
          <w:i w:val="1"/>
          <w:iCs w:val="1"/>
          <w:color w:val="231F20"/>
        </w:rPr>
        <w:t>EBITDA</w:t>
      </w:r>
      <w:r>
        <w:rPr>
          <w:rFonts w:ascii="Arial" w:cs="Arial" w:eastAsia="Arial" w:hAnsi="Arial"/>
          <w:sz w:val="18"/>
          <w:szCs w:val="18"/>
          <w:color w:val="231F2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earnings (loss) per unit</w:t>
      </w:r>
    </w:p>
    <w:p>
      <w:pPr>
        <w:spacing w:after="0" w:line="225"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231F20"/>
        </w:rPr>
        <w:t>Non-GAAP earnings (loss) per unit is a non-GAAP financial measure defined by us as earnings (loss) per unit, the most comparable GAAP measurement, adjusted for certain non-recurring, infrequent, and unusual transactions that are not reasonably likely to recur within two years nor have similar transactions occurred within the prior two years. Non-GAAP earnings (loss) per unit adjusts GAAP earnings (loss) per unit for the impacts of the 2019 Former Holdco transaction, namely, the deemed contribution of 2016 convertible preferred unit interest by Former Holdco and the deemed dividend related to the beneficial conversion feature recognized upon issuance of 2019 convertible preferred units. See Note 8 to our consolidated financial statements for further information. We believe that the exclusion of such amounts in calculating Non-GAAP earnings (loss) per unit can provide a useful measure for period-to-period comparisons of our business.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9" w:name="page70"/>
    <w:bookmarkEnd w:id="69"/>
    <w:p>
      <w:pPr>
        <w:ind w:right="100" w:firstLine="589"/>
        <w:spacing w:after="0" w:line="277" w:lineRule="auto"/>
        <w:rPr>
          <w:sz w:val="20"/>
          <w:szCs w:val="20"/>
          <w:color w:val="auto"/>
        </w:rPr>
      </w:pPr>
      <w:r>
        <w:rPr>
          <w:rFonts w:ascii="Arial" w:cs="Arial" w:eastAsia="Arial" w:hAnsi="Arial"/>
          <w:sz w:val="18"/>
          <w:szCs w:val="18"/>
          <w:color w:val="231F20"/>
        </w:rPr>
        <w:t>Our use of Non-GAAP earnings (loss) per unit has limitations as an analytical tool, and you should not consider it in isolation or as a substitute for analysis of our financial results as reported under GAAP. Some of these potential limitations include:</w:t>
      </w:r>
    </w:p>
    <w:p>
      <w:pPr>
        <w:spacing w:after="0" w:line="62" w:lineRule="exact"/>
        <w:rPr>
          <w:sz w:val="20"/>
          <w:szCs w:val="20"/>
          <w:color w:val="auto"/>
        </w:rPr>
      </w:pPr>
    </w:p>
    <w:p>
      <w:pPr>
        <w:ind w:left="1160" w:right="240" w:hanging="572"/>
        <w:spacing w:after="0" w:line="308"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other companies, including companies in our industry which have similar business arrangements, may report Non-GAAP earnings (loss) per unit or similarly titled measures, but calculate them differently, which reduces their usefulness as comparative measures;</w:t>
      </w:r>
    </w:p>
    <w:p>
      <w:pPr>
        <w:spacing w:after="0" w:line="38" w:lineRule="exact"/>
        <w:rPr>
          <w:rFonts w:ascii="Arial" w:cs="Arial" w:eastAsia="Arial" w:hAnsi="Arial"/>
          <w:sz w:val="17"/>
          <w:szCs w:val="17"/>
          <w:color w:val="auto"/>
        </w:rPr>
      </w:pPr>
    </w:p>
    <w:p>
      <w:pPr>
        <w:jc w:val="both"/>
        <w:ind w:left="1160" w:right="100" w:hanging="572"/>
        <w:spacing w:after="0" w:line="263"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although the deemed contribution referred to above is non-cash in nature, Non-GAAP earnings (loss) per unit does not reflect the effective contribution of capital by the Former Holdco upon retirement of 2016 convertible preferred units and its impact on net income attributable to all unitholders and net income attributable to common unitholders; and</w:t>
      </w:r>
    </w:p>
    <w:p>
      <w:pPr>
        <w:spacing w:after="0" w:line="75" w:lineRule="exact"/>
        <w:rPr>
          <w:rFonts w:ascii="Arial" w:cs="Arial" w:eastAsia="Arial" w:hAnsi="Arial"/>
          <w:sz w:val="18"/>
          <w:szCs w:val="18"/>
          <w:color w:val="auto"/>
        </w:rPr>
      </w:pPr>
    </w:p>
    <w:p>
      <w:pPr>
        <w:ind w:left="1160" w:right="440" w:hanging="572"/>
        <w:spacing w:after="0" w:line="263"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although the deemed dividend referred to above is non-cash in nature, Non-GAAP earnings (loss) per unit does not reflect the implied discount on issuance of 2019 convertible preferred units and its impact on net income attributable to all unitholders and net income attributable to common unitholders.</w:t>
      </w:r>
    </w:p>
    <w:p>
      <w:pPr>
        <w:spacing w:after="0" w:line="184"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231F20"/>
        </w:rPr>
        <w:t>Because of these and other limitations, you should consider our non-GAAP measures only as supplemental to other GAAP-based financial performance measures, including earnings (loss) per unit. The following table presents the reconciliation of earnings (loss) per unit to Non-GAAP earnings (loss) per unit for the year and three months ended December 31, 2019. Earnings (loss) per unit was not adjusted for any other periods presented.</w:t>
      </w:r>
    </w:p>
    <w:p>
      <w:pPr>
        <w:spacing w:after="0" w:line="221" w:lineRule="exact"/>
        <w:rPr>
          <w:sz w:val="20"/>
          <w:szCs w:val="20"/>
          <w:color w:val="auto"/>
        </w:rPr>
      </w:pPr>
    </w:p>
    <w:p>
      <w:pPr>
        <w:ind w:left="5420"/>
        <w:spacing w:after="0"/>
        <w:tabs>
          <w:tab w:leader="none" w:pos="874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3"/>
          <w:szCs w:val="13"/>
          <w:b w:val="1"/>
          <w:bCs w:val="1"/>
          <w:color w:val="auto"/>
        </w:rPr>
        <w:t>Three Months Ended</w:t>
      </w:r>
    </w:p>
    <w:p>
      <w:pPr>
        <w:spacing w:after="0" w:line="11" w:lineRule="exact"/>
        <w:rPr>
          <w:sz w:val="20"/>
          <w:szCs w:val="20"/>
          <w:color w:val="auto"/>
        </w:rPr>
      </w:pPr>
    </w:p>
    <w:p>
      <w:pPr>
        <w:ind w:left="5200"/>
        <w:spacing w:after="0"/>
        <w:tabs>
          <w:tab w:leader="none" w:pos="880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3"/>
          <w:szCs w:val="13"/>
          <w:b w:val="1"/>
          <w:bCs w:val="1"/>
          <w:color w:val="auto"/>
        </w:rPr>
        <w:t>December 31, 2019</w:t>
      </w:r>
    </w:p>
    <w:p>
      <w:pPr>
        <w:sectPr>
          <w:pgSz w:w="11900" w:h="16838" w:orient="portrait"/>
          <w:cols w:equalWidth="0" w:num="1">
            <w:col w:w="11260"/>
          </w:cols>
          <w:pgMar w:left="320" w:top="341" w:right="319" w:bottom="1440" w:gutter="0" w:footer="0" w:header="0"/>
        </w:sectPr>
      </w:pPr>
    </w:p>
    <w:tbl>
      <w:tblPr>
        <w:tblLayout w:type="fixed"/>
        <w:tblInd w:w="4100" w:type="dxa"/>
        <w:tblCellMar>
          <w:top w:w="0" w:type="dxa"/>
          <w:left w:w="0" w:type="dxa"/>
          <w:bottom w:w="0" w:type="dxa"/>
          <w:right w:w="0" w:type="dxa"/>
        </w:tblCellMar>
      </w:tblPr>
      <w:tr>
        <w:trPr>
          <w:trHeight w:val="146"/>
        </w:trPr>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left="28"/>
              <w:spacing w:after="0" w:line="147" w:lineRule="exact"/>
              <w:rPr>
                <w:sz w:val="20"/>
                <w:szCs w:val="20"/>
                <w:color w:val="auto"/>
              </w:rPr>
            </w:pPr>
            <w:r>
              <w:rPr>
                <w:rFonts w:ascii="Arial" w:cs="Arial" w:eastAsia="Arial" w:hAnsi="Arial"/>
                <w:sz w:val="14"/>
                <w:szCs w:val="14"/>
                <w:b w:val="1"/>
                <w:bCs w:val="1"/>
                <w:color w:val="auto"/>
                <w:w w:val="96"/>
              </w:rPr>
              <w:t>Non-GAAP</w:t>
            </w:r>
          </w:p>
        </w:tc>
      </w:tr>
      <w:tr>
        <w:trPr>
          <w:trHeight w:val="162"/>
        </w:trPr>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tcPr>
          <w:p>
            <w:pPr>
              <w:spacing w:after="0"/>
              <w:rPr>
                <w:sz w:val="14"/>
                <w:szCs w:val="14"/>
                <w:color w:val="auto"/>
              </w:rPr>
            </w:pP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Earnings</w:t>
            </w: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(Loss) per</w:t>
            </w:r>
          </w:p>
        </w:tc>
        <w:tc>
          <w:tcPr>
            <w:tcW w:w="1260" w:type="dxa"/>
            <w:vAlign w:val="bottom"/>
          </w:tcPr>
          <w:p>
            <w:pPr>
              <w:spacing w:after="0"/>
              <w:rPr>
                <w:sz w:val="14"/>
                <w:szCs w:val="14"/>
                <w:color w:val="auto"/>
              </w:rPr>
            </w:pP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(Loss)</w:t>
            </w:r>
          </w:p>
        </w:tc>
      </w:tr>
      <w:tr>
        <w:trPr>
          <w:trHeight w:val="171"/>
        </w:trPr>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rPr>
              <w:t>Unit</w:t>
            </w:r>
          </w:p>
        </w:tc>
        <w:tc>
          <w:tcPr>
            <w:tcW w:w="1260" w:type="dxa"/>
            <w:vAlign w:val="bottom"/>
          </w:tcPr>
          <w:p>
            <w:pPr>
              <w:ind w:left="260"/>
              <w:spacing w:after="0"/>
              <w:rPr>
                <w:sz w:val="20"/>
                <w:szCs w:val="20"/>
                <w:color w:val="auto"/>
              </w:rPr>
            </w:pPr>
            <w:r>
              <w:rPr>
                <w:rFonts w:ascii="Arial" w:cs="Arial" w:eastAsia="Arial" w:hAnsi="Arial"/>
                <w:sz w:val="14"/>
                <w:szCs w:val="14"/>
                <w:b w:val="1"/>
                <w:bCs w:val="1"/>
                <w:color w:val="auto"/>
              </w:rPr>
              <w:t>Adjustments</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per Unit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0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left="8"/>
              <w:spacing w:after="0" w:line="147" w:lineRule="exact"/>
              <w:rPr>
                <w:sz w:val="20"/>
                <w:szCs w:val="20"/>
                <w:color w:val="auto"/>
              </w:rPr>
            </w:pPr>
            <w:r>
              <w:rPr>
                <w:rFonts w:ascii="Arial" w:cs="Arial" w:eastAsia="Arial" w:hAnsi="Arial"/>
                <w:sz w:val="14"/>
                <w:szCs w:val="14"/>
                <w:b w:val="1"/>
                <w:bCs w:val="1"/>
                <w:color w:val="auto"/>
                <w:w w:val="99"/>
              </w:rPr>
              <w:t>Non-GAAP</w:t>
            </w:r>
          </w:p>
        </w:tc>
      </w:tr>
      <w:tr>
        <w:trPr>
          <w:trHeight w:val="162"/>
        </w:trPr>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tcPr>
          <w:p>
            <w:pPr>
              <w:spacing w:after="0"/>
              <w:rPr>
                <w:sz w:val="14"/>
                <w:szCs w:val="14"/>
                <w:color w:val="auto"/>
              </w:rPr>
            </w:pP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Earnings</w:t>
            </w:r>
          </w:p>
        </w:tc>
      </w:tr>
      <w:tr>
        <w:trPr>
          <w:trHeight w:val="162"/>
        </w:trPr>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(Loss) per</w:t>
            </w:r>
          </w:p>
        </w:tc>
        <w:tc>
          <w:tcPr>
            <w:tcW w:w="1260" w:type="dxa"/>
            <w:vAlign w:val="bottom"/>
          </w:tcPr>
          <w:p>
            <w:pPr>
              <w:spacing w:after="0"/>
              <w:rPr>
                <w:sz w:val="14"/>
                <w:szCs w:val="14"/>
                <w:color w:val="auto"/>
              </w:rPr>
            </w:pP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85"/>
              </w:rPr>
              <w:t>(Loss)</w:t>
            </w:r>
          </w:p>
        </w:tc>
      </w:tr>
      <w:tr>
        <w:trPr>
          <w:trHeight w:val="171"/>
        </w:trPr>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Unit</w:t>
            </w: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Adjustments</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per Unit</w:t>
            </w:r>
          </w:p>
        </w:tc>
      </w:tr>
    </w:tbl>
    <w:p>
      <w:pPr>
        <w:spacing w:after="0" w:line="1" w:lineRule="exact"/>
        <w:rPr>
          <w:sz w:val="20"/>
          <w:szCs w:val="20"/>
          <w:color w:val="auto"/>
        </w:rPr>
      </w:pPr>
    </w:p>
    <w:p>
      <w:pPr>
        <w:sectPr>
          <w:pgSz w:w="11900" w:h="16838" w:orient="portrait"/>
          <w:cols w:equalWidth="0" w:num="2">
            <w:col w:w="7480" w:space="220"/>
            <w:col w:w="3560"/>
          </w:cols>
          <w:pgMar w:left="320" w:top="341"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7"/>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 except unit data)</w:t>
            </w: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8"/>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 except unit data)</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i w:val="1"/>
                <w:iCs w:val="1"/>
                <w:color w:val="auto"/>
              </w:rPr>
              <w:t>Numerator</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9,924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9,924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5,410</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Deemed contribution of 2016 convertible preferred</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 interest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40" w:type="dxa"/>
            <w:vAlign w:val="bottom"/>
            <w:gridSpan w:val="3"/>
          </w:tcPr>
          <w:p>
            <w:pPr>
              <w:spacing w:after="0"/>
              <w:rPr>
                <w:sz w:val="20"/>
                <w:szCs w:val="20"/>
                <w:color w:val="auto"/>
              </w:rPr>
            </w:pPr>
            <w:r>
              <w:rPr>
                <w:rFonts w:ascii="Arial" w:cs="Arial" w:eastAsia="Arial" w:hAnsi="Arial"/>
                <w:sz w:val="18"/>
                <w:szCs w:val="18"/>
                <w:color w:val="auto"/>
                <w:w w:val="93"/>
              </w:rPr>
              <w:t>Deemed dividend upon issuance of 2019 convertible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preferred units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(27,558)</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(27,558)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9"/>
              </w:rPr>
              <w:t>Adjusted net income attributable to all unitholders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gridSpan w:val="3"/>
          </w:tcPr>
          <w:p>
            <w:pPr>
              <w:spacing w:after="0"/>
              <w:rPr>
                <w:sz w:val="20"/>
                <w:szCs w:val="20"/>
                <w:color w:val="auto"/>
              </w:rPr>
            </w:pPr>
            <w:r>
              <w:rPr>
                <w:rFonts w:ascii="Arial" w:cs="Arial" w:eastAsia="Arial" w:hAnsi="Arial"/>
                <w:sz w:val="18"/>
                <w:szCs w:val="18"/>
                <w:color w:val="auto"/>
              </w:rPr>
              <w:t>Less: Undistributed earnings attributable to</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participating securities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(18,787)</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(6,813)</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income attributable to common unitholders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Denominator</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Weighted average common units outstanding—basic</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3"/>
          </w:tcPr>
          <w:p>
            <w:pPr>
              <w:spacing w:after="0"/>
              <w:rPr>
                <w:sz w:val="20"/>
                <w:szCs w:val="20"/>
                <w:color w:val="auto"/>
              </w:rPr>
            </w:pPr>
            <w:r>
              <w:rPr>
                <w:rFonts w:ascii="Arial" w:cs="Arial" w:eastAsia="Arial" w:hAnsi="Arial"/>
                <w:sz w:val="18"/>
                <w:szCs w:val="18"/>
                <w:color w:val="auto"/>
              </w:rPr>
              <w:t>Weighted average units outstanding—diluted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Basic earnings per unit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unit</w:t>
            </w: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7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231F20"/>
        </w:rPr>
        <w:t>Number of Active Customers and Average Revenue ex-TAC per Active Customer</w:t>
      </w:r>
    </w:p>
    <w:p>
      <w:pPr>
        <w:spacing w:after="0" w:line="22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231F20"/>
        </w:rPr>
        <w:t>Number of Active Customers and average revenue ex-TAC per Active Customer are operational metrics. 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purposes of this definition, a customer that operates under any of our pricing options that equals or exceeds the aforementioned revenue ex-TAC threshold is considered an Active Customer. We believe that the total number of Active Customers and average revenue ex-TAC per Active Customer are important measures of our ability to increase revenue and the effectiveness of our sales force, although we expect these measures to fluctuate based on the seasonality in our business. Customers that generated less than $5,000 in revenue ex-TAC in the trailing twelve month period were not material in the aggregate in any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231F20"/>
        </w:rPr>
        <w:t>As of December 31, 2020, we had cash of $9.6 million and working capital, consisting of current assets less current liabilities, of $24.2 million. We believe our existing cash, cash flow from operations, and undrawn availability under our credit facility will be sufficient to meet our working capital requirements for at least the next 12 months.</w:t>
      </w:r>
    </w:p>
    <w:p>
      <w:pPr>
        <w:spacing w:after="0" w:line="18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231F20"/>
        </w:rPr>
        <w:t>Viant Technology Inc. is a holding company with no operations of its own. Accordingly, upon completion of the IPO, Viant Technology Inc. is dependent on distributions from Viant Technology LLC, including payments under the Tax Receivable Agreement, to pay its taxes and other expenses. The Loan Agreement, as defined below, imposes, and any future credit facilities may impose, limitations on the ability of Viant Technology LLC or Viant Technology Inc. to pay dividends to third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right="240" w:firstLine="589"/>
        <w:spacing w:after="0" w:line="254" w:lineRule="auto"/>
        <w:rPr>
          <w:sz w:val="20"/>
          <w:szCs w:val="20"/>
          <w:color w:val="auto"/>
        </w:rPr>
      </w:pPr>
      <w:r>
        <w:rPr>
          <w:rFonts w:ascii="Arial" w:cs="Arial" w:eastAsia="Arial" w:hAnsi="Arial"/>
          <w:sz w:val="18"/>
          <w:szCs w:val="18"/>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applicable margin through December 31, 2020 was equal to 2.00% for Domestic Rate Loans and 4.00% for LIBOR Rate Loans. The effective weighted average interest rate as of December 31, 2020 was 4.15%. The applicable margin commencing January 1, 2021 is between 1.50% to 2.25% for Domestic Rate Loans and between 3.50% and 4.25% for LIBOR Rate Loans based on maintaining certain undrawn availability ratios. The facility fee for undrawn amounts under the Loan Agreement is 0.375% per annum. We will also be required to pay customary letter of credit fees, as necessary.</w:t>
      </w:r>
    </w:p>
    <w:p>
      <w:pPr>
        <w:spacing w:after="0" w:line="192"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December 31, 2020, we are in compliance with all covenants.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231F20"/>
        </w:rPr>
        <w:t>Cash Flows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summarizes our cash flows for the years ended December 31, 2020 and 2019:</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18,875</w:t>
            </w:r>
          </w:p>
        </w:tc>
        <w:tc>
          <w:tcPr>
            <w:tcW w:w="20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13,033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(7,841)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(7,813)</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(3,061)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Increase in cash</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2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231F20"/>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9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231F20"/>
        </w:rPr>
        <w:t>We compute our average days sales outstanding (“DSO”) as of a given month end based on a weighted average of outstanding accounts receivable. Specifically, the DSO is calculated by multiplying the percentage of accounts receivable outstanding for each monthly billing period by the number of days outstanding related to each billing period and then summing the weighted days outstanding. Historically, our DSOs have fluctuated over time. If our DSOs increase significantly, and we are unable to borrow against these receivables on commercially acceptable terms, our working capital availability could be reduced, and as a consequence our results of operations and financial condition would be adversely impacted.</w:t>
      </w:r>
    </w:p>
    <w:p>
      <w:pPr>
        <w:spacing w:after="0" w:line="176"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231F20"/>
        </w:rPr>
        <w:t>We compute our days payable outstanding (“DPO”) as of a given month end by dividing our trade payables (including accrued liabilities) by the average daily cost of media, data, other direct costs and certain operating expenses over the last four months.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summarizes the DSO and DPO for the periods presented.</w:t>
      </w:r>
    </w:p>
    <w:p>
      <w:pPr>
        <w:spacing w:after="0" w:line="298"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6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rPr>
              <w:t>(in days)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DSO</w:t>
            </w:r>
          </w:p>
        </w:tc>
        <w:tc>
          <w:tcPr>
            <w:tcW w:w="88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64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DPO</w:t>
            </w:r>
          </w:p>
        </w:tc>
        <w:tc>
          <w:tcPr>
            <w:tcW w:w="880" w:type="dxa"/>
            <w:vAlign w:val="bottom"/>
          </w:tcPr>
          <w:p>
            <w:pPr>
              <w:jc w:val="right"/>
              <w:ind w:right="476"/>
              <w:spacing w:after="0"/>
              <w:rPr>
                <w:sz w:val="20"/>
                <w:szCs w:val="20"/>
                <w:color w:val="auto"/>
              </w:rPr>
            </w:pPr>
            <w:r>
              <w:rPr>
                <w:rFonts w:ascii="Arial" w:cs="Arial" w:eastAsia="Arial" w:hAnsi="Arial"/>
                <w:sz w:val="18"/>
                <w:szCs w:val="18"/>
                <w:color w:val="auto"/>
              </w:rPr>
              <w:t>62</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231F20"/>
        </w:rPr>
        <w:t>Our average DSO was 64 and 93 days and our average DPO was 62 and 76 days as of December 31, 2020 and 2019, respectively. The majority of our revenue is sourced through advertising agencies that pay us after they have received payment from the advertiser, increasing our DSO. We remit payment for media, data and other direct costs purchased through our platform before receiving payment from the advertising agency typically resulting in a DPO that is lower than our DSO. The year over year decrease in our DSO reflects our continued focus to lower our DSO through collection efforts. As our operating cash flows increased year over year, we were able to decrease our DPO correspondingly.</w:t>
      </w:r>
    </w:p>
    <w:p>
      <w:pPr>
        <w:spacing w:after="0" w:line="176"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231F20"/>
        </w:rPr>
        <w:t>During the year ended December 31, 2020, cash provided by operating activities of $18.9 million resulted primarily from net income of $20.6 million and noncash add back adjustments to net income of $10.1 million for depreciation and amortization, offset by a $1.7 million decrease in deferred revenue, a decrease in net working capital (excluding deferred revenue and other liabilities) of $9.3 million, and a decrease in other liabilities of $0.4 million.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jc w:val="both"/>
        <w:ind w:right="460" w:firstLine="589"/>
        <w:spacing w:after="0" w:line="259" w:lineRule="auto"/>
        <w:rPr>
          <w:sz w:val="20"/>
          <w:szCs w:val="20"/>
          <w:color w:val="auto"/>
        </w:rPr>
      </w:pPr>
      <w:r>
        <w:rPr>
          <w:rFonts w:ascii="Arial" w:cs="Arial" w:eastAsia="Arial" w:hAnsi="Arial"/>
          <w:sz w:val="18"/>
          <w:szCs w:val="18"/>
          <w:color w:val="231F20"/>
        </w:rPr>
        <w:t>During the year ended December 31, 2019, cash provided by operating activities of $13.0 million resulted primarily from net income of $9.9 million, noncash add back adjustments to net income of $10.2 million for depreciation and amortization offset by a $4.6 million decrease in deferred revenue, a decrease in net working capital (excluding deferred revenue and other liabilities) of $3.2 million, and a decrease in other liabilities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25"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capitalization of stock based compensation expense in future periods and the growth of our business, we expect our capital expenditures and our investment activity to continue to increase.</w:t>
      </w:r>
    </w:p>
    <w:p>
      <w:pPr>
        <w:spacing w:after="0" w:line="19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231F20"/>
        </w:rPr>
        <w:t>During the year ended December 31, 2020, cash used in investing activities of $7.8 million resulted from $7.4 million of investments in capitalized software and $0.4 million of purchases of property and equipment.</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231F20"/>
        </w:rPr>
        <w:t>During the year ended December 31, 2019, cash used in investing activities of $7.8 million resulted from $7.4 million of investments in capitalized software and $0.4 million of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25"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231F20"/>
        </w:rPr>
        <w:t>Our financing activities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184"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231F20"/>
        </w:rPr>
        <w:t>During the year ended December 31, 2020, cash used in financing activities of $6.2 million resulted primarily from $6.0 million of proceeds from the PPP Loan offset by $5.5 million in payments of member tax distributions, $5.0 million in payments of member dividends, and $1.7 million in payment of offering costs associated with our IPO.</w:t>
      </w:r>
    </w:p>
    <w:p>
      <w:pPr>
        <w:spacing w:after="0" w:line="184"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231F20"/>
        </w:rPr>
        <w:t>During the year ended December 31, 2019, cash used in financing activities of $3.1 million resulted primarily from the settlement of long-term debt from a related party of $28.6 million offset by $17.5 million of borrowings on our line of credit, $7.5 million from the issuance of the 2019 convertible preferred units and $0.5 million of borrowings on long term debt from a related party. See Note 7 to our consolidated financial statements for more information on related party transactions with the Former Holdco.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2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231F20"/>
        </w:rPr>
        <w:t>We do not have any relationships with other entities or financial partnerships, such as entities often referred to as structured finance or special purpose entities established for the purpose of facilitating off-balance sheet arrangements or other contractually narrow or limited purposes. We did not have any other off-balance sheet arrangements as of December 31, 2020 other than operating leases and the indemnification agreements described in Note 11 to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29"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231F20"/>
        </w:rPr>
        <w:t>Our principal commitments consist of our debt obligations and non-cancelable leases for our various office facilities. In certain cases, the terms of the lease agreements provide for rental payments on a graduated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3" w:name="page74"/>
    <w:bookmarkEnd w:id="73"/>
    <w:p>
      <w:pPr>
        <w:ind w:right="40" w:firstLine="589"/>
        <w:spacing w:after="0" w:line="291" w:lineRule="auto"/>
        <w:rPr>
          <w:sz w:val="20"/>
          <w:szCs w:val="20"/>
          <w:color w:val="auto"/>
        </w:rPr>
      </w:pPr>
      <w:r>
        <w:rPr>
          <w:rFonts w:ascii="Arial" w:cs="Arial" w:eastAsia="Arial" w:hAnsi="Arial"/>
          <w:sz w:val="16"/>
          <w:szCs w:val="16"/>
          <w:color w:val="231F20"/>
        </w:rPr>
        <w:t>We have made no significant contractual guarantees for the benefit of third parties. However, in the ordinary course of business, we may provide indemnifications of varying scope and terms to customers,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thus, there are no claims that we are aware of that could have a material effect on our consolidated financial statements. Accordingly, no amounts for any obligation have been recorded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29"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231F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231F20"/>
        </w:rPr>
        <w:t>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units and unit-based compensation expense, and internal-use software have the greatest potential impact on our consolidated financial statements. Therefore, we consider these to be our critical accounting policies and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 Recognition</w:t>
      </w:r>
    </w:p>
    <w:p>
      <w:pPr>
        <w:spacing w:after="0" w:line="229"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231F20"/>
        </w:rPr>
        <w:t>We derive our revenue by providing agencies and brands the ability to plan, buy and measure their digital advertising campaigns using our platform. Our platform enables marketers to reach their target audience across desktop, mobile, connected TV, linear TV, streaming audio and digital billboards.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231F20"/>
        </w:rPr>
        <w:t>We apply a five-step approach, as defined in Financial Accounting Standards Board (“FASB”) Accounting Standards Codification (“ASC”) 606,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Revenue from Contracts with Customers, in determining the amount and timing of revenue to be recognized:</w:t>
      </w:r>
    </w:p>
    <w:p>
      <w:pPr>
        <w:spacing w:after="0" w:line="103"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Identification of a contract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Identification of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Determination of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Recognition of revenue when or as the performance obligations are satisfied.</w:t>
      </w:r>
    </w:p>
    <w:p>
      <w:pPr>
        <w:spacing w:after="0" w:line="22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231F20"/>
        </w:rPr>
        <w:t>We make our software platform available through different pricing options to tailor to multiple client types and customer needs. These options consist of a percentage of spend option, a monthly subscription pricing option and a fixed CPM pricing option. Customers can use our software platform on a self-service basis to execute their advertising campaigns. We generate revenue when the software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firstLine="589"/>
        <w:spacing w:after="0" w:line="257" w:lineRule="auto"/>
        <w:rPr>
          <w:sz w:val="20"/>
          <w:szCs w:val="20"/>
          <w:color w:val="auto"/>
        </w:rPr>
      </w:pPr>
      <w:r>
        <w:rPr>
          <w:rFonts w:ascii="Arial" w:cs="Arial" w:eastAsia="Arial" w:hAnsi="Arial"/>
          <w:sz w:val="18"/>
          <w:szCs w:val="18"/>
          <w:color w:val="231F20"/>
        </w:rPr>
        <w:t>We maintain agreements with our customers in the form of MSAs in connection with the percentage of spend and monthly subscription pricing options, as well as in instances where we charge our customers a flat monthly fee for services in connection with data management and advanced reporting, and IOs in connection with the fixed CPM pricing option, which set out the terms of the relationship and use of our software platform. The nature of our performance obligations is to enable customers to plan, buy and measure advertising campaigns using our platform and provide campaign execution services as requested.</w:t>
      </w:r>
    </w:p>
    <w:p>
      <w:pPr>
        <w:spacing w:after="0" w:line="18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231F20"/>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We recognize revenue at the point in time when a purchase by the customer occurs through our software platform. For the monthly subscription pricing option, we bill customers a platform fee represented by a fixed monthly subscription amount, as well as fees for additional features such as data and advanced reporting, plus the cost of TAC. We recognize subscription fees for customers accessing our platform as revenue over time on a ratable basis over the term of the agreement. In both instances, revenue is reported net of TAC since we arrange for the transfer of TAC from the supplier to the customer through the use of our platform and do not control such features prior to transfer to the customer. As it relates to the TAC in these pricing options, we do not have primary responsibility for meeting customer specifications and do not have discretion in establishing the price. For data management and advanced reporting services, we typically bill a fixed monthly fee and recognize revenue over time on a ratable basis over the term of the agreement.</w:t>
      </w:r>
    </w:p>
    <w:p>
      <w:pPr>
        <w:spacing w:after="0" w:line="18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231F20"/>
        </w:rPr>
        <w:t>For the fixed CPM pricing option, we typically bill customers a fixed CPM price based on advertising impressions delivered through the platform. We recognize revenue at the point in time when the advertising impressions are delivered. This revenue is reported gross of any amounts incurred and payable to suppliers for TAC, since we control such features prior to transfer to the customer. As it relates to TAC in this pricing option, we have the primary responsibility for meeting customer specifications and have discretion in establishing the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Unit-Based Compensation</w:t>
      </w:r>
    </w:p>
    <w:p>
      <w:pPr>
        <w:spacing w:after="0" w:line="229"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231F20"/>
        </w:rPr>
        <w:t>We record compensation expense for all common unit awards granted to our employees, which is measured and recognized on a graded-vesting attribution basis over the requisite service period based on the fair value of the units at the grant date.</w:t>
      </w:r>
    </w:p>
    <w:p>
      <w:pPr>
        <w:spacing w:after="0" w:line="170"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231F20"/>
        </w:rPr>
        <w:t>During the periods covered by the consolidated financial statements included in this Annual Report, we were a privately held company with no active public market for our common units. Therefore, in determining the fair value of unit-based awards, we relied in part on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determining the fair value of our units, we considered all objective and subjective factors that we believed to be relevant, including our best estimate of our business condition, prospects and operating performance at the valuation date. There are significant judgments and estimates inherent in these valuations. These judgments and estimates include assumptions regarding our future operating performance, industry growth, average revenue ex-TAC per customer, and the timing of a potential initial public offering or other liquidity event.</w:t>
      </w:r>
    </w:p>
    <w:p>
      <w:pPr>
        <w:spacing w:after="0" w:line="178"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231F20"/>
        </w:rPr>
        <w:t>For additional information regarding unit-based compensation and the assumptions used for determining the fair value of unit awards see Note 2 and Note 9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Internal-Use Software</w:t>
      </w:r>
    </w:p>
    <w:p>
      <w:pPr>
        <w:spacing w:after="0" w:line="229"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 and comprehensive income (loss).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5" w:name="page76"/>
    <w:bookmarkEnd w:id="75"/>
    <w:p>
      <w:pPr>
        <w:ind w:right="60" w:firstLine="589"/>
        <w:spacing w:after="0" w:line="272" w:lineRule="auto"/>
        <w:rPr>
          <w:sz w:val="20"/>
          <w:szCs w:val="20"/>
          <w:color w:val="auto"/>
        </w:rPr>
      </w:pPr>
      <w:r>
        <w:rPr>
          <w:rFonts w:ascii="Arial" w:cs="Arial" w:eastAsia="Arial" w:hAnsi="Arial"/>
          <w:sz w:val="17"/>
          <w:szCs w:val="17"/>
          <w:color w:val="231F20"/>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JOBS Act Accounting Election</w:t>
      </w:r>
    </w:p>
    <w:p>
      <w:pPr>
        <w:spacing w:after="0" w:line="22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231F20"/>
        </w:rPr>
        <w:t>On April 5, 2012,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our shares of common stock held by non-affiliates and issues less than $1 billion of non-convertible debt over a three year period. We may take advantage of this extended transition period until the first to occur of the date that we (i) are no longer an “emerging growth company” or (ii) affirmatively and irrevocably opt out of this extended transition period.</w:t>
      </w:r>
    </w:p>
    <w:p>
      <w:pPr>
        <w:spacing w:after="0" w:line="19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231F20"/>
        </w:rPr>
        <w:t>We have elected to take advantage of the benefits of this extended transition period.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financial statements. See Note 2 to our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For information regarding recently issued accounting pronouncements, see Note 2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231F20"/>
        </w:rPr>
        <w:t>Our operations are primarily within the United States, and we are exposed to market risks in the ordinary course of our business, including the effects of interest rate changes, foreign currency fluctuations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22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231F20"/>
        </w:rPr>
        <w:t>We are exposed to market risk from changes in interest rates on our Loan Agreement, which accrues interest at a variable rate. We have not used any derivative financial instruments to manage our interest rate risk exposure. Based upon the principal balance owed on our revolving credit facility as of December 31, 2020, a hypothetical one percentage point increase or decrease in the interest rate under our revolving credit facility would result in a corresponding increase or decrease in interest expense of approximately $0.2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Inflation Risk</w:t>
      </w:r>
    </w:p>
    <w:p>
      <w:pPr>
        <w:spacing w:after="0" w:line="225"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231F20"/>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92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8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INDEX TO FINANCIAL STATEMENTS</w:t>
            </w:r>
          </w:p>
        </w:tc>
        <w:tc>
          <w:tcPr>
            <w:tcW w:w="1980" w:type="dxa"/>
            <w:vAlign w:val="bottom"/>
          </w:tcPr>
          <w:p>
            <w:pPr>
              <w:spacing w:after="0"/>
              <w:rPr>
                <w:sz w:val="24"/>
                <w:szCs w:val="24"/>
                <w:color w:val="auto"/>
              </w:rPr>
            </w:pPr>
          </w:p>
        </w:tc>
      </w:tr>
      <w:tr>
        <w:trPr>
          <w:trHeight w:val="485"/>
        </w:trPr>
        <w:tc>
          <w:tcPr>
            <w:tcW w:w="9280" w:type="dxa"/>
            <w:vAlign w:val="bottom"/>
            <w:gridSpan w:val="9"/>
          </w:tcPr>
          <w:p>
            <w:pPr>
              <w:spacing w:after="0"/>
              <w:rPr>
                <w:sz w:val="20"/>
                <w:szCs w:val="20"/>
                <w:color w:val="auto"/>
              </w:rPr>
            </w:pPr>
            <w:r>
              <w:rPr>
                <w:rFonts w:ascii="Arial" w:cs="Arial" w:eastAsia="Arial" w:hAnsi="Arial"/>
                <w:sz w:val="18"/>
                <w:szCs w:val="18"/>
                <w:b w:val="1"/>
                <w:bCs w:val="1"/>
                <w:color w:val="auto"/>
              </w:rPr>
              <w:t>Viant Technology Inc.</w:t>
            </w:r>
          </w:p>
        </w:tc>
        <w:tc>
          <w:tcPr>
            <w:tcW w:w="1980" w:type="dxa"/>
            <w:vAlign w:val="bottom"/>
          </w:tcPr>
          <w:p>
            <w:pPr>
              <w:spacing w:after="0"/>
              <w:rPr>
                <w:sz w:val="24"/>
                <w:szCs w:val="24"/>
                <w:color w:val="auto"/>
              </w:rPr>
            </w:pPr>
          </w:p>
        </w:tc>
      </w:tr>
      <w:tr>
        <w:trPr>
          <w:trHeight w:val="190"/>
        </w:trPr>
        <w:tc>
          <w:tcPr>
            <w:tcW w:w="9280" w:type="dxa"/>
            <w:vAlign w:val="bottom"/>
            <w:gridSpan w:val="9"/>
          </w:tcPr>
          <w:p>
            <w:pPr>
              <w:spacing w:after="0" w:line="190" w:lineRule="exact"/>
              <w:rPr>
                <w:rFonts w:ascii="Arial" w:cs="Arial" w:eastAsia="Arial" w:hAnsi="Arial"/>
                <w:sz w:val="18"/>
                <w:szCs w:val="18"/>
                <w:color w:val="0000EE"/>
              </w:rPr>
            </w:pPr>
            <w:hyperlink w:anchor="page78">
              <w:r>
                <w:rPr>
                  <w:rFonts w:ascii="Arial" w:cs="Arial" w:eastAsia="Arial" w:hAnsi="Arial"/>
                  <w:sz w:val="18"/>
                  <w:szCs w:val="18"/>
                  <w:color w:val="0000EE"/>
                </w:rPr>
                <w:t>Report of Independent Registered Public Accounting Firm</w:t>
              </w:r>
            </w:hyperlink>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r>
      <w:tr>
        <w:trPr>
          <w:trHeight w:val="345"/>
        </w:trPr>
        <w:tc>
          <w:tcPr>
            <w:tcW w:w="4220" w:type="dxa"/>
            <w:vAlign w:val="bottom"/>
            <w:tcBorders>
              <w:top w:val="single" w:sz="8" w:color="0000EE"/>
            </w:tcBorders>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Balance Sheets</w:t>
              </w:r>
            </w:hyperlink>
          </w:p>
        </w:tc>
        <w:tc>
          <w:tcPr>
            <w:tcW w:w="506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4"/>
        </w:trPr>
        <w:tc>
          <w:tcPr>
            <w:tcW w:w="1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Notes to Balance Sheets</w:t>
              </w:r>
            </w:hyperlink>
          </w:p>
        </w:tc>
        <w:tc>
          <w:tcPr>
            <w:tcW w:w="7520" w:type="dxa"/>
            <w:vAlign w:val="bottom"/>
            <w:gridSpan w:val="7"/>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79"/>
        </w:trPr>
        <w:tc>
          <w:tcPr>
            <w:tcW w:w="9280" w:type="dxa"/>
            <w:vAlign w:val="bottom"/>
            <w:gridSpan w:val="9"/>
          </w:tcPr>
          <w:p>
            <w:pPr>
              <w:spacing w:after="0"/>
              <w:rPr>
                <w:sz w:val="20"/>
                <w:szCs w:val="20"/>
                <w:color w:val="auto"/>
              </w:rPr>
            </w:pPr>
            <w:r>
              <w:rPr>
                <w:rFonts w:ascii="Arial" w:cs="Arial" w:eastAsia="Arial" w:hAnsi="Arial"/>
                <w:sz w:val="18"/>
                <w:szCs w:val="18"/>
                <w:b w:val="1"/>
                <w:bCs w:val="1"/>
                <w:color w:val="auto"/>
              </w:rPr>
              <w:t>Viant Technology LLC</w:t>
            </w:r>
          </w:p>
        </w:tc>
        <w:tc>
          <w:tcPr>
            <w:tcW w:w="1980" w:type="dxa"/>
            <w:vAlign w:val="bottom"/>
          </w:tcPr>
          <w:p>
            <w:pPr>
              <w:spacing w:after="0"/>
              <w:rPr>
                <w:sz w:val="24"/>
                <w:szCs w:val="24"/>
                <w:color w:val="auto"/>
              </w:rPr>
            </w:pPr>
          </w:p>
        </w:tc>
      </w:tr>
      <w:tr>
        <w:trPr>
          <w:trHeight w:val="190"/>
        </w:trPr>
        <w:tc>
          <w:tcPr>
            <w:tcW w:w="9280" w:type="dxa"/>
            <w:vAlign w:val="bottom"/>
            <w:gridSpan w:val="9"/>
          </w:tcPr>
          <w:p>
            <w:pPr>
              <w:spacing w:after="0" w:line="190" w:lineRule="exact"/>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r>
      <w:tr>
        <w:trPr>
          <w:trHeight w:val="345"/>
        </w:trPr>
        <w:tc>
          <w:tcPr>
            <w:tcW w:w="2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24"/>
                <w:szCs w:val="24"/>
                <w:color w:val="auto"/>
              </w:rPr>
            </w:pPr>
          </w:p>
        </w:tc>
        <w:tc>
          <w:tcPr>
            <w:tcW w:w="506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44"/>
        </w:trPr>
        <w:tc>
          <w:tcPr>
            <w:tcW w:w="9280" w:type="dxa"/>
            <w:vAlign w:val="bottom"/>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Operations and Comprehensive Income (Loss)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5"/>
        </w:trPr>
        <w:tc>
          <w:tcPr>
            <w:tcW w:w="9280" w:type="dxa"/>
            <w:vAlign w:val="bottom"/>
            <w:gridSpan w:val="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Statements of Convertible Preferred Units and Members’ Equity (Deficit)</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45"/>
        </w:trPr>
        <w:tc>
          <w:tcPr>
            <w:tcW w:w="2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Cash Flows</w:t>
              </w:r>
            </w:hyperlink>
          </w:p>
        </w:tc>
        <w:tc>
          <w:tcPr>
            <w:tcW w:w="3420" w:type="dxa"/>
            <w:vAlign w:val="bottom"/>
            <w:tcBorders>
              <w:top w:val="single" w:sz="8" w:color="0000EE"/>
            </w:tcBorders>
            <w:gridSpan w:val="4"/>
          </w:tcPr>
          <w:p>
            <w:pPr>
              <w:spacing w:after="0"/>
              <w:rPr>
                <w:sz w:val="24"/>
                <w:szCs w:val="24"/>
                <w:color w:val="auto"/>
              </w:rPr>
            </w:pPr>
          </w:p>
        </w:tc>
        <w:tc>
          <w:tcPr>
            <w:tcW w:w="29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44"/>
        </w:trPr>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Notes to Consolidated Financial Statements</w:t>
              </w:r>
            </w:hyperlink>
          </w:p>
        </w:tc>
        <w:tc>
          <w:tcPr>
            <w:tcW w:w="612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898"/>
        </w:trPr>
        <w:tc>
          <w:tcPr>
            <w:tcW w:w="6300" w:type="dxa"/>
            <w:vAlign w:val="bottom"/>
            <w:gridSpan w:val="8"/>
          </w:tcPr>
          <w:p>
            <w:pPr>
              <w:ind w:left="5540"/>
              <w:spacing w:after="0"/>
              <w:rPr>
                <w:sz w:val="20"/>
                <w:szCs w:val="20"/>
                <w:color w:val="auto"/>
              </w:rPr>
            </w:pPr>
            <w:r>
              <w:rPr>
                <w:rFonts w:ascii="Arial" w:cs="Arial" w:eastAsia="Arial" w:hAnsi="Arial"/>
                <w:sz w:val="18"/>
                <w:szCs w:val="18"/>
                <w:color w:val="auto"/>
              </w:rPr>
              <w:t>77</w:t>
            </w:r>
          </w:p>
        </w:tc>
        <w:tc>
          <w:tcPr>
            <w:tcW w:w="2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69" w:right="319" w:bottom="1440" w:gutter="0" w:footer="0" w:header="0"/>
        </w:sectPr>
      </w:pPr>
    </w:p>
    <w:bookmarkStart w:id="77" w:name="page78"/>
    <w:bookmarkEnd w:id="77"/>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To the Stockholders and the Board of Directors of Viant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Opinion on the Financial Statements</w:t>
      </w:r>
    </w:p>
    <w:p>
      <w:pPr>
        <w:spacing w:after="0" w:line="225"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231F20"/>
        </w:rPr>
        <w:t>We have audited the accompanying balance sheets of Viant Technology Inc. (the “Company”) as of December 31, 2020 and October 9, 2020, and the related notes (collectively referred to as the “financial statement”). In our opinion, the financial statement presents fairly, in all material respects, the financial position of the Company as of December 31, 2020 and October 9, 2020, in conformity with accounting principles generally accepted in the United States of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31F20"/>
        </w:rPr>
        <w:t>Basis for Opinion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This financial statement is the responsibility of the Company’s management. Our responsibility is to express an opinion on the Company’s financial statement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We conducted our audits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Our audits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audits also included evaluating the accounting principles used and significant estimates made by management, as well as evaluating the overall presentation of the financial statement.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31F20"/>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March 23,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231F20"/>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 October 9,</w:t>
            </w:r>
          </w:p>
        </w:tc>
        <w:tc>
          <w:tcPr>
            <w:tcW w:w="0" w:type="dxa"/>
            <w:vAlign w:val="bottom"/>
          </w:tcPr>
          <w:p>
            <w:pPr>
              <w:spacing w:after="0"/>
              <w:rPr>
                <w:sz w:val="1"/>
                <w:szCs w:val="1"/>
                <w:color w:val="auto"/>
              </w:rPr>
            </w:pPr>
          </w:p>
        </w:tc>
      </w:tr>
      <w:tr>
        <w:trPr>
          <w:trHeight w:val="155"/>
        </w:trPr>
        <w:tc>
          <w:tcPr>
            <w:tcW w:w="63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tcPr>
          <w:p>
            <w:pPr>
              <w:jc w:val="right"/>
              <w:ind w:right="92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1,000 shares authorized, issued and outstanding</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231F20"/>
        </w:rPr>
        <w:t>VIANT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Organization and Nature of the Business</w:t>
      </w:r>
    </w:p>
    <w:p>
      <w:pPr>
        <w:spacing w:after="0" w:line="22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231F20"/>
        </w:rPr>
        <w:t xml:space="preserve">Viant Technology Inc. (the “Company”) was incorporated in the State of Delaware on October 9, 2020 (inception). The initial stockholder of the Company is Four Brothers 2 LLC (“Parent”) which holds all of the shares of common stock authorized, issued and outstanding. </w:t>
      </w:r>
      <w:r>
        <w:rPr>
          <w:rFonts w:ascii="Arial" w:cs="Arial" w:eastAsia="Arial" w:hAnsi="Arial"/>
          <w:sz w:val="18"/>
          <w:szCs w:val="18"/>
          <w:color w:val="000000"/>
        </w:rPr>
        <w:t>The Company was</w:t>
      </w:r>
      <w:r>
        <w:rPr>
          <w:rFonts w:ascii="Arial" w:cs="Arial" w:eastAsia="Arial" w:hAnsi="Arial"/>
          <w:sz w:val="18"/>
          <w:szCs w:val="18"/>
          <w:color w:val="231F20"/>
        </w:rPr>
        <w:t xml:space="preserve"> </w:t>
      </w:r>
      <w:r>
        <w:rPr>
          <w:rFonts w:ascii="Arial" w:cs="Arial" w:eastAsia="Arial" w:hAnsi="Arial"/>
          <w:sz w:val="18"/>
          <w:szCs w:val="18"/>
          <w:color w:val="000000"/>
        </w:rPr>
        <w:t>incorporated for the purpose of completing an initial public offering ("IPO") and related transactions in order to carry on the business of Viant Technology LLC. As the managing member of Viant Technology LLC, the Company is expected to operate and control all of the business and affairs of Viant Technology LLC. Refer to Note 3 for further information regarding the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2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231F20"/>
        </w:rPr>
        <w:t>The accompanying balance sheets have been prepared in accordance with generally accepted accounting principles in the United States of America (“GAAP”). The preparation of the financial statement in conformity with GAAP requires management to make estimates and assumptions that affect the reported amounts of assets and liabilities and disclosures of contingent assets and liabilities at the date of the financial statement. As there has been no activity for this entity during the reportable period, separate statements of operations, changes in stockholder’s equity and cash flows have not been presented. The Company’s year end is December 31.</w:t>
      </w:r>
    </w:p>
    <w:p>
      <w:pPr>
        <w:spacing w:after="0" w:line="188"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231F20"/>
        </w:rPr>
        <w:t>On the date of incorporation, the sole stockholder, Parent, acquired 1,000 shares of common stock for cash consideration of $0.001 per share, or total cash consideration of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Offering Costs</w:t>
      </w:r>
    </w:p>
    <w:p>
      <w:pPr>
        <w:spacing w:after="0" w:line="225"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231F20"/>
        </w:rPr>
        <w:t>In connection with the IPO, Viant Technology LLC incurred accounting, legal and other costs, which were reimbursed by the Company upon the consummation of the IPO. Such costs will be recorded as a reduction to stockholder’s equity and recorded against the proceeds from the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Organization Costs</w:t>
      </w:r>
    </w:p>
    <w:p>
      <w:pPr>
        <w:spacing w:after="0" w:line="225"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231F20"/>
        </w:rPr>
        <w:t>Organization costs were expensed as incurred. Such costs are comprised of the legal and professional fees associated with the formation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Subsequent Events</w:t>
      </w:r>
    </w:p>
    <w:p>
      <w:pPr>
        <w:spacing w:after="0" w:line="22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231F20"/>
        </w:rPr>
        <w:t>The Company has assessed subsequent events through the date of this report and has concluded the following required disclosure in the financial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 and Tax Receivable Agreement</w:t>
      </w:r>
    </w:p>
    <w:p>
      <w:pPr>
        <w:spacing w:after="0" w:line="22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231F20"/>
        </w:rPr>
        <w:t>On February 9, 2021, the Company’s Form S-1 was declared effective by the SEC related to the IPO of its Class A common stock. The closing date of the IPO was February 12, 2021, and in connection with the closing, the following actions were taken:</w:t>
      </w:r>
    </w:p>
    <w:p>
      <w:pPr>
        <w:spacing w:after="0" w:line="62" w:lineRule="exact"/>
        <w:rPr>
          <w:sz w:val="20"/>
          <w:szCs w:val="20"/>
          <w:color w:val="auto"/>
        </w:rPr>
      </w:pPr>
    </w:p>
    <w:p>
      <w:pPr>
        <w:ind w:left="1160" w:right="260" w:hanging="572"/>
        <w:spacing w:after="0" w:line="342" w:lineRule="auto"/>
        <w:tabs>
          <w:tab w:leader="none" w:pos="116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15" w:lineRule="exact"/>
        <w:rPr>
          <w:rFonts w:ascii="Arial" w:cs="Arial" w:eastAsia="Arial" w:hAnsi="Arial"/>
          <w:sz w:val="16"/>
          <w:szCs w:val="16"/>
          <w:color w:val="231F20"/>
        </w:rPr>
      </w:pPr>
    </w:p>
    <w:p>
      <w:pPr>
        <w:ind w:left="1160" w:right="220" w:hanging="572"/>
        <w:spacing w:after="0" w:line="26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80" w:name="page81"/>
    <w:bookmarkEnd w:id="80"/>
    <w:p>
      <w:pPr>
        <w:ind w:left="1160" w:right="100" w:hanging="572"/>
        <w:spacing w:after="0" w:line="273" w:lineRule="auto"/>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Viant Technology LLC Agreement classifies the interests acquired by the Company as Class A units and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LLC, for cash. Immediately following such reclassification, the continuing members held 48,935,559 Class B units. For each membership unit of Viant Technology LLC that is reclassified as a Class B unit, the Company issued one corresponding share of our Class B common stock to the continuing members, or 48,935,559 shares of Class B common stock in total;</w:t>
      </w:r>
    </w:p>
    <w:p>
      <w:pPr>
        <w:spacing w:after="0" w:line="69" w:lineRule="exact"/>
        <w:rPr>
          <w:rFonts w:ascii="Arial" w:cs="Arial" w:eastAsia="Arial" w:hAnsi="Arial"/>
          <w:sz w:val="17"/>
          <w:szCs w:val="17"/>
          <w:color w:val="auto"/>
        </w:rPr>
      </w:pPr>
    </w:p>
    <w:p>
      <w:pPr>
        <w:ind w:left="1160" w:right="460" w:hanging="572"/>
        <w:spacing w:after="0" w:line="342"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issued and sold 10,000,000 shares of its Class A common stock to the underwriters at an initial public offering price of $25.00 per share, for gross proceeds of $250.0 million before deducting underwriting discounts and commissions of $17.5 million;</w:t>
      </w:r>
    </w:p>
    <w:p>
      <w:pPr>
        <w:spacing w:after="0" w:line="15" w:lineRule="exact"/>
        <w:rPr>
          <w:rFonts w:ascii="Arial" w:cs="Arial" w:eastAsia="Arial" w:hAnsi="Arial"/>
          <w:sz w:val="16"/>
          <w:szCs w:val="16"/>
          <w:color w:val="auto"/>
        </w:rPr>
      </w:pPr>
    </w:p>
    <w:p>
      <w:pPr>
        <w:ind w:left="1160" w:right="4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ind w:left="1160" w:right="80" w:hanging="572"/>
        <w:spacing w:after="0" w:line="25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entered into a Tax Receivable Agreement (the “Tax Receivable Agreement”) for the benefit of the continuing members of Viant Technology LLC, pursuant to which the Company will pay them 85% of the amount of the net cash tax savings, if any, that the Company realizes (or, under certain circumstances, is deemed to realize) as a result of increases in tax basis (and certain other tax benefits) resulting from (i) the Company’s acquisition of Viant Technology LLC units in the IPO and in future exchanges and (ii) any payments the Company makes under the Tax Receivable Agreement;</w:t>
      </w:r>
    </w:p>
    <w:p>
      <w:pPr>
        <w:spacing w:after="0" w:line="79" w:lineRule="exact"/>
        <w:rPr>
          <w:rFonts w:ascii="Arial" w:cs="Arial" w:eastAsia="Arial" w:hAnsi="Arial"/>
          <w:sz w:val="18"/>
          <w:szCs w:val="18"/>
          <w:color w:val="auto"/>
        </w:rPr>
      </w:pPr>
    </w:p>
    <w:p>
      <w:pPr>
        <w:ind w:left="1160" w:right="140" w:hanging="572"/>
        <w:spacing w:after="0" w:line="301"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49" w:lineRule="exact"/>
        <w:rPr>
          <w:rFonts w:ascii="Arial" w:cs="Arial" w:eastAsia="Arial" w:hAnsi="Arial"/>
          <w:sz w:val="16"/>
          <w:szCs w:val="16"/>
          <w:color w:val="auto"/>
        </w:rPr>
      </w:pPr>
    </w:p>
    <w:p>
      <w:pPr>
        <w:ind w:left="1160" w:right="280" w:hanging="572"/>
        <w:spacing w:after="0" w:line="301"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Due to the exchange of Class B units for shares of Class A common stock by the selling stockholders in connection with the IPO, the Company recognized a deferred tax asset of approximately $11.1 million and an other long-term liability of approximately $9.9 million, assuming (i) no material changes in relevant tax law and (ii) that the Company has sufficient taxable income in each year to realize on a current basis the increased depreciation, amortization and other tax benefits that are subject of the Tax Receivable Agreement.</w:t>
      </w:r>
    </w:p>
    <w:p>
      <w:pPr>
        <w:spacing w:after="0" w:line="49" w:lineRule="exact"/>
        <w:rPr>
          <w:rFonts w:ascii="Arial" w:cs="Arial" w:eastAsia="Arial" w:hAnsi="Arial"/>
          <w:sz w:val="16"/>
          <w:szCs w:val="16"/>
          <w:color w:val="auto"/>
        </w:rPr>
      </w:pPr>
    </w:p>
    <w:p>
      <w:pPr>
        <w:ind w:left="1160" w:right="60" w:hanging="572"/>
        <w:spacing w:after="0" w:line="301"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Class B stockholders and Class A stockholders will initially have 80.5% and 19.5%, respectively, of the combined voting power of the Company’s common stock. The Class A common stock outstanding will represent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49" w:lineRule="exact"/>
        <w:rPr>
          <w:rFonts w:ascii="Arial" w:cs="Arial" w:eastAsia="Arial" w:hAnsi="Arial"/>
          <w:sz w:val="16"/>
          <w:szCs w:val="16"/>
          <w:color w:val="auto"/>
        </w:rPr>
      </w:pPr>
    </w:p>
    <w:p>
      <w:pPr>
        <w:ind w:left="1160" w:hanging="572"/>
        <w:spacing w:after="0" w:line="277" w:lineRule="auto"/>
        <w:tabs>
          <w:tab w:leader="none" w:pos="11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w:t>
      </w:r>
    </w:p>
    <w:p>
      <w:pPr>
        <w:spacing w:after="0" w:line="170"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This reorganization is accounted for as a reorganization of entities under common control. As a result, the consolidated financial statements of the Company will recognize the assets and liabilities received in the reorganization at their historical carrying amounts, as reflected in the historical consolidated financial statements of Viant Technology LLC. The Company will consolidate Viant Technology LLC on its consolidated financial statements and record a noncontrolling interest related to the Class B units held by the Class B stockholders on its consolidated balance sheet and statement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231F20"/>
        </w:rPr>
        <w:t>2021 Long Term Incentive Plan (“2021 LTIP”)</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231F20"/>
        </w:rPr>
        <w:t>Immediately prior to the closing of the IPO, the Company’s board of directors adopted the 2021 LTIP to replace Viant Technology LLC’s 2020 Equity Based Incentive Compensation Plan (“Phantom Unit Plan”). The aggregate maximum number of shares of the Company’s Class A common stock that may be issued pursuant to stock awards under the 2021 LTIP, or the Share Reserve, is 11,787,112 shares of Class A common stock. The Share Reserve will automatically increase on January 1 of each year commencing on January 1, 2022 and ending with a final increase on January 1, 2031 in an amount equal to 5% of the total number of shares of capital stock outstanding on December 31st of the preceding calendar year; provided, however, that the Company’s board of directors may provide that there will not be a January 1st increase in the Share Reserve in a given year or that the increase will be less than 5% of the shares of capital stock outstanding on the preceding December 31st.</w:t>
      </w:r>
    </w:p>
    <w:p>
      <w:pPr>
        <w:spacing w:after="0" w:line="177" w:lineRule="exact"/>
        <w:rPr>
          <w:sz w:val="20"/>
          <w:szCs w:val="20"/>
          <w:color w:val="auto"/>
        </w:rPr>
      </w:pPr>
    </w:p>
    <w:p>
      <w:pPr>
        <w:jc w:val="both"/>
        <w:ind w:right="200" w:firstLine="589"/>
        <w:spacing w:after="0" w:line="286" w:lineRule="auto"/>
        <w:rPr>
          <w:sz w:val="20"/>
          <w:szCs w:val="20"/>
          <w:color w:val="auto"/>
        </w:rPr>
      </w:pPr>
      <w:r>
        <w:rPr>
          <w:rFonts w:ascii="Arial" w:cs="Arial" w:eastAsia="Arial" w:hAnsi="Arial"/>
          <w:sz w:val="17"/>
          <w:szCs w:val="17"/>
          <w:color w:val="231F20"/>
        </w:rPr>
        <w:t>Upon adoption of the 2021 LTIP, approximately 6.2 million restricted stock units (“RSUs”) were granted to certain employees with a grant date fair value of $155 million and approximately 2.2 million RSUs will vest upon expiration of the 180 day lock-up period. Approximately $83.5 million of stock-based compensation expense will be recognized during 2021 and the remainder over a weighted average period of 2.1 years.</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82" w:name="page83"/>
    <w:bookmarkEnd w:id="82"/>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the Managing Member of Viant Technology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Viant Technology LLC and subsidiaries (the "Company") as of December 31, 2020 and 2019, the related consolidated statements of operations and comprehensive income (loss), convertible preferred units and members'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31F20"/>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VIANT TECHNOLOGY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89,767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103,883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software,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133,520</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equity</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24,677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member tax distributions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79,656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portion of deferred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105,903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Convertible preferred units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2019 convertible preferred units, no par value; 600,000 units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issued and outstanding as of December 31, 2020</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2019; liquidation preference of $5,444 and $7,628 as of</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 and 2019, respectively</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units, no par value; 400,000 units authorized, issued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 as of December 31, 2020 and 2019</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92,187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(72,070)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(76,982)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20,117</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convertible preferred units and members’ equity</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133,520</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VIANT TECHNOLOGY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108,355</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74,344</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26,766</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9,585</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143,484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152,097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129,021</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(20,666)</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18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 (loss)</w:t>
            </w:r>
          </w:p>
        </w:tc>
        <w:tc>
          <w:tcPr>
            <w:tcW w:w="18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(25,454)</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unit:</w:t>
            </w:r>
          </w:p>
        </w:tc>
        <w:tc>
          <w:tcPr>
            <w:tcW w:w="1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Basic</w:t>
            </w:r>
          </w:p>
        </w:tc>
        <w:tc>
          <w:tcPr>
            <w:tcW w:w="2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20.64</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(137.28)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VIANT TECHNOLOGY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UNITS AND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80" w:type="dxa"/>
            <w:vAlign w:val="bottom"/>
            <w:tcBorders>
              <w:right w:val="single" w:sz="8" w:color="auto"/>
            </w:tcBorders>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280" w:type="dxa"/>
            <w:vAlign w:val="bottom"/>
            <w:gridSpan w:val="3"/>
            <w:vMerge w:val="restart"/>
          </w:tcPr>
          <w:p>
            <w:pPr>
              <w:jc w:val="right"/>
              <w:ind w:right="96"/>
              <w:spacing w:after="0"/>
              <w:rPr>
                <w:sz w:val="20"/>
                <w:szCs w:val="20"/>
                <w:color w:val="auto"/>
              </w:rPr>
            </w:pPr>
            <w:r>
              <w:rPr>
                <w:rFonts w:ascii="Arial" w:cs="Arial" w:eastAsia="Arial" w:hAnsi="Arial"/>
                <w:sz w:val="14"/>
                <w:szCs w:val="14"/>
                <w:b w:val="1"/>
                <w:bCs w:val="1"/>
                <w:color w:val="auto"/>
              </w:rPr>
              <w:t>Common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80" w:type="dxa"/>
            <w:vAlign w:val="bottom"/>
            <w:tcBorders>
              <w:right w:val="single" w:sz="8" w:color="auto"/>
            </w:tcBorders>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880" w:type="dxa"/>
            <w:vAlign w:val="bottom"/>
            <w:tcBorders>
              <w:right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Pr>
          <w:p>
            <w:pPr>
              <w:spacing w:after="0"/>
              <w:rPr>
                <w:sz w:val="14"/>
                <w:szCs w:val="14"/>
                <w:color w:val="auto"/>
              </w:rPr>
            </w:pPr>
          </w:p>
        </w:tc>
        <w:tc>
          <w:tcPr>
            <w:tcW w:w="128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Units</w:t>
            </w:r>
          </w:p>
        </w:tc>
        <w:tc>
          <w:tcPr>
            <w:tcW w:w="72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00" w:type="dxa"/>
            <w:vAlign w:val="bottom"/>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Deficit</w:t>
            </w:r>
          </w:p>
        </w:tc>
        <w:tc>
          <w:tcPr>
            <w:tcW w:w="96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3"/>
                <w:szCs w:val="13"/>
                <w:color w:val="auto"/>
              </w:rPr>
            </w:pPr>
          </w:p>
        </w:tc>
        <w:tc>
          <w:tcPr>
            <w:tcW w:w="76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2018</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(59,671)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(58,390)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Unit-based compensation</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units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(25,535)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2"/>
              </w:rPr>
              <w:t>(25,535)</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(85,206)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(83,197)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Unit-based compensation</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Vesting of common units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w w:val="94"/>
              </w:rPr>
              <w:t>Retirement of 2016 convertible preferred units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held by related party</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8"/>
              </w:rPr>
              <w:t>(45,000)</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Forgiveness of long-term debt and accrued</w:t>
            </w: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interest with related party, net of transaction</w:t>
            </w: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44,069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w w:val="93"/>
              </w:rPr>
              <w:t>Issuance of 2019 convertible preferred units to</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a related party</w:t>
            </w: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Beneficial conversion feature on 2019</w:t>
            </w: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units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27,558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60"/>
              <w:spacing w:after="0"/>
              <w:rPr>
                <w:sz w:val="20"/>
                <w:szCs w:val="20"/>
                <w:color w:val="auto"/>
              </w:rPr>
            </w:pPr>
            <w:r>
              <w:rPr>
                <w:rFonts w:ascii="Arial" w:cs="Arial" w:eastAsia="Arial" w:hAnsi="Arial"/>
                <w:sz w:val="18"/>
                <w:szCs w:val="18"/>
                <w:color w:val="auto"/>
              </w:rPr>
              <w:t>Deemed dividend related to beneficial</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conversion feature 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2019 convertible preferred units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(27,558)</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(27,558)</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member tax distributions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(76,982)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Accrued member tax distributions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(10,726)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(10,726)</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 dividends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CFF0FC"/>
              <w:right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(72,070</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VIANT TECHNOLOGY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 (loss)</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20,638</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9,924</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(25,535)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10,106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Unit-based compensation</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Provision for (recovery of) doubtful accounts</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assets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3"/>
              </w:rPr>
              <w:t>(21,099)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(20,200)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(467)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(4,811)</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(5,983)</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(1,107)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(1,694)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(4,607)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18,875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13,033</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(434)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(423)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Capitalized software development costs</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(7,407)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(7,390)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(8,384)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(7,841)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(7,813)</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(8,773)</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borrowings on line of credit</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borrowings on debt with related party</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debt with related party</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issuance of 2019 convertible preferred units to a related party</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 costs paid on behalf of related party</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(3,561)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Payment of member tax distributions</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(5,547)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member dividends</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(5,000)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Payment of offering costs</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(1,708)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(6,220)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(3,061)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w:t>
            </w: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at beginning of period</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at end of period</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9,629</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Arial" w:cs="Arial" w:eastAsia="Arial" w:hAnsi="Arial"/>
                <w:sz w:val="16"/>
                <w:szCs w:val="16"/>
                <w:b w:val="1"/>
                <w:bCs w:val="1"/>
                <w:color w:val="auto"/>
              </w:rPr>
              <w:t>activities: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of property and equipment paid by landlord pursuant to tenant improvement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allowance</w:t>
            </w:r>
          </w:p>
        </w:tc>
        <w:tc>
          <w:tcPr>
            <w:tcW w:w="8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Retirement of 2016 convertible preferred units with related party</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Forgiveness of long-term debt and accrued interest by related party</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47,630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w w:val="95"/>
              </w:rPr>
              <w:t>Beneficial conversion feature and deemed dividend related to 2019 convertible preferred units</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member tax distributions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640" w:type="dxa"/>
            <w:vAlign w:val="bottom"/>
          </w:tcPr>
          <w:p>
            <w:pPr>
              <w:ind w:left="260"/>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t>VIANT TECHNOLOGY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Operations</w:t>
      </w:r>
    </w:p>
    <w:p>
      <w:pPr>
        <w:spacing w:after="0" w:line="22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231F20"/>
        </w:rPr>
        <w:t>Viant Technology LLC (the “Company,” “we,” “us,” “our” or “Viant”) is a Delaware limited liability company headquartered in Irvine, California with offices located throughout the United States. The Company operates a demand side platform (“DSP”), Adelphic, an enterprise software platform that is used by marketers and their advertising agencies to centralize the planning, buying and measurement of their advertising across channels, including desktop, mobile, connected TV, linear TV, streaming audio and digital billboards.</w:t>
      </w:r>
    </w:p>
    <w:p>
      <w:pPr>
        <w:spacing w:after="0" w:line="187"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231F20"/>
        </w:rPr>
        <w:t>In February 2017, Viant completed the acquisition of Adelphic. The combination of the Adelphic platform with Viant’s extensive inventory and data partner integrations and identity resolution capabilities established the Company’s unique omnichannel people-based DSP.</w:t>
      </w:r>
    </w:p>
    <w:p>
      <w:pPr>
        <w:spacing w:after="0" w:line="14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231F20"/>
        </w:rPr>
        <w:t>On September 15, 2019, the Company’s co-founders entered into a Unit Repurchase Agreement (the “Agreement”) with the Company and Viant Technology Holding Inc. (the “Former Holdco”) pursuant to which the Company retired all outstanding convertible preferred units of the Company held by the Former Holdco, which represented a 60.0% ownership interest in the Company (the “2019 Former Holdco transaction”). This transaction was completed on October 31, 2019. Refer to Note 7 for more information, including with respect to the presentation of this transaction within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(“GAAP”) and include the operations of the Company and its wholly owned subsidiaries. All intercompany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84"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On an on-going basis, management evaluates its estimates, primarily those related to revenue recognition, allowances for doubtful accounts, the useful lives of capitalized software development costs and other property, equipment and software, assumptions used in the impairment analyses of long-lived assets and goodwill, deferred revenue, accrued liabilities and assumptions used in the fair valuation of equity-based payment arrangements.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As of December 31, 2020,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has a single reportable operating segment which operates an enterprise software platform, Adelphic, that enables marketers and their advertising agencies to automate and centralize the planning, buying and measurement of their video, audio and display ads across all channels, including desktop, mobile, connected TV, linear TV, streaming audio and digital billboards in the United States.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comprised of the chief executive officer and chief operating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600" w:firstLine="589"/>
        <w:spacing w:after="0" w:line="263" w:lineRule="auto"/>
        <w:rPr>
          <w:sz w:val="20"/>
          <w:szCs w:val="20"/>
          <w:color w:val="auto"/>
        </w:rPr>
      </w:pPr>
      <w:r>
        <w:rPr>
          <w:rFonts w:ascii="Arial" w:cs="Arial" w:eastAsia="Arial" w:hAnsi="Arial"/>
          <w:sz w:val="18"/>
          <w:szCs w:val="18"/>
          <w:color w:val="auto"/>
        </w:rPr>
        <w:t>The Company generates its revenue by providing marketers and advertising agencies with the ability to plan, buy and measure their digital advertising campaigns using its people-based DSP, Adelphic. Our platform enables marketers to reach their target audience across desktop, mobile, connected TV, linear TV, streaming audio and digital billboards.</w:t>
      </w:r>
    </w:p>
    <w:p>
      <w:pPr>
        <w:spacing w:after="0" w:line="184" w:lineRule="exact"/>
        <w:rPr>
          <w:sz w:val="20"/>
          <w:szCs w:val="20"/>
          <w:color w:val="auto"/>
        </w:rPr>
      </w:pPr>
    </w:p>
    <w:p>
      <w:pPr>
        <w:ind w:right="380" w:firstLine="589"/>
        <w:spacing w:after="0" w:line="342" w:lineRule="auto"/>
        <w:rPr>
          <w:sz w:val="20"/>
          <w:szCs w:val="20"/>
          <w:color w:val="auto"/>
        </w:rPr>
      </w:pPr>
      <w:r>
        <w:rPr>
          <w:rFonts w:ascii="Arial" w:cs="Arial" w:eastAsia="Arial" w:hAnsi="Arial"/>
          <w:sz w:val="16"/>
          <w:szCs w:val="16"/>
          <w:color w:val="auto"/>
        </w:rPr>
        <w:t>The Company applies a five-step approach as defined in Financial Accounting Standards Board (“FASB”) Accounting Standards Codification (“ASC”) 606, Revenue from Contracts with Customers (“ASC 606”), in determining the amount and timing of revenue to be recognized:</w:t>
      </w:r>
    </w:p>
    <w:p>
      <w:pPr>
        <w:spacing w:after="0" w:line="16"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Identification of a contract with a customer;</w:t>
      </w:r>
    </w:p>
    <w:p>
      <w:pPr>
        <w:spacing w:after="0" w:line="117" w:lineRule="exact"/>
        <w:rPr>
          <w:rFonts w:ascii="Arial" w:cs="Arial" w:eastAsia="Arial" w:hAnsi="Arial"/>
          <w:sz w:val="18"/>
          <w:szCs w:val="18"/>
          <w:color w:val="231F20"/>
        </w:rPr>
      </w:pPr>
    </w:p>
    <w:p>
      <w:pPr>
        <w:ind w:left="1160" w:hanging="572"/>
        <w:spacing w:after="0"/>
        <w:tabs>
          <w:tab w:leader="none" w:pos="11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231F20"/>
        </w:rPr>
      </w:pPr>
    </w:p>
    <w:p>
      <w:pPr>
        <w:ind w:left="1160" w:hanging="572"/>
        <w:spacing w:after="0"/>
        <w:tabs>
          <w:tab w:leader="none" w:pos="11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231F20"/>
        </w:rPr>
      </w:pPr>
    </w:p>
    <w:p>
      <w:pPr>
        <w:ind w:left="1160" w:hanging="572"/>
        <w:spacing w:after="0"/>
        <w:tabs>
          <w:tab w:leader="none" w:pos="11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231F20"/>
        </w:rPr>
      </w:pPr>
    </w:p>
    <w:p>
      <w:pPr>
        <w:ind w:left="1160" w:hanging="572"/>
        <w:spacing w:after="0"/>
        <w:tabs>
          <w:tab w:leader="none" w:pos="11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Recognition of revenue when or as the performance obligations are satisfied.</w:t>
      </w:r>
    </w:p>
    <w:p>
      <w:pPr>
        <w:spacing w:after="0" w:line="225"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We make our software platform available through different pricing options to tailor to multiple customer types and customer needs. These options consist of a percentage of spend option, a monthly subscription pricing option and a fixed cost per mille (“CPM”) pricing option. CPM refers to a payment option in which customers pay a price for every 1,000 impressions an ad receives. Customers can use our software platform on a self-service basis to execute their advertising campaigns. We generate revenue when the software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66" w:lineRule="exact"/>
        <w:rPr>
          <w:sz w:val="20"/>
          <w:szCs w:val="20"/>
          <w:color w:val="auto"/>
        </w:rPr>
      </w:pPr>
    </w:p>
    <w:p>
      <w:pPr>
        <w:ind w:right="280" w:firstLine="589"/>
        <w:spacing w:after="0" w:line="257" w:lineRule="auto"/>
        <w:rPr>
          <w:sz w:val="20"/>
          <w:szCs w:val="20"/>
          <w:color w:val="auto"/>
        </w:rPr>
      </w:pPr>
      <w:r>
        <w:rPr>
          <w:rFonts w:ascii="Arial" w:cs="Arial" w:eastAsia="Arial" w:hAnsi="Arial"/>
          <w:sz w:val="18"/>
          <w:szCs w:val="18"/>
          <w:color w:val="auto"/>
        </w:rPr>
        <w:t>We maintain agreements with our customers in the form of master service agreements (“MSA”) in connection with the percentage of spend and monthly subscription pricing options, as well as instances where we charge our customers a flat monthly fee for services in connection with data management and advanced reporting, and insertion orders (“IO”) in connection with the fixed CPM pricing option, which set out the terms of the relationship and use of our software platform. The nature of our performance obligations is to enable customers to plan, buy and measure advertising campaigns using our platform and provide campaign execution services as requested.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ind w:firstLine="589"/>
        <w:spacing w:after="0" w:line="269" w:lineRule="auto"/>
        <w:rPr>
          <w:sz w:val="20"/>
          <w:szCs w:val="20"/>
          <w:color w:val="auto"/>
        </w:rPr>
      </w:pPr>
      <w:r>
        <w:rPr>
          <w:rFonts w:ascii="Arial" w:cs="Arial" w:eastAsia="Arial" w:hAnsi="Arial"/>
          <w:sz w:val="17"/>
          <w:szCs w:val="17"/>
          <w:color w:val="auto"/>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as defined below. We recognize revenue at the point in time when a purchase by the customer occurs through our platform. For the monthly subscription pricing option, we bill customers a platform fee represented by a fixed subscription amount, as well as fees for additional features such as data and advanced reporting, plus the cost of TAC. We recognize subscription fees as revenue over time on a ratable basis over the term of the agreement. In both instances, revenue is reported net of amounts incurred and payable to suppliers for the cost of advertising inventory, third-party data and other add-on features (collectively, “traffic acquisition costs” or “TAC”) since we arrange for the transfer of such costs from the supplier to the customer through the use of our software platform and do not control such features prior to transfer to the customer. As it relates to TAC in these pricing options, we do not have primary responsibility for meeting customer specifications and do not have discretion in establishing the price. For data management and advanced reporting services, we typically bill a fixed monthly fee and recognize revenue over time on a ratable basis over the term of the agreement.</w:t>
      </w:r>
    </w:p>
    <w:p>
      <w:pPr>
        <w:spacing w:after="0" w:line="182"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For the fixed CPM pricing option, we typically bill customers a fixed CPM price based on advertising impressions delivered through the platform. We recognize revenue at the point in time when the advertising impressions are delivered. In certain cases, we also provide third party data segments and measurement reporting, which are recognized at the point in time they are delivered to the customer. This revenue is reported gross of any amounts incurred and payable to suppliers for TAC, since we control such features prior to transfer to the customer. As it relates to TAC in this pricing option, we have the primary responsibility for meeting customer specifications and have discretion in establishing the price.</w:t>
      </w:r>
    </w:p>
    <w:p>
      <w:pPr>
        <w:spacing w:after="0" w:line="176" w:lineRule="exact"/>
        <w:rPr>
          <w:sz w:val="20"/>
          <w:szCs w:val="20"/>
          <w:color w:val="auto"/>
        </w:rPr>
      </w:pPr>
    </w:p>
    <w:p>
      <w:pPr>
        <w:ind w:right="340" w:firstLine="589"/>
        <w:spacing w:after="0" w:line="311" w:lineRule="auto"/>
        <w:rPr>
          <w:sz w:val="20"/>
          <w:szCs w:val="20"/>
          <w:color w:val="auto"/>
        </w:rPr>
      </w:pPr>
      <w:r>
        <w:rPr>
          <w:rFonts w:ascii="Arial" w:cs="Arial" w:eastAsia="Arial" w:hAnsi="Arial"/>
          <w:sz w:val="16"/>
          <w:szCs w:val="16"/>
          <w:color w:val="auto"/>
        </w:rPr>
        <w:t>The Company invoices its customers on a monthly basis for all pricing options.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 the advertiser.</w:t>
      </w:r>
    </w:p>
    <w:p>
      <w:pPr>
        <w:spacing w:after="0" w:line="149"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188" w:lineRule="exact"/>
        <w:rPr>
          <w:sz w:val="20"/>
          <w:szCs w:val="20"/>
          <w:color w:val="auto"/>
        </w:rPr>
      </w:pPr>
    </w:p>
    <w:p>
      <w:pPr>
        <w:jc w:val="both"/>
        <w:ind w:right="480" w:firstLine="589"/>
        <w:spacing w:after="0" w:line="263" w:lineRule="auto"/>
        <w:rPr>
          <w:sz w:val="20"/>
          <w:szCs w:val="20"/>
          <w:color w:val="auto"/>
        </w:rPr>
      </w:pPr>
      <w:r>
        <w:rPr>
          <w:rFonts w:ascii="Arial" w:cs="Arial" w:eastAsia="Arial" w:hAnsi="Arial"/>
          <w:sz w:val="18"/>
          <w:szCs w:val="18"/>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We classify our operating expenses into the following four categories. Each expense category includes overhead such as rent and occupancy charges, which is allocated based on headcount.</w:t>
      </w:r>
    </w:p>
    <w:p>
      <w:pPr>
        <w:spacing w:after="0" w:line="170"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i w:val="1"/>
          <w:iCs w:val="1"/>
          <w:color w:val="auto"/>
        </w:rPr>
        <w:t xml:space="preserve">Platform Operations. </w:t>
      </w:r>
      <w:r>
        <w:rPr>
          <w:rFonts w:ascii="Arial" w:cs="Arial" w:eastAsia="Arial" w:hAnsi="Arial"/>
          <w:sz w:val="18"/>
          <w:szCs w:val="18"/>
          <w:color w:val="auto"/>
        </w:rPr>
        <w:t>Platform operations expense represents our cost of revenues, which consists of TAC, hosting costs, personnel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of capitalized software development costs related to our platform, customer support costs and allocated overhead. TAC recorded in platform operations consists of amounts incurred and payable to suppliers for costs associated with our fixed CPM pricing option. Personnel costs within platform operations include salaries, bonuses, unit-based compensation expense and employee benefit costs primarily attributable to personnel who directly support our platform.</w:t>
      </w:r>
    </w:p>
    <w:p>
      <w:pPr>
        <w:spacing w:after="0" w:line="188" w:lineRule="exact"/>
        <w:rPr>
          <w:sz w:val="20"/>
          <w:szCs w:val="20"/>
          <w:color w:val="auto"/>
        </w:rPr>
      </w:pPr>
    </w:p>
    <w:p>
      <w:pPr>
        <w:ind w:right="340" w:firstLine="589"/>
        <w:spacing w:after="0" w:line="31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salaries, bonuses, unit-based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0" w:name="page91"/>
    <w:bookmarkEnd w:id="90"/>
    <w:p>
      <w:pPr>
        <w:ind w:firstLine="589"/>
        <w:spacing w:after="0" w:line="311" w:lineRule="auto"/>
        <w:rPr>
          <w:sz w:val="20"/>
          <w:szCs w:val="20"/>
          <w:color w:val="auto"/>
        </w:rPr>
      </w:pPr>
      <w:r>
        <w:rPr>
          <w:rFonts w:ascii="Arial" w:cs="Arial" w:eastAsia="Arial" w:hAnsi="Arial"/>
          <w:sz w:val="16"/>
          <w:szCs w:val="16"/>
          <w:color w:val="auto"/>
        </w:rPr>
        <w:t>The Company incurred advertising costs of $1.2 million, $1.0 million, and $0.7 million for the years ended December 31, 2020, 2019 and 2018, respectively, related to the promotion of the Company, its brands, products and services to potential customers. Advertising costs are expensed as incurred and recorded in sales and marketing expense within the consolidated statements of operations and comprehensive income (loss).</w:t>
      </w:r>
    </w:p>
    <w:p>
      <w:pPr>
        <w:spacing w:after="0" w:line="14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 consists primarily of personnel costs, including salaries, bonuses, unit-based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and employee benefit costs associated with the ongoing development and maintenance of our software platform and allocated overhead. Technology and development costs are expensed as incurred, except to the extent that such costs are associated with software development that qualifies for capitalization, which are then recorded as capitalized software development costs included in property, equipment and software, net, on the consolidated balance sheets. We record depreciation expense for capitalized software not related to our platform within technology and development expense.</w:t>
      </w:r>
    </w:p>
    <w:p>
      <w:pPr>
        <w:spacing w:after="0" w:line="192"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primarily of personnel costs, including salaries, bonuses, unit-based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225"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The Company adopted the Limited Liability Company Agreement (the “Viant Technology LLC Agreement”) on October 4, 2016, under which it issued common unit awards, subject to vesting and other terms, to certain executives of the Company and to Viant Technology Equity Plan LLC, which issued incentive units in the form of profit interests to certain employees of the Company. The Company records compensation expense for all common unit awards and incentive units granted to employees of the Company, which is measured and recognized on a graded-vesting attribution basis over the requisite service period based on the fair value of the awards at the grant date. The Company has elected the accounting policy to account for forfeitures within unit-based compensation expense when they occur.</w:t>
      </w:r>
    </w:p>
    <w:p>
      <w:pPr>
        <w:spacing w:after="0" w:line="178"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During the periods covered by these consolidated financial statements, the Company was privately held with no active public market for our common units. Therefore, in determining the fair value of equity-based awards, the Company utilized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conducting the valuations, the Company considered all objective and subjective factors that it believed to be relevant in the valuation conducted, including management’s best estimate of our business condition, prospects and operating performance at the valuation dates. There are significant judgments and estimates inherent in these valuations. These judgments and estimates include assumptions regarding our future operating performance, industry growth, average selling price, and the timing of a potential initial public offering or other liquidity event.</w:t>
      </w:r>
    </w:p>
    <w:p>
      <w:pPr>
        <w:spacing w:after="0" w:line="17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determined the fair value of equity awards using a combination of the market and income approach. The market approach and the income approach are both acceptable valuation methods in accordance with the Practice Aid. There are two general methodologies under the market approach: (i) guideline public company method, and (ii) guideline merged and acquired company method. Both methods generate a marketable equity fair value indication using market-based information available to market participants. Under the income approach, the enterprise value can be estimated using the discounted cash flow method, which involves estimating the future cash flows of a business for a discrete period and discounting them to their present value.</w:t>
      </w:r>
    </w:p>
    <w:p>
      <w:pPr>
        <w:spacing w:after="0" w:line="192"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As provided in the Practice Aid, there are several approaches for allocating enterprise value of a privately held company to the outstanding equity of the Company. The Company selected the Option Pricing Model (“OPM”) which treats common equity and preferred equity as call options on the enterprise’s value. The exercise prices associated with these call options vary according to the liquidation preference of the preferred equity, the preferred equity conversion price, the exercise prices of common equity options and other features of a company’s equity capital structure.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Earnings (Loss) Per Unit</w:t>
      </w:r>
    </w:p>
    <w:p>
      <w:pPr>
        <w:spacing w:after="0" w:line="225" w:lineRule="exact"/>
        <w:rPr>
          <w:sz w:val="20"/>
          <w:szCs w:val="20"/>
          <w:color w:val="auto"/>
        </w:rPr>
      </w:pPr>
    </w:p>
    <w:p>
      <w:pPr>
        <w:ind w:right="140" w:firstLine="589"/>
        <w:spacing w:after="0" w:line="342"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2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Diluted earnings (loss) per unit adjusts the basic earnings (loss) per unit attributable to common unitholders and the weighted-average number of units of common units outstanding for the potential dilutive impact of common units, using the treasury-stock method, and convertible preferred units using the as-if-converted method. Diluted earnings (loss) per unit considers the impact of potentially dilutive securities except in periods in which there is a loss because the inclusion of the potential common units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carrying amounts reflected in the consolidated balance sheets for cash approximate the fair value, consisting of cash on hand and at the bank.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22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Accounts receivable are recorded at the invoiced amount, net of an allowance for doubtful accounts, and are unsecured and do not bear interest. The Company performs credit evaluations of its customers and certain advertisers when the Company’s agreements with its customers contain sequential liability terms that provide that the customer payments are not due to the Company until the customer has received payment from its customers (advertisers).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customer information, subsequent collection history and other relevant data. Account balances are charged off against the allowance when the Company believes it is probable the receivable will not be recovered. Recoveries of accounts receivable previously written off are recorded when received.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changes in the allowance for doubtful accounts: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4"/>
          </w:tcPr>
          <w:p>
            <w:pPr>
              <w:jc w:val="right"/>
              <w:ind w:right="287"/>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1,528</w:t>
            </w: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1,340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Provision for (recovery of) doubtful accounts</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Write-offs, net of recoveries</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1,528</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Deferred offering costs consist primarily of accounting, legal, and other costs related to our IPO. Upon consummation of the IPO which occurred in February 2021, the deferred offering costs will be reclassified to stockholders’ equity of Viant Technology Inc and recorded against the proceeds from the offering. The Company capitalized $2.2 million of deferred offering costs within prepaid expenses and other current assets in the consolidated balance sheet as of December 31, 2020. No offering costs were capitalized as of December 31, 2019.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25"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Property, equipment and software are recorded at historical cost, less accumulated depreciation. Depreciation is computed using the straight-line method based upon the following estimated useful lives: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Years</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Purchased software</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Leasehold improvements are depreciated on a straight-line basis over the term of the lease, or the useful life of the assets, whichever is shorter.</w:t>
      </w:r>
    </w:p>
    <w:p>
      <w:pPr>
        <w:spacing w:after="0" w:line="248"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Repair and maintenance costs are charged to expense as incurred, while replacements and improvements are capitalized. When assets are retired or otherwise disposed of, the cost and related accumulated depreciation are removed from the accounts and any resulting gain or loss is recorded in other expense (income), net within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22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 and comprehensive income (loss).</w:t>
      </w:r>
    </w:p>
    <w:p>
      <w:pPr>
        <w:spacing w:after="0" w:line="18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On April 14, 2020, the Company received the proceeds from a loan in the amount of approximately $6.0 million (the “PPP Loan”) from PNC Bank, as lender, pursuant to the Paycheck Protection Program (“PPP”) of the Coronavirus Aid, Relief, and Economic Security Act (the “CARES Act”). The Company accounted for the PPP Loan as a financial liability in accordance with ASC Topic 470, Debt. Accordingly, the PPP Loan was recognized within long-term debt and current portion of long-term debt in the Company’s consolidated balance sheet. In addition, related accrued interest is included within accrued liabilities in the Company’s consolidated balance sheet. Refer to Note 7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spacing w:after="0" w:line="59" w:lineRule="exact"/>
        <w:rPr>
          <w:sz w:val="20"/>
          <w:szCs w:val="20"/>
          <w:color w:val="auto"/>
        </w:rPr>
      </w:pPr>
    </w:p>
    <w:p>
      <w:pPr>
        <w:ind w:left="1160" w:right="160" w:hanging="572"/>
        <w:spacing w:after="0" w:line="282" w:lineRule="auto"/>
        <w:tabs>
          <w:tab w:leader="none" w:pos="1160" w:val="left"/>
        </w:tabs>
        <w:numPr>
          <w:ilvl w:val="0"/>
          <w:numId w:val="38"/>
        </w:numPr>
        <w:rPr>
          <w:rFonts w:ascii="Arial" w:cs="Arial" w:eastAsia="Arial" w:hAnsi="Arial"/>
          <w:sz w:val="18"/>
          <w:szCs w:val="18"/>
          <w:color w:val="231F20"/>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53" w:lineRule="exact"/>
        <w:rPr>
          <w:rFonts w:ascii="Arial" w:cs="Arial" w:eastAsia="Arial" w:hAnsi="Arial"/>
          <w:sz w:val="18"/>
          <w:szCs w:val="18"/>
          <w:color w:val="231F20"/>
        </w:rPr>
      </w:pPr>
    </w:p>
    <w:p>
      <w:pPr>
        <w:ind w:left="1160" w:right="260" w:hanging="572"/>
        <w:spacing w:after="0" w:line="282" w:lineRule="auto"/>
        <w:tabs>
          <w:tab w:leader="none" w:pos="1160" w:val="left"/>
        </w:tabs>
        <w:numPr>
          <w:ilvl w:val="0"/>
          <w:numId w:val="38"/>
        </w:numPr>
        <w:rPr>
          <w:rFonts w:ascii="Arial" w:cs="Arial" w:eastAsia="Arial" w:hAnsi="Arial"/>
          <w:sz w:val="18"/>
          <w:szCs w:val="18"/>
          <w:color w:val="231F20"/>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4" w:name="page95"/>
    <w:bookmarkEnd w:id="94"/>
    <w:p>
      <w:pPr>
        <w:ind w:left="1160" w:right="400" w:hanging="572"/>
        <w:spacing w:after="0" w:line="347" w:lineRule="auto"/>
        <w:tabs>
          <w:tab w:leader="none" w:pos="1160" w:val="left"/>
        </w:tabs>
        <w:numPr>
          <w:ilvl w:val="0"/>
          <w:numId w:val="39"/>
        </w:numPr>
        <w:rPr>
          <w:rFonts w:ascii="Arial" w:cs="Arial" w:eastAsia="Arial" w:hAnsi="Arial"/>
          <w:sz w:val="16"/>
          <w:szCs w:val="16"/>
          <w:color w:val="231F20"/>
        </w:rPr>
      </w:pPr>
      <w:r>
        <w:rPr>
          <w:rFonts w:ascii="Arial" w:cs="Arial" w:eastAsia="Arial" w:hAnsi="Arial"/>
          <w:sz w:val="16"/>
          <w:szCs w:val="16"/>
          <w:b w:val="1"/>
          <w:bCs w:val="1"/>
          <w:color w:val="auto"/>
        </w:rPr>
        <w:t>Level 3</w:t>
      </w:r>
      <w:r>
        <w:rPr>
          <w:rFonts w:ascii="Arial" w:cs="Arial" w:eastAsia="Arial" w:hAnsi="Arial"/>
          <w:sz w:val="16"/>
          <w:szCs w:val="16"/>
          <w:color w:val="auto"/>
        </w:rPr>
        <w:t>: Unobservable inputs for the asset or liability used to measure fair value to the extent that observable inputs are not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allowing for situations in which there is little, if any, market activity for the asset or liability at the measurement date.</w:t>
      </w:r>
    </w:p>
    <w:p>
      <w:pPr>
        <w:spacing w:after="0" w:line="12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The carrying amounts of the Company’s cash, accounts receivable, accounts payable, accrued compensation and accrued liabilities approximate fair value due to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22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Certain financial instruments, including debt, are not measured at fair value on a recurring basis in the consolidated balance sheets. The fair value of debt was estimated using primarily level 2 inputs including quoted market prices or discounted cash flow analyses, based on estimated incremental borrowing rates for similar types of borrowing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Recorded at Fair Value on a Non-Recurring Basis</w:t>
      </w:r>
    </w:p>
    <w:p>
      <w:pPr>
        <w:spacing w:after="0" w:line="225"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Certain assets and liabilities, including goodwill and intangible assets, are subject to measurement at fair value on a non-recurring basis if there are indicators of impairment or if they are deemed to be impaired as a result of an impairment review.</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assets or liabilities measured at fair value using Level 3 inputs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Rent expense on operating leases of $4.2 million, $4.7 million and $4.6 million for the years ended December 31, 2020, 2019 and 2018, respectively, is recorded on a straight-line basis over the lease term. The difference between cash payments for rent and the expense recorded is reported as current and non-current deferred rent in the accompanying consolidated balance sheets. The current portion of deferred rent of $0.4 million and $0.4 million as of December 31, 2020 and 2019, respectively, is included in other current liabilities. The non-current portion of deferred rent of $0.5 million and $0.8 million as of December 31, 2020 and 2019, respectively, is included in other long-term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165" w:lineRule="exact"/>
        <w:rPr>
          <w:sz w:val="20"/>
          <w:szCs w:val="20"/>
          <w:color w:val="auto"/>
        </w:rPr>
      </w:pPr>
    </w:p>
    <w:p>
      <w:pPr>
        <w:ind w:right="280" w:firstLine="589"/>
        <w:spacing w:after="0" w:line="254" w:lineRule="auto"/>
        <w:rPr>
          <w:sz w:val="20"/>
          <w:szCs w:val="20"/>
          <w:color w:val="auto"/>
        </w:rPr>
      </w:pPr>
      <w:r>
        <w:rPr>
          <w:rFonts w:ascii="Arial" w:cs="Arial" w:eastAsia="Arial" w:hAnsi="Arial"/>
          <w:sz w:val="18"/>
          <w:szCs w:val="18"/>
          <w:color w:val="auto"/>
        </w:rPr>
        <w:t>As of December 31, 2020, one individual customer accounted for 13.7% of consolidated accounts receivable. As of December 31, 2019, no individual customers accounted for more than 10% of consolidated accounts receivable. For the years ended December 31, 2020, 2019 and 2018, no individual customers accounted for more than 10% of consolidated revenue. For the year ended December 31, 2020, two advertising agency holding companies represented 13.3% and 13.2% of revenue, respectively. For the year ended December 31, 2019, two advertising agency holding companies represented 16.6% and 12.6% of revenue, respectively. For the year ended December 31, 2018, two advertising agency holding companies represented 18.7% and 11.8% of revenue, respectively. As of December 31, 2020, three suppliers accounted for 15.5%, 11.5%, and 10.9% of consolidated accounts payable and accrued liabilities, respectively. As of December 31, 2019, no individual suppliers accounted for more than 10% of consolidated accounts payable and accrued liabilities.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Foreign Currency Transactions and Translation</w:t>
      </w:r>
    </w:p>
    <w:p>
      <w:pPr>
        <w:spacing w:after="0" w:line="225"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The Company’s UK subsidiary had a non-U.S. dollar functional currency. The UK subsidiary was dissolved in 2019. The Company translates assets and liabilities of non-U.S. dollar functional currency subsidiaries into U.S. dollars using exchange rates in effect at the end of each period and members’ equity at historical rates. Revenue and expenses for the subsidiary are translated using rates that approximate those in effect during the period. Foreign currency gains and losses from translation are recorded in cumulative translation adjustment within the consolidated balance sheets.</w:t>
      </w:r>
    </w:p>
    <w:p>
      <w:pPr>
        <w:spacing w:after="0" w:line="157"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The Company remeasures monetary assets or liabilities denominated in currencies other than the functional currency using exchange rates prevailing on the balance sheet date, and non-monetary assets and liabilities at historical rates.</w:t>
      </w:r>
    </w:p>
    <w:p>
      <w:pPr>
        <w:spacing w:after="0" w:line="170"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Foreign currency remeasurement and transaction gains and losses are included in other expense (income), net within the consolidated statements of operations and comprehensive income (loss) and were de minimis during the years ended December 31, 2020, 2019 and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Relationships</w:t>
      </w:r>
    </w:p>
    <w:p>
      <w:pPr>
        <w:spacing w:after="0" w:line="225"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The Company’s previously outstanding long-term debt was a long-term promissory note owed to the Former Holdco, a related party who previously held a 60% equity interest in the Company prior to the 2019 Former Holdco transaction. The Former Holdco’s outstanding units of the Company were retired in conjunction with the Company’s settlement of the promissory note on October 31, 2019, in accordance with the Unit Repurchase Agreement between the Company, the Former Holdco and other parties thereto. As of December 31, 2019, no outstanding amounts remained under the promissory note, and the Former Holdco was no longer a related party of the Company. Refer to Note 7, Note 8 and Note 13 for further information.</w:t>
      </w:r>
    </w:p>
    <w:p>
      <w:pPr>
        <w:spacing w:after="0" w:line="161"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Four Brothers 2 LLC, the holder of the 2019 convertible preferred units as of December 31, 2020 and 2019, is controlled by the Company’s co-founders, Tim Vanderhook and Chris Vanderhook, and therefore is considered a related party. Refer to Note 7, Note 8 and Note 13 for further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60" w:firstLine="589"/>
        <w:spacing w:after="0" w:line="257" w:lineRule="auto"/>
        <w:rPr>
          <w:sz w:val="20"/>
          <w:szCs w:val="20"/>
          <w:color w:val="auto"/>
        </w:rPr>
      </w:pPr>
      <w:r>
        <w:rPr>
          <w:rFonts w:ascii="Arial" w:cs="Arial" w:eastAsia="Arial" w:hAnsi="Arial"/>
          <w:sz w:val="18"/>
          <w:szCs w:val="18"/>
          <w:color w:val="auto"/>
        </w:rPr>
        <w:t>The Company is a limited liability company that is treated as a partnership for federal income tax purposes and does not pay income taxes on its taxable income. Its taxable income or loss is included in the taxable income of its members. In addition, the members are liable for federal and state taxes on the Company’s taxable income. The Company may disburse funds necessary to satisfy the members’ estimated tax liabilities. Amounts estimated to be disbursed to members to satisfy the members’ estimated tax liabilities have been recorded to accrued member tax distributions and represent a reduction in members’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Issued Accounting Pronouncements</w:t>
      </w:r>
    </w:p>
    <w:p>
      <w:pPr>
        <w:spacing w:after="0" w:line="225"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6" w:name="page97"/>
    <w:bookmarkEnd w:id="96"/>
    <w:p>
      <w:pPr>
        <w:ind w:right="100" w:firstLine="589"/>
        <w:spacing w:after="0" w:line="273"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consolidated financial statements and that has a different effective date for public and private companies, the Company will disclose the date on which it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financial statements.</w:t>
      </w:r>
    </w:p>
    <w:p>
      <w:pPr>
        <w:spacing w:after="0" w:line="17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February 2016, the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The guidance is effective for the Company’s annual reporting period beginning after December 15, 2021. The Company is currently assessing the impact this guidance will have on the consolidated financial statements.</w:t>
      </w:r>
    </w:p>
    <w:p>
      <w:pPr>
        <w:spacing w:after="0" w:line="18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The Company does not expect the adoption of this ASU to have a material impact on the consolidated financial statements.</w:t>
      </w:r>
    </w:p>
    <w:p>
      <w:pPr>
        <w:spacing w:after="0" w:line="18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In August 2018, the FASB issued ASU No. 2018-13, Fair Value Measurement—Disclosure Framework (Topic 820). The updated guidance modifies the disclosure requirements for fair value measurements by removing, modifying, or adding certain disclosures. This guidance is effective for annual reporting periods beginning after December 15, 2019, including interim periods within that reporting period. Early adoption is permitted for any removed or modified disclosures. The Company adopted this ASU on January 1, 2020, and the adoption of this ASU did not have a material impact on the consolidated financial statements.</w:t>
      </w:r>
    </w:p>
    <w:p>
      <w:pPr>
        <w:spacing w:after="0" w:line="188"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September 2018, the FASB issued ASU No. 2018-15, Intangibles—Goodwill and Other—Internal-Use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internal-use software. Early adoption is permitted and can be applied prospectively to all implementation costs incurred after the date of adoption or retrospectively. This guidance is effective for the Company annual reporting period beginning after December 15, 2020. The Company does not expect the adoption of this ASU to have a material impact on the consolidated financial statements.</w:t>
      </w:r>
    </w:p>
    <w:p>
      <w:pPr>
        <w:spacing w:after="0" w:line="195"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In October 2020, the FASB issued ASU No. 2020-10, Codification Improvements</w:t>
      </w:r>
      <w:r>
        <w:rPr>
          <w:rFonts w:ascii="Arial" w:cs="Arial" w:eastAsia="Arial" w:hAnsi="Arial"/>
          <w:sz w:val="17"/>
          <w:szCs w:val="17"/>
          <w:i w:val="1"/>
          <w:iCs w:val="1"/>
          <w:color w:val="auto"/>
        </w:rPr>
        <w:t>,</w:t>
      </w:r>
      <w:r>
        <w:rPr>
          <w:rFonts w:ascii="Arial" w:cs="Arial" w:eastAsia="Arial" w:hAnsi="Arial"/>
          <w:sz w:val="17"/>
          <w:szCs w:val="17"/>
          <w:color w:val="auto"/>
        </w:rPr>
        <w:t xml:space="preserve"> which updates various codification topics by clarifying disclosure requirements to align with the SEC's regulations. The guidance is effective for the Company’s annual reporting period beginning after December 15, 2021. The Company is currently assessing the impact this guidance will have on the consolidated 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231F20"/>
        </w:rPr>
        <w:t>3. Revenue</w:t>
      </w:r>
    </w:p>
    <w:p>
      <w:pPr>
        <w:spacing w:after="0" w:line="22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231F20"/>
        </w:rPr>
        <w:t>The Company adopted the new revenue recognition accounting standard, ASC 606, effective January 1, 2018 on a full retrospective basis. Refer to Note 2 of these notes to our consolidated financial statements for a description of our ASC 606 revenue recognition accounting policies. Although the Company maintains agreements with its customers in multiple contractual forms, the overall promise within each of the contract types is to provide customers the ability to plan, buy and measure their digital advertising campaigns using our platform.</w:t>
      </w:r>
    </w:p>
    <w:p>
      <w:pPr>
        <w:spacing w:after="0" w:line="18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231F20"/>
        </w:rPr>
        <w:t>For purposes of disaggregation of revenue, for the years ended December 31, 2020, 2019 and 2018, the Company recognized $4.6 million, $6.2 million and $6.3 million, respectively, for over time performance obligations and $160.6 million, $158.7 million and $102.1 million, respectively, for point in time performance obligations. Remaining performance obligations for contracts with an original expected duration of greater than one year amounted to $9.2 million and $10.9 million as of December 31, 2020 and 2019, respectively, which primarily relate to deferred revenue and data management and advanced reporting services. As of December 31, 2020 and 2019, $3.6 million and $6.2 million, respectively, is expected to be recognized within one year, with the remaining amounts expected to be recognized thereafter.</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231F20"/>
        </w:rPr>
        <w:t>Contract Liabilities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 table summarizes the changes in deferred revenue balances: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10,030</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Recognition of deferred revenue</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(4,606)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Deferral of revenue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231F20"/>
        </w:rPr>
        <w:t>The revenue recognized from the contract liabilities consisted of the Company satisfying performance obligations during the normal course of business. Deferred revenue that is anticipated to be recognized during the succeeding 12-month period is recorded in current portion of deferred revenue and the remaining amount is recorded as non-current portion of deferred revenue within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Property, Equipment and Software, Net</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Major classes of property, equipment and software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21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43,627</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Computer equipment</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700"/>
              <w:spacing w:after="0"/>
              <w:rPr>
                <w:sz w:val="20"/>
                <w:szCs w:val="20"/>
                <w:color w:val="auto"/>
              </w:rPr>
            </w:pPr>
            <w:r>
              <w:rPr>
                <w:rFonts w:ascii="Arial" w:cs="Arial" w:eastAsia="Arial" w:hAnsi="Arial"/>
                <w:sz w:val="18"/>
                <w:szCs w:val="18"/>
                <w:color w:val="auto"/>
              </w:rPr>
              <w:t>Total property, equipment and software</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41,888</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(34,607)</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(26,964)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700"/>
              <w:spacing w:after="0"/>
              <w:rPr>
                <w:sz w:val="20"/>
                <w:szCs w:val="20"/>
                <w:color w:val="auto"/>
              </w:rPr>
            </w:pPr>
            <w:r>
              <w:rPr>
                <w:rFonts w:ascii="Arial" w:cs="Arial" w:eastAsia="Arial" w:hAnsi="Arial"/>
                <w:sz w:val="18"/>
                <w:szCs w:val="18"/>
                <w:color w:val="auto"/>
                <w:w w:val="99"/>
              </w:rPr>
              <w:t>Total property, equipment and software, net</w:t>
            </w:r>
          </w:p>
        </w:tc>
        <w:tc>
          <w:tcPr>
            <w:tcW w:w="18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80" w:type="dxa"/>
            <w:vAlign w:val="bottom"/>
            <w:vMerge w:val="restart"/>
          </w:tcPr>
          <w:p>
            <w:pPr>
              <w:jc w:val="right"/>
              <w:ind w:right="1250"/>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98" w:name="page99"/>
    <w:bookmarkEnd w:id="98"/>
    <w:p>
      <w:pPr>
        <w:ind w:left="600"/>
        <w:spacing w:after="0"/>
        <w:rPr>
          <w:sz w:val="20"/>
          <w:szCs w:val="20"/>
          <w:color w:val="auto"/>
        </w:rPr>
      </w:pPr>
      <w:r>
        <w:rPr>
          <w:rFonts w:ascii="Arial" w:cs="Arial" w:eastAsia="Arial" w:hAnsi="Arial"/>
          <w:sz w:val="18"/>
          <w:szCs w:val="18"/>
          <w:color w:val="231F20"/>
        </w:rPr>
        <w:t>Depreciation expense recorded in the consolidated statements of operations and comprehensive income (loss) was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left="395"/>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231F20"/>
        </w:rPr>
        <w:t>Interest cost recorded in the consolidated balance sheets and consolidated statements of operations and comprehensive income (loss) was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Amount charged to expense</w:t>
            </w:r>
          </w:p>
        </w:tc>
        <w:tc>
          <w:tcPr>
            <w:tcW w:w="104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1,055</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Amount capitalized within property, equipment and software, net</w:t>
            </w:r>
          </w:p>
        </w:tc>
        <w:tc>
          <w:tcPr>
            <w:tcW w:w="3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cost</w:t>
            </w:r>
          </w:p>
        </w:tc>
        <w:tc>
          <w:tcPr>
            <w:tcW w:w="3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1,087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Goodwill and Intangible Assets, Net</w:t>
      </w:r>
    </w:p>
    <w:p>
      <w:pPr>
        <w:spacing w:after="0" w:line="229"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231F20"/>
        </w:rPr>
        <w:t>The Company’s goodwill balance of $12.4 million as of December 31, 2020 and 2019</w:t>
      </w:r>
      <w:r>
        <w:rPr>
          <w:rFonts w:ascii="Arial" w:cs="Arial" w:eastAsia="Arial" w:hAnsi="Arial"/>
          <w:sz w:val="18"/>
          <w:szCs w:val="18"/>
          <w:color w:val="000000"/>
        </w:rPr>
        <w:t>, was recorded as part of the Company’s February 2017</w:t>
      </w:r>
      <w:r>
        <w:rPr>
          <w:rFonts w:ascii="Arial" w:cs="Arial" w:eastAsia="Arial" w:hAnsi="Arial"/>
          <w:sz w:val="18"/>
          <w:szCs w:val="18"/>
          <w:color w:val="231F20"/>
        </w:rPr>
        <w:t xml:space="preserve"> </w:t>
      </w:r>
      <w:r>
        <w:rPr>
          <w:rFonts w:ascii="Arial" w:cs="Arial" w:eastAsia="Arial" w:hAnsi="Arial"/>
          <w:sz w:val="18"/>
          <w:szCs w:val="18"/>
          <w:color w:val="000000"/>
        </w:rPr>
        <w:t>acquisition of Adelphic. The goodwill balance was determined based on the excess of the purchase price paid over the fair value of the identifiable net assets acquired, and represents its future revenue and earnings potential and certain other assets acquired that do not meet the recognition criteria, such as assembled workforce.</w:t>
      </w:r>
    </w:p>
    <w:p>
      <w:pPr>
        <w:spacing w:after="0" w:line="187"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The Company performed an impairment test of its goodwill as of the first day of the fourth fiscal quarter in accordance with its accounting policy. The results of this test indicated that the Company’s goodwill was not impaired. No goodwill impairment was recorded for the years ended December 31, 2020, 2019 or 2018.</w:t>
      </w:r>
    </w:p>
    <w:p>
      <w:pPr>
        <w:spacing w:after="0" w:line="184"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Intangible assets primarily consist of acquired developed technology, customer relationships, trade names and trademarks resulting from business combinations and acquired patent intangible assets,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 No impairment was recorded for intangible assets or other long lived assets during the years ended December 31, 2020, 2019 or 2018.</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9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(3,469)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900" w:type="dxa"/>
            <w:vAlign w:val="bottom"/>
            <w:gridSpan w:val="2"/>
          </w:tcPr>
          <w:p>
            <w:pPr>
              <w:jc w:val="right"/>
              <w:ind w:right="268"/>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29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00" w:type="dxa"/>
            <w:vAlign w:val="bottom"/>
            <w:vMerge w:val="restart"/>
          </w:tcPr>
          <w:p>
            <w:pPr>
              <w:jc w:val="right"/>
              <w:ind w:right="10"/>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99" w:name="page100"/>
    <w:bookmarkEnd w:id="99"/>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 2019</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FF0FC"/>
          </w:tcPr>
          <w:p>
            <w:pPr>
              <w:jc w:val="right"/>
              <w:ind w:right="261"/>
              <w:spacing w:after="0"/>
              <w:rPr>
                <w:sz w:val="20"/>
                <w:szCs w:val="20"/>
                <w:color w:val="auto"/>
              </w:rPr>
            </w:pPr>
            <w:r>
              <w:rPr>
                <w:rFonts w:ascii="Arial" w:cs="Arial" w:eastAsia="Arial" w:hAnsi="Arial"/>
                <w:sz w:val="18"/>
                <w:szCs w:val="18"/>
                <w:color w:val="auto"/>
              </w:rPr>
              <w:t>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(2,769)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jc w:val="right"/>
              <w:ind w:right="26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000" w:type="dxa"/>
            <w:vAlign w:val="bottom"/>
            <w:shd w:val="clear" w:color="auto" w:fill="CFF0FC"/>
          </w:tcPr>
          <w:p>
            <w:pPr>
              <w:jc w:val="right"/>
              <w:ind w:right="261"/>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expense recorded in the consolidated statements of operations and comprehensive income (loss)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tcPr>
          <w:p>
            <w:pPr>
              <w:jc w:val="center"/>
              <w:ind w:right="21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5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12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gridSpan w:val="7"/>
          </w:tcPr>
          <w:p>
            <w:pPr>
              <w:ind w:left="600"/>
              <w:spacing w:after="0"/>
              <w:rPr>
                <w:sz w:val="20"/>
                <w:szCs w:val="20"/>
                <w:color w:val="auto"/>
              </w:rPr>
            </w:pPr>
            <w:r>
              <w:rPr>
                <w:rFonts w:ascii="Arial" w:cs="Arial" w:eastAsia="Arial" w:hAnsi="Arial"/>
                <w:sz w:val="18"/>
                <w:szCs w:val="18"/>
                <w:color w:val="231F20"/>
                <w:w w:val="93"/>
              </w:rPr>
              <w:t xml:space="preserve">Estimated future </w:t>
            </w:r>
            <w:r>
              <w:rPr>
                <w:rFonts w:ascii="Arial" w:cs="Arial" w:eastAsia="Arial" w:hAnsi="Arial"/>
                <w:sz w:val="18"/>
                <w:szCs w:val="18"/>
                <w:color w:val="000000"/>
                <w:w w:val="93"/>
              </w:rPr>
              <w:t>amortization</w:t>
            </w:r>
            <w:r>
              <w:rPr>
                <w:rFonts w:ascii="Arial" w:cs="Arial" w:eastAsia="Arial" w:hAnsi="Arial"/>
                <w:sz w:val="18"/>
                <w:szCs w:val="18"/>
                <w:color w:val="231F20"/>
                <w:w w:val="93"/>
              </w:rPr>
              <w:t xml:space="preserve"> of intangible assets as of December 31, 2020 is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3560" w:type="dxa"/>
            <w:vAlign w:val="bottom"/>
            <w:gridSpan w:val="2"/>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1,230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1,119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2024</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3,015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color w:val="231F20"/>
              </w:rPr>
              <w:t>6. Accrued Liabilities</w:t>
            </w: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6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gridSpan w:val="3"/>
          </w:tcPr>
          <w:p>
            <w:pPr>
              <w:ind w:left="600"/>
              <w:spacing w:after="0"/>
              <w:rPr>
                <w:sz w:val="20"/>
                <w:szCs w:val="20"/>
                <w:color w:val="auto"/>
              </w:rPr>
            </w:pPr>
            <w:r>
              <w:rPr>
                <w:rFonts w:ascii="Arial" w:cs="Arial" w:eastAsia="Arial" w:hAnsi="Arial"/>
                <w:sz w:val="18"/>
                <w:szCs w:val="18"/>
                <w:color w:val="231F20"/>
                <w:w w:val="96"/>
              </w:rPr>
              <w:t>The Company’s accrued liabilities consisted of the following:</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6"/>
              </w:rPr>
              <w:t>As of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33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5"/>
          </w:tcPr>
          <w:p>
            <w:pPr>
              <w:jc w:val="right"/>
              <w:ind w:right="21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18,707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accrued liabilities</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3,990</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22,697</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231F20"/>
        </w:rPr>
        <w:t>7. Long-Term Debt and Revolving Credit Facility</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Company’s debt and revolving credit facilities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4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Paycheck Protection Program Loan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23,535</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(3,353)</w:t>
            </w: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231F20"/>
        </w:rPr>
        <w:t>As of December 31, 2020, the current portion of long-term debt related to the PPP Loan. The carrying value of debt as of December 31, 2020 and 2019 approximated its fair value.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2019 Former Holdco Transaction</w:t>
      </w:r>
    </w:p>
    <w:p>
      <w:pPr>
        <w:spacing w:after="0" w:line="225"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231F20"/>
        </w:rPr>
        <w:t>On March 2, 2016, the Company entered into a secured loan agreement with its related party, the Former Holdco, which at that time was a 60% stakeholder of the Company. The notes accrued interest at a rate of 7% per year, payable quarterly. Any interest not paid when due was compounded as a component of the principal amount then outstanding. The notes were subject to an original maturity of March 2, 2021, unless earlier purchased, redeemed or otherwise settled.</w:t>
      </w:r>
    </w:p>
    <w:p>
      <w:pPr>
        <w:spacing w:after="0" w:line="187"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231F20"/>
        </w:rPr>
        <w:t>On October 4, 2016, certain members of the Company and the Former Holdco entered into a put/call agreement in which certain employees received the right, but not the obligation to cause the Former Holdco to purchase all or a portion of the employees’ unrestricted common units beginning on March 31, 2019 and on each annual anniversary of that date. The Company was not a party to this put/call agreement and did not account for this agreement within its consolidated financial statements. No call or put rights were exercised during the years ended December 31, 2019 or 2018.</w:t>
      </w:r>
    </w:p>
    <w:p>
      <w:pPr>
        <w:spacing w:after="0" w:line="15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231F20"/>
        </w:rPr>
        <w:t>On September 15, 2019, the Company’s co-founders entered into a Unit Repurchase Agreement (the “Agreement”) in connection with the 2019 Former Holdco transaction with the Former Holdco to repay a portion of the outstanding principal amount, to cancel any remaining loan obligations, cancel all outstanding put/call options and to retire the outstanding equity interest in the Company held by the Former Holdco.</w:t>
      </w:r>
    </w:p>
    <w:p>
      <w:pPr>
        <w:spacing w:after="0" w:line="16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Under the terms of the Agreement, on October 31, 2019, the Company paid the Former Holdco $25.0 million, deemed the “purchase price,” toward the repayment in full of principal, interest or other amounts owed by the Company to the Former Holdco and its affiliates. Additionally, the Company paid approximately $3.5 million for professional service fees associated with the transaction paid on behalf of the Former Holdco. In return, the Former Holdco, on behalf of itself and its affiliates, cancelled and forgave any additional amounts owed by the Company pursuant to the March 2, 2016 loan agreement or any other loans. The Agreement also resulted in the termination of all outstanding put/call agreements. Upon closing of this transaction, the Former Holdco’s ownership in the Company was automatically transferred to the Company.</w:t>
      </w:r>
    </w:p>
    <w:p>
      <w:pPr>
        <w:spacing w:after="0" w:line="178"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231F20"/>
        </w:rPr>
        <w:t>In accordance with the Agreement, the purchase price consisted of $17.5 million of cash generated from the execution of the PNC Bank line of credit and $7.5 million of cash received from the sale of the 2019 convertible preferred units to Four Brothers 2 LLC, representing 100% of the Company’s outstanding convertible preferred units. As a result of this transaction, along with the payment of approximately $3.5 million in professional services paid on behalf of the Former Holdco, the Company settled $72.6 million of outstanding principal and accrued interest on the long-term promissory note and recorded additional paid-in capital of $47.6 million representing the forgiveness of outstanding debt and $45.0 million representing the retirement of the 2016 convertible preferred units resulting from the cancellation of the Company’s equity interest held by the Former Holdco.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01" w:name="page102"/>
    <w:bookmarkEnd w:id="101"/>
    <w:p>
      <w:pPr>
        <w:ind w:left="600"/>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22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231F20"/>
        </w:rPr>
        <w:t>On October 31, 2019, the Company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the Company’s assets.</w:t>
      </w:r>
    </w:p>
    <w:p>
      <w:pPr>
        <w:spacing w:after="0" w:line="1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231F20"/>
        </w:rPr>
        <w:t>Advances under the Loan Agreement bear interest through maturity at a variable rate based upon, at the Company’s option, an annual rate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applicable margin through December 31, 2020 was equal to 2.00% for Domestic Rate Loans and 4.00% for LIBOR Rate Loans. The effective weighted average interest rate as of December 31, 2020 and 2019 was 4.15% and 5.92%, respectively. The applicable margin commencing January 1, 2021 is between 1.50% to 2.25% for Domestic Rate Loans and between 3.50% and 4.25% for LIBOR Rate Loans based on the Company maintaining certain undrawn availability ratios. The facility fee for undrawn amounts under the Loan Agreement is 0.375% per annum. The Company will also be required to pay customary letter of credit fees, as necessary.</w:t>
      </w:r>
    </w:p>
    <w:p>
      <w:pPr>
        <w:spacing w:after="0" w:line="178"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231F20"/>
        </w:rPr>
        <w:t>As of December 31, 2020 and 2019, the Company had an outstanding debt balance of $17.5 million under the Loan Agreement and availability was $22.5 million.</w:t>
      </w:r>
    </w:p>
    <w:p>
      <w:pPr>
        <w:spacing w:after="0" w:line="170"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231F20"/>
        </w:rPr>
        <w:t>The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the Company to maintain compliance with a minimum Fixed Charge Coverage Ratio (as defined in the Loan Agreement) of 1.40 to 1.00 when undrawn availability under the Loan Agreement is less than 25%. As of December 31, 2020 and 2019, the Company was in compliance with all covenants.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231F20"/>
        </w:rPr>
        <w:t>PPP Loan</w:t>
      </w:r>
    </w:p>
    <w:p>
      <w:pPr>
        <w:spacing w:after="0" w:line="225"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231F20"/>
        </w:rPr>
        <w:t>On April 14, 2020, the Company received the proceeds from the PPP Loan in the amount of approximately $6.0 million from PNC Bank, as lender, pursuant to the PPP of the CARES Act. The PPP Loan, which is evidenced by a note dated April 11, 2020, bears interest at an annual rate of 1.0% and matures on April 11, 2022. No interest or principal is due during the first fifteen months after April 11, 2020, although interest will continue to accrue over this fifteen-month deferral period. The PPP Loan may be prepaid without penalty, at the option of the Company, at any time prior to maturity.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2" w:name="page103"/>
    <w:bookmarkEnd w:id="102"/>
    <w:p>
      <w:pPr>
        <w:ind w:firstLine="589"/>
        <w:spacing w:after="0" w:line="271" w:lineRule="auto"/>
        <w:rPr>
          <w:sz w:val="20"/>
          <w:szCs w:val="20"/>
          <w:color w:val="auto"/>
        </w:rPr>
      </w:pPr>
      <w:r>
        <w:rPr>
          <w:rFonts w:ascii="Arial" w:cs="Arial" w:eastAsia="Arial" w:hAnsi="Arial"/>
          <w:sz w:val="17"/>
          <w:szCs w:val="17"/>
          <w:color w:val="231F20"/>
        </w:rPr>
        <w:t xml:space="preserve">Proceeds from loans granted under the CARES Act are to be used for payroll, costs to continue employee group health care benefits, rent, utilities and certain other qualified costs (collectively, “qualifying expenses”). The Company has used the PPP Loan proceeds for qualifying expenses. The Company’s borrowings under the PPP Loan may be eligible for loan forgiveness if used for qualifying expenses incurred during the “covered period,” as defined in the CARES Act, except that the amount of loan forgiveness is limited to the amount of qualifying expenses incurred during the 24-week period commencing on the loan effective date. In addition, the amount of any loan forgiveness may be reduced if there is a decrease in the average number of full-time equivalent employees of the Company during the covered period, compared to the comparable period in the prior calendar year. In the event that any amounts are not forgiven, such unforgiven amounts shall be payable in equal monthly installments over the remaining term of the facility. </w:t>
      </w:r>
      <w:r>
        <w:rPr>
          <w:rFonts w:ascii="Arial" w:cs="Arial" w:eastAsia="Arial" w:hAnsi="Arial"/>
          <w:sz w:val="17"/>
          <w:szCs w:val="17"/>
          <w:color w:val="000000"/>
        </w:rPr>
        <w:t>The Company</w:t>
      </w:r>
      <w:r>
        <w:rPr>
          <w:rFonts w:ascii="Arial" w:cs="Arial" w:eastAsia="Arial" w:hAnsi="Arial"/>
          <w:sz w:val="17"/>
          <w:szCs w:val="17"/>
          <w:color w:val="231F20"/>
        </w:rPr>
        <w:t xml:space="preserve"> </w:t>
      </w:r>
      <w:r>
        <w:rPr>
          <w:rFonts w:ascii="Arial" w:cs="Arial" w:eastAsia="Arial" w:hAnsi="Arial"/>
          <w:sz w:val="17"/>
          <w:szCs w:val="17"/>
          <w:color w:val="000000"/>
        </w:rPr>
        <w:t>expects to apply for forgiveness of the PPP Loan.</w:t>
      </w:r>
    </w:p>
    <w:p>
      <w:pPr>
        <w:spacing w:after="0" w:line="174" w:lineRule="exact"/>
        <w:rPr>
          <w:sz w:val="20"/>
          <w:szCs w:val="20"/>
          <w:color w:val="auto"/>
        </w:rPr>
      </w:pPr>
    </w:p>
    <w:p>
      <w:pPr>
        <w:ind w:left="600" w:right="7320" w:hanging="592"/>
        <w:spacing w:after="0" w:line="566" w:lineRule="auto"/>
        <w:tabs>
          <w:tab w:leader="none" w:pos="191" w:val="left"/>
        </w:tabs>
        <w:numPr>
          <w:ilvl w:val="0"/>
          <w:numId w:val="40"/>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Convertible Preferred Units and Common Units </w:t>
      </w:r>
      <w:r>
        <w:rPr>
          <w:rFonts w:ascii="Arial" w:cs="Arial" w:eastAsia="Arial" w:hAnsi="Arial"/>
          <w:sz w:val="16"/>
          <w:szCs w:val="16"/>
          <w:b w:val="1"/>
          <w:bCs w:val="1"/>
          <w:i w:val="1"/>
          <w:iCs w:val="1"/>
          <w:color w:val="231F20"/>
        </w:rPr>
        <w:t>2016 and 2019 Convertible Preferred Units</w:t>
      </w:r>
    </w:p>
    <w:p>
      <w:pPr>
        <w:ind w:right="20" w:firstLine="589"/>
        <w:spacing w:after="0" w:line="342" w:lineRule="auto"/>
        <w:rPr>
          <w:sz w:val="20"/>
          <w:szCs w:val="20"/>
          <w:color w:val="auto"/>
        </w:rPr>
      </w:pPr>
      <w:r>
        <w:rPr>
          <w:rFonts w:ascii="Arial" w:cs="Arial" w:eastAsia="Arial" w:hAnsi="Arial"/>
          <w:sz w:val="16"/>
          <w:szCs w:val="16"/>
          <w:color w:val="231F20"/>
        </w:rPr>
        <w:t>Pursuant to the Unit Repurchase Agreement completed on October 31, 2019, the 600,000 2016 convertible preferred units representing the Former Holdco’s ownership interest were retired by the Company, and the Company sold 600,000 2019 convertible preferred units to Four Brothers 2 LLC.</w:t>
      </w:r>
    </w:p>
    <w:p>
      <w:pPr>
        <w:spacing w:after="0" w:line="124"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231F20"/>
        </w:rPr>
        <w:t>The 2016 convertible preferred units held by the Former Holdco had a liquidation preference of $190.65 per unit. Each preferred unit was convertible at the option of the holder at any time into one common unit by written notice to the Company.</w:t>
      </w:r>
    </w:p>
    <w:p>
      <w:pPr>
        <w:spacing w:after="0" w:line="170"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231F20"/>
        </w:rPr>
        <w:t>The liquidation preference provisions of the 2016 convertible preferred units held by the Former Holdco were considered contingent redemption provisions because there were certain elements that were not solely within the control of the Company, such as a change in control of the Company. Accordingly, the Company has presented these 2016 convertible preferred units within the mezzanine portion of the accompanying consolidated balance sheets.</w:t>
      </w:r>
    </w:p>
    <w:p>
      <w:pPr>
        <w:spacing w:after="0" w:line="18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231F20"/>
        </w:rPr>
        <w:t>The 2019 convertible preferred units held by Four Brothers 2 LLC have a liquidation preference equal to the initial capital contribution plus an annual preferred return available to the holders only upon liquidation, which is calculated on a daily basis by multiplying the accrued stated value of the unit on the first day of each calendar quarter by 0.028% (10% divided by 360). The accrued stated value is calculated as $12.50 per preferred unit plus the accrued return. Each preferred unit may be converted at the option of the holder at any time into one common unit by written notice to the Company.</w:t>
      </w:r>
    </w:p>
    <w:p>
      <w:pPr>
        <w:spacing w:after="0" w:line="15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231F20"/>
        </w:rPr>
        <w:t>The liquidation preference provisions of the 2019 convertible preferred units held by Four Brothers 2 LLC are considered contingent redemption provisions because there are certain elements that are not solely within the control of the Company, such as a change in control of the Company. Accordingly, the Company has presented the 2019 convertible preferred stock within the mezzanine portion of the accompanying consolidated balance sheets.</w:t>
      </w:r>
    </w:p>
    <w:p>
      <w:pPr>
        <w:spacing w:after="0" w:line="187" w:lineRule="exact"/>
        <w:rPr>
          <w:sz w:val="20"/>
          <w:szCs w:val="20"/>
          <w:color w:val="auto"/>
        </w:rPr>
      </w:pPr>
    </w:p>
    <w:p>
      <w:pPr>
        <w:jc w:val="both"/>
        <w:ind w:right="80" w:firstLine="589"/>
        <w:spacing w:after="0" w:line="275" w:lineRule="auto"/>
        <w:rPr>
          <w:sz w:val="20"/>
          <w:szCs w:val="20"/>
          <w:color w:val="auto"/>
        </w:rPr>
      </w:pPr>
      <w:r>
        <w:rPr>
          <w:rFonts w:ascii="Arial" w:cs="Arial" w:eastAsia="Arial" w:hAnsi="Arial"/>
          <w:sz w:val="17"/>
          <w:szCs w:val="17"/>
          <w:color w:val="231F20"/>
        </w:rPr>
        <w:t>The 2019 convertible preferred units were issued at an implied discount of $27.6 million, representing a beneficial conversion feature recorded in additional paid-in capital of the same amount. A beneficial conversion feature is measured as the difference between the effective conversion price of the 2019 convertible preferred units, $12.50 per unit, and the fair value of the common units into which the preferred units are convertible at issuance, $58.43 per unit. Since the 2019 convertible preferred units are perpetual in that they have no stated maturity date and are immediately convertible at any time, the discount upon issuance was immediately and fully amortized as a deemed dividend on the issuance date.</w:t>
      </w:r>
    </w:p>
    <w:p>
      <w:pPr>
        <w:spacing w:after="0" w:line="17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231F20"/>
        </w:rPr>
        <w:t>The fair value of common units was derived using the Black-Scholes-Merton option valuation model, which incorporated a combination of the market approach and income approach weighted at 50% to each approach. The valuation model requires the Company to make assumptions and judgments regarding the variables used in the calculation. These variables include the expected term, expected volatility, expected risk-free interest rate and other relevant inputs. Expected term is based on the estimated liquidation event occurrence.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3" w:name="page104"/>
    <w:bookmarkEnd w:id="103"/>
    <w:p>
      <w:pPr>
        <w:ind w:right="240" w:firstLine="589"/>
        <w:spacing w:after="0" w:line="277" w:lineRule="auto"/>
        <w:rPr>
          <w:sz w:val="20"/>
          <w:szCs w:val="20"/>
          <w:color w:val="auto"/>
        </w:rPr>
      </w:pPr>
      <w:r>
        <w:rPr>
          <w:rFonts w:ascii="Arial" w:cs="Arial" w:eastAsia="Arial" w:hAnsi="Arial"/>
          <w:sz w:val="18"/>
          <w:szCs w:val="18"/>
          <w:color w:val="231F20"/>
        </w:rPr>
        <w:t>Expected volatility is based on 3.25-year historical volatility of guideline companies commensurate with the time period. The expected risk-free rate is based on the yield of 3-year U.S. Treasury notes as of the valuation date.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outlines the option valuation assumptions used in the fair value calculation of common units: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Volatility</w:t>
            </w:r>
          </w:p>
        </w:tc>
        <w:tc>
          <w:tcPr>
            <w:tcW w:w="2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2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&lt; 2 years</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Common Units</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231F20"/>
        </w:rPr>
        <w:t>There were 400,000 common units authorized, issued and outstanding as of December 31, 2020 and 2019. Distributions to members, as determined and approved by the board, are made to holders of preferred and common units in proportion to their holdings of common units then outstanding on an as-converted basis. All profit and loss allocations, including those made as a result of a capital transaction, will be made pursuant to the provisions of the Viant Technology LLC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Member Dividend Distributions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October 2020, the Company’s board of managers declared and approved a distribution of $5.0 million to the holders of preferred and common units in accordance with the provisions of the Viant Technology LLC Agreement, resulting in payment of $3.0 million to the preferred unitholders and $2.0 million to the common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Incentive Units</w:t>
      </w:r>
    </w:p>
    <w:p>
      <w:pPr>
        <w:spacing w:after="0" w:line="229"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Employees and other service providers are eligible to be granted profit interests in the form of common units under an equity incentive plan or other arrangement approved by the board. The recipients of the common units are not required to make any capital contributions in exchange for their units.</w:t>
      </w:r>
    </w:p>
    <w:p>
      <w:pPr>
        <w:spacing w:after="0" w:line="184"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board determines the terms of each grant including vesting requirements. Incentive units generally vest over a four-year period from the date of grant.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incentive unit activity for the periods presented:</w:t>
      </w:r>
    </w:p>
    <w:p>
      <w:pPr>
        <w:spacing w:after="0" w:line="298"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3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Incentive units outstanding, beginning of period</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FF0FC"/>
          </w:tcPr>
          <w:p>
            <w:pPr>
              <w:spacing w:after="0"/>
              <w:rPr>
                <w:sz w:val="19"/>
                <w:szCs w:val="19"/>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Pr>
          <w:p>
            <w:pPr>
              <w:spacing w:after="0"/>
              <w:rPr>
                <w:sz w:val="19"/>
                <w:szCs w:val="19"/>
                <w:color w:val="auto"/>
              </w:rPr>
            </w:pPr>
          </w:p>
        </w:tc>
      </w:tr>
      <w:tr>
        <w:trPr>
          <w:trHeight w:val="230"/>
        </w:trPr>
        <w:tc>
          <w:tcPr>
            <w:tcW w:w="6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w:t>
            </w: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(4,685)</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(140,000)</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Incentive units outstanding, end of period</w:t>
            </w: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89"/>
        <w:spacing w:after="0" w:line="308" w:lineRule="auto"/>
        <w:rPr>
          <w:sz w:val="20"/>
          <w:szCs w:val="20"/>
          <w:color w:val="auto"/>
        </w:rPr>
      </w:pPr>
      <w:r>
        <w:rPr>
          <w:rFonts w:ascii="Arial" w:cs="Arial" w:eastAsia="Arial" w:hAnsi="Arial"/>
          <w:sz w:val="17"/>
          <w:szCs w:val="17"/>
          <w:color w:val="auto"/>
        </w:rPr>
        <w:t>The weighted average grant date fair value for all units granted, forfeited, vested and outstanding as presented in the table above was $7.80 per unit. As of December 31, 2019, the Company had recognized all unit-based compensation expense related to incentive units.</w:t>
      </w:r>
    </w:p>
    <w:p>
      <w:pPr>
        <w:spacing w:after="0" w:line="14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accordance with the terms of the Viant Technology LLC Agreement, any common units that fail to vest or are forfeited shall be reallocated to the Company’s two executive directors, provided the executive directors remain employed by the Company or its affiliates. In 2019 and 2018, certain grantees forfeited 4,000 units and 4,685 units, respectively, that were then reallocated to the Company’s executive directors in accordance with the terms of the Viant Technology LLC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4" w:name="page105"/>
    <w:bookmarkEnd w:id="104"/>
    <w:p>
      <w:pPr>
        <w:ind w:right="180" w:firstLine="589"/>
        <w:spacing w:after="0" w:line="263" w:lineRule="auto"/>
        <w:rPr>
          <w:sz w:val="20"/>
          <w:szCs w:val="20"/>
          <w:color w:val="auto"/>
        </w:rPr>
      </w:pPr>
      <w:r>
        <w:rPr>
          <w:rFonts w:ascii="Arial" w:cs="Arial" w:eastAsia="Arial" w:hAnsi="Arial"/>
          <w:sz w:val="18"/>
          <w:szCs w:val="18"/>
          <w:color w:val="auto"/>
        </w:rPr>
        <w:t>In conjunction with the unit repurchase and long-term debt settlement discussed in Note 7, all unvested incentive units immediately vested on October 31, 2019 and the Company recognized $0.6 million of accelerated unit-based compensation expense on that date. As of December 31, 2020 and 2019, all 400,000 incentive units were vested and outstanding.</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Unit-based compensation expense recorded in the consolidated statements of operations and comprehensive income (loss)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236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231F20"/>
        </w:rPr>
        <w:t xml:space="preserve">The valuation of common unit awards incorporated the income approach and the market approach in </w:t>
      </w:r>
      <w:r>
        <w:rPr>
          <w:rFonts w:ascii="Arial" w:cs="Arial" w:eastAsia="Arial" w:hAnsi="Arial"/>
          <w:sz w:val="18"/>
          <w:szCs w:val="18"/>
          <w:color w:val="000000"/>
        </w:rPr>
        <w:t>determining the fair value. The Company</w:t>
      </w:r>
      <w:r>
        <w:rPr>
          <w:rFonts w:ascii="Arial" w:cs="Arial" w:eastAsia="Arial" w:hAnsi="Arial"/>
          <w:sz w:val="18"/>
          <w:szCs w:val="18"/>
          <w:color w:val="231F20"/>
        </w:rPr>
        <w:t xml:space="preserve"> </w:t>
      </w:r>
      <w:r>
        <w:rPr>
          <w:rFonts w:ascii="Arial" w:cs="Arial" w:eastAsia="Arial" w:hAnsi="Arial"/>
          <w:sz w:val="18"/>
          <w:szCs w:val="18"/>
          <w:color w:val="000000"/>
        </w:rPr>
        <w:t xml:space="preserve">applied a 50% weight to each approach, utilized the OPM to allocate value </w:t>
      </w:r>
      <w:r>
        <w:rPr>
          <w:rFonts w:ascii="Arial" w:cs="Arial" w:eastAsia="Arial" w:hAnsi="Arial"/>
          <w:sz w:val="18"/>
          <w:szCs w:val="18"/>
          <w:color w:val="231F20"/>
        </w:rPr>
        <w:t>to different classes of equity. The following outlines the option valuation</w:t>
      </w:r>
      <w:r>
        <w:rPr>
          <w:rFonts w:ascii="Arial" w:cs="Arial" w:eastAsia="Arial" w:hAnsi="Arial"/>
          <w:sz w:val="18"/>
          <w:szCs w:val="18"/>
          <w:color w:val="000000"/>
        </w:rPr>
        <w:t xml:space="preserve"> </w:t>
      </w:r>
      <w:r>
        <w:rPr>
          <w:rFonts w:ascii="Arial" w:cs="Arial" w:eastAsia="Arial" w:hAnsi="Arial"/>
          <w:sz w:val="18"/>
          <w:szCs w:val="18"/>
          <w:color w:val="231F20"/>
        </w:rPr>
        <w:t>assumptions used in the fair value calculation of common units: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Volatility</w:t>
            </w:r>
          </w:p>
        </w:tc>
        <w:tc>
          <w:tcPr>
            <w:tcW w:w="25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2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2.5 years</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 Plan</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January 1, 2020, the Company formalized the 2020 Equity Based Incentive Compensation Plan (the “Phantom Unit Plan”), under which the Company is authorized to issue 12,500,000 phantom units. Upon the occurrence of a liquidation event, the units will participate in any increase in the fair value of the entity above the stated distribution threshold of $100 million. The units vest on a quarterly basis over four years, and all units granted to an employee, whether vested or unvested, automatically forfeit upon termination of employment for any reason. Based on the terms of the Phantom Unit Plan and unit award grants, no compensation cost has been recorded in the consolidated statement of operations and comprehensive income (loss) for the year ended December 31, 2020. The Phantom Unit Plan was terminated in connection with the IPO which occurred on February 12, 2021. See Note 14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Earnings (Loss) Per Unit</w:t>
      </w:r>
    </w:p>
    <w:p>
      <w:pPr>
        <w:spacing w:after="0" w:line="229"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231F20"/>
        </w:rPr>
        <w:t>Basic and diluted earnings (loss) per unit is presented in conformity with the two-class method required for participating securities and multiple classes of units. Based on the terms of the respective operating agreements, the Company considers the 2016 and 2019 convertible preferred units to be participating securities.</w:t>
      </w:r>
    </w:p>
    <w:p>
      <w:pPr>
        <w:spacing w:after="0" w:line="184"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231F20"/>
        </w:rPr>
        <w:t>For any period in which the Company records net income, undistributed earnings allocated to the convertible preferred units are subtracted from net income in determining earnings attributable to common unitholders. For periods in which the Company recognizes a net loss, undistributed losses are allocated only to common units as the convertible preferred units do not contractually participate in the Company’s losses. Basic earnings (loss) per unit is computed by dividing the earnings (loss) attributable to common unitholders by the number of weighted-average common units outstanding during the period. As participating securities, the convertible preferred units are excluded from basic weighted-average common units outstanding.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5" w:name="page106"/>
    <w:bookmarkEnd w:id="105"/>
    <w:p>
      <w:pPr>
        <w:ind w:right="20" w:firstLine="589"/>
        <w:spacing w:after="0" w:line="254" w:lineRule="auto"/>
        <w:rPr>
          <w:sz w:val="20"/>
          <w:szCs w:val="20"/>
          <w:color w:val="auto"/>
        </w:rPr>
      </w:pPr>
      <w:r>
        <w:rPr>
          <w:rFonts w:ascii="Arial" w:cs="Arial" w:eastAsia="Arial" w:hAnsi="Arial"/>
          <w:sz w:val="18"/>
          <w:szCs w:val="18"/>
          <w:color w:val="231F20"/>
        </w:rPr>
        <w:t>For the purpose of calculating basic earnings (loss) per unit for the year ended December 31, 2019, the Company adjusted net income for the deemed contribution related to the retirement of the 2016 convertible preferred units on October 31, 2019 and the deemed dividend upon issuance of the 2019 convertible preferred units on October 31, 2019. The first adjustment is a deemed capital contribution and represents the difference between the fair value of consideration transferred for the convertible preferred units and the carrying amount of the convertible preferred units on the Company’s balance sheet on the transaction date. The second adjustment is a deemed dividend to the 2019 convertible preferred unitholders and represents the full amortization of the discount related to the beneficial conversion feature upon issuance of the 2019 convertible preferred units. The discount is calculated as the difference between the fair value of the common units and the effective conversion price of the 2019 convertible preferred units. Refer to Note 7 and Note 8 for additional information.</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231F20"/>
        </w:rPr>
        <w:t>Diluted earnings (loss) per unit represents net income (loss) attributable to all unitholders divided by the weighted-average number of units outstanding, inclusive of the convertible preferred units using the as-if-converted method and the incentive common units using the treasury stock method, if dilutive. For the year ended December 31, 2020, there were no potential dilutive units related to incentive common units as they were all issued as of the beginning of the year. The potential dilutive units related to the convertible preferred units were included in the computation of dilutive earnings per unit. For the year ended December 31, 2019, the potential dilutive units related to the convertible preferred units and incentive common units were included in the computation of diluted earnings per unit. For the year ended December 31, 2018, the potential dilutive units related to the convertible preferred units and incentive common units were not included in the computation of diluted loss per unit as the effect of including these units in the calculation would have been anti-dilutive.</w:t>
      </w:r>
    </w:p>
    <w:p>
      <w:pPr>
        <w:spacing w:after="0" w:line="192"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231F20"/>
        </w:rPr>
        <w:t>The undistributed earnings have been allocated based on the participation rights of the convertible preferred and common units as if the earnings for the year have been distributed. As the participation in distributed and undistributed earnings is identical for both classes, the distributed and undistributed earnings are allocated on a proportionate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6" w:name="page107"/>
    <w:bookmarkEnd w:id="106"/>
    <w:p>
      <w:pPr>
        <w:ind w:right="160" w:firstLine="589"/>
        <w:spacing w:after="0" w:line="259" w:lineRule="auto"/>
        <w:rPr>
          <w:sz w:val="20"/>
          <w:szCs w:val="20"/>
          <w:color w:val="auto"/>
        </w:rPr>
      </w:pPr>
      <w:r>
        <w:rPr>
          <w:rFonts w:ascii="Arial" w:cs="Arial" w:eastAsia="Arial" w:hAnsi="Arial"/>
          <w:sz w:val="18"/>
          <w:szCs w:val="18"/>
          <w:color w:val="231F20"/>
        </w:rPr>
        <w:t>Basic and diluted earnings (loss) per unit and the weighted-average units outstanding have been computed for all periods shown below to give effect to payments of dividends to unitholders during 2020, issuances of common units, the retirement of the 2016 convertible preferred units and the issuance of the 2019 convertible preferred units. The reconciliations of the numerators and denominators of the basic and diluted earnings (loss) per share computations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1"/>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gridSpan w:val="7"/>
          </w:tcPr>
          <w:p>
            <w:pPr>
              <w:jc w:val="center"/>
              <w:ind w:left="472"/>
              <w:spacing w:after="0" w:line="155" w:lineRule="exact"/>
              <w:rPr>
                <w:sz w:val="20"/>
                <w:szCs w:val="20"/>
                <w:color w:val="auto"/>
              </w:rPr>
            </w:pPr>
            <w:r>
              <w:rPr>
                <w:rFonts w:ascii="Arial" w:cs="Arial" w:eastAsia="Arial" w:hAnsi="Arial"/>
                <w:sz w:val="14"/>
                <w:szCs w:val="14"/>
                <w:b w:val="1"/>
                <w:bCs w:val="1"/>
                <w:color w:val="auto"/>
                <w:w w:val="92"/>
              </w:rPr>
              <w:t>(in thousands, except per unit data)</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2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i w:val="1"/>
                <w:iCs w:val="1"/>
                <w:color w:val="auto"/>
                <w:w w:val="87"/>
              </w:rPr>
              <w:t>Numerator</w:t>
            </w:r>
          </w:p>
        </w:tc>
        <w:tc>
          <w:tcPr>
            <w:tcW w:w="5140" w:type="dxa"/>
            <w:vAlign w:val="bottom"/>
            <w:tcBorders>
              <w:bottom w:val="single" w:sz="8" w:color="CFF0FC"/>
            </w:tcBorders>
            <w:gridSpan w:val="4"/>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20,638</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9,924</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(25,535)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Deemed contribution of 2016 convertible preferred unit interest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Deemed dividend upon issuance of 2019 convertible preferred units</w:t>
            </w: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(27,558)</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Adjusted net income (loss) attributable to all unitholders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Less: Dividend paid to preferred unitholders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Adjusted net income (loss) attributable to common unitholders</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Less: Dividend paid to common unitholders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Undistributed earnings (loss) attributable to all unitholders</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(9,383)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(18,787)</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Earnings (loss) attributable to common unitholders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Denominator</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 w:type="dxa"/>
            <w:vAlign w:val="bottom"/>
          </w:tcPr>
          <w:p>
            <w:pPr>
              <w:spacing w:after="0"/>
              <w:rPr>
                <w:sz w:val="14"/>
                <w:szCs w:val="14"/>
                <w:color w:val="auto"/>
              </w:rPr>
            </w:pPr>
          </w:p>
        </w:tc>
        <w:tc>
          <w:tcPr>
            <w:tcW w:w="596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Weighted average common units outstanding—basic</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Convertible preferred units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Incentive common units</w:t>
            </w: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Weighted average units outstanding—diluted</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960" w:type="dxa"/>
            <w:vAlign w:val="bottom"/>
            <w:gridSpan w:val="5"/>
          </w:tcPr>
          <w:p>
            <w:pPr>
              <w:spacing w:after="0" w:line="189" w:lineRule="exact"/>
              <w:rPr>
                <w:sz w:val="20"/>
                <w:szCs w:val="20"/>
                <w:color w:val="auto"/>
              </w:rPr>
            </w:pPr>
            <w:r>
              <w:rPr>
                <w:rFonts w:ascii="Arial" w:cs="Arial" w:eastAsia="Arial" w:hAnsi="Arial"/>
                <w:sz w:val="18"/>
                <w:szCs w:val="18"/>
                <w:b w:val="1"/>
                <w:bCs w:val="1"/>
                <w:i w:val="1"/>
                <w:iCs w:val="1"/>
                <w:color w:val="auto"/>
              </w:rPr>
              <w:t>Earnings (loss) per unit—basic</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Distributed earnings (loss) per unit—basic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spacing w:after="0"/>
              <w:rPr>
                <w:sz w:val="20"/>
                <w:szCs w:val="20"/>
                <w:color w:val="auto"/>
              </w:rPr>
            </w:pPr>
            <w:r>
              <w:rPr>
                <w:rFonts w:ascii="Arial" w:cs="Arial" w:eastAsia="Arial" w:hAnsi="Arial"/>
                <w:sz w:val="18"/>
                <w:szCs w:val="18"/>
                <w:color w:val="auto"/>
              </w:rPr>
              <w:t>Undistributed earnings (loss) per unit—basic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Total earnings (loss) per unit—basic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Earnings (loss) per unit—diluted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 w:type="dxa"/>
            <w:vAlign w:val="bottom"/>
          </w:tcPr>
          <w:p>
            <w:pPr>
              <w:spacing w:after="0"/>
              <w:rPr>
                <w:sz w:val="14"/>
                <w:szCs w:val="14"/>
                <w:color w:val="auto"/>
              </w:rPr>
            </w:pPr>
          </w:p>
        </w:tc>
        <w:tc>
          <w:tcPr>
            <w:tcW w:w="596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Total earnings (loss) per unit—diluted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tcBorders>
              <w:top w:val="single" w:sz="8" w:color="CFF0FC"/>
              <w:bottom w:val="single" w:sz="8" w:color="CFF0FC"/>
            </w:tcBorders>
            <w:gridSpan w:val="5"/>
            <w:vMerge w:val="restart"/>
          </w:tcPr>
          <w:p>
            <w:pPr>
              <w:spacing w:after="0"/>
              <w:rPr>
                <w:sz w:val="20"/>
                <w:szCs w:val="20"/>
                <w:color w:val="auto"/>
              </w:rPr>
            </w:pPr>
            <w:r>
              <w:rPr>
                <w:rFonts w:ascii="Arial" w:cs="Arial" w:eastAsia="Arial" w:hAnsi="Arial"/>
                <w:sz w:val="18"/>
                <w:szCs w:val="18"/>
                <w:color w:val="auto"/>
              </w:rPr>
              <w:t>Anti-dilutive units excluded from diluted earnings (loss) per unit: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9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Convertible preferred units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60" w:type="dxa"/>
            <w:vAlign w:val="bottom"/>
            <w:gridSpan w:val="5"/>
          </w:tcPr>
          <w:p>
            <w:pPr>
              <w:ind w:left="240"/>
              <w:spacing w:after="0"/>
              <w:rPr>
                <w:sz w:val="20"/>
                <w:szCs w:val="20"/>
                <w:color w:val="auto"/>
              </w:rPr>
            </w:pPr>
            <w:r>
              <w:rPr>
                <w:rFonts w:ascii="Arial" w:cs="Arial" w:eastAsia="Arial" w:hAnsi="Arial"/>
                <w:sz w:val="18"/>
                <w:szCs w:val="18"/>
                <w:color w:val="auto"/>
              </w:rPr>
              <w:t>Incentive common units</w:t>
            </w: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Total units excluded from diluted earnings (loss) per unit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gridSpan w:val="5"/>
            <w:vMerge w:val="restart"/>
          </w:tcPr>
          <w:p>
            <w:pPr>
              <w:ind w:left="4900"/>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9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231F20"/>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 Commitments</w:t>
      </w:r>
    </w:p>
    <w:p>
      <w:pPr>
        <w:spacing w:after="0" w:line="225"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231F20"/>
        </w:rPr>
        <w:t>Future minimum payments under the Company’s non-cancelable operating leases, which are primarily related to building leases, as of December 31, 2020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Matters</w:t>
      </w:r>
    </w:p>
    <w:p>
      <w:pPr>
        <w:spacing w:after="0" w:line="22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Guarantees and Indemnities</w:t>
      </w:r>
    </w:p>
    <w:p>
      <w:pPr>
        <w:spacing w:after="0" w:line="229"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2020 and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229"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Company derives a small percentage of its revenue from Meredith Corporation and its subsidiaries (“Meredith Corporation”), which previously held equity interests in the Company through the Former Holdco. The Company also purchases certain inventory from Meredith Corporation. These purchases and sales are made under standard customer agreements that outline the terms of the transactions. As discussed in Note 7, the Company retired all outstanding shares held by this related party on October 31, 2019 and, as of such date, Meredith Corporation ceased to be a related party to the Company. Accordingly, the Company has excluded all transactions with Meredith Corporation subsequent to October 31, 2019 from the amounts disclosed below. There were no purchases, sales or amounts due to or from Four Brothers 2 LLC as of and for the years ended December 31, 2020 or 2019.</w:t>
      </w:r>
    </w:p>
    <w:p>
      <w:pPr>
        <w:spacing w:after="0" w:line="164" w:lineRule="exact"/>
        <w:rPr>
          <w:sz w:val="20"/>
          <w:szCs w:val="20"/>
          <w:color w:val="auto"/>
        </w:rPr>
      </w:pPr>
    </w:p>
    <w:p>
      <w:pPr>
        <w:jc w:val="both"/>
        <w:ind w:right="260" w:firstLine="589"/>
        <w:spacing w:after="0" w:line="286" w:lineRule="auto"/>
        <w:rPr>
          <w:sz w:val="20"/>
          <w:szCs w:val="20"/>
          <w:color w:val="auto"/>
        </w:rPr>
      </w:pPr>
      <w:r>
        <w:rPr>
          <w:rFonts w:ascii="Arial" w:cs="Arial" w:eastAsia="Arial" w:hAnsi="Arial"/>
          <w:sz w:val="17"/>
          <w:szCs w:val="17"/>
          <w:color w:val="auto"/>
        </w:rPr>
        <w:t>The Company recorded no revenue from its transactions with related parties during year ended December 31, 2020, and $3.7 million and $5.0 million during the years ended December 31, 2019 and 2018, respectively. The Company recorded no purchases from related parties during year ended December 31, 2020, and $0.3 million and $0.7 million during the years ended December 31, 2019 and 2018, respectively.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and 2019, no amounts were due to or due from related parties.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231F20"/>
        </w:rPr>
        <w:t>14. Subsequent Events</w:t>
      </w:r>
    </w:p>
    <w:p>
      <w:pPr>
        <w:spacing w:after="0" w:line="229" w:lineRule="exact"/>
        <w:rPr>
          <w:sz w:val="20"/>
          <w:szCs w:val="20"/>
          <w:color w:val="auto"/>
        </w:rPr>
      </w:pPr>
    </w:p>
    <w:p>
      <w:pPr>
        <w:ind w:right="840" w:firstLine="589"/>
        <w:spacing w:after="0" w:line="277" w:lineRule="auto"/>
        <w:rPr>
          <w:sz w:val="20"/>
          <w:szCs w:val="20"/>
          <w:color w:val="auto"/>
        </w:rPr>
      </w:pPr>
      <w:r>
        <w:rPr>
          <w:rFonts w:ascii="Arial" w:cs="Arial" w:eastAsia="Arial" w:hAnsi="Arial"/>
          <w:sz w:val="18"/>
          <w:szCs w:val="18"/>
          <w:color w:val="231F20"/>
        </w:rPr>
        <w:t>The Company has assessed subsequent events through the date of this report and has concluded the following required disclosure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225" w:lineRule="exact"/>
        <w:rPr>
          <w:sz w:val="20"/>
          <w:szCs w:val="20"/>
          <w:color w:val="auto"/>
        </w:rPr>
      </w:pPr>
    </w:p>
    <w:p>
      <w:pPr>
        <w:ind w:right="160" w:firstLine="589"/>
        <w:spacing w:after="0" w:line="342" w:lineRule="auto"/>
        <w:rPr>
          <w:sz w:val="20"/>
          <w:szCs w:val="20"/>
          <w:color w:val="auto"/>
        </w:rPr>
      </w:pPr>
      <w:r>
        <w:rPr>
          <w:rFonts w:ascii="Arial" w:cs="Arial" w:eastAsia="Arial" w:hAnsi="Arial"/>
          <w:sz w:val="16"/>
          <w:szCs w:val="16"/>
          <w:color w:val="231F20"/>
        </w:rPr>
        <w:t>On February 9, 2021, the Form S-1 of Viant Technology Inc. was declared effective by the SEC related to the IPO of its Class A common stock. The closing date of the IPO was February 12, 2021, and in connection with the closing, the following actions were taken as it relates to the Company:</w:t>
      </w:r>
    </w:p>
    <w:p>
      <w:pPr>
        <w:spacing w:after="0" w:line="164" w:lineRule="exact"/>
        <w:rPr>
          <w:sz w:val="20"/>
          <w:szCs w:val="20"/>
          <w:color w:val="auto"/>
        </w:rPr>
      </w:pPr>
    </w:p>
    <w:p>
      <w:pPr>
        <w:ind w:left="1160" w:right="40" w:hanging="572"/>
        <w:spacing w:after="0" w:line="263" w:lineRule="auto"/>
        <w:tabs>
          <w:tab w:leader="none" w:pos="11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Viant Technology Inc. amended and restated its certificate of incorporation, under which Viant Technology Inc. is authorized to issue up to 450,000,000 shares of Class A common stock, up to 150,000,000 shares of Class B common stock, and up to 10,000,000 shares of preferred stock;</w:t>
      </w:r>
    </w:p>
    <w:p>
      <w:pPr>
        <w:spacing w:after="0" w:line="183" w:lineRule="exact"/>
        <w:rPr>
          <w:rFonts w:ascii="Arial" w:cs="Arial" w:eastAsia="Arial" w:hAnsi="Arial"/>
          <w:sz w:val="18"/>
          <w:szCs w:val="18"/>
          <w:color w:val="231F20"/>
        </w:rPr>
      </w:pPr>
    </w:p>
    <w:p>
      <w:pPr>
        <w:jc w:val="both"/>
        <w:ind w:left="1160" w:right="140" w:hanging="572"/>
        <w:spacing w:after="0" w:line="263"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limited liability company agreement of the Company was amended and restated (the “Amended and Restated Viant Technology LLC Agreement”) to, among other things, provide for Class A units and Class B units and appoint </w:t>
      </w:r>
      <w:r>
        <w:rPr>
          <w:rFonts w:ascii="Arial" w:cs="Arial" w:eastAsia="Arial" w:hAnsi="Arial"/>
          <w:sz w:val="18"/>
          <w:szCs w:val="18"/>
          <w:color w:val="231F20"/>
        </w:rPr>
        <w:t>Viant Technology Inc.</w:t>
      </w:r>
      <w:r>
        <w:rPr>
          <w:rFonts w:ascii="Arial" w:cs="Arial" w:eastAsia="Arial" w:hAnsi="Arial"/>
          <w:sz w:val="18"/>
          <w:szCs w:val="18"/>
          <w:color w:val="auto"/>
        </w:rPr>
        <w:t xml:space="preserve"> as the sole managing member of the Company;</w:t>
      </w:r>
    </w:p>
    <w:p>
      <w:pPr>
        <w:spacing w:after="0" w:line="183" w:lineRule="exact"/>
        <w:rPr>
          <w:rFonts w:ascii="Arial" w:cs="Arial" w:eastAsia="Arial" w:hAnsi="Arial"/>
          <w:sz w:val="18"/>
          <w:szCs w:val="18"/>
          <w:color w:val="auto"/>
        </w:rPr>
      </w:pPr>
    </w:p>
    <w:p>
      <w:pPr>
        <w:ind w:left="1160" w:hanging="572"/>
        <w:spacing w:after="0" w:line="273" w:lineRule="auto"/>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Amended and Restated Viant Technology LLC Agreement classifies the interests acquired by </w:t>
      </w:r>
      <w:r>
        <w:rPr>
          <w:rFonts w:ascii="Arial" w:cs="Arial" w:eastAsia="Arial" w:hAnsi="Arial"/>
          <w:sz w:val="17"/>
          <w:szCs w:val="17"/>
          <w:color w:val="231F20"/>
        </w:rPr>
        <w:t>Viant Technology Inc.</w:t>
      </w:r>
      <w:r>
        <w:rPr>
          <w:rFonts w:ascii="Arial" w:cs="Arial" w:eastAsia="Arial" w:hAnsi="Arial"/>
          <w:sz w:val="17"/>
          <w:szCs w:val="17"/>
          <w:color w:val="auto"/>
        </w:rPr>
        <w:t xml:space="preserve"> as Class A units and reclassified the interests held by the continuing members of the Company as Class B units, and permits the continuing members of the Company to exchange Class B units for shares of Class A common stock on a one-for-one basis or, at the election of the Company, for cash. Immediately following such reclassification, the continuing members held 48,935,559 Class B units. For each membership unit of the Company that is reclassified as a Class B unit, </w:t>
      </w:r>
      <w:r>
        <w:rPr>
          <w:rFonts w:ascii="Arial" w:cs="Arial" w:eastAsia="Arial" w:hAnsi="Arial"/>
          <w:sz w:val="17"/>
          <w:szCs w:val="17"/>
          <w:color w:val="231F20"/>
        </w:rPr>
        <w:t>Viant Technology Inc.</w:t>
      </w:r>
      <w:r>
        <w:rPr>
          <w:rFonts w:ascii="Arial" w:cs="Arial" w:eastAsia="Arial" w:hAnsi="Arial"/>
          <w:sz w:val="17"/>
          <w:szCs w:val="17"/>
          <w:color w:val="auto"/>
        </w:rPr>
        <w:t xml:space="preserve"> issued one corresponding share of its Class B common stock to the continuing members, or 48,935,559 shares of Class B common stock in total;</w:t>
      </w:r>
    </w:p>
    <w:p>
      <w:pPr>
        <w:spacing w:after="0" w:line="177" w:lineRule="exact"/>
        <w:rPr>
          <w:rFonts w:ascii="Arial" w:cs="Arial" w:eastAsia="Arial" w:hAnsi="Arial"/>
          <w:sz w:val="17"/>
          <w:szCs w:val="17"/>
          <w:color w:val="auto"/>
        </w:rPr>
      </w:pPr>
    </w:p>
    <w:p>
      <w:pPr>
        <w:ind w:left="1160" w:right="40" w:hanging="572"/>
        <w:spacing w:after="0" w:line="342"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231F20"/>
        </w:rPr>
        <w:t xml:space="preserve">Viant Technology Inc. </w:t>
      </w:r>
      <w:r>
        <w:rPr>
          <w:rFonts w:ascii="Arial" w:cs="Arial" w:eastAsia="Arial" w:hAnsi="Arial"/>
          <w:sz w:val="16"/>
          <w:szCs w:val="16"/>
          <w:color w:val="000000"/>
        </w:rPr>
        <w:t>issued and sold 10,000,000 shares of its Class A common stock to the underwriters at an initial public offering price</w:t>
      </w:r>
      <w:r>
        <w:rPr>
          <w:rFonts w:ascii="Arial" w:cs="Arial" w:eastAsia="Arial" w:hAnsi="Arial"/>
          <w:sz w:val="16"/>
          <w:szCs w:val="16"/>
          <w:color w:val="231F20"/>
        </w:rPr>
        <w:t xml:space="preserve"> </w:t>
      </w:r>
      <w:r>
        <w:rPr>
          <w:rFonts w:ascii="Arial" w:cs="Arial" w:eastAsia="Arial" w:hAnsi="Arial"/>
          <w:sz w:val="16"/>
          <w:szCs w:val="16"/>
          <w:color w:val="000000"/>
        </w:rPr>
        <w:t>of $25.00 per share, for gross proceeds of $250.0 million before deducting underwriting discounts and commissions of $17.5 million;</w:t>
      </w:r>
    </w:p>
    <w:p>
      <w:pPr>
        <w:spacing w:after="0" w:line="123" w:lineRule="exact"/>
        <w:rPr>
          <w:rFonts w:ascii="Arial" w:cs="Arial" w:eastAsia="Arial" w:hAnsi="Arial"/>
          <w:sz w:val="16"/>
          <w:szCs w:val="16"/>
          <w:color w:val="auto"/>
        </w:rPr>
      </w:pPr>
    </w:p>
    <w:p>
      <w:pPr>
        <w:ind w:left="1160" w:right="1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 xml:space="preserve">Viant Technology Inc. </w:t>
      </w:r>
      <w:r>
        <w:rPr>
          <w:rFonts w:ascii="Arial" w:cs="Arial" w:eastAsia="Arial" w:hAnsi="Arial"/>
          <w:sz w:val="18"/>
          <w:szCs w:val="18"/>
          <w:color w:val="000000"/>
        </w:rPr>
        <w:t>used the net proceeds of $232.5 million to acquire 10,000,000 newly issued Class A units of the Company at a per-unit price equal to the per-share price paid by the underwriters for shares of its Class A common stock;</w:t>
      </w:r>
    </w:p>
    <w:p>
      <w:pPr>
        <w:spacing w:after="0" w:line="170" w:lineRule="exact"/>
        <w:rPr>
          <w:rFonts w:ascii="Arial" w:cs="Arial" w:eastAsia="Arial" w:hAnsi="Arial"/>
          <w:sz w:val="18"/>
          <w:szCs w:val="18"/>
          <w:color w:val="auto"/>
        </w:rPr>
      </w:pPr>
    </w:p>
    <w:p>
      <w:pPr>
        <w:ind w:left="1160" w:right="80" w:hanging="572"/>
        <w:spacing w:after="0" w:line="301"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underwriters exercised their option to purchase 1,500,000 additional shares of Class A common stock from the selling stockholders. </w:t>
      </w:r>
      <w:r>
        <w:rPr>
          <w:rFonts w:ascii="Arial" w:cs="Arial" w:eastAsia="Arial" w:hAnsi="Arial"/>
          <w:sz w:val="16"/>
          <w:szCs w:val="16"/>
          <w:color w:val="231F20"/>
        </w:rPr>
        <w:t xml:space="preserve">Viant Technology Inc. </w:t>
      </w:r>
      <w:r>
        <w:rPr>
          <w:rFonts w:ascii="Arial" w:cs="Arial" w:eastAsia="Arial" w:hAnsi="Arial"/>
          <w:sz w:val="16"/>
          <w:szCs w:val="16"/>
          <w:color w:val="000000"/>
        </w:rPr>
        <w:t>did not receive any proceeds from the sale of shares by the selling stockholders. Pursuant to such exercise, the</w:t>
      </w:r>
      <w:r>
        <w:rPr>
          <w:rFonts w:ascii="Arial" w:cs="Arial" w:eastAsia="Arial" w:hAnsi="Arial"/>
          <w:sz w:val="16"/>
          <w:szCs w:val="16"/>
          <w:color w:val="231F20"/>
        </w:rPr>
        <w:t xml:space="preserve"> </w:t>
      </w:r>
      <w:r>
        <w:rPr>
          <w:rFonts w:ascii="Arial" w:cs="Arial" w:eastAsia="Arial" w:hAnsi="Arial"/>
          <w:sz w:val="16"/>
          <w:szCs w:val="16"/>
          <w:color w:val="000000"/>
        </w:rPr>
        <w:t xml:space="preserve">selling stockholders exchanged the corresponding number of Class B units for the shares of Class A common stock, the corresponding number of shares of Class B common stock were automatically retired, and 1,500,000 Class A units were issued to </w:t>
      </w:r>
      <w:r>
        <w:rPr>
          <w:rFonts w:ascii="Arial" w:cs="Arial" w:eastAsia="Arial" w:hAnsi="Arial"/>
          <w:sz w:val="16"/>
          <w:szCs w:val="16"/>
          <w:color w:val="231F20"/>
        </w:rPr>
        <w:t>Viant Technology Inc.</w:t>
      </w:r>
      <w:r>
        <w:rPr>
          <w:rFonts w:ascii="Arial" w:cs="Arial" w:eastAsia="Arial" w:hAnsi="Arial"/>
          <w:sz w:val="16"/>
          <w:szCs w:val="16"/>
          <w:color w:val="000000"/>
        </w:rPr>
        <w:t>;</w:t>
      </w:r>
    </w:p>
    <w:p>
      <w:pPr>
        <w:spacing w:after="0" w:line="15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 xml:space="preserve">Immediately following the closing of the IPO, the Company is the predecessor of </w:t>
      </w:r>
      <w:r>
        <w:rPr>
          <w:rFonts w:ascii="Arial" w:cs="Arial" w:eastAsia="Arial" w:hAnsi="Arial"/>
          <w:sz w:val="16"/>
          <w:szCs w:val="16"/>
          <w:color w:val="231F20"/>
        </w:rPr>
        <w:t>Viant Technology Inc.</w:t>
      </w:r>
      <w:r>
        <w:rPr>
          <w:rFonts w:ascii="Arial" w:cs="Arial" w:eastAsia="Arial" w:hAnsi="Arial"/>
          <w:sz w:val="16"/>
          <w:szCs w:val="16"/>
          <w:color w:val="auto"/>
        </w:rPr>
        <w:t xml:space="preserve"> for financial reporting purposes. </w:t>
      </w:r>
      <w:r>
        <w:rPr>
          <w:rFonts w:ascii="Arial" w:cs="Arial" w:eastAsia="Arial" w:hAnsi="Arial"/>
          <w:sz w:val="16"/>
          <w:szCs w:val="16"/>
          <w:color w:val="231F20"/>
        </w:rPr>
        <w:t>Viant</w:t>
      </w:r>
      <w:r>
        <w:rPr>
          <w:rFonts w:ascii="Arial" w:cs="Arial" w:eastAsia="Arial" w:hAnsi="Arial"/>
          <w:sz w:val="16"/>
          <w:szCs w:val="16"/>
          <w:color w:val="auto"/>
        </w:rPr>
        <w:t xml:space="preserve"> </w:t>
      </w:r>
      <w:r>
        <w:rPr>
          <w:rFonts w:ascii="Arial" w:cs="Arial" w:eastAsia="Arial" w:hAnsi="Arial"/>
          <w:sz w:val="16"/>
          <w:szCs w:val="16"/>
          <w:color w:val="231F20"/>
        </w:rPr>
        <w:t xml:space="preserve">Technology Inc. </w:t>
      </w:r>
      <w:r>
        <w:rPr>
          <w:rFonts w:ascii="Arial" w:cs="Arial" w:eastAsia="Arial" w:hAnsi="Arial"/>
          <w:sz w:val="16"/>
          <w:szCs w:val="16"/>
          <w:color w:val="000000"/>
        </w:rPr>
        <w:t>is a holding company, and its sole material asset is its equity interest in the Company. As the sole managing member of the Company,</w:t>
      </w:r>
      <w:r>
        <w:rPr>
          <w:rFonts w:ascii="Arial" w:cs="Arial" w:eastAsia="Arial" w:hAnsi="Arial"/>
          <w:sz w:val="16"/>
          <w:szCs w:val="16"/>
          <w:color w:val="231F20"/>
        </w:rPr>
        <w:t xml:space="preserve"> Viant Technology Inc. </w:t>
      </w:r>
      <w:r>
        <w:rPr>
          <w:rFonts w:ascii="Arial" w:cs="Arial" w:eastAsia="Arial" w:hAnsi="Arial"/>
          <w:sz w:val="16"/>
          <w:szCs w:val="16"/>
          <w:color w:val="000000"/>
        </w:rPr>
        <w:t>operates and controls all of the business and affairs of the Company. This reorganization is accounted for as a reorganization of</w:t>
      </w:r>
      <w:r>
        <w:rPr>
          <w:rFonts w:ascii="Arial" w:cs="Arial" w:eastAsia="Arial" w:hAnsi="Arial"/>
          <w:sz w:val="16"/>
          <w:szCs w:val="16"/>
          <w:color w:val="231F20"/>
        </w:rPr>
        <w:t xml:space="preserve"> </w:t>
      </w:r>
      <w:r>
        <w:rPr>
          <w:rFonts w:ascii="Arial" w:cs="Arial" w:eastAsia="Arial" w:hAnsi="Arial"/>
          <w:sz w:val="16"/>
          <w:szCs w:val="16"/>
          <w:color w:val="000000"/>
        </w:rPr>
        <w:t xml:space="preserve">entities under common control. As a result, the consolidated financial statements of </w:t>
      </w:r>
      <w:r>
        <w:rPr>
          <w:rFonts w:ascii="Arial" w:cs="Arial" w:eastAsia="Arial" w:hAnsi="Arial"/>
          <w:sz w:val="16"/>
          <w:szCs w:val="16"/>
          <w:color w:val="231F20"/>
        </w:rPr>
        <w:t>Viant Technology Inc.</w:t>
      </w:r>
      <w:r>
        <w:rPr>
          <w:rFonts w:ascii="Arial" w:cs="Arial" w:eastAsia="Arial" w:hAnsi="Arial"/>
          <w:sz w:val="16"/>
          <w:szCs w:val="16"/>
          <w:color w:val="000000"/>
        </w:rPr>
        <w:t xml:space="preserve"> will recognize the assets and liabilities received in the reorganization at their historical carrying amounts, as reflected in the historical consolidated financial statements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Phantom Unit Plan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231F20"/>
        </w:rPr>
        <w:t>In connection with the IPO, the Company’s Phantom Unit Plan was replaced in conjunction with the adoption of the Viant Technology Inc. 2021 Long Term Incentive Plan.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Annual Report. Based on such evaluation, our CEO and CFO have concluded that as of December 31,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of our independent registered public accounting firm as permitted in this transition period under the rules of the SEC for newly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during the period covered by this Annual Report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sets forth certain information regarding our directors and executive officers as of the date of this Annual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Age</w:t>
            </w:r>
          </w:p>
        </w:tc>
        <w:tc>
          <w:tcPr>
            <w:tcW w:w="48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Tim Vanderhook</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CFF0FC"/>
            </w:tcBorders>
            <w:shd w:val="clear" w:color="auto" w:fill="CFF0FC"/>
          </w:tcPr>
          <w:p>
            <w:pPr>
              <w:spacing w:after="0"/>
              <w:rPr>
                <w:sz w:val="19"/>
                <w:szCs w:val="19"/>
                <w:color w:val="auto"/>
              </w:rPr>
            </w:pPr>
          </w:p>
        </w:tc>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Director, Chairman</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Chris Vanderhook</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Operating Officer; Director</w:t>
            </w: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Larry Madden</w:t>
            </w:r>
          </w:p>
        </w:tc>
        <w:tc>
          <w:tcPr>
            <w:tcW w:w="10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Max Valdes</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Elizabeth Williams</w:t>
            </w:r>
          </w:p>
        </w:tc>
        <w:tc>
          <w:tcPr>
            <w:tcW w:w="10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Executive Officers</w:t>
      </w:r>
    </w:p>
    <w:p>
      <w:pPr>
        <w:spacing w:after="0" w:line="229"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i w:val="1"/>
          <w:iCs w:val="1"/>
          <w:color w:val="231F20"/>
        </w:rPr>
        <w:t xml:space="preserve">Tim Vanderhook </w:t>
      </w:r>
      <w:r>
        <w:rPr>
          <w:rFonts w:ascii="Arial" w:cs="Arial" w:eastAsia="Arial" w:hAnsi="Arial"/>
          <w:sz w:val="18"/>
          <w:szCs w:val="18"/>
          <w:color w:val="231F20"/>
        </w:rPr>
        <w:t>has served as our chief executive officer since October 9, 2020 and has served on our board of directors since October 16, 2020</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has served as chairman of our board of directors since February 2021. He has served as the chief executive officer and board member of Viant Technology LLC since he co-founded the Viant Technology business in 1999. Mr. Vanderhook’s qualifications to serve on the board of directors include his digital advertising expertise and innovation, and his experience as our chief executive officer for over 20 years, which contributes valuable management and technological expertise to the board’s collective knowledge.</w:t>
      </w:r>
    </w:p>
    <w:p>
      <w:pPr>
        <w:spacing w:after="0" w:line="188" w:lineRule="exact"/>
        <w:rPr>
          <w:sz w:val="20"/>
          <w:szCs w:val="20"/>
          <w:color w:val="auto"/>
        </w:rPr>
      </w:pPr>
    </w:p>
    <w:p>
      <w:pPr>
        <w:jc w:val="both"/>
        <w:ind w:right="20" w:firstLine="589"/>
        <w:spacing w:after="0" w:line="275" w:lineRule="auto"/>
        <w:rPr>
          <w:sz w:val="20"/>
          <w:szCs w:val="20"/>
          <w:color w:val="auto"/>
        </w:rPr>
      </w:pPr>
      <w:r>
        <w:rPr>
          <w:rFonts w:ascii="Arial" w:cs="Arial" w:eastAsia="Arial" w:hAnsi="Arial"/>
          <w:sz w:val="17"/>
          <w:szCs w:val="17"/>
          <w:i w:val="1"/>
          <w:iCs w:val="1"/>
          <w:color w:val="231F20"/>
        </w:rPr>
        <w:t xml:space="preserve">Chris Vanderhook </w:t>
      </w:r>
      <w:r>
        <w:rPr>
          <w:rFonts w:ascii="Arial" w:cs="Arial" w:eastAsia="Arial" w:hAnsi="Arial"/>
          <w:sz w:val="17"/>
          <w:szCs w:val="17"/>
          <w:color w:val="231F20"/>
        </w:rPr>
        <w:t>has served as our chief operating officer since October 9, 2020 and has served on our board of directors since October 16, 2020.</w:t>
      </w:r>
      <w:r>
        <w:rPr>
          <w:rFonts w:ascii="Arial" w:cs="Arial" w:eastAsia="Arial" w:hAnsi="Arial"/>
          <w:sz w:val="17"/>
          <w:szCs w:val="17"/>
          <w:i w:val="1"/>
          <w:iCs w:val="1"/>
          <w:color w:val="231F20"/>
        </w:rPr>
        <w:t xml:space="preserve"> </w:t>
      </w:r>
      <w:r>
        <w:rPr>
          <w:rFonts w:ascii="Arial" w:cs="Arial" w:eastAsia="Arial" w:hAnsi="Arial"/>
          <w:sz w:val="17"/>
          <w:szCs w:val="17"/>
          <w:color w:val="231F20"/>
        </w:rPr>
        <w:t>He has served as the chief operating officer and board member of Viant Technology LLC since he co-founded the Viant Technology business in 1999. Mr. Vanderhook’s qualifications to serve on the board of directors include his extensive experience in the digital advertising industry, and his experience as our chief operating officer for over 20 years, which contributes valuable management expertise to the board’s collective knowledge. Mr. Vanderhook received a BS degree in Business Administration at the Marshall School of Business from the University of Southern California.</w:t>
      </w:r>
    </w:p>
    <w:p>
      <w:pPr>
        <w:spacing w:after="0" w:line="176"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i w:val="1"/>
          <w:iCs w:val="1"/>
          <w:color w:val="231F20"/>
        </w:rPr>
        <w:t xml:space="preserve">Larry Madden </w:t>
      </w:r>
      <w:r>
        <w:rPr>
          <w:rFonts w:ascii="Arial" w:cs="Arial" w:eastAsia="Arial" w:hAnsi="Arial"/>
          <w:sz w:val="17"/>
          <w:szCs w:val="17"/>
          <w:color w:val="231F20"/>
        </w:rPr>
        <w:t>has served as our chief financial officer since October 9, 2020 and has served as the chief financial officer of Viant Technology LLC</w:t>
      </w:r>
      <w:r>
        <w:rPr>
          <w:rFonts w:ascii="Arial" w:cs="Arial" w:eastAsia="Arial" w:hAnsi="Arial"/>
          <w:sz w:val="17"/>
          <w:szCs w:val="17"/>
          <w:i w:val="1"/>
          <w:iCs w:val="1"/>
          <w:color w:val="231F20"/>
        </w:rPr>
        <w:t xml:space="preserve"> </w:t>
      </w:r>
      <w:r>
        <w:rPr>
          <w:rFonts w:ascii="Arial" w:cs="Arial" w:eastAsia="Arial" w:hAnsi="Arial"/>
          <w:sz w:val="17"/>
          <w:szCs w:val="17"/>
          <w:color w:val="231F20"/>
        </w:rPr>
        <w:t>since September 2012. Before joining Viant Technology LLC, Mr. Madden served as chief financial officer of a number of media and technology companies starting in 1995. Mr. Madden has extensive public company experience, including as chief financial officer of two Nasdaq-listed companies and as a board member of a third Nasdaq-listed company. Mr. Madden started his career at Ernst &amp; Young where he spent nearly eight years. Mr. Madden is a CPA (inactive) and earned an MBA in finance and strategic management from New York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Directors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Please see “</w:t>
      </w:r>
      <w:r>
        <w:rPr>
          <w:rFonts w:ascii="Arial" w:cs="Arial" w:eastAsia="Arial" w:hAnsi="Arial"/>
          <w:sz w:val="18"/>
          <w:szCs w:val="18"/>
          <w:i w:val="1"/>
          <w:iCs w:val="1"/>
          <w:color w:val="231F20"/>
        </w:rPr>
        <w:t>— Our Executive Officers</w:t>
      </w:r>
      <w:r>
        <w:rPr>
          <w:rFonts w:ascii="Arial" w:cs="Arial" w:eastAsia="Arial" w:hAnsi="Arial"/>
          <w:sz w:val="18"/>
          <w:szCs w:val="18"/>
          <w:color w:val="231F20"/>
        </w:rPr>
        <w:t>” above for the biographical information of Tim Vanderhook and Chris Vanderhook.</w:t>
      </w:r>
    </w:p>
    <w:p>
      <w:pPr>
        <w:spacing w:after="0" w:line="22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i w:val="1"/>
          <w:iCs w:val="1"/>
          <w:color w:val="231F20"/>
        </w:rPr>
        <w:t xml:space="preserve">Max Valdes </w:t>
      </w:r>
      <w:r>
        <w:rPr>
          <w:rFonts w:ascii="Arial" w:cs="Arial" w:eastAsia="Arial" w:hAnsi="Arial"/>
          <w:sz w:val="17"/>
          <w:szCs w:val="17"/>
          <w:color w:val="231F20"/>
        </w:rPr>
        <w:t>has served on our board of directors since February 9, 2021 and is chair of the audit committee. Mr. Valdes is a former Chief Financial</w:t>
      </w:r>
      <w:r>
        <w:rPr>
          <w:rFonts w:ascii="Arial" w:cs="Arial" w:eastAsia="Arial" w:hAnsi="Arial"/>
          <w:sz w:val="17"/>
          <w:szCs w:val="17"/>
          <w:i w:val="1"/>
          <w:iCs w:val="1"/>
          <w:color w:val="231F20"/>
        </w:rPr>
        <w:t xml:space="preserve"> </w:t>
      </w:r>
      <w:r>
        <w:rPr>
          <w:rFonts w:ascii="Arial" w:cs="Arial" w:eastAsia="Arial" w:hAnsi="Arial"/>
          <w:sz w:val="17"/>
          <w:szCs w:val="17"/>
          <w:color w:val="231F20"/>
        </w:rPr>
        <w:t>Officer and Executive Vice President of First American Financial Corporation, a New York Stock Exchange-listed company. Prior to his retirement, Mr. Valdes held numerous financial positions over his 25 years at First American Financial Corporation, including Controller and Chief Accounting Officer. He currently serves on the board of directors and audit committee of First American Trust Company. Mr. Valdes brings a significant level of financial and management expertise to the board of directors. This experience also provides insight regarding public company reporting matters, as well as an understanding of the process of an audit committee’s interactions with the board of directors and management. Mr. Valdes is a CPA and earned a BA degree in Business Administration at the California State University, Fullerton.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ind w:right="60" w:firstLine="589"/>
        <w:spacing w:after="0" w:line="271" w:lineRule="auto"/>
        <w:rPr>
          <w:sz w:val="20"/>
          <w:szCs w:val="20"/>
          <w:color w:val="auto"/>
        </w:rPr>
      </w:pPr>
      <w:r>
        <w:rPr>
          <w:rFonts w:ascii="Arial" w:cs="Arial" w:eastAsia="Arial" w:hAnsi="Arial"/>
          <w:sz w:val="17"/>
          <w:szCs w:val="17"/>
          <w:i w:val="1"/>
          <w:iCs w:val="1"/>
          <w:color w:val="auto"/>
        </w:rPr>
        <w:t xml:space="preserve">Elizabeth Williams </w:t>
      </w:r>
      <w:r>
        <w:rPr>
          <w:rFonts w:ascii="Arial" w:cs="Arial" w:eastAsia="Arial" w:hAnsi="Arial"/>
          <w:sz w:val="17"/>
          <w:szCs w:val="17"/>
          <w:color w:val="auto"/>
        </w:rPr>
        <w:t>has served on our board of directors since February 9, 2021 and is chair of the compensation committee. Ms. Williams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Executive Officer of Drybar Holdings, LLC, an owner of hair salons providing blowouts and hair styling products and accessories, since June 2020. Previously, Ms. Williams was President of Taco Bell International from January 2018 to January 2020, Chief Financial Officer of Taco Bell Corp. from October 2013 to January 2018, and Vice President, Financial Planning &amp; Analysis of Taco Bell Corp. from 2011 to 2013. Ms. Williams currently serves on the board of directors and audit committee of Stitch Fix, Inc., a Nasdaq-listed company. Ms. William’s experience leading a global business and service on other public company boards brings important insight and guidance to the board regarding its responsibilities as a public company, as well as best practices in corporate governance. Ms. Williams earned a BA degree in Business Administration from University of Texas in Austin and an MBA from the Kellogg School of Management at Northwestern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Family Relationships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Tim Vanderhook and Chris Vanderhook are brothers. No other family relationship exists by or among our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Controlled Company Exemption</w:t>
      </w:r>
    </w:p>
    <w:p>
      <w:pPr>
        <w:spacing w:after="0" w:line="229"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231F20"/>
        </w:rPr>
        <w:t>Through their ownership of Class B common stock, the Vanderhook Parties control 74.9% of the voting power of our common stock in the election of directors. Accordingly, we have availed ourselves of the “controlled company” exception available under Nasdaq rules, which eliminates certain requirements, such as the requirements that a company have a majority of independent directors on its board of directors, that compensation of executive officers be determined, or recommended to the board of directors for determination, by a compensation committee composed solely of independent directors, and that director nominees be selected, or recommended for the board of directors’ selection, by a nominations committee composed solely of independent directors. In the event that we cease to be a controlled company, we will be required to comply with these provisions within the transition periods specified in the applicable rules. These exemptions do not modify the independence requirements for our audit committee, and we intend to comply with the applicable requirements of the SEC and Nasdaq with respect to our audit committee within the applicable time frame.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231F20"/>
        </w:rPr>
        <w:t xml:space="preserve">The board of directors has determined that each of Max Valdes and Elizabeth Williams is an “independent director” as such term is defined by the applicable rules and regulations of Nasdaq. As allowed under the applicable rules and regulations of the SEC and Nasdaq, we intend to appoint a third independent director </w:t>
      </w:r>
      <w:r>
        <w:rPr>
          <w:rFonts w:ascii="Arial" w:cs="Arial" w:eastAsia="Arial" w:hAnsi="Arial"/>
          <w:sz w:val="18"/>
          <w:szCs w:val="18"/>
          <w:color w:val="000000"/>
        </w:rPr>
        <w:t>within a year after the closing of our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Composition</w:t>
      </w:r>
    </w:p>
    <w:p>
      <w:pPr>
        <w:spacing w:after="0" w:line="229"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231F20"/>
        </w:rPr>
        <w:t>Our board of directors consists of four directors. In accordance with our amended and restated certificate of incorporation and bylaws, the number of directors on our board of directors will be determined from time to time by the board of directors but shall not be less than three persons nor more than eleven persons.</w:t>
      </w:r>
    </w:p>
    <w:p>
      <w:pPr>
        <w:spacing w:after="0" w:line="184"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231F20"/>
        </w:rPr>
        <w:t>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or our stockholders, provided that, after the Vanderhook Parties cease to beneficially own a majority of the combined voting power of our common stock (the “Triggering Event”), vacancies on our board of directors, whether resulting from an increase in the number of directors or the death, removal or resignation of a director, will be filled only by our board of directors and not by stockholders.</w:t>
      </w:r>
    </w:p>
    <w:p>
      <w:pPr>
        <w:spacing w:after="0" w:line="16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231F20"/>
        </w:rPr>
        <w:t>Our amended and restated certificate of incorporation provides that the board of directors will be divided into three classes of directors, with staggered three-year terms, with the classes to be as nearly equal in number as possible. As a result, approximately one-third of the board of directors will be elected each year. The classification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2" w:name="page113"/>
    <w:bookmarkEnd w:id="112"/>
    <w:p>
      <w:pPr>
        <w:ind w:right="420"/>
        <w:spacing w:after="0" w:line="308" w:lineRule="auto"/>
        <w:rPr>
          <w:sz w:val="20"/>
          <w:szCs w:val="20"/>
          <w:color w:val="auto"/>
        </w:rPr>
      </w:pPr>
      <w:r>
        <w:rPr>
          <w:rFonts w:ascii="Arial" w:cs="Arial" w:eastAsia="Arial" w:hAnsi="Arial"/>
          <w:sz w:val="17"/>
          <w:szCs w:val="17"/>
          <w:color w:val="231F20"/>
        </w:rPr>
        <w:t>of directors has the effect of making it more difficult for stockholders to change the composition of the board of directors. Our Class I director is Max Valdes, our Class II director is Chris Vanderhook, and our Class III directors are Tim Vanderhook and Elizabeth Williams.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Leadership Structure</w:t>
      </w:r>
    </w:p>
    <w:p>
      <w:pPr>
        <w:spacing w:after="0" w:line="225"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231F20"/>
        </w:rPr>
        <w:t>Our board of directors has designated Tim Vanderhook to serve as chairman of the board. Our board of directors believes that it should maintain flexibility to select the chairman of our board of directors and adjust our board leadership structure from time to time. Our board of directors determined that having our chief executive officer also serve as the chairman of our board of directors provides us with optimally effective leadership and is in our best interests and those of our stockholders. Mr. Vanderhook co-founded and has led our company since its inception. Our board of directors believes that Mr. Vanderhook’s strategic vision for our business, his in-depth knowledge of our platform and operations, the ad tech industry, and his experience serving as our chief executive officer since our inception make him well qualified to serve as both chairman of our board of directors and chief executive officer.</w:t>
      </w:r>
    </w:p>
    <w:p>
      <w:pPr>
        <w:spacing w:after="0" w:line="164"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231F20"/>
        </w:rPr>
        <w:t>The role given to the lead independent director helps ensure a strong independent and active board of directors. In 2021, our board of directors appointed Max Valdes to serve as our lead independent director. As lead independent director, Mr. Valdes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Role of our Board in Risk Oversight</w:t>
      </w:r>
    </w:p>
    <w:p>
      <w:pPr>
        <w:spacing w:after="0" w:line="225"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231F20"/>
        </w:rPr>
        <w:t>We face a number of risks, including those described under the section titled “</w:t>
      </w:r>
      <w:r>
        <w:rPr>
          <w:rFonts w:ascii="Arial" w:cs="Arial" w:eastAsia="Arial" w:hAnsi="Arial"/>
          <w:sz w:val="16"/>
          <w:szCs w:val="16"/>
          <w:i w:val="1"/>
          <w:iCs w:val="1"/>
          <w:color w:val="231F20"/>
        </w:rPr>
        <w:t>Risk Factors</w:t>
      </w:r>
      <w:r>
        <w:rPr>
          <w:rFonts w:ascii="Arial" w:cs="Arial" w:eastAsia="Arial" w:hAnsi="Arial"/>
          <w:sz w:val="16"/>
          <w:szCs w:val="16"/>
          <w:color w:val="231F20"/>
        </w:rPr>
        <w:t>” included elsewhere in this Annual Report.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We have three board committees: an audit committee, a compensation committee and a nominating and corporate governance committee.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231F20"/>
        </w:rPr>
        <w:t>The primary responsibilities of our audit committee are to oversee the accounting and financial reporting processes of our company, and to oversee the internal and external audit processes. The audit committee also assists the board of directors in fulfilling its oversight responsibilities by reviewing the financial information provided to stockholders and others, and the system of internal controls established by management and the board of directors. The audit committee oversees the independent auditors, including their independence and objectivity. However, committee members will not act as professional accountants or auditors, and their functions are not intended to duplicate or substitute for the activities of management, or the independent auditors. The audit committee is empowered to retain independent legal counsel and other advisors as it deems necessary or appropriate to assist it in fulfilling its responsibilities, and to approve the fees and other retention terms of its advisors.</w:t>
      </w:r>
    </w:p>
    <w:p>
      <w:pPr>
        <w:spacing w:after="0" w:line="17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231F20"/>
        </w:rPr>
        <w:t>Max Valdes, Elizabeth Williams and Tim Vanderhook are the members of our audit committee. The board of directors has determined that Mr. Valdes qualifies as an “audit committee financial expert” as such term is defined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3" w:name="page114"/>
    <w:bookmarkEnd w:id="113"/>
    <w:p>
      <w:pPr>
        <w:spacing w:after="0" w:line="296" w:lineRule="auto"/>
        <w:rPr>
          <w:sz w:val="20"/>
          <w:szCs w:val="20"/>
          <w:color w:val="auto"/>
        </w:rPr>
      </w:pPr>
      <w:r>
        <w:rPr>
          <w:rFonts w:ascii="Arial" w:cs="Arial" w:eastAsia="Arial" w:hAnsi="Arial"/>
          <w:sz w:val="16"/>
          <w:szCs w:val="16"/>
          <w:color w:val="231F20"/>
        </w:rPr>
        <w:t>under the rules of the SEC implementing Section 407 of the Sarbanes-Oxley Act of 2002, or Sarbanes-Oxley, and that each of Mr. Valdes and Ms. Williams is an “independent” director for purposes of Rule 10A-3 of the Exchange Act and under the listing standards of Nasdaq. Accordingly, we are relying on the phase-in provisions of Rule 10A-3 of the Exchange Act and Nasdaq transition rules applicable to companies completing an initial public offering, and we plan to have an audit committee comprised solely of independent directors that are independent for purposes of serving on an audit committee within one year of our listing. We believe that the functioning of our audit committee complies with the applicable requirements of the SEC and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22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The primary responsibilities of our compensation committee are to periodically review and approve the compensation and other benefits for our employees, officers and independent directors. This includes reviewing and approving corporate goals and objectives relevant to the compensation of our executive officers in light of those goals and objectives, and setting compensation for these officers based on those evaluations. Our compensation committee also administers and has discretionary authority over the issuance of equity awards under our equity incentive plans. The compensation committee may delegate authority to review and approve the compensation of our employees to certain of our executive officers, including with respect to awards made under our equity incentive plans. Even where the compensation committee does not delegate authority, our executive officers will typically make recommendations to the compensation committee regarding compensation to be paid to our employees and the size of equity grants under our equity incentive plans.</w:t>
      </w:r>
    </w:p>
    <w:p>
      <w:pPr>
        <w:spacing w:after="0" w:line="19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231F20"/>
        </w:rPr>
        <w:t>Elizabeth Williams and Chris Vanderhook are the members of our compensation committee. Because we are a “controlled company” under the rules of Nasdaq,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Nominating and Corporate Governance Committee</w:t>
      </w:r>
    </w:p>
    <w:p>
      <w:pPr>
        <w:spacing w:after="0" w:line="22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231F20"/>
        </w:rPr>
        <w:t>Our nominating and corporate governance committee oversees all aspects of our corporate governance functions. The committee makes recommendations to our board of directors regarding director candidates and assists our board of directors in determining the composition of our board of directors and its committees. Tim Vanderhook and Chris Vanderhook are the members of our nominating and corporate governance committee. Because we are a “controlled company” under the rules of Nasdaq,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Conduct and Ethics</w:t>
      </w:r>
    </w:p>
    <w:p>
      <w:pPr>
        <w:spacing w:after="0" w:line="229"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231F20"/>
        </w:rPr>
        <w:t>Our board of directors has adopted a code of conduct and ethics that establishes the standards of ethical conduct applicable to all directors, officers and employees of our company. The code addresses, among other things, conflicts of interest, compliance with disclosure controls and procedures and internal control over financial reporting, corporate opportunities and confidentiality requirements. The audit committee is responsible for applying and interpreting our code of conduct and ethics in situations where questions are presented to it. We expect that any amendments to the code or any waivers of its requirements applicable to our principal executive, financial or accounting officer, or controller will be disclosed on our website at www.viantinc.com. Information contained on our website or linked therein or otherwise connected thereto does not constitute part of nor is it incorporated by reference into the registration statement on Form S-1 (No. 333-252117).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Interlocks and Insider Participation</w:t>
      </w:r>
    </w:p>
    <w:p>
      <w:pPr>
        <w:spacing w:after="0" w:line="229"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231F20"/>
        </w:rPr>
        <w:t>Our compensation committee is composed Elizabeth Williams and Chris Vanderhook. None of our executive officers currently serves, or has served during the last completed fiscal year, as a member of the board of directors, or as a member of the compensation or similar committee, of any entity that has one or more executive officers who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ind w:right="100"/>
        <w:spacing w:after="0" w:line="308" w:lineRule="auto"/>
        <w:rPr>
          <w:sz w:val="20"/>
          <w:szCs w:val="20"/>
          <w:color w:val="auto"/>
        </w:rPr>
      </w:pPr>
      <w:r>
        <w:rPr>
          <w:rFonts w:ascii="Arial" w:cs="Arial" w:eastAsia="Arial" w:hAnsi="Arial"/>
          <w:sz w:val="17"/>
          <w:szCs w:val="17"/>
          <w:color w:val="231F20"/>
        </w:rPr>
        <w:t>served on our board of directors. For a description of the transactions between us and members of the compensation committee, and entities affiliated with such members, see the transactions described under the section entitled “</w:t>
      </w:r>
      <w:r>
        <w:rPr>
          <w:rFonts w:ascii="Arial" w:cs="Arial" w:eastAsia="Arial" w:hAnsi="Arial"/>
          <w:sz w:val="17"/>
          <w:szCs w:val="17"/>
          <w:i w:val="1"/>
          <w:iCs w:val="1"/>
          <w:color w:val="231F20"/>
        </w:rPr>
        <w:t>Certain Relationships and Related Person Transactions</w:t>
      </w:r>
      <w:r>
        <w:rPr>
          <w:rFonts w:ascii="Arial" w:cs="Arial" w:eastAsia="Arial" w:hAnsi="Arial"/>
          <w:sz w:val="17"/>
          <w:szCs w:val="17"/>
          <w:color w:val="231F20"/>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231F20"/>
        </w:rPr>
        <w:t>We are providing compensation disclosure that satisfies the requirements applicable to EGCs, as defined in the JOBS Act. As an EGC, we disclose the compensation of our principal executive officer and the two most highly compensated executive officers other than our principal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Summary Compensation Table</w:t>
      </w:r>
    </w:p>
    <w:p>
      <w:pPr>
        <w:spacing w:after="0" w:line="229"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231F20"/>
        </w:rPr>
        <w:t>The following table sets forth the compensation earned during the years ended December 31, 2019 and 2020 by our principal executive officer and our next two most highly compensated executive officers, who collectively comprise our named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Bonus</w:t>
            </w: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400" w:type="dxa"/>
            <w:vAlign w:val="bottom"/>
            <w:gridSpan w:val="2"/>
          </w:tcPr>
          <w:p>
            <w:pPr>
              <w:ind w:left="48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6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Tim Vanderhook</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&amp; Co-Founder</w:t>
            </w:r>
          </w:p>
        </w:tc>
        <w:tc>
          <w:tcPr>
            <w:tcW w:w="1260" w:type="dxa"/>
            <w:vAlign w:val="bottom"/>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 Vanderhook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Chief Operating Officer &amp; Co-Founder</w:t>
            </w:r>
          </w:p>
        </w:tc>
        <w:tc>
          <w:tcPr>
            <w:tcW w:w="1260" w:type="dxa"/>
            <w:vAlign w:val="bottom"/>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Larry Madden</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645,840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845,840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1260" w:type="dxa"/>
            <w:vAlign w:val="bottom"/>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645,840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264,584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910,424</w:t>
            </w:r>
          </w:p>
        </w:tc>
        <w:tc>
          <w:tcPr>
            <w:tcW w:w="10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256"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We do not have any employment or change in control arrangements with our named executive officers other than Mr. Madden. We entered into an employment agreement with Mr. Madden on March 27, 2017, which was subsequently amended on November 15, 2018 (the “Madden Employment Agreement”). The agreement provides for an initial base salary and an annual bonus opportunity. Such bonus is in the Company’s sole and absolute discretion and conditioned on Mr. Madden remaining employed through the end of the applicable annual bonus period. Subject to Mr. Madden’s execution and delivery of a general release of claims against the Company, Mr. Madden is entitled to base salary continuation for a period of 12 months in the event his employment is terminated by the Company without Cause or due to his resignation for Good Reason (each as defined in the Madden Employment Agreement). Mr. Madden is also eligible to receive COBRA continuation coverage at company-cost for a period of twelve months following such a termination of employment.</w:t>
      </w:r>
    </w:p>
    <w:p>
      <w:pPr>
        <w:spacing w:after="0" w:line="19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231F20"/>
        </w:rPr>
        <w:t>Upon a change in control, our equity and non-equity incentive plans provide for accelerated vesting of outstanding awards held by participants, including our named executive officers. We do not currently expect to enter into employment, severance or change in control arrangements with our named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Units in Viant Technology LLC and the Equity Plan LLC</w:t>
      </w:r>
    </w:p>
    <w:p>
      <w:pPr>
        <w:spacing w:after="0" w:line="229"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231F20"/>
        </w:rPr>
        <w:t>Prior to the IPO, Messrs. Vanderhook and Vanderhook have each had been issued common units in Viant Technology LLC. These common units were full-value awards that were previously subject to time-based vesting conditions. Such vesting conditions lapsed in connection with Viant Technology LLC’s retirement of 600,000 common units from the Former Holdco in 2019. In connection with the IPO, Class B units of Viant Technology LLC and shares of Class B common stock of Viant Technology Inc. were issued in exchange for these previously issued units.</w:t>
      </w:r>
    </w:p>
    <w:p>
      <w:pPr>
        <w:spacing w:after="0" w:line="171"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231F20"/>
        </w:rPr>
        <w:t>Certain of our employees, including Mr. Madden, were granted common units by the Viant Technology Equity Plan LLC (the “Equity Plan LLC.”) Such units were issued to certain of our directors, officers, employees and consultants in consideration for bona fide services provided to us. Common units issued by the Equity Plan LLC are considered “profits interests” within the meaning of U.S. federal and state tax rules. Recipients of such units 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ind w:right="80"/>
        <w:spacing w:after="0" w:line="263" w:lineRule="auto"/>
        <w:rPr>
          <w:sz w:val="20"/>
          <w:szCs w:val="20"/>
          <w:color w:val="auto"/>
        </w:rPr>
      </w:pPr>
      <w:r>
        <w:rPr>
          <w:rFonts w:ascii="Arial" w:cs="Arial" w:eastAsia="Arial" w:hAnsi="Arial"/>
          <w:sz w:val="18"/>
          <w:szCs w:val="18"/>
          <w:color w:val="231F20"/>
        </w:rPr>
        <w:t>not immediately entitled upon grant to receive distributions upon a liquidation. Instead, the holders of such units are entitled to receive an allocation of a portion of our profits arising after the date of the grant and, subject to vesting conditions, distributions made out of a portion of our profits arising after the grant date of such units.</w:t>
      </w:r>
    </w:p>
    <w:p>
      <w:pPr>
        <w:spacing w:after="0" w:line="184"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231F20"/>
        </w:rPr>
        <w:t>Prior to the IPO, each common unit of the Equity Plan LLC corresponded to a common unit of Viant Technology LLC granted to the Equity Plan LLC by Viant Technology LLC. In connection with the IPO, Class B units of Viant Technology LLC and shares of Class B common stock of Viant Technology Inc. were issued to Equity Plan LLC in exchange for these previously issued units, The common units issued by the Equity Plan LLC to our service providers that will remain outstanding will represent an indirect interest in the Class B units of Viant Technology LLC and the Class B common stock of Viant Technology Inc. held by Equity Plan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Viant Technology LLC 2020 Equity Based Incentive Compensation Plan</w:t>
      </w:r>
    </w:p>
    <w:p>
      <w:pPr>
        <w:spacing w:after="0" w:line="22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231F20"/>
        </w:rPr>
        <w:t>Mr. Madden was granted 1,000,000 phantom units under the Viant Technology LLC 2020 Equity Based Incentive Compensation Plan (the “Phantom Unit Plan”). The Phantom Unit Plan provides for grants of phantom units to employees, officers, and directors of Viant Technology LLC. Each phantom unit provides a participant with a contractual right to receive a payment with respect to his or her vested phantom units upon the consummation of a “Deemed Liquidation Event.” The value of each phantom unit is based on the amount that a hypothetical member who holds common units in Viant Technology LLC would receive in connection with a Deemed Liquidation Event in excess of the distribution threshold applicable to the phantom unit. Such distribution threshold is established at the time of grant. We replaced awards under this plan with awards issued pursuant to the 2021 LTIP in connection with the IPO.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Viant Technology Inc. 2021 Long-Term Incentive Plan</w:t>
      </w:r>
    </w:p>
    <w:p>
      <w:pPr>
        <w:spacing w:after="0" w:line="229"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231F20"/>
        </w:rPr>
        <w:t xml:space="preserve">Our board of directors adopted the 2021 LTIP, a new omnibus long-term incentive plan, and the 2021 LTIP was approved by our stockholders in connection with our IPO. We granted under the 2021 LTIP equity awards in connection with our Phantom Unit Plan consisting of restricted stock units (“RSUs”) to certain employees, including certain of our named executive officers, </w:t>
      </w:r>
      <w:r>
        <w:rPr>
          <w:rFonts w:ascii="Arial" w:cs="Arial" w:eastAsia="Arial" w:hAnsi="Arial"/>
          <w:sz w:val="16"/>
          <w:szCs w:val="16"/>
          <w:color w:val="000000"/>
        </w:rPr>
        <w:t>as well as equity awards consisting of RSUs to certain of our non-employee directors</w:t>
      </w:r>
      <w:r>
        <w:rPr>
          <w:rFonts w:ascii="Arial" w:cs="Arial" w:eastAsia="Arial" w:hAnsi="Arial"/>
          <w:sz w:val="16"/>
          <w:szCs w:val="16"/>
          <w:color w:val="231F20"/>
        </w:rPr>
        <w:t>, with an aggregate grant date fair value of $155 million. Mr. Madden received 510,000 RSUs as replacement of his interests in the</w:t>
      </w:r>
      <w:r>
        <w:rPr>
          <w:rFonts w:ascii="Arial" w:cs="Arial" w:eastAsia="Arial" w:hAnsi="Arial"/>
          <w:sz w:val="16"/>
          <w:szCs w:val="16"/>
          <w:color w:val="000000"/>
        </w:rPr>
        <w:t xml:space="preserve"> </w:t>
      </w:r>
      <w:r>
        <w:rPr>
          <w:rFonts w:ascii="Arial" w:cs="Arial" w:eastAsia="Arial" w:hAnsi="Arial"/>
          <w:sz w:val="16"/>
          <w:szCs w:val="16"/>
          <w:color w:val="231F20"/>
        </w:rPr>
        <w:t>Phantom Unit Plan. A portion of these RSUs will be vested at the time of release of the lock-up agreements entered into in connection with our IPO and the remainder of the RSUs will continue to vest following grant, subject to continued employment through the applicable vesting date.</w:t>
      </w:r>
    </w:p>
    <w:p>
      <w:pPr>
        <w:spacing w:after="0" w:line="164"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i w:val="1"/>
          <w:iCs w:val="1"/>
          <w:color w:val="231F20"/>
        </w:rPr>
        <w:t>Purpose</w:t>
      </w:r>
      <w:r>
        <w:rPr>
          <w:rFonts w:ascii="Arial" w:cs="Arial" w:eastAsia="Arial" w:hAnsi="Arial"/>
          <w:sz w:val="18"/>
          <w:szCs w:val="18"/>
          <w:color w:val="231F20"/>
        </w:rPr>
        <w:t>. The 2021 LTIP is intended to help the Company secure and retain the services of eligible award recipients, provide incentives for such</w:t>
      </w:r>
      <w:r>
        <w:rPr>
          <w:rFonts w:ascii="Arial" w:cs="Arial" w:eastAsia="Arial" w:hAnsi="Arial"/>
          <w:sz w:val="18"/>
          <w:szCs w:val="18"/>
          <w:i w:val="1"/>
          <w:iCs w:val="1"/>
          <w:color w:val="231F20"/>
        </w:rPr>
        <w:t xml:space="preserve"> </w:t>
      </w:r>
      <w:r>
        <w:rPr>
          <w:rFonts w:ascii="Arial" w:cs="Arial" w:eastAsia="Arial" w:hAnsi="Arial"/>
          <w:sz w:val="18"/>
          <w:szCs w:val="18"/>
          <w:color w:val="231F20"/>
        </w:rPr>
        <w:t>persons to exert maximum efforts for the success of the Company and its affiliates and provide a means by which the eligible recipients may benefit from increases in the value of our common stock.</w:t>
      </w:r>
    </w:p>
    <w:p>
      <w:pPr>
        <w:spacing w:after="0" w:line="184" w:lineRule="exact"/>
        <w:rPr>
          <w:sz w:val="20"/>
          <w:szCs w:val="20"/>
          <w:color w:val="auto"/>
        </w:rPr>
      </w:pPr>
    </w:p>
    <w:p>
      <w:pPr>
        <w:ind w:right="520" w:firstLine="589"/>
        <w:spacing w:after="0" w:line="308" w:lineRule="auto"/>
        <w:rPr>
          <w:sz w:val="20"/>
          <w:szCs w:val="20"/>
          <w:color w:val="auto"/>
        </w:rPr>
      </w:pPr>
      <w:r>
        <w:rPr>
          <w:rFonts w:ascii="Arial" w:cs="Arial" w:eastAsia="Arial" w:hAnsi="Arial"/>
          <w:sz w:val="17"/>
          <w:szCs w:val="17"/>
          <w:i w:val="1"/>
          <w:iCs w:val="1"/>
          <w:color w:val="231F20"/>
        </w:rPr>
        <w:t>Eligibility</w:t>
      </w:r>
      <w:r>
        <w:rPr>
          <w:rFonts w:ascii="Arial" w:cs="Arial" w:eastAsia="Arial" w:hAnsi="Arial"/>
          <w:sz w:val="17"/>
          <w:szCs w:val="17"/>
          <w:color w:val="231F20"/>
        </w:rPr>
        <w:t>. Equity awards, including RSUs, may be granted to employees, including officers, non-employee directors, and consultants of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Company and its affiliates. Only our employees and those of our affiliates are eligible to receive incentive stock options.</w:t>
      </w:r>
    </w:p>
    <w:p>
      <w:pPr>
        <w:spacing w:after="0" w:line="146" w:lineRule="exact"/>
        <w:rPr>
          <w:sz w:val="20"/>
          <w:szCs w:val="20"/>
          <w:color w:val="auto"/>
        </w:rPr>
      </w:pPr>
    </w:p>
    <w:p>
      <w:pPr>
        <w:ind w:right="800" w:firstLine="589"/>
        <w:spacing w:after="0" w:line="342" w:lineRule="auto"/>
        <w:rPr>
          <w:sz w:val="20"/>
          <w:szCs w:val="20"/>
          <w:color w:val="auto"/>
        </w:rPr>
      </w:pPr>
      <w:r>
        <w:rPr>
          <w:rFonts w:ascii="Arial" w:cs="Arial" w:eastAsia="Arial" w:hAnsi="Arial"/>
          <w:sz w:val="16"/>
          <w:szCs w:val="16"/>
          <w:i w:val="1"/>
          <w:iCs w:val="1"/>
          <w:color w:val="231F20"/>
        </w:rPr>
        <w:t>Types of Equity Awards</w:t>
      </w:r>
      <w:r>
        <w:rPr>
          <w:rFonts w:ascii="Arial" w:cs="Arial" w:eastAsia="Arial" w:hAnsi="Arial"/>
          <w:sz w:val="16"/>
          <w:szCs w:val="16"/>
          <w:color w:val="231F20"/>
        </w:rPr>
        <w:t>. The 2021 LTIP provides for the grant of incentive stock options within the meaning of Section 422 of the Code,</w:t>
      </w:r>
      <w:r>
        <w:rPr>
          <w:rFonts w:ascii="Arial" w:cs="Arial" w:eastAsia="Arial" w:hAnsi="Arial"/>
          <w:sz w:val="16"/>
          <w:szCs w:val="16"/>
          <w:i w:val="1"/>
          <w:iCs w:val="1"/>
          <w:color w:val="231F20"/>
        </w:rPr>
        <w:t xml:space="preserve"> </w:t>
      </w:r>
      <w:r>
        <w:rPr>
          <w:rFonts w:ascii="Arial" w:cs="Arial" w:eastAsia="Arial" w:hAnsi="Arial"/>
          <w:sz w:val="16"/>
          <w:szCs w:val="16"/>
          <w:color w:val="231F20"/>
        </w:rPr>
        <w:t>nonqualified stock options, stock appreciation rights (“SARs”), restricted stock awards (“RSAs”), RSUs and performance stock awards.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6" w:name="page117"/>
    <w:bookmarkEnd w:id="116"/>
    <w:p>
      <w:pPr>
        <w:ind w:firstLine="589"/>
        <w:spacing w:after="0" w:line="273" w:lineRule="auto"/>
        <w:rPr>
          <w:sz w:val="20"/>
          <w:szCs w:val="20"/>
          <w:color w:val="auto"/>
        </w:rPr>
      </w:pPr>
      <w:r>
        <w:rPr>
          <w:rFonts w:ascii="Arial" w:cs="Arial" w:eastAsia="Arial" w:hAnsi="Arial"/>
          <w:sz w:val="17"/>
          <w:szCs w:val="17"/>
          <w:i w:val="1"/>
          <w:iCs w:val="1"/>
          <w:color w:val="231F20"/>
        </w:rPr>
        <w:t>Authorized Shares</w:t>
      </w:r>
      <w:r>
        <w:rPr>
          <w:rFonts w:ascii="Arial" w:cs="Arial" w:eastAsia="Arial" w:hAnsi="Arial"/>
          <w:sz w:val="17"/>
          <w:szCs w:val="17"/>
          <w:color w:val="231F20"/>
        </w:rPr>
        <w:t>. Subject to adjustment for certain dilutive or related events, the aggregate maximum number of shares of our Class A common</w:t>
      </w:r>
      <w:r>
        <w:rPr>
          <w:rFonts w:ascii="Arial" w:cs="Arial" w:eastAsia="Arial" w:hAnsi="Arial"/>
          <w:sz w:val="17"/>
          <w:szCs w:val="17"/>
          <w:i w:val="1"/>
          <w:iCs w:val="1"/>
          <w:color w:val="231F20"/>
        </w:rPr>
        <w:t xml:space="preserve"> </w:t>
      </w:r>
      <w:r>
        <w:rPr>
          <w:rFonts w:ascii="Arial" w:cs="Arial" w:eastAsia="Arial" w:hAnsi="Arial"/>
          <w:sz w:val="17"/>
          <w:szCs w:val="17"/>
          <w:color w:val="231F20"/>
        </w:rPr>
        <w:t>stock that may be issued pursuant to stock awards under the 2021 LTIP, or the Share Reserve, is 11,787,112 shares of Class A common stock. The Share Reserve will automatically increase on January 1 of each year commencing on January 1, 2022 and ending with a final increase on January 1, 2031 in an amount equal to 5% of the total number of shares of capital stock outstanding on December 31st of the preceding calendar year; provided, however, that our board of directors may provide that there will not be a January 1st increase in the Share Reserve in a given year or that the increase will be less than 5% of the shares of capital stock outstanding on the preceding December 31st.</w:t>
      </w:r>
    </w:p>
    <w:p>
      <w:pPr>
        <w:spacing w:after="0" w:line="178"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231F20"/>
        </w:rPr>
        <w:t>The Share Reserve will not be reduced if an award or any portion thereof (i) expires, is canceled, is forfeited or otherwise terminates without all of the shares covered by such award having been issued or (ii) is settled in cash. If any shares of common stock issued under an equity award are forfeited back to, or repurchased by, the Company, such shares will revert to and again be made available for issuance under the 2021 LTIP. Any shares retained or reacquired by the Company in satisfaction of tax withholding obligations, as consideration for the exercise or purchase price of an equity award, or with the proceeds paid by the participant under the terms of an equity award, will also again become available for issuance under the 2021 LTIP. If the Company repurchases shares of Class A common stock with stock option exercise or stock purchase proceeds, such shares will be added to the Share Reserve.</w:t>
      </w:r>
    </w:p>
    <w:p>
      <w:pPr>
        <w:spacing w:after="0" w:line="16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231F20"/>
        </w:rPr>
        <w:t>Shares issued under the 2021 LTIP may consist of authorized but unissued or reacquired Class A common stock of the Company, including shares repurchased by the Company on the open market or otherwise or shares classified as treasury shares.</w:t>
      </w:r>
    </w:p>
    <w:p>
      <w:pPr>
        <w:spacing w:after="0" w:line="170"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i w:val="1"/>
          <w:iCs w:val="1"/>
          <w:color w:val="231F20"/>
        </w:rPr>
        <w:t>Plan Administration</w:t>
      </w:r>
      <w:r>
        <w:rPr>
          <w:rFonts w:ascii="Arial" w:cs="Arial" w:eastAsia="Arial" w:hAnsi="Arial"/>
          <w:sz w:val="16"/>
          <w:szCs w:val="16"/>
          <w:color w:val="231F20"/>
        </w:rPr>
        <w:t>. Our board of directors has the authority to administer the 2021 LTIP, including the powers to: (i) determine who will be</w:t>
      </w:r>
      <w:r>
        <w:rPr>
          <w:rFonts w:ascii="Arial" w:cs="Arial" w:eastAsia="Arial" w:hAnsi="Arial"/>
          <w:sz w:val="16"/>
          <w:szCs w:val="16"/>
          <w:i w:val="1"/>
          <w:iCs w:val="1"/>
          <w:color w:val="231F20"/>
        </w:rPr>
        <w:t xml:space="preserve"> </w:t>
      </w:r>
      <w:r>
        <w:rPr>
          <w:rFonts w:ascii="Arial" w:cs="Arial" w:eastAsia="Arial" w:hAnsi="Arial"/>
          <w:sz w:val="16"/>
          <w:szCs w:val="16"/>
          <w:color w:val="231F20"/>
        </w:rPr>
        <w:t>granted equity awards and what type of equity award, when and how each equity award will be granted, the provisions of each equity award (which need not be identical), the number of shares or cash value subject to an equity award and the fair market value applicable to an equity award; (ii) construe and interpret the 2021 LTIP and equity awards granted thereunder and establish, amend and revoke rules and regulations for administration of the 2021 LTIP and equity awards, including the ability to correct any defect, omission or inconsistency in the 2021 LTIP or any equity award document; (iii) settle all controversies regarding the 2021 LTIP and equity awards granted thereunder; (iv) accelerate or extend, in whole or in part, the time during which an equity award may be exercised or vested or at which cash or shares may be issued; (v) suspend or terminate the 2021 LTIP; (vi) amend the 2021 LTIP; (vii) submit any amendment to the 2021 LTIP for stockholder approval; (viii) approve forms of award documents for use under the 2021 LTIP and to amend the terms of any one or more outstanding equity awards; (ix) generally exercise such powers and perform such acts as the board of directors may deem necessary or expedient to promote the best interests of the Company and that are not in conflict with the provisions of the 2021 LTIP or any equity award documents; and (x) adopt procedures and sub-plans as are necessary or appropriate.</w:t>
      </w:r>
    </w:p>
    <w:p>
      <w:pPr>
        <w:spacing w:after="0" w:line="172"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231F20"/>
        </w:rPr>
        <w:t>Subject to the provisions of the 2021 LTIP, our board of directors may delegate all or some of the administration of the 2021 LTIP to a committee of one or more directors and may delegate to one or more officers the authority to designate employees who are not officers to be recipients of options and SARs (and, to the extent permitted by applicable law, other equity awards) and, to the extent permitted by applicable law, to determine the terms of such equity awards and the number of shares of Class A common stock to be subject to such equity awards granted to such employees. Unless otherwise provided by the board of directors, delegation of authority by the board of directors to a committee or an officer will not limit the authority of the board. All determinations, interpretations and constructions made by the board (or another authorized committee or officer exercising powers delegated by the board) in good faith will be final, binding and conclusive on all persons. Pursuant to the provisions of the 2021 LTIP, the board will delegate administration of the 2021 LTIP to the compensation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firstLine="589"/>
        <w:spacing w:after="0" w:line="269" w:lineRule="auto"/>
        <w:rPr>
          <w:sz w:val="20"/>
          <w:szCs w:val="20"/>
          <w:color w:val="auto"/>
        </w:rPr>
      </w:pPr>
      <w:r>
        <w:rPr>
          <w:rFonts w:ascii="Arial" w:cs="Arial" w:eastAsia="Arial" w:hAnsi="Arial"/>
          <w:sz w:val="17"/>
          <w:szCs w:val="17"/>
          <w:i w:val="1"/>
          <w:iCs w:val="1"/>
          <w:color w:val="231F20"/>
        </w:rPr>
        <w:t>Stock Options</w:t>
      </w:r>
      <w:r>
        <w:rPr>
          <w:rFonts w:ascii="Arial" w:cs="Arial" w:eastAsia="Arial" w:hAnsi="Arial"/>
          <w:sz w:val="17"/>
          <w:szCs w:val="17"/>
          <w:color w:val="231F20"/>
        </w:rPr>
        <w:t>. A stock option may be granted as an incentive stock option or a nonqualified stock option. The option exercise price may not be</w:t>
      </w:r>
      <w:r>
        <w:rPr>
          <w:rFonts w:ascii="Arial" w:cs="Arial" w:eastAsia="Arial" w:hAnsi="Arial"/>
          <w:sz w:val="17"/>
          <w:szCs w:val="17"/>
          <w:i w:val="1"/>
          <w:iCs w:val="1"/>
          <w:color w:val="231F20"/>
        </w:rPr>
        <w:t xml:space="preserve"> </w:t>
      </w:r>
      <w:r>
        <w:rPr>
          <w:rFonts w:ascii="Arial" w:cs="Arial" w:eastAsia="Arial" w:hAnsi="Arial"/>
          <w:sz w:val="17"/>
          <w:szCs w:val="17"/>
          <w:color w:val="231F20"/>
        </w:rPr>
        <w:t>less than the fair market value of the stock subject to the option on the date the option is granted or, with respect to incentive stock options, less than 110% of the fair market value if the recipient owns stock possessing more than 10% of the total combined voting power of all classes of stock of the Company or any affiliate unless the option was granted pursuant to an assumption or substitution for another option in a manner satisfying the provisions of Section 409A and, if applicable, Section 424(a) of the Code. Options will not be exercisable after the expiration of ten years from the date of grant (or five years, in the case of an incentive stock option issued to a stockholder possessing more than 10% of the total combined voting power of all classes of stock of the Company or any affiliate). Each equity award agreement will set forth the number of shares subject to each option. The purchase price of any shares acquired pursuant to an option may be payable in cash, check, bank draft, money order, net exercise or as otherwise determined by the board and set forth in the award agreement, including through an irrevocable commitment by a broker to pay over such amount from a sale of the shares issuable under the option and the delivery of previously owned shares. The vesting schedule applicable to any option, including any performance conditions, will be as set forth in the equity award agreement.</w:t>
      </w:r>
    </w:p>
    <w:p>
      <w:pPr>
        <w:spacing w:after="0" w:line="182"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i w:val="1"/>
          <w:iCs w:val="1"/>
          <w:color w:val="231F20"/>
        </w:rPr>
        <w:t>Stock Appreciation Rights</w:t>
      </w:r>
      <w:r>
        <w:rPr>
          <w:rFonts w:ascii="Arial" w:cs="Arial" w:eastAsia="Arial" w:hAnsi="Arial"/>
          <w:sz w:val="17"/>
          <w:szCs w:val="17"/>
          <w:color w:val="231F20"/>
        </w:rPr>
        <w:t>. A SAR is a right that entitles the participant to receive, in cash or shares of stock or a combination thereof, as</w:t>
      </w:r>
      <w:r>
        <w:rPr>
          <w:rFonts w:ascii="Arial" w:cs="Arial" w:eastAsia="Arial" w:hAnsi="Arial"/>
          <w:sz w:val="17"/>
          <w:szCs w:val="17"/>
          <w:i w:val="1"/>
          <w:iCs w:val="1"/>
          <w:color w:val="231F20"/>
        </w:rPr>
        <w:t xml:space="preserve"> </w:t>
      </w:r>
      <w:r>
        <w:rPr>
          <w:rFonts w:ascii="Arial" w:cs="Arial" w:eastAsia="Arial" w:hAnsi="Arial"/>
          <w:sz w:val="17"/>
          <w:szCs w:val="17"/>
          <w:color w:val="231F20"/>
        </w:rPr>
        <w:t>determined by the board, value equal to or otherwise based on the excess of (i) the fair market value of a specified number of shares at the time of exercise over (ii) the exercise price of the right, as established by the board on the date of grant. Upon exercising a SAR, the participant is entitled to receive the amount by which the fair market value of the stock at the time of exercise exceeds the exercise price of the SAR. The exercise price of each SAR may not be less than the fair market value of the stock subject to the equity award on the date the SAR is granted, unless the SAR was granted pursuant to an assumption of or substitution for another option in a manner satisfying the provisions of Section 409A of the Code. SARs will not be exercisable after the expiration of ten years from the date of grant. Each equity award agreement will set forth the number of shares subject to the SAR. The vesting schedule applicable to any SAR, including any performance conditions, will be as set forth in the equity award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Provisions Applicable to Both Options and SARs</w:t>
      </w:r>
    </w:p>
    <w:p>
      <w:pPr>
        <w:spacing w:after="0" w:line="225"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i w:val="1"/>
          <w:iCs w:val="1"/>
          <w:color w:val="231F20"/>
        </w:rPr>
        <w:t>Transferability</w:t>
      </w:r>
      <w:r>
        <w:rPr>
          <w:rFonts w:ascii="Arial" w:cs="Arial" w:eastAsia="Arial" w:hAnsi="Arial"/>
          <w:sz w:val="16"/>
          <w:szCs w:val="16"/>
          <w:color w:val="231F20"/>
        </w:rPr>
        <w:t>. The board may, in its sole discretion, impose limitations on the transferability of options and SARs. Unless the board provides</w:t>
      </w:r>
      <w:r>
        <w:rPr>
          <w:rFonts w:ascii="Arial" w:cs="Arial" w:eastAsia="Arial" w:hAnsi="Arial"/>
          <w:sz w:val="16"/>
          <w:szCs w:val="16"/>
          <w:i w:val="1"/>
          <w:iCs w:val="1"/>
          <w:color w:val="231F20"/>
        </w:rPr>
        <w:t xml:space="preserve"> </w:t>
      </w:r>
      <w:r>
        <w:rPr>
          <w:rFonts w:ascii="Arial" w:cs="Arial" w:eastAsia="Arial" w:hAnsi="Arial"/>
          <w:sz w:val="16"/>
          <w:szCs w:val="16"/>
          <w:color w:val="231F20"/>
        </w:rPr>
        <w:t>otherwise, an option or SAR will not be transferable except by will or the laws of descent and distribution and will be exercisable during the lifetime of a participant only by such participant. The board may permit transfer of an option or SAR in a manner not prohibited by applicable law. Subject to approval by the board, an option or SAR may be transferred pursuant to the terms of a domestic relations order or similar instrument or pursuant to a beneficiary designation. An option or SAR may also be transferred to certain family members or trusts in accordance with the provisions of the 2021 LTIP.</w:t>
      </w:r>
    </w:p>
    <w:p>
      <w:pPr>
        <w:spacing w:after="0" w:line="161"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i w:val="1"/>
          <w:iCs w:val="1"/>
          <w:color w:val="231F20"/>
        </w:rPr>
        <w:t>Termination of Service</w:t>
      </w:r>
      <w:r>
        <w:rPr>
          <w:rFonts w:ascii="Arial" w:cs="Arial" w:eastAsia="Arial" w:hAnsi="Arial"/>
          <w:sz w:val="16"/>
          <w:szCs w:val="16"/>
          <w:color w:val="231F20"/>
        </w:rPr>
        <w:t>. Except as otherwise provided in an applicable award document or other agreement between a participant and the Company</w:t>
      </w:r>
      <w:r>
        <w:rPr>
          <w:rFonts w:ascii="Arial" w:cs="Arial" w:eastAsia="Arial" w:hAnsi="Arial"/>
          <w:sz w:val="16"/>
          <w:szCs w:val="16"/>
          <w:i w:val="1"/>
          <w:iCs w:val="1"/>
          <w:color w:val="231F20"/>
        </w:rPr>
        <w:t xml:space="preserve"> </w:t>
      </w:r>
      <w:r>
        <w:rPr>
          <w:rFonts w:ascii="Arial" w:cs="Arial" w:eastAsia="Arial" w:hAnsi="Arial"/>
          <w:sz w:val="16"/>
          <w:szCs w:val="16"/>
          <w:color w:val="231F20"/>
        </w:rPr>
        <w:t>or any affiliate, upon a termination for any reason other than for cause or due to death or disability, a participant may exercise his or her option or SAR (to the extent such award was exercisable as of the date of termination) for a period of three (3) months following the termination date or, if earlier, until the expiration of the term of such equity award. Upon a termination due to a participant’s disability, unless otherwise provided in an applicable award or other agreement, the participant may exercise his or her option or SAR (to the extent that such equity award was exercisable as of the date of termination) for a period of twelve (12) months following the termination date or, if earlier, until the expiration of the term of such equity award. Upon a termination due to a participant’s death, unless otherwise provided in an applicable award or other agreement, the participant’s estate may exercise the option or SAR (to the extent such award was exercisable as of the termination date) for a period of twelve (12) months following the termination date or, if earlier, until the expiration of the term of such equity award. Unless provided otherwise in an equity award or other agreement, an option or SAR will terminate on the date that a participant is terminated for cause and the participant will not be permitted to exercise such equity award.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231F20"/>
        </w:rPr>
        <w:t>Awards Other Than Options and SARs</w:t>
      </w:r>
    </w:p>
    <w:p>
      <w:pPr>
        <w:spacing w:after="0" w:line="22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i w:val="1"/>
          <w:iCs w:val="1"/>
          <w:color w:val="231F20"/>
        </w:rPr>
        <w:t>Restricted Stock Awards and Restricted Stock Units</w:t>
      </w:r>
      <w:r>
        <w:rPr>
          <w:rFonts w:ascii="Arial" w:cs="Arial" w:eastAsia="Arial" w:hAnsi="Arial"/>
          <w:sz w:val="18"/>
          <w:szCs w:val="18"/>
          <w:color w:val="231F20"/>
        </w:rPr>
        <w:t>. RSAs are awards of shares, the grant, issuance, retention, vesting and/or transferability of</w:t>
      </w:r>
      <w:r>
        <w:rPr>
          <w:rFonts w:ascii="Arial" w:cs="Arial" w:eastAsia="Arial" w:hAnsi="Arial"/>
          <w:sz w:val="18"/>
          <w:szCs w:val="18"/>
          <w:i w:val="1"/>
          <w:iCs w:val="1"/>
          <w:color w:val="231F20"/>
        </w:rPr>
        <w:t xml:space="preserve"> </w:t>
      </w:r>
      <w:r>
        <w:rPr>
          <w:rFonts w:ascii="Arial" w:cs="Arial" w:eastAsia="Arial" w:hAnsi="Arial"/>
          <w:sz w:val="18"/>
          <w:szCs w:val="18"/>
          <w:color w:val="231F20"/>
        </w:rPr>
        <w:t>which is subject during specified periods of time to such conditions (including continued employment) and terms as the board deems appropriate. RSUs are equity awards denominated in units under which the issuance of shares (or cash payment in lieu thereof) is subject to such conditions (including continued employment) and terms as the board deems appropriate. Each equity award document evidencing a grant of RSAs or RSUs will set forth the terms and conditions of each equity award, including vesting and forfeiture provisions, transferability and, if applicable, right to receive dividends or dividend equivalents.</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i w:val="1"/>
          <w:iCs w:val="1"/>
          <w:color w:val="231F20"/>
        </w:rPr>
        <w:t>Performance Stock Awards</w:t>
      </w:r>
      <w:r>
        <w:rPr>
          <w:rFonts w:ascii="Arial" w:cs="Arial" w:eastAsia="Arial" w:hAnsi="Arial"/>
          <w:sz w:val="18"/>
          <w:szCs w:val="18"/>
          <w:color w:val="231F20"/>
        </w:rPr>
        <w:t>. A performance stock award is an equity award that is payable contingent upon the attainment during a performance</w:t>
      </w:r>
      <w:r>
        <w:rPr>
          <w:rFonts w:ascii="Arial" w:cs="Arial" w:eastAsia="Arial" w:hAnsi="Arial"/>
          <w:sz w:val="18"/>
          <w:szCs w:val="18"/>
          <w:i w:val="1"/>
          <w:iCs w:val="1"/>
          <w:color w:val="231F20"/>
        </w:rPr>
        <w:t xml:space="preserve"> </w:t>
      </w:r>
      <w:r>
        <w:rPr>
          <w:rFonts w:ascii="Arial" w:cs="Arial" w:eastAsia="Arial" w:hAnsi="Arial"/>
          <w:sz w:val="18"/>
          <w:szCs w:val="18"/>
          <w:color w:val="231F20"/>
        </w:rPr>
        <w:t>period of certain performance goals. A performance stock award may, but need not, require the completion of a specified period of service. The length of any performance period, the applicable performance goals, and the measurement of whether and to what degree such performance goals have been attained will be as determined by the compensation committee or the board. The compensation committee or the board retains the discretion to reduce or eliminate the compensation or economic benefit upon the attainment of any performance goals and to define the manner of calculating the performance criteria it selects to use for a performance period.</w:t>
      </w:r>
    </w:p>
    <w:p>
      <w:pPr>
        <w:spacing w:after="0" w:line="19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i w:val="1"/>
          <w:iCs w:val="1"/>
          <w:color w:val="231F20"/>
        </w:rPr>
        <w:t>Certain Adjustments</w:t>
      </w:r>
      <w:r>
        <w:rPr>
          <w:rFonts w:ascii="Arial" w:cs="Arial" w:eastAsia="Arial" w:hAnsi="Arial"/>
          <w:sz w:val="17"/>
          <w:szCs w:val="17"/>
          <w:color w:val="231F20"/>
        </w:rPr>
        <w:t>. In the event of any change in the capitalization of the Company, the board will appropriately and proportionately adjust: (i)</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class(es) and maximum number of securities subject to the 2021 LTIP; (ii) the class(es) and maximum number of securities that may be issued pursuant to the exercise of incentive stock options; and (iii) the class(es) and number of securities or other property and value (including price per share of stock) subject to outstanding equity awards. The board will make such adjustments, and its determination will be final, binding, and conclusive. Unless provided otherwise in an equity award or other agreement, in the event of a dissolution or liquidation of the Company, all outstanding equity awards (other than equity awards consisting of vested and outstanding shares of Company common stock not subject to a forfeiture condition or the Company’s right of repurchase) will terminate immediately prior to the completion of such dissolution or liquidation, and the shares of common stock subject to the Company’s repurchase rights or subject to forfeiture may be repurchased or reacquired by the Company notwithstanding the fact that the holder of such equity award is providing continuous service; provided, however, that the board may, in its sole discretion, provide that some or all equity awards will become fully vested, exercisable and/or no longer subject to repurchase or forfeiture (to the extent not already expired or terminated) before the dissolution or liquidation is completed but contingent upon its completion.</w:t>
      </w:r>
    </w:p>
    <w:p>
      <w:pPr>
        <w:spacing w:after="0" w:line="182"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i w:val="1"/>
          <w:iCs w:val="1"/>
          <w:color w:val="231F20"/>
        </w:rPr>
        <w:t>Change in Control</w:t>
      </w:r>
      <w:r>
        <w:rPr>
          <w:rFonts w:ascii="Arial" w:cs="Arial" w:eastAsia="Arial" w:hAnsi="Arial"/>
          <w:sz w:val="18"/>
          <w:szCs w:val="18"/>
          <w:color w:val="231F20"/>
        </w:rPr>
        <w:t>. Unless provided otherwise in an equity award agreement or other agreement between us or an affiliate and the participant, in</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event of Change in Control (as defined in the 2021 LTIP), our board of directors will take one or more of the following actions with respect to each outstanding equity award, contingent upon the closing or completion of the Change in Control:</w:t>
      </w:r>
    </w:p>
    <w:p>
      <w:pPr>
        <w:spacing w:after="0" w:line="184" w:lineRule="exact"/>
        <w:rPr>
          <w:sz w:val="20"/>
          <w:szCs w:val="20"/>
          <w:color w:val="auto"/>
        </w:rPr>
      </w:pPr>
    </w:p>
    <w:p>
      <w:pPr>
        <w:ind w:left="1160" w:right="100" w:hanging="572"/>
        <w:spacing w:after="0" w:line="286" w:lineRule="auto"/>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arrange for the surviving corporation or acquiring corporation (or the surviving or acquiring corporation’s parent company) to assume or continue the equity award or to substitute a similar equity award for the award (including, but not limited to, an award to acquire the same consideration per share paid to the stockholders of the Company pursuant to the Change in Control);</w:t>
      </w:r>
    </w:p>
    <w:p>
      <w:pPr>
        <w:spacing w:after="0" w:line="165" w:lineRule="exact"/>
        <w:rPr>
          <w:rFonts w:ascii="Arial" w:cs="Arial" w:eastAsia="Arial" w:hAnsi="Arial"/>
          <w:sz w:val="17"/>
          <w:szCs w:val="17"/>
          <w:color w:val="231F20"/>
        </w:rPr>
      </w:pPr>
    </w:p>
    <w:p>
      <w:pPr>
        <w:ind w:left="1160" w:right="260" w:hanging="572"/>
        <w:spacing w:after="0" w:line="308" w:lineRule="auto"/>
        <w:tabs>
          <w:tab w:leader="none" w:pos="1160"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arrange for the assignment of any reacquisition or repurchase rights held by us in respect of common stock issued pursuant to the equity award to the surviving corporation or acquiring corporation (or the surviving or acquiring corporation’s parent company);</w:t>
      </w:r>
    </w:p>
    <w:p>
      <w:pPr>
        <w:spacing w:after="0" w:line="146" w:lineRule="exact"/>
        <w:rPr>
          <w:rFonts w:ascii="Arial" w:cs="Arial" w:eastAsia="Arial" w:hAnsi="Arial"/>
          <w:sz w:val="17"/>
          <w:szCs w:val="17"/>
          <w:color w:val="231F20"/>
        </w:rPr>
      </w:pPr>
    </w:p>
    <w:p>
      <w:pPr>
        <w:ind w:left="1160" w:hanging="572"/>
        <w:spacing w:after="0" w:line="259" w:lineRule="auto"/>
        <w:tabs>
          <w:tab w:leader="none" w:pos="11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accelerate the vesting, in whole or in part, of the equity award (and, if applicable, the time at which the equity award may be exercised) to a date prior to the effective time of such Change in Control as determined by our board of directors, with such equity award terminating if not exercised (if applicable) at or prior to the effective time of the Change in Control, and with such exercise reversed if the Change in Control does not become effective;</w:t>
      </w:r>
    </w:p>
    <w:p>
      <w:pPr>
        <w:spacing w:after="0" w:line="186" w:lineRule="exact"/>
        <w:rPr>
          <w:rFonts w:ascii="Arial" w:cs="Arial" w:eastAsia="Arial" w:hAnsi="Arial"/>
          <w:sz w:val="18"/>
          <w:szCs w:val="18"/>
          <w:color w:val="231F20"/>
        </w:rPr>
      </w:pPr>
    </w:p>
    <w:p>
      <w:pPr>
        <w:ind w:left="1160" w:hanging="572"/>
        <w:spacing w:after="0"/>
        <w:tabs>
          <w:tab w:leader="none" w:pos="11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arrange for the lapse, in whole or in part, of any reacquisition or repurchase rights held by us with respect to the equity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9" w:name="page120"/>
    <w:bookmarkEnd w:id="119"/>
    <w:p>
      <w:pPr>
        <w:ind w:left="1160" w:right="40" w:hanging="572"/>
        <w:spacing w:after="0" w:line="263" w:lineRule="auto"/>
        <w:tabs>
          <w:tab w:leader="none" w:pos="116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cancel or arrange for the cancellation of the equity award, to the extent not vested or not exercised prior to the effective time of the Change in Control, in exchange for such cash consideration, if any, as our board of directors, in its reasonable determination, may consider appropriate as an approximation of the value of the canceled equity award; and</w:t>
      </w:r>
    </w:p>
    <w:p>
      <w:pPr>
        <w:spacing w:after="0" w:line="183" w:lineRule="exact"/>
        <w:rPr>
          <w:rFonts w:ascii="Arial" w:cs="Arial" w:eastAsia="Arial" w:hAnsi="Arial"/>
          <w:sz w:val="18"/>
          <w:szCs w:val="18"/>
          <w:color w:val="231F20"/>
        </w:rPr>
      </w:pPr>
    </w:p>
    <w:p>
      <w:pPr>
        <w:ind w:left="1160" w:right="40" w:hanging="572"/>
        <w:spacing w:after="0" w:line="259" w:lineRule="auto"/>
        <w:tabs>
          <w:tab w:leader="none" w:pos="116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cancel or arrange for the cancellation of the equity award, to the extent not vested or not exercised prior to the effective time of the Change in Control, in exchange for a payment equal to the excess, if any, of (A) the value in the Change in Control of the property the participant would have received upon the exercise of the equity award immediately prior to the effective time of the Change in Control, over (B) any exercise price payable by such holder in connection with such exercise.</w:t>
      </w:r>
    </w:p>
    <w:p>
      <w:pPr>
        <w:spacing w:after="0" w:line="18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231F20"/>
        </w:rPr>
        <w:t>Our board of directors need not take the same action or actions with respect to all equity awards or portions thereof or with respect to all participants and may take different actions with respect to the vested and unvested portions of an equity award. In the absence of any affirmative determination by our board of directors at the time of a Change in Control, each outstanding equity award will be assumed or an equivalent equity award will be substituted by such successor corporation or a parent or subsidiary of such successor corporation (“Successor Corporation”) unless the Successor Corporation does not agree to assume the equity award or to substitute an equivalent equity award, in which case the vesting of such equity award will accelerate in its entirety (along with, if applicable, the time at which the equity award may be exercised) to a date prior to the effective time of such Change in Control as our board of directors will determine (or, if our board of directors does not determine such a date, to the date that is five (5)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8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i w:val="1"/>
          <w:iCs w:val="1"/>
          <w:color w:val="231F20"/>
        </w:rPr>
        <w:t>Acceleration of Equity Awards upon a Change in Control</w:t>
      </w:r>
      <w:r>
        <w:rPr>
          <w:rFonts w:ascii="Arial" w:cs="Arial" w:eastAsia="Arial" w:hAnsi="Arial"/>
          <w:sz w:val="18"/>
          <w:szCs w:val="18"/>
          <w:color w:val="231F20"/>
        </w:rPr>
        <w:t>. An equity award may be subject to additional acceleration of vesting and exercisability</w:t>
      </w:r>
      <w:r>
        <w:rPr>
          <w:rFonts w:ascii="Arial" w:cs="Arial" w:eastAsia="Arial" w:hAnsi="Arial"/>
          <w:sz w:val="18"/>
          <w:szCs w:val="18"/>
          <w:i w:val="1"/>
          <w:iCs w:val="1"/>
          <w:color w:val="231F20"/>
        </w:rPr>
        <w:t xml:space="preserve"> </w:t>
      </w:r>
      <w:r>
        <w:rPr>
          <w:rFonts w:ascii="Arial" w:cs="Arial" w:eastAsia="Arial" w:hAnsi="Arial"/>
          <w:sz w:val="18"/>
          <w:szCs w:val="18"/>
          <w:color w:val="231F20"/>
        </w:rPr>
        <w:t>upon or after a Change in Control as may be provided in the award agreement for such award or as may be provided in any other written agreement between us or an affiliate and the participant, but in the absence of such provision, no such acceleration will occur.</w:t>
      </w:r>
    </w:p>
    <w:p>
      <w:pPr>
        <w:spacing w:after="0" w:line="184"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231F20"/>
        </w:rPr>
        <w:t>Termination and Amendment</w:t>
      </w:r>
      <w:r>
        <w:rPr>
          <w:rFonts w:ascii="Arial" w:cs="Arial" w:eastAsia="Arial" w:hAnsi="Arial"/>
          <w:sz w:val="18"/>
          <w:szCs w:val="18"/>
          <w:color w:val="231F20"/>
        </w:rPr>
        <w:t>. Our board of directors or the compensation committee may suspend or terminate the 2021 LTIP at any time. No</w:t>
      </w:r>
      <w:r>
        <w:rPr>
          <w:rFonts w:ascii="Arial" w:cs="Arial" w:eastAsia="Arial" w:hAnsi="Arial"/>
          <w:sz w:val="18"/>
          <w:szCs w:val="18"/>
          <w:i w:val="1"/>
          <w:iCs w:val="1"/>
          <w:color w:val="231F20"/>
        </w:rPr>
        <w:t xml:space="preserve"> </w:t>
      </w:r>
      <w:r>
        <w:rPr>
          <w:rFonts w:ascii="Arial" w:cs="Arial" w:eastAsia="Arial" w:hAnsi="Arial"/>
          <w:sz w:val="18"/>
          <w:szCs w:val="18"/>
          <w:color w:val="231F20"/>
        </w:rPr>
        <w:t>incentive stock options may be granted under the 2021 LTIP after the tenth anniversary of the date our board of directors adopted the 2021 LTIP. No equity awards may be granted under the 2021 LTIP while the 2021 LTIP is suspended or after it is terminated.</w:t>
      </w:r>
    </w:p>
    <w:p>
      <w:pPr>
        <w:spacing w:after="0" w:line="184" w:lineRule="exact"/>
        <w:rPr>
          <w:sz w:val="20"/>
          <w:szCs w:val="20"/>
          <w:color w:val="auto"/>
        </w:rPr>
      </w:pPr>
    </w:p>
    <w:p>
      <w:pPr>
        <w:jc w:val="both"/>
        <w:ind w:right="140" w:firstLine="589"/>
        <w:spacing w:after="0" w:line="259" w:lineRule="auto"/>
        <w:rPr>
          <w:sz w:val="20"/>
          <w:szCs w:val="20"/>
          <w:color w:val="auto"/>
        </w:rPr>
      </w:pPr>
      <w:r>
        <w:rPr>
          <w:rFonts w:ascii="Arial" w:cs="Arial" w:eastAsia="Arial" w:hAnsi="Arial"/>
          <w:sz w:val="18"/>
          <w:szCs w:val="18"/>
          <w:color w:val="231F20"/>
        </w:rPr>
        <w:t>We filed with the SEC a registration statement on Form S-8 covering the Class A common stock issuable under the 2021 LTIP. Shortly thereafter, we made a grant of RSUs or other equity awards under the 2021 LTIP to our active employees. Because we value our culture, a significant component of which is our broad employee equity ownership, we believe this grant will further align the interests of our non-management employees with those of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Federal Income Tax Consequences Relating to Equity Awards Granted Pursuant to the 2021 LTIP</w:t>
      </w:r>
    </w:p>
    <w:p>
      <w:pPr>
        <w:spacing w:after="0" w:line="229"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231F20"/>
        </w:rPr>
        <w:t>The following discussion addresses certain federal income tax consequences relating to equity awards that may be granted under the 2021 LTIP. This discussion does not cover federal employment tax or other federal tax consequences that may be associated with the 2021 LTIP, nor does it cover state, local or non-U.S. taxes.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0" w:name="page121"/>
    <w:bookmarkEnd w:id="120"/>
    <w:p>
      <w:pPr>
        <w:ind w:firstLine="589"/>
        <w:spacing w:after="0" w:line="284" w:lineRule="auto"/>
        <w:rPr>
          <w:sz w:val="20"/>
          <w:szCs w:val="20"/>
          <w:color w:val="auto"/>
        </w:rPr>
      </w:pPr>
      <w:r>
        <w:rPr>
          <w:rFonts w:ascii="Arial" w:cs="Arial" w:eastAsia="Arial" w:hAnsi="Arial"/>
          <w:sz w:val="16"/>
          <w:szCs w:val="16"/>
          <w:i w:val="1"/>
          <w:iCs w:val="1"/>
          <w:color w:val="231F20"/>
        </w:rPr>
        <w:t>Incentive Stock Options (“ISOs”)</w:t>
      </w:r>
      <w:r>
        <w:rPr>
          <w:rFonts w:ascii="Arial" w:cs="Arial" w:eastAsia="Arial" w:hAnsi="Arial"/>
          <w:sz w:val="16"/>
          <w:szCs w:val="16"/>
          <w:color w:val="231F20"/>
        </w:rPr>
        <w:t>. There are no federal income tax consequences when an ISO is granted. A participant will also generally not</w:t>
      </w:r>
      <w:r>
        <w:rPr>
          <w:rFonts w:ascii="Arial" w:cs="Arial" w:eastAsia="Arial" w:hAnsi="Arial"/>
          <w:sz w:val="16"/>
          <w:szCs w:val="16"/>
          <w:i w:val="1"/>
          <w:iCs w:val="1"/>
          <w:color w:val="231F20"/>
        </w:rPr>
        <w:t xml:space="preserve"> </w:t>
      </w:r>
      <w:r>
        <w:rPr>
          <w:rFonts w:ascii="Arial" w:cs="Arial" w:eastAsia="Arial" w:hAnsi="Arial"/>
          <w:sz w:val="16"/>
          <w:szCs w:val="16"/>
          <w:color w:val="231F20"/>
        </w:rPr>
        <w:t>recognize taxable income when an ISO is exercised, provided that the participant was our employee during the entire period from the date of grant until the date the ISO was exercised.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 to the lesser of (i) the gain he or she realized on the sale, and</w:t>
      </w:r>
    </w:p>
    <w:p>
      <w:pPr>
        <w:spacing w:after="0" w:line="1" w:lineRule="exact"/>
        <w:rPr>
          <w:sz w:val="20"/>
          <w:szCs w:val="20"/>
          <w:color w:val="auto"/>
        </w:rPr>
      </w:pPr>
    </w:p>
    <w:p>
      <w:pPr>
        <w:ind w:right="160" w:firstLine="8"/>
        <w:spacing w:after="0" w:line="255" w:lineRule="auto"/>
        <w:tabs>
          <w:tab w:leader="none" w:pos="266"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the difference between the exercise price and the fair market value of the shares on the exercise date. We receive a corresponding tax deduction in the same amount that the participant recognizes as income. If the employment requirement described above is not met, the tax consequences related to NQSOs, discussed below, will apply.</w:t>
      </w:r>
    </w:p>
    <w:p>
      <w:pPr>
        <w:spacing w:after="0" w:line="190"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i w:val="1"/>
          <w:iCs w:val="1"/>
          <w:color w:val="231F20"/>
        </w:rPr>
        <w:t>Nonqualified Stock Options (“NQSOs”)</w:t>
      </w:r>
      <w:r>
        <w:rPr>
          <w:rFonts w:ascii="Arial" w:cs="Arial" w:eastAsia="Arial" w:hAnsi="Arial"/>
          <w:sz w:val="17"/>
          <w:szCs w:val="17"/>
          <w:color w:val="231F20"/>
        </w:rPr>
        <w:t>. In general, a participant has no taxable income at the time a NQSO is granted but realizes income at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time he or she exercises a NQSO, in an amount equal to the excess of the fair market value of the shares at the time of exercise over the exercise price. We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231F20"/>
        </w:rPr>
        <w:t>SARs</w:t>
      </w:r>
      <w:r>
        <w:rPr>
          <w:rFonts w:ascii="Arial" w:cs="Arial" w:eastAsia="Arial" w:hAnsi="Arial"/>
          <w:sz w:val="18"/>
          <w:szCs w:val="18"/>
          <w:color w:val="231F20"/>
        </w:rPr>
        <w:t>. A participant has no taxable income at the time a SAR is granted but realizes income at the time he or she exercises a SAR, in an amount</w:t>
      </w:r>
      <w:r>
        <w:rPr>
          <w:rFonts w:ascii="Arial" w:cs="Arial" w:eastAsia="Arial" w:hAnsi="Arial"/>
          <w:sz w:val="18"/>
          <w:szCs w:val="18"/>
          <w:i w:val="1"/>
          <w:iCs w:val="1"/>
          <w:color w:val="231F20"/>
        </w:rPr>
        <w:t xml:space="preserve"> </w:t>
      </w:r>
      <w:r>
        <w:rPr>
          <w:rFonts w:ascii="Arial" w:cs="Arial" w:eastAsia="Arial" w:hAnsi="Arial"/>
          <w:sz w:val="18"/>
          <w:szCs w:val="18"/>
          <w:color w:val="231F20"/>
        </w:rPr>
        <w:t>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18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i w:val="1"/>
          <w:iCs w:val="1"/>
          <w:color w:val="231F20"/>
        </w:rPr>
        <w:t>Restricted Stock Awards (including Performance Stock Awards)</w:t>
      </w:r>
      <w:r>
        <w:rPr>
          <w:rFonts w:ascii="Arial" w:cs="Arial" w:eastAsia="Arial" w:hAnsi="Arial"/>
          <w:sz w:val="17"/>
          <w:szCs w:val="17"/>
          <w:color w:val="231F20"/>
        </w:rPr>
        <w:t>. Unless a participant makes an election to accelerate the recognition of income to</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date of grant as described below, the participant will not recognize income at the time an RSA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77"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i w:val="1"/>
          <w:iCs w:val="1"/>
          <w:color w:val="231F20"/>
        </w:rPr>
        <w:t>Restricted Stock Units (including Performance Stock Units)</w:t>
      </w:r>
      <w:r>
        <w:rPr>
          <w:rFonts w:ascii="Arial" w:cs="Arial" w:eastAsia="Arial" w:hAnsi="Arial"/>
          <w:sz w:val="18"/>
          <w:szCs w:val="18"/>
          <w:color w:val="231F20"/>
        </w:rPr>
        <w:t>. A participant does not recognize income at the time a RSU is granted. When shares</w:t>
      </w:r>
      <w:r>
        <w:rPr>
          <w:rFonts w:ascii="Arial" w:cs="Arial" w:eastAsia="Arial" w:hAnsi="Arial"/>
          <w:sz w:val="18"/>
          <w:szCs w:val="18"/>
          <w:i w:val="1"/>
          <w:iCs w:val="1"/>
          <w:color w:val="231F20"/>
        </w:rPr>
        <w:t xml:space="preserve"> </w:t>
      </w:r>
      <w:r>
        <w:rPr>
          <w:rFonts w:ascii="Arial" w:cs="Arial" w:eastAsia="Arial" w:hAnsi="Arial"/>
          <w:sz w:val="18"/>
          <w:szCs w:val="18"/>
          <w:color w:val="231F20"/>
        </w:rPr>
        <w:t>are delivered to a participant under a RSU, the participant will recognize ordinary income in an amount equal to the fair market value of the shares on the date of delivery, and we will be allowed a corresponding tax deduction at that time. Any gain or loss recognized upon a subsequent sale or exchange of the shares is generally treated as capital gain or loss for which we are not entitled to a deduction.</w:t>
      </w:r>
    </w:p>
    <w:p>
      <w:pPr>
        <w:spacing w:after="0" w:line="187"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i w:val="1"/>
          <w:iCs w:val="1"/>
          <w:color w:val="231F20"/>
        </w:rPr>
        <w:t>Dividend Equivalents</w:t>
      </w:r>
      <w:r>
        <w:rPr>
          <w:rFonts w:ascii="Arial" w:cs="Arial" w:eastAsia="Arial" w:hAnsi="Arial"/>
          <w:sz w:val="18"/>
          <w:szCs w:val="18"/>
          <w:color w:val="231F20"/>
        </w:rPr>
        <w:t>. A participant recognizes ordinary income on the date on which dividend equivalents are paid and we are entitled to a</w:t>
      </w:r>
      <w:r>
        <w:rPr>
          <w:rFonts w:ascii="Arial" w:cs="Arial" w:eastAsia="Arial" w:hAnsi="Arial"/>
          <w:sz w:val="18"/>
          <w:szCs w:val="18"/>
          <w:i w:val="1"/>
          <w:iCs w:val="1"/>
          <w:color w:val="231F20"/>
        </w:rPr>
        <w:t xml:space="preserve"> </w:t>
      </w:r>
      <w:r>
        <w:rPr>
          <w:rFonts w:ascii="Arial" w:cs="Arial" w:eastAsia="Arial" w:hAnsi="Arial"/>
          <w:sz w:val="18"/>
          <w:szCs w:val="18"/>
          <w:color w:val="231F20"/>
        </w:rPr>
        <w:t>corresponding deduction at that time.</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i w:val="1"/>
          <w:iCs w:val="1"/>
          <w:color w:val="231F20"/>
        </w:rPr>
        <w:t>Tax Withholding</w:t>
      </w:r>
      <w:r>
        <w:rPr>
          <w:rFonts w:ascii="Arial" w:cs="Arial" w:eastAsia="Arial" w:hAnsi="Arial"/>
          <w:sz w:val="18"/>
          <w:szCs w:val="18"/>
          <w:color w:val="231F20"/>
        </w:rPr>
        <w:t>. When a participant recognizes ordinary income with respect to exercise of a stock option or SAR, vesting of restricted stock (or</w:t>
      </w:r>
      <w:r>
        <w:rPr>
          <w:rFonts w:ascii="Arial" w:cs="Arial" w:eastAsia="Arial" w:hAnsi="Arial"/>
          <w:sz w:val="18"/>
          <w:szCs w:val="18"/>
          <w:i w:val="1"/>
          <w:iCs w:val="1"/>
          <w:color w:val="231F20"/>
        </w:rPr>
        <w:t xml:space="preserve"> </w:t>
      </w:r>
      <w:r>
        <w:rPr>
          <w:rFonts w:ascii="Arial" w:cs="Arial" w:eastAsia="Arial" w:hAnsi="Arial"/>
          <w:sz w:val="18"/>
          <w:szCs w:val="18"/>
          <w:color w:val="231F20"/>
        </w:rPr>
        <w:t>granting of such award, if the participant makes an 83(b) election), delivery of shares under a RSU award, or upon the payment of dividend equivalents, federal tax regulations require that we collect income taxes at withholding rates.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1" w:name="page122"/>
    <w:bookmarkEnd w:id="121"/>
    <w:p>
      <w:pPr>
        <w:ind w:right="200" w:firstLine="589"/>
        <w:spacing w:after="0" w:line="279" w:lineRule="auto"/>
        <w:rPr>
          <w:sz w:val="20"/>
          <w:szCs w:val="20"/>
          <w:color w:val="auto"/>
        </w:rPr>
      </w:pPr>
      <w:r>
        <w:rPr>
          <w:rFonts w:ascii="Arial" w:cs="Arial" w:eastAsia="Arial" w:hAnsi="Arial"/>
          <w:sz w:val="17"/>
          <w:szCs w:val="17"/>
          <w:i w:val="1"/>
          <w:iCs w:val="1"/>
          <w:color w:val="231F20"/>
        </w:rPr>
        <w:t>Code Section 162(m) and 409A</w:t>
      </w:r>
      <w:r>
        <w:rPr>
          <w:rFonts w:ascii="Arial" w:cs="Arial" w:eastAsia="Arial" w:hAnsi="Arial"/>
          <w:sz w:val="17"/>
          <w:szCs w:val="17"/>
          <w:color w:val="231F20"/>
        </w:rPr>
        <w:t>. Section 162(m) of the Code denies a federal income tax deduction for certain compensation in excess of</w:t>
      </w:r>
      <w:r>
        <w:rPr>
          <w:rFonts w:ascii="Arial" w:cs="Arial" w:eastAsia="Arial" w:hAnsi="Arial"/>
          <w:sz w:val="17"/>
          <w:szCs w:val="17"/>
          <w:i w:val="1"/>
          <w:iCs w:val="1"/>
          <w:color w:val="231F20"/>
        </w:rPr>
        <w:t xml:space="preserve"> </w:t>
      </w:r>
      <w:r>
        <w:rPr>
          <w:rFonts w:ascii="Arial" w:cs="Arial" w:eastAsia="Arial" w:hAnsi="Arial"/>
          <w:sz w:val="17"/>
          <w:szCs w:val="17"/>
          <w:color w:val="231F20"/>
        </w:rPr>
        <w:t>$1,000,000 per year paid to certain executive employees. Section 409A of the Code provides additional tax rules governing nonqualified deferred compensation, which may impose additional taxes on participants for certain types of nonqualified deferred compensation that is not in compliance with Section 409A. The 2021 LTIP is designed to prevent awards from being subject to the requirements of Section 409A.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Compensation</w:t>
      </w:r>
    </w:p>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231F20"/>
        </w:rPr>
        <w:t>Our policy is to not pay director compensation to directors who are also our employees. We intend to establish compensation practices for our non-employee directors. Such compensation may be paid in the form of cash, equity or a combination of both. We may also pay additional fees to the chairs of each committee of the board of directors. All directors will be reimbursed for reasonable costs and expenses incurred in attending meetings of our board of directors.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231F20"/>
        </w:rPr>
        <w:t>The following table presents information concerning the beneficial ownership of the shares of our Class A common stock and Class B common stock as of the date of this Annual Report by (1) each person known to us to beneficially own more than 5% of the outstanding shares of our Class A common stock or our Class B common stock, (2) each of our directors and named executive officers and (3) all of our directors and executive officers as a group.</w:t>
      </w:r>
    </w:p>
    <w:p>
      <w:pPr>
        <w:spacing w:after="0" w:line="187" w:lineRule="exact"/>
        <w:rPr>
          <w:sz w:val="20"/>
          <w:szCs w:val="20"/>
          <w:color w:val="auto"/>
        </w:rPr>
      </w:pPr>
    </w:p>
    <w:p>
      <w:pPr>
        <w:jc w:val="both"/>
        <w:ind w:right="100" w:firstLine="589"/>
        <w:spacing w:after="0" w:line="257" w:lineRule="auto"/>
        <w:rPr>
          <w:sz w:val="20"/>
          <w:szCs w:val="20"/>
          <w:color w:val="auto"/>
        </w:rPr>
      </w:pPr>
      <w:r>
        <w:rPr>
          <w:rFonts w:ascii="Arial" w:cs="Arial" w:eastAsia="Arial" w:hAnsi="Arial"/>
          <w:sz w:val="18"/>
          <w:szCs w:val="18"/>
          <w:color w:val="231F20"/>
        </w:rPr>
        <w:t>The number of shares of Class A common stock listed in the table below represents shares of Class A common stock directly owned, and assumes no exchange of Class B units for Class A common stock. Each Class B stockholder is entitled to have their Class B units exchanged for Class A common stock on a one-for-one basis, or, at our election, for cash. In connection with the IPO, we issued to each Class B stockholder one share of Class B common stock for each Class B unit it beneficially owns. As a result, the number of shares of Class B common stock listed in the first table below correlates to the number of Class B units each Class B stockholder beneficially owns.</w:t>
      </w:r>
    </w:p>
    <w:p>
      <w:pPr>
        <w:spacing w:after="0" w:line="188"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231F20"/>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As of the date hereof, none of the stockholders listed below holds any options or warrants that are exercisable or exercisable within 60 days of the date of this Annual Report. The address of each individual or entity listed below is c/o Viant Technology Inc., 2722 Michelson Drive, Suite 100, Irvine, CA 92612.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55"/>
        </w:trPr>
        <w:tc>
          <w:tcPr>
            <w:tcW w:w="6620" w:type="dxa"/>
            <w:vAlign w:val="bottom"/>
            <w:tcBorders>
              <w:bottom w:val="single" w:sz="8" w:color="auto"/>
            </w:tcBorders>
            <w:vMerge w:val="continue"/>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ind w:left="56"/>
              <w:spacing w:after="0" w:line="155"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ind w:left="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Tim Vanderhook</w:t>
            </w:r>
            <w:r>
              <w:rPr>
                <w:rFonts w:ascii="Arial" w:cs="Arial" w:eastAsia="Arial" w:hAnsi="Arial"/>
                <w:sz w:val="15"/>
                <w:szCs w:val="15"/>
                <w:color w:val="auto"/>
              </w:rPr>
              <w:t>(1)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7,833,774</w:t>
            </w:r>
          </w:p>
        </w:tc>
        <w:tc>
          <w:tcPr>
            <w:tcW w:w="1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Chris Vanderhook</w:t>
            </w:r>
            <w:r>
              <w:rPr>
                <w:rFonts w:ascii="Arial" w:cs="Arial" w:eastAsia="Arial" w:hAnsi="Arial"/>
                <w:sz w:val="15"/>
                <w:szCs w:val="15"/>
                <w:color w:val="auto"/>
              </w:rPr>
              <w:t>(2)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7,833,774</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Larry Madden</w:t>
            </w:r>
            <w:r>
              <w:rPr>
                <w:rFonts w:ascii="Arial" w:cs="Arial" w:eastAsia="Arial" w:hAnsi="Arial"/>
                <w:sz w:val="15"/>
                <w:szCs w:val="15"/>
                <w:color w:val="auto"/>
              </w:rPr>
              <w:t>(3)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Max Valdes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Elizabeth Williams</w:t>
            </w: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All executive officers and directors as a group (5 persons)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15,667,548</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color w:val="auto"/>
              </w:rPr>
              <w:t>Other 5% Beneficial Owners: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Four Brothers 2 LLC</w:t>
            </w:r>
            <w:r>
              <w:rPr>
                <w:rFonts w:ascii="Arial" w:cs="Arial" w:eastAsia="Arial" w:hAnsi="Arial"/>
                <w:sz w:val="15"/>
                <w:szCs w:val="15"/>
                <w:color w:val="auto"/>
              </w:rPr>
              <w:t>(4)</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28,451,103</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Viant Technology Equity Plan LLC</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3,316,908</w:t>
            </w:r>
          </w:p>
        </w:tc>
        <w:tc>
          <w:tcPr>
            <w:tcW w:w="10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80" w:right="80" w:hanging="572"/>
        <w:spacing w:after="0" w:line="259" w:lineRule="auto"/>
        <w:tabs>
          <w:tab w:leader="none" w:pos="5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Mr. Vanderhook also holds a one-third interest in Four Brothers 2 LLC, representing an economic interest in an additional 9,483,701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86" w:lineRule="exact"/>
        <w:rPr>
          <w:rFonts w:ascii="Arial" w:cs="Arial" w:eastAsia="Arial" w:hAnsi="Arial"/>
          <w:sz w:val="18"/>
          <w:szCs w:val="18"/>
          <w:color w:val="231F20"/>
        </w:rPr>
      </w:pPr>
    </w:p>
    <w:p>
      <w:pPr>
        <w:ind w:left="580" w:right="120" w:hanging="572"/>
        <w:spacing w:after="0" w:line="259" w:lineRule="auto"/>
        <w:tabs>
          <w:tab w:leader="none" w:pos="5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Mr. Vanderhook also holds a one-third interest in Four Brothers 2 LLC, representing an economic interest in an additional 9,483,701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86" w:lineRule="exact"/>
        <w:rPr>
          <w:rFonts w:ascii="Arial" w:cs="Arial" w:eastAsia="Arial" w:hAnsi="Arial"/>
          <w:sz w:val="18"/>
          <w:szCs w:val="18"/>
          <w:color w:val="231F20"/>
        </w:rPr>
      </w:pPr>
    </w:p>
    <w:p>
      <w:pPr>
        <w:ind w:left="580" w:right="300" w:hanging="572"/>
        <w:spacing w:after="0" w:line="263" w:lineRule="auto"/>
        <w:tabs>
          <w:tab w:leader="none" w:pos="58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 xml:space="preserve">Mr. Madden holds a 14.4 percent interest in Viant Technology Equity Plan LLC, representing an economic </w:t>
      </w:r>
      <w:r>
        <w:rPr>
          <w:rFonts w:ascii="Arial" w:cs="Arial" w:eastAsia="Arial" w:hAnsi="Arial"/>
          <w:sz w:val="18"/>
          <w:szCs w:val="18"/>
          <w:color w:val="000000"/>
        </w:rPr>
        <w:t>interest in 474,356 shares of Class B</w:t>
      </w:r>
      <w:r>
        <w:rPr>
          <w:rFonts w:ascii="Arial" w:cs="Arial" w:eastAsia="Arial" w:hAnsi="Arial"/>
          <w:sz w:val="18"/>
          <w:szCs w:val="18"/>
          <w:color w:val="231F20"/>
        </w:rPr>
        <w:t xml:space="preserve"> </w:t>
      </w:r>
      <w:r>
        <w:rPr>
          <w:rFonts w:ascii="Arial" w:cs="Arial" w:eastAsia="Arial" w:hAnsi="Arial"/>
          <w:sz w:val="18"/>
          <w:szCs w:val="18"/>
          <w:color w:val="000000"/>
        </w:rPr>
        <w:t>common stock and Class B common units of Viant Technology LLC. Mr. Madden does not have voting or investment control over Viant Technology Equity Plan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ind w:left="572" w:hanging="572"/>
        <w:spacing w:after="0" w:line="259" w:lineRule="auto"/>
        <w:tabs>
          <w:tab w:leader="none" w:pos="572"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Each of Tim Vanderhook, Chris Vanderhook and Russ Vanderhook holds a one-third interest in Four Brothers 2 LLC, representing an economic interest in 9,483,701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231F20"/>
        </w:rPr>
        <w:t>Other than compensation arrangements, including employment, termination of employment and change in control arrangements, with our directors and executive officers, including those discussed in the sections titled “</w:t>
      </w:r>
      <w:r>
        <w:rPr>
          <w:rFonts w:ascii="Arial" w:cs="Arial" w:eastAsia="Arial" w:hAnsi="Arial"/>
          <w:sz w:val="18"/>
          <w:szCs w:val="18"/>
          <w:i w:val="1"/>
          <w:iCs w:val="1"/>
          <w:color w:val="231F20"/>
        </w:rPr>
        <w:t>Management</w:t>
      </w:r>
      <w:r>
        <w:rPr>
          <w:rFonts w:ascii="Arial" w:cs="Arial" w:eastAsia="Arial" w:hAnsi="Arial"/>
          <w:sz w:val="18"/>
          <w:szCs w:val="18"/>
          <w:color w:val="231F20"/>
        </w:rPr>
        <w:t>” and “</w:t>
      </w:r>
      <w:r>
        <w:rPr>
          <w:rFonts w:ascii="Arial" w:cs="Arial" w:eastAsia="Arial" w:hAnsi="Arial"/>
          <w:sz w:val="18"/>
          <w:szCs w:val="18"/>
          <w:i w:val="1"/>
          <w:iCs w:val="1"/>
          <w:color w:val="231F20"/>
        </w:rPr>
        <w:t>Executive Compensation</w:t>
      </w:r>
      <w:r>
        <w:rPr>
          <w:rFonts w:ascii="Arial" w:cs="Arial" w:eastAsia="Arial" w:hAnsi="Arial"/>
          <w:sz w:val="18"/>
          <w:szCs w:val="18"/>
          <w:color w:val="231F20"/>
        </w:rPr>
        <w:t>,” the following is a description of certain relationships and transactions since January 1, 2018, involving our directors, executive officers, beneficial holders of more than 5% of our capital stock, or entities affiliated with them.</w:t>
      </w:r>
    </w:p>
    <w:p>
      <w:pPr>
        <w:spacing w:after="0" w:line="18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231F20"/>
        </w:rPr>
        <w:t>The following are summaries of certain provisions of our related party agreements, which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Copies of the agreements (or forms of the agreements) have been filed as exhibits to the registration statement on Form S-1 (No. 333-252117), and are available electronically on the website of the SEC at www.sec.gov.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Tax Receivable Agreement</w:t>
      </w:r>
    </w:p>
    <w:p>
      <w:pPr>
        <w:spacing w:after="0" w:line="22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231F20"/>
        </w:rPr>
        <w:t>The members of Viant Technology LLC (not including Viant Technology Inc.) may exchange their Class B units for shares of Viant Technology Inc.’s Class A common stock on a one-for-one basis or, at our election, for cash. Any beneficial holder exchanging Class B units must ensure that the applicable corresponding number of shares of Class B common stock are delivered to us for cancellation as a condition of exercising its right to exchange Class B units for shares of our Class A common stock or, at our election, for cash. As a result of this initial purchase and any subsequent exchanges, we will become entitled to a proportionate share of the existing tax basis of the assets of Viant Technology LLC. In addition, Viant Technology LLC will have in effect an election under Section 754 of the Code for the taxable year of the offering and each taxable year in which an exchange occurs, which is expected to result in increases to the tax basis of the tangible and intangible assets of Viant Technology LLC which will be allocated to Viant Technology Inc. These increases in tax basis are expected to increase Viant Technology Inc.’s depreciation and amortization deductions for tax purposes and create other tax benefits and may also decrease gains (or increase losses) on future dispositions of certain assets and therefore may reduce the amount of tax that Viant Technology Inc. would otherwise be required to pay.</w:t>
      </w:r>
    </w:p>
    <w:p>
      <w:pPr>
        <w:spacing w:after="0" w:line="18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231F20"/>
        </w:rPr>
        <w:t>Viant Technology Inc. entered into the Tax Receivable Agreement with Viant Technology LLC, continuing members of Viant Technology LLC and the TRA Representative on February 9, 2021. The Tax Receivable Agreement provides for payment by us to certain continuing members of Viant Technology LLC (not including Viant Technology Inc.) of 85% of the amount of the net cash tax savings, if any, that we realizes (or, under certain circumstances, are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we make under the Tax Receivable Agreement (including tax benefits related to imputed interest).</w:t>
      </w:r>
    </w:p>
    <w:p>
      <w:pPr>
        <w:spacing w:after="0" w:line="178" w:lineRule="exact"/>
        <w:rPr>
          <w:sz w:val="20"/>
          <w:szCs w:val="20"/>
          <w:color w:val="auto"/>
        </w:rPr>
      </w:pPr>
    </w:p>
    <w:p>
      <w:pPr>
        <w:ind w:right="200" w:firstLine="589"/>
        <w:spacing w:after="0" w:line="289" w:lineRule="auto"/>
        <w:rPr>
          <w:sz w:val="20"/>
          <w:szCs w:val="20"/>
          <w:color w:val="auto"/>
        </w:rPr>
      </w:pPr>
      <w:r>
        <w:rPr>
          <w:rFonts w:ascii="Arial" w:cs="Arial" w:eastAsia="Arial" w:hAnsi="Arial"/>
          <w:sz w:val="16"/>
          <w:szCs w:val="16"/>
          <w:color w:val="231F20"/>
        </w:rPr>
        <w:t>We will retain the benefit of the remaining 15% of these net cash tax savings. The obligations under the Tax Receivable Agreement are our obligations and not obligations of Viant Technology LLC. For purposes of the Tax Receivable Agreement, the benefit deemed realized by us will be computed by comparing our U.S. federal, state and local income tax liability to the amount of such U.S. federal, state and local taxes that we would have been required to pay had we not been able to utilize any of the benefits subject to the Tax Receivable Agreement. The actual tax benefits we realize may differ from tax benefits calculated under the Tax Receivable Agreement as a result of the use of certain assumptions in the Tax Receivable Agreement, including the use of an assumed weighted-average state and local income tax rate to calculate tax benefits. In addition, the Viant Technology LLC Agreement provides that Viant Technology LLC may elect to apply an allocation method with respect to certain of Viant Technology LLC investment assets that are held at the time of the closing of the IPO that is expected to result in the future, solely for tax purposes, in certain items of loss being specially allocated to us and corresponding items of gain being specially allocated to the other members of Viant Technology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5" w:name="page126"/>
    <w:bookmarkEnd w:id="125"/>
    <w:p>
      <w:pPr>
        <w:ind w:right="40" w:firstLine="589"/>
        <w:spacing w:after="0" w:line="296" w:lineRule="auto"/>
        <w:rPr>
          <w:sz w:val="20"/>
          <w:szCs w:val="20"/>
          <w:color w:val="auto"/>
        </w:rPr>
      </w:pPr>
      <w:r>
        <w:rPr>
          <w:rFonts w:ascii="Arial" w:cs="Arial" w:eastAsia="Arial" w:hAnsi="Arial"/>
          <w:sz w:val="16"/>
          <w:szCs w:val="16"/>
          <w:color w:val="231F20"/>
        </w:rPr>
        <w:t>The term of the Tax Receivable Agreement will continue until all tax benefits that are subject to the Tax Receivable Agreement have been utilized or have expired, unless we exercise our right to terminate the Tax Receivable Agreement (or the Tax Receivable Agreement is terminated due to a change in control or our breach of a material obligation thereunder), in which case, we will be required to make the termination payment specified in the Tax Receivable Agreement, as specified below. We expect that all of the intangible assets, including goodwill, of Viant Technology LLC allocable to Viant Technology LLC units acquired or deemed acquired by us from existing members of Viant Technology LLC will be amortizable for tax purposes.</w:t>
      </w:r>
    </w:p>
    <w:p>
      <w:pPr>
        <w:spacing w:after="0" w:line="161"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231F20"/>
        </w:rPr>
        <w:t>Estimating the amount and timing of payments that may be made under the Tax Receivable Agreement is by its nature imprecise, insofar as the calculation of amounts payable depends on a variety of factors and future events. The actual increase in tax basis and utilization of tax attributes, as well as the amount and timing of any payments under the agreement, will vary depending upon a number of factors, including:</w:t>
      </w:r>
    </w:p>
    <w:p>
      <w:pPr>
        <w:spacing w:after="0" w:line="165" w:lineRule="exact"/>
        <w:rPr>
          <w:sz w:val="20"/>
          <w:szCs w:val="20"/>
          <w:color w:val="auto"/>
        </w:rPr>
      </w:pPr>
    </w:p>
    <w:p>
      <w:pPr>
        <w:ind w:left="1160" w:hanging="572"/>
        <w:spacing w:after="0" w:line="263"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timing of purchases or future exchanges—for instance, the increase in any tax deductions will vary depending on the fair market value, which may fluctuate over time, of the depreciable or amortizable assets of Viant Technology LLC at the time of each purchase of units from the continuing members of Viant Technology LLC;</w:t>
      </w:r>
    </w:p>
    <w:p>
      <w:pPr>
        <w:spacing w:after="0" w:line="183" w:lineRule="exact"/>
        <w:rPr>
          <w:rFonts w:ascii="Arial" w:cs="Arial" w:eastAsia="Arial" w:hAnsi="Arial"/>
          <w:sz w:val="18"/>
          <w:szCs w:val="18"/>
          <w:color w:val="auto"/>
        </w:rPr>
      </w:pPr>
    </w:p>
    <w:p>
      <w:pPr>
        <w:ind w:left="1160" w:right="380" w:hanging="572"/>
        <w:spacing w:after="0" w:line="342"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231F20"/>
        </w:rPr>
        <w:t>the price of shares of our Class A common stock at the time of the purchase or exchange—the tax basis increase in the assets of Viant Technology LLC is directly related to the price of shares of our Class A common stock at the time of the purchase or exchange;</w:t>
      </w:r>
    </w:p>
    <w:p>
      <w:pPr>
        <w:spacing w:after="0" w:line="123" w:lineRule="exact"/>
        <w:rPr>
          <w:rFonts w:ascii="Arial" w:cs="Arial" w:eastAsia="Arial" w:hAnsi="Arial"/>
          <w:sz w:val="16"/>
          <w:szCs w:val="16"/>
          <w:color w:val="auto"/>
        </w:rPr>
      </w:pPr>
    </w:p>
    <w:p>
      <w:pPr>
        <w:ind w:left="1160" w:right="14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extent to which such purchases or exchanges are taxable—if the exchange is not taxable for any reason, increased tax deductions will not be available;</w:t>
      </w:r>
    </w:p>
    <w:p>
      <w:pPr>
        <w:spacing w:after="0" w:line="170"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amount of the exchanging unitholder’s tax basis in its units at the time of the relevant exchange;</w:t>
      </w:r>
    </w:p>
    <w:p>
      <w:pPr>
        <w:spacing w:after="0" w:line="225" w:lineRule="exact"/>
        <w:rPr>
          <w:rFonts w:ascii="Arial" w:cs="Arial" w:eastAsia="Arial" w:hAnsi="Arial"/>
          <w:sz w:val="18"/>
          <w:szCs w:val="18"/>
          <w:color w:val="auto"/>
        </w:rPr>
      </w:pPr>
    </w:p>
    <w:p>
      <w:pPr>
        <w:ind w:left="1160" w:right="40" w:hanging="572"/>
        <w:spacing w:after="0" w:line="254"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amount, timing and character of our income—we expect that the Tax Receivable Agreement will require Viant Technology Inc. to pay 85% of the net cash tax savings as and when deemed realized. If we do not have taxable income during a taxable year, we generally will not be required (absent a change in control or other circumstances requiring an early termination payment) to make payments under the Tax Receivable Agreement for that taxable year because no benefit will have been realized. However, any tax benefits that do not result in net cash tax savings in a given tax year may generate tax attributes that may be used to generate net cash tax savings in previous or future taxable years. The use of any such tax attributes will generate net cash tax savings that will result in payments under the Tax Receivable Agreement; and</w:t>
      </w:r>
    </w:p>
    <w:p>
      <w:pPr>
        <w:spacing w:after="0" w:line="19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U.S. federal, state and local tax rates in effect at the time that we realize the relevant tax benefits.</w:t>
      </w:r>
    </w:p>
    <w:p>
      <w:pPr>
        <w:spacing w:after="0" w:line="22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231F20"/>
        </w:rPr>
        <w:t>In addition, the amount of each continuing member’s tax basis in its Viant Technology LLC units at the time of the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are also relevant factors.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26" w:name="page127"/>
    <w:bookmarkEnd w:id="126"/>
    <w:p>
      <w:pPr>
        <w:ind w:firstLine="589"/>
        <w:spacing w:after="0" w:line="285" w:lineRule="auto"/>
        <w:rPr>
          <w:sz w:val="20"/>
          <w:szCs w:val="20"/>
          <w:color w:val="auto"/>
        </w:rPr>
      </w:pPr>
      <w:r>
        <w:rPr>
          <w:rFonts w:ascii="Arial" w:cs="Arial" w:eastAsia="Arial" w:hAnsi="Arial"/>
          <w:sz w:val="16"/>
          <w:szCs w:val="16"/>
          <w:color w:val="231F20"/>
        </w:rPr>
        <w:t>We have the right to terminate the Tax Receivable Agreement, in whole or in part, at any time. The Tax Receivable Agreement provides that if (i) we exercises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the beneficiaries under the Tax Receivable Agreement equal to the present value of all payments that would be required to be paid by us under the Tax Receivable Agreement. The amount of such payments will be determined on the basis of certain assumptions in the Tax Receivable Agreement, including (i) the assumption that we would have enough taxable income to fully utilize the tax benefit resulting from the tax assets which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(other than those held by us) outstanding on the termination date are deemed to be exchanged for an amount equal to the market value of the corresponding number of shares of Class A common stock on the termination date. The amount of the early termination payment is determined by discounting the present value of all payments that would be required to be paid by us under the Tax Receivable Agreement at a rate equal to the lesser of (a) 6.5% and (b) the SOFR plus 400 basis points. The payments that we will be required to make under the Tax Receivable Agreement are expected to be substantial.</w:t>
      </w:r>
    </w:p>
    <w:p>
      <w:pPr>
        <w:spacing w:after="0" w:line="171"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231F20"/>
        </w:rPr>
        <w:t>See “</w:t>
      </w:r>
      <w:r>
        <w:rPr>
          <w:rFonts w:ascii="Arial" w:cs="Arial" w:eastAsia="Arial" w:hAnsi="Arial"/>
          <w:sz w:val="17"/>
          <w:szCs w:val="17"/>
          <w:i w:val="1"/>
          <w:iCs w:val="1"/>
          <w:color w:val="231F20"/>
        </w:rPr>
        <w:t>Risk Factors—Risks Relating to Governmental Regulation and Tax Matters—In certain circumstances, payments under the Tax Receivable</w:t>
      </w:r>
      <w:r>
        <w:rPr>
          <w:rFonts w:ascii="Arial" w:cs="Arial" w:eastAsia="Arial" w:hAnsi="Arial"/>
          <w:sz w:val="17"/>
          <w:szCs w:val="17"/>
          <w:color w:val="231F20"/>
        </w:rPr>
        <w:t xml:space="preserve"> </w:t>
      </w:r>
      <w:r>
        <w:rPr>
          <w:rFonts w:ascii="Arial" w:cs="Arial" w:eastAsia="Arial" w:hAnsi="Arial"/>
          <w:sz w:val="17"/>
          <w:szCs w:val="17"/>
          <w:i w:val="1"/>
          <w:iCs w:val="1"/>
          <w:color w:val="231F20"/>
        </w:rPr>
        <w:t>Agreement may be accelerated and/or significantly exceed the actual tax benefits, if any, that Viant Technology Inc. actually realizes</w:t>
      </w:r>
      <w:r>
        <w:rPr>
          <w:rFonts w:ascii="Arial" w:cs="Arial" w:eastAsia="Arial" w:hAnsi="Arial"/>
          <w:sz w:val="17"/>
          <w:szCs w:val="17"/>
          <w:color w:val="231F20"/>
        </w:rPr>
        <w:t>.”</w:t>
      </w:r>
    </w:p>
    <w:p>
      <w:pPr>
        <w:spacing w:after="0" w:line="14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231F20"/>
        </w:rPr>
        <w:t>Decisions made in the course of running our business, such as with respect to mergers and other forms of business combinations that constitute changes in control, may influence the timing and amount of payments we make under the Tax Receivable Agreement in a manner that does not correspond to our use of the corresponding tax benefits. In these situations, our obligations under the Tax Receivable Agreement could have a substantial negative effect on our liquidity and could have the effect of delaying, deferring or preventing certain mergers, asset sales, other forms of business combinations or other changes of control.</w:t>
      </w:r>
    </w:p>
    <w:p>
      <w:pPr>
        <w:spacing w:after="0" w:line="18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Payments are generally due under the Tax Receivable Agreement within a specified period of time following the filing of our tax return for the taxable year with respect to which the payment obligation arises, although interest on such payments will begin to accrue at a rate of SOFR plus 300 basis points from the due date (without extensions) of such tax return. Late payments generally accrue interest at a rate of SOFR plus 500 basis points. Because of our structure, our ability to make payments under the Tax Receivable Agreement is dependent on the ability of Viant Technology LLC to make distributions to us. The ability of Viant Technology LLC to make such distributions will be subject to, among other things, restrictions in the agreements governing our debt. If we are unable to make payments under the Tax Receivable Agreement for any reason, such payments will be deferred and will accrue interest until paid.</w:t>
      </w:r>
    </w:p>
    <w:p>
      <w:pPr>
        <w:spacing w:after="0" w:line="195"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231F20"/>
        </w:rPr>
        <w:t>Additionally, we shall be required to indemnify and reimburse the TRA Representative for all costs and expenses, including legal and accounting fees and any other costs arising from claims in connection with the TRA Representative’s duties under the Tax Receivable Agreement, provided, the TRA Representative has acted reasonably and in good faith in incurring such expenses and costs.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27" w:name="page128"/>
    <w:bookmarkEnd w:id="127"/>
    <w:p>
      <w:pPr>
        <w:ind w:right="20" w:firstLine="589"/>
        <w:spacing w:after="0" w:line="268" w:lineRule="auto"/>
        <w:rPr>
          <w:sz w:val="20"/>
          <w:szCs w:val="20"/>
          <w:color w:val="auto"/>
        </w:rPr>
      </w:pPr>
      <w:r>
        <w:rPr>
          <w:rFonts w:ascii="Arial" w:cs="Arial" w:eastAsia="Arial" w:hAnsi="Arial"/>
          <w:sz w:val="17"/>
          <w:szCs w:val="17"/>
          <w:color w:val="231F20"/>
        </w:rPr>
        <w:t>Payments under the Tax Receivable Agreement will be based on the tax reporting positions that we determine. Although we are not aware of any material issue that would cause the IRS to challenge a tax basis increase, Viant Technology Inc. will not, in the event of a successful challenge, be reimbursed for any payments previously made under the Tax Receivable Agreement (although Viant Technology Inc. would reduce future amounts otherwise payable to a holder of rights under the Tax Receivable Agreement to the extent such holder has received excess payments). No assurance can be given that the IRS will agree with our tax reporting positions, including the allocation of value among our assets. In addition,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As a result, in certain circumstances, payments could be made under the Tax Receivable Agreement significantly in excess of the benefit that we actually realize in respect of the increases in tax basis (and utilization of certain other tax benefits) resulting from (i) our acquisition of Viant Technology LLC units from continuing members of Viant Technology LLC in future exchanges and (ii) any payments Viant Technology Inc. makes under the Tax Receivable Agreement. We may not be able to recoup those payments, which could adversely affect our financial condition and liquidity.</w:t>
      </w:r>
    </w:p>
    <w:p>
      <w:pPr>
        <w:spacing w:after="0" w:line="186"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231F20"/>
        </w:rPr>
        <w:t>The obligation to make payments under the Tax Receivable Agreement generally will be senior to any similar obligation under any tax receivable agreement that may be entered into in the future. No holder of rights under the Tax Receivable Agreement (including the right to receive payments) may transfer its rights to another person without the written consent of Viant Technology Inc., except that all such rights may be transferred to another person to the extent that the corresponding Viant Technology LLC units are transferred in accordance with the Viant Technology LLC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Viant Technology LLC Agreement</w:t>
      </w:r>
    </w:p>
    <w:p>
      <w:pPr>
        <w:spacing w:after="0" w:line="225"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231F20"/>
        </w:rPr>
        <w:t>In connection with the IPO, the members of Viant Technology LLC amended and restated the Viant Technology LLC Agreement. In its capacity as the sole managing member, Viant Technology Inc. controls all of Viant Technology LLC’s business and affairs. We hold all of the Class A units of Viant Technology LLC. Holders of Class A units and Class B units are generally entitled to one vote per unit with respect to all matters as to which members are entitled to vote under the Viant Technology LLC Agreement. Class A units and Class B units will have the same economic rights per unit.</w:t>
      </w:r>
    </w:p>
    <w:p>
      <w:pPr>
        <w:spacing w:after="0" w:line="15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231F20"/>
        </w:rPr>
        <w:t>Any time we issue a share of Class A common stock for cash, the net proceeds we receive will be promptly used to acquire a Class A unit unless used to settle an exchange of a Class B unit for cash. Any time we issue a share of Class A common stock upon an exchange of a Class B unit or settles such an exchange for cash, as described below, we will contribute the exchanged unit to Viant Technology LLC and Viant Technology LLC will issue to Viant Technology Inc. a Class A unit. If we issue other classes or series of equity securities (other than pursuant to our incentive compensation plans), Viant Technology LLC will issue to Viant Technology Inc. an equal amount of equity securities of Viant Technology LLC with designations, preferences and other rights and terms that are substantially the same as Viant Technology Inc.’s newly issued equity securities. If at any time we issue a share of its Class A common stock pursuant to our 2021 LTIP or other equity plan, we will contribute to Viant Technology LLC all of the proceeds we receive (if any) and Viant Technology LLC will issue to Viant Technology Inc. an equal number of its Class A units, having the same restrictions, if any, as are attached to the shares of Class A common stock issued under the plan. If we repurchase, redeem or retire any shares of Class A common stock (or equity securities of other classes or series), Viant Technology LLC will, immediately prior to such repurchase, redemption or retirement, repurchase, redeem or retire an equal number of Class A units (or its equity securities of the corresponding classes or series) held by Viant Technology Inc., upon the same terms and for the same consideration, as the shares of our Class A common stock (or equity securities of such other classes or series) are repurchased, redeemed or retired. In addition, membership units of Viant Technology LLC, as well as our common stock, will be subject to equivalent stock splits, dividends, reclassifications and other subdivisions. In the event we acquire Class A units without issuing a corresponding number of shares of Class A common stock, we will make appropriate adjustments to the exchange ratio of Class B units to Class A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8" w:name="page129"/>
    <w:bookmarkEnd w:id="128"/>
    <w:p>
      <w:pPr>
        <w:ind w:right="260" w:firstLine="589"/>
        <w:spacing w:after="0" w:line="263" w:lineRule="auto"/>
        <w:rPr>
          <w:sz w:val="20"/>
          <w:szCs w:val="20"/>
          <w:color w:val="auto"/>
        </w:rPr>
      </w:pPr>
      <w:r>
        <w:rPr>
          <w:rFonts w:ascii="Arial" w:cs="Arial" w:eastAsia="Arial" w:hAnsi="Arial"/>
          <w:sz w:val="18"/>
          <w:szCs w:val="18"/>
          <w:color w:val="231F20"/>
        </w:rPr>
        <w:t>We have the right to determine when distributions will be made to holders of units and the amount of any such distributions, other than with respect to tax distributions as described below. If a distribution is authorized, except as described below, such distribution will be made to the holders of Class A units and Class B units on a pro rata basis in accordance with the number of units held by such holder.</w:t>
      </w:r>
    </w:p>
    <w:p>
      <w:pPr>
        <w:spacing w:after="0" w:line="184"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231F20"/>
        </w:rPr>
        <w:t>The holders of units, including us, will incur U.S. federal, state and local income taxes on their proportionate share of any taxable income of Viant Technology LLC. Net profits and net losses of Viant Technology LLC will generally be allocated to holders of units (including Viant Technology Inc.) on a pro rata basis in accordance with the number of units held by such holder; however, under applicable tax rules, Viant Technology LLC will be required to allocate net taxable income disproportionately to its members in certain circumstances. The Viant Technology LLC Agreement will provide for quarterly cash distributions, which we refer to as “tax distributions,” to the holders of the units generally equal to the taxable income allocated to each holder of units (with certain adjustments) multiplied by an assumed tax rate. Generally, these tax distributions will be computed based on our estimate of the net taxable income of Viant Technology LLC allocable per unit (based on the member which is allocated the largest amount of taxable income on a per unit basis) multiplied by an assumed tax rate equal to the highest combined U.S. federal and applicable state and local tax rate applicable to any natural person residing in, or corporation doing business in Los Angeles, California that is taxable on that income (taking into account certain other assumptions, and subject to adjustment to the extent that state and local taxes are deductible for U.S. federal income tax purposes). The Viant Technology LLC Agreement will generally require tax distributions to be pro rata based on the ownership of Viant Technology LLC units, however, if the amount of tax distributions to be made exceeds the amount of funds available for distribution, Viant Technology Inc. shall receive a tax distribution calculated using the corporate tax rate, before the other members receive any distribution and the balance, if any, of funds available for distribution shall be distributed first to the other members pro rata in accordance with their assumed tax liabilities (also using the corporate tax rate), and then to all members (including Viant Technology Inc.) pro rata until each member receives the full amount of its tax distribution using the individual tax rate. Viant Technology LLC will also make non-pro rata payments to us to reimburse it for corporate and other overhead expenses (which payments from Viant Technology LLC will not be treated as distributions under the Viant Technology LLC Agreement). Notwithstanding the foregoing, no distribution will be made pursuant to the Viant Technology LLC Agreement to any unitholder if such distribution would violate applicable law or result in Viant Technology LLC or any of its subsidiaries being in default under any material agreement.</w:t>
      </w:r>
    </w:p>
    <w:p>
      <w:pPr>
        <w:spacing w:after="0" w:line="17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231F20"/>
        </w:rPr>
        <w:t>The Viant Technology LLC Agreement provides that Viant Technology LLC may elect to apply an allocation method with respect to certain of its investment assets that are held at the time of the IPO that is expected to result in the future, solely for tax purposes, in certain items of loss being specially allocated to us and corresponding items of gain being specially allocated to the other members of Viant Technology LLC. In conjunction herewith, the Tax Receivable Agreement provides that we will pay over to the certain other members of Viant Technology LLC 85% of the net tax savings to Viant Technology Inc. attributable to those tax losses.</w:t>
      </w:r>
    </w:p>
    <w:p>
      <w:pPr>
        <w:spacing w:after="0" w:line="18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231F20"/>
        </w:rPr>
        <w:t>The Viant Technology LLC Agreement provides that it may generally be amended, supplemented, waived or modified by us in our sole discretion without the approval of any other holder of units, except in the case of amendments that would modify the limited liability of a member or increase the obligation of a member to make capital contributions, adversely affect the right of a member to receive distributions or cause Viant Technology LLC to be treated as a corporation for tax purposes.</w:t>
      </w:r>
    </w:p>
    <w:p>
      <w:pPr>
        <w:spacing w:after="0" w:line="18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231F20"/>
        </w:rPr>
        <w:t>The Viant Technology LLC Agreement also entitles certain continuing members (and certain permitted transferees thereof) to exchange their Class B units together with an equal number of shares of Class B common stock, for shares of Class A common stock on a one-for-one basis or, at our election, for cash. The exchange ratio is subject to appropriate adjustment by us in the event Class A units are issued to us without issuance of a corresponding number of shares of Class A common stock or in the event of certain reclassifications, reorganizations, recapitalizations or similar transactions.</w:t>
      </w:r>
    </w:p>
    <w:p>
      <w:pPr>
        <w:spacing w:after="0" w:line="15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231F20"/>
        </w:rPr>
        <w:t>The Viant Technology LLC Agreement permits the Class B unitholders to exercise their exchange rights subject to certain reasonable timing procedures and other conditions. The Viant Technology LLC Agreement provides that an owner will not have the right to exchange Class B units if we determine that such exchange would be prohibited by law or regulation or would violate other agreements with the us, Viant Technology LLC or any of our subsidiaries to which the Viant Technology LLC unitholder is subject. We intend to impose additional restrictions on exchanges that we determine to be necessary or advisable so that Viant Technology LLC is not treated as a “publicly traded partnership” for U.S. federal income tax purposes.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9" w:name="page130"/>
    <w:bookmarkEnd w:id="129"/>
    <w:p>
      <w:pPr>
        <w:jc w:val="both"/>
        <w:ind w:firstLine="589"/>
        <w:spacing w:after="0" w:line="263" w:lineRule="auto"/>
        <w:rPr>
          <w:sz w:val="20"/>
          <w:szCs w:val="20"/>
          <w:color w:val="auto"/>
        </w:rPr>
      </w:pPr>
      <w:r>
        <w:rPr>
          <w:rFonts w:ascii="Arial" w:cs="Arial" w:eastAsia="Arial" w:hAnsi="Arial"/>
          <w:sz w:val="18"/>
          <w:szCs w:val="18"/>
          <w:color w:val="231F20"/>
        </w:rPr>
        <w:t>The Viant Technology LLC Agreement also provides for mandatory exchanges under certain circumstances, including at our option, if the number of units outstanding (other than those held by us) is less than a minimum percentage and in our discretion, with the consent of holders of at least 50% of the outstanding Class B units.</w:t>
      </w:r>
    </w:p>
    <w:p>
      <w:pPr>
        <w:spacing w:after="0" w:line="184"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231F20"/>
        </w:rPr>
        <w:t>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Registration Rights Agreement</w:t>
      </w:r>
    </w:p>
    <w:p>
      <w:pPr>
        <w:spacing w:after="0" w:line="22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231F20"/>
        </w:rPr>
        <w:t>In connection with the IPO, we entered into the Registration Rights Agreement with the Vanderhook Parties and the Equity Plan LLC. This agreement provides these holders with certain registration rights whereby, at any time following the lockup period described in the S-1 filed in connection with our IPO, they will have the right to require us to register under the Securities Act the shares of Class A common stock issuable upon exchange of Class B units. The Registration Rights Agreement also provides for piggyback registration rights for the holders party thereto, subject to certain conditions and exceptions.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Limitations on Liability and Executive Officer and Director Indemnification Agreements</w:t>
      </w:r>
    </w:p>
    <w:p>
      <w:pPr>
        <w:spacing w:after="0" w:line="229"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231F20"/>
        </w:rPr>
        <w:t>Our directors and officers will not be personally liable for our debts, obligations or liabilities, whether that liability or obligation arises in contract, tort or otherwise, solely by reason of being a director or an officer of us. In addition, our amended and restated bylaws require us to indemnify our executive officers and directors to the fullest extent permitted by law, subject to limited exceptions. We have entered into indemnification agreements with each of our executive officers and directors that provide, in general, that we will indemnify them to the fullest extent permitted by law in connection with their service to us or on our behalf.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Review and Approval of Related Person Transactions</w:t>
      </w:r>
    </w:p>
    <w:p>
      <w:pPr>
        <w:spacing w:after="0" w:line="22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231F20"/>
        </w:rPr>
        <w:t>We have implemented a written policy pursuant to which the audit committee will review and approve transactions with our directors, officers and holders of more than 5% of our voting securities and their affiliates. Prior to approving any transaction with a related party, the audit committee will consider the material facts as to the related party’s relationship with us or interest in the transaction. Related person transactions will not be approved unless the audit committee has approved of the transaction. We did not have a formal review and approval policy for related person transactions at the time of any transaction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Independence</w:t>
      </w:r>
    </w:p>
    <w:p>
      <w:pPr>
        <w:spacing w:after="0" w:line="229"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231F20"/>
        </w:rPr>
        <w:t>The board of directors has determined that Max Valdes and Elizabeth Williams are “independent directors” as such term is defined by the applicable rules and regulations of Nasdaq. As allowed under the applicable rules and regulations of the SEC and Nasdaq, we intend to appoint a third independent director within a year after the closing of our IPO.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The following table sets forth the aggregate fees for professional service provided by our independent registered public accounting firm, </w:t>
      </w:r>
      <w:r>
        <w:rPr>
          <w:rFonts w:ascii="Arial" w:cs="Arial" w:eastAsia="Arial" w:hAnsi="Arial"/>
          <w:sz w:val="16"/>
          <w:szCs w:val="16"/>
          <w:color w:val="231F20"/>
        </w:rPr>
        <w:t>Deloitte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Touche LLP</w:t>
      </w:r>
      <w:r>
        <w:rPr>
          <w:rFonts w:ascii="Arial" w:cs="Arial" w:eastAsia="Arial" w:hAnsi="Arial"/>
          <w:sz w:val="18"/>
          <w:szCs w:val="18"/>
          <w:color w:val="000000"/>
        </w:rPr>
        <w:t>, for the year ended December 31, 2020:</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8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Audit-Related Fees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All Other Fees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160" w:hanging="572"/>
        <w:spacing w:after="0" w:line="263" w:lineRule="auto"/>
        <w:tabs>
          <w:tab w:leader="none" w:pos="5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 xml:space="preserve">Audit fees consist of the fees for professional services rendered for the audits of our annual financial statements, review of our quarterly financial statements and filing of our registration statements, including our Registration Statement on Form S-1 related to our initial public offering for which we have engaged </w:t>
      </w:r>
      <w:r>
        <w:rPr>
          <w:rFonts w:ascii="Arial" w:cs="Arial" w:eastAsia="Arial" w:hAnsi="Arial"/>
          <w:sz w:val="18"/>
          <w:szCs w:val="18"/>
          <w:color w:val="231F20"/>
        </w:rPr>
        <w:t>Deloitte &amp; Touche LLP</w:t>
      </w:r>
      <w:r>
        <w:rPr>
          <w:rFonts w:ascii="Arial" w:cs="Arial" w:eastAsia="Arial" w:hAnsi="Arial"/>
          <w:sz w:val="18"/>
          <w:szCs w:val="18"/>
          <w:color w:val="auto"/>
        </w:rPr>
        <w:t>.</w:t>
      </w:r>
    </w:p>
    <w:p>
      <w:pPr>
        <w:spacing w:after="0" w:line="75" w:lineRule="exact"/>
        <w:rPr>
          <w:rFonts w:ascii="Arial" w:cs="Arial" w:eastAsia="Arial" w:hAnsi="Arial"/>
          <w:sz w:val="15"/>
          <w:szCs w:val="15"/>
          <w:color w:val="auto"/>
        </w:rPr>
      </w:pPr>
    </w:p>
    <w:p>
      <w:pPr>
        <w:ind w:left="580" w:hanging="572"/>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Tax fees consist of the fees for professional services rendered in connection with tax compliance, tax advisory, and tax planning.</w:t>
      </w:r>
    </w:p>
    <w:p>
      <w:pPr>
        <w:spacing w:after="0" w:line="225"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 xml:space="preserve">The audit committee has adopted a pre-approval policy under which the audit committee approves in advance all audit and permissible non-audit services to be performed by the independent accountants (subject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1" w:name="page132"/>
    <w:bookmarkEnd w:id="13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See Index to Consolidated Financial Statements at Part II Item 8 “Financial Statements and Supplementary Data.”</w:t>
      </w:r>
    </w:p>
    <w:p>
      <w:pPr>
        <w:spacing w:after="0" w:line="129" w:lineRule="exact"/>
        <w:rPr>
          <w:sz w:val="20"/>
          <w:szCs w:val="20"/>
          <w:color w:val="auto"/>
        </w:rPr>
      </w:pPr>
    </w:p>
    <w:p>
      <w:pPr>
        <w:ind w:left="1760" w:hanging="578"/>
        <w:spacing w:after="0"/>
        <w:tabs>
          <w:tab w:leader="none" w:pos="1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740"/>
        <w:spacing w:after="0" w:line="308" w:lineRule="auto"/>
        <w:rPr>
          <w:sz w:val="20"/>
          <w:szCs w:val="20"/>
          <w:color w:val="auto"/>
        </w:rPr>
      </w:pPr>
      <w:r>
        <w:rPr>
          <w:rFonts w:ascii="Arial" w:cs="Arial" w:eastAsia="Arial" w:hAnsi="Arial"/>
          <w:sz w:val="17"/>
          <w:szCs w:val="17"/>
          <w:color w:val="auto"/>
        </w:rPr>
        <w:t>The financial statement schedules are omitted as they are either not applicable or the information required is presented in the financial statements and notes thereto under Part II Item 8. “Financial Statements and Supplementary Data.”</w:t>
      </w:r>
    </w:p>
    <w:p>
      <w:pPr>
        <w:spacing w:after="0" w:line="38" w:lineRule="exact"/>
        <w:rPr>
          <w:sz w:val="20"/>
          <w:szCs w:val="20"/>
          <w:color w:val="auto"/>
        </w:rPr>
      </w:pPr>
    </w:p>
    <w:p>
      <w:pPr>
        <w:ind w:left="1760" w:hanging="578"/>
        <w:spacing w:after="0"/>
        <w:tabs>
          <w:tab w:leader="none" w:pos="1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320" w:top="337" w:right="87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25"/>
          </w:tcPr>
          <w:p>
            <w:pPr>
              <w:ind w:left="6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23"/>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gridSpan w:val="2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040" w:type="dxa"/>
            <w:vAlign w:val="bottom"/>
            <w:tcBorders>
              <w:top w:val="single" w:sz="8" w:color="auto"/>
            </w:tcBorders>
            <w:gridSpan w:val="31"/>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Amended and Restated Certificate of Incorporation of Viant Technology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5520" w:type="dxa"/>
            <w:vAlign w:val="bottom"/>
            <w:tcBorders>
              <w:top w:val="single" w:sz="8" w:color="0000EE"/>
            </w:tcBorders>
            <w:gridSpan w:val="1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Amended and Restated Bylaws of Viant Technology Inc.</w:t>
              </w:r>
            </w:hyperlink>
          </w:p>
        </w:tc>
        <w:tc>
          <w:tcPr>
            <w:tcW w:w="4520" w:type="dxa"/>
            <w:vAlign w:val="bottom"/>
            <w:gridSpan w:val="2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080" w:type="dxa"/>
            <w:vAlign w:val="bottom"/>
            <w:tcBorders>
              <w:top w:val="single" w:sz="8" w:color="0000EE"/>
            </w:tcBorders>
            <w:gridSpan w:val="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Description of Securities.</w:t>
              </w:r>
            </w:hyperlink>
          </w:p>
        </w:tc>
        <w:tc>
          <w:tcPr>
            <w:tcW w:w="5960" w:type="dxa"/>
            <w:vAlign w:val="bottom"/>
            <w:gridSpan w:val="2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9"/>
              </w:rPr>
            </w:pPr>
            <w:hyperlink w:anchor="page179">
              <w:r>
                <w:rPr>
                  <w:rFonts w:ascii="Arial" w:cs="Arial" w:eastAsia="Arial" w:hAnsi="Arial"/>
                  <w:sz w:val="18"/>
                  <w:szCs w:val="18"/>
                  <w:color w:val="0000EE"/>
                  <w:w w:val="99"/>
                </w:rPr>
                <w:t>Second Amended and Restated Limited Liability Company Agreement of Viant Technology LLC, dated as of February 9,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7"/>
              </w:rPr>
            </w:pPr>
            <w:hyperlink w:anchor="page243">
              <w:r>
                <w:rPr>
                  <w:rFonts w:ascii="Arial" w:cs="Arial" w:eastAsia="Arial" w:hAnsi="Arial"/>
                  <w:sz w:val="18"/>
                  <w:szCs w:val="18"/>
                  <w:color w:val="0000EE"/>
                  <w:w w:val="97"/>
                </w:rPr>
                <w:t>Amendment No. 1 to Second Amended and Restated Limited Liability Company Agreement of Viant Technology LLC, dated as of</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February 12, 2021.</w:t>
              </w:r>
            </w:hyperlink>
          </w:p>
        </w:tc>
        <w:tc>
          <w:tcPr>
            <w:tcW w:w="6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93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47">
              <w:r>
                <w:rPr>
                  <w:rFonts w:ascii="Arial" w:cs="Arial" w:eastAsia="Arial" w:hAnsi="Arial"/>
                  <w:sz w:val="18"/>
                  <w:szCs w:val="18"/>
                  <w:color w:val="0000EE"/>
                  <w:w w:val="91"/>
                </w:rPr>
                <w:t>Tax Receivable Agreement, by and among Viant Technology Inc., Viant Technology LLC, each of the TRA Holders, and the TRA</w:t>
              </w:r>
            </w:hyperlink>
          </w:p>
        </w:tc>
        <w:tc>
          <w:tcPr>
            <w:tcW w:w="660" w:type="dxa"/>
            <w:vAlign w:val="bottom"/>
            <w:gridSpan w:val="1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47">
              <w:r>
                <w:rPr>
                  <w:rFonts w:ascii="Arial" w:cs="Arial" w:eastAsia="Arial" w:hAnsi="Arial"/>
                  <w:sz w:val="18"/>
                  <w:szCs w:val="18"/>
                  <w:color w:val="0000EE"/>
                  <w:w w:val="88"/>
                </w:rPr>
                <w:t>Representative, dated as of February 9, 2021.</w:t>
              </w:r>
            </w:hyperlink>
          </w:p>
        </w:tc>
        <w:tc>
          <w:tcPr>
            <w:tcW w:w="67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Registration Rights Agreement, by and among Viant Technology Inc. and the parties thereto, dated as of February 9,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9840" w:type="dxa"/>
            <w:vAlign w:val="bottom"/>
            <w:tcBorders>
              <w:bottom w:val="single" w:sz="8" w:color="0000EE"/>
            </w:tcBorders>
            <w:gridSpan w:val="25"/>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Form of Indemnification Agreement entered into with Directors and Executive Officers (incorporated by reference to Exhibit 10.4 to the</w:t>
              </w:r>
            </w:hyperlink>
          </w:p>
        </w:tc>
        <w:tc>
          <w:tcPr>
            <w:tcW w:w="20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Company’s registration statement on S-1 filed on February 1, 2021).</w:t>
              </w:r>
            </w:hyperlink>
          </w:p>
        </w:tc>
        <w:tc>
          <w:tcPr>
            <w:tcW w:w="512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Revolving Credit and Security Agreement and Guaranty dated October 31, 2019 with PNC Bank, National Association as agent and the</w:t>
              </w:r>
            </w:hyperlink>
          </w:p>
        </w:tc>
        <w:tc>
          <w:tcPr>
            <w:tcW w:w="260" w:type="dxa"/>
            <w:vAlign w:val="bottom"/>
            <w:gridSpan w:val="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40" w:type="dxa"/>
            <w:vAlign w:val="bottom"/>
            <w:gridSpan w:val="31"/>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lenders party thereto (incorporated by reference to Exhibit 10.5 to the Company’s registration statement on S-1 filed on February 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988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First Amendment to Revolving Credit and Security Agreement and Guaranty dated April 13, 2020 with PNC Bank, National Association</w:t>
              </w:r>
            </w:hyperlink>
          </w:p>
        </w:tc>
        <w:tc>
          <w:tcPr>
            <w:tcW w:w="80" w:type="dxa"/>
            <w:vAlign w:val="bottom"/>
            <w:tcBorders>
              <w:top w:val="single" w:sz="8" w:color="0000EE"/>
            </w:tcBorders>
            <w:gridSpan w:val="3"/>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as agent and the lenders party thereto (incorporated by reference to Exhibit 10.6 to the Company’s registration statement on S-1 filed on</w:t>
              </w:r>
            </w:hyperlink>
          </w:p>
        </w:tc>
        <w:tc>
          <w:tcPr>
            <w:tcW w:w="2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February 1, 2021).</w:t>
              </w:r>
            </w:hyperlink>
          </w:p>
        </w:tc>
        <w:tc>
          <w:tcPr>
            <w:tcW w:w="868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9200" w:type="dxa"/>
            <w:vAlign w:val="bottom"/>
            <w:tcBorders>
              <w:bottom w:val="single" w:sz="8" w:color="0000EE"/>
            </w:tcBorders>
            <w:gridSpan w:val="16"/>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Second Amendment to Revolving Credit and Security Agreement and Guaranty dated April 30, 2020 with PNC Bank, National</w:t>
              </w:r>
            </w:hyperlink>
          </w:p>
        </w:tc>
        <w:tc>
          <w:tcPr>
            <w:tcW w:w="840" w:type="dxa"/>
            <w:vAlign w:val="bottom"/>
            <w:gridSpan w:val="1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40" w:type="dxa"/>
            <w:vAlign w:val="bottom"/>
            <w:gridSpan w:val="31"/>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Association as agent and the lenders party thereto (incorporated by reference to Exhibit 10.7 to the Company’s registration statement on 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1 filed on February 1, 2021).</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Third Amendment to Revolving Credit and Security Agreement and Guaranty dated May 29, 2020 with PNC Bank, National Association</w:t>
              </w:r>
            </w:hyperlink>
          </w:p>
        </w:tc>
        <w:tc>
          <w:tcPr>
            <w:tcW w:w="1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as agent and the lenders party thereto (incorporated by reference to Exhibit 10.8 to the Company’s registration statement on S-1 filed on</w:t>
              </w:r>
            </w:hyperlink>
          </w:p>
        </w:tc>
        <w:tc>
          <w:tcPr>
            <w:tcW w:w="2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February 1, 2021).</w:t>
              </w:r>
            </w:hyperlink>
          </w:p>
        </w:tc>
        <w:tc>
          <w:tcPr>
            <w:tcW w:w="868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8"/>
              </w:rPr>
            </w:pPr>
            <w:hyperlink r:id="rId170">
              <w:r>
                <w:rPr>
                  <w:rFonts w:ascii="Arial" w:cs="Arial" w:eastAsia="Arial" w:hAnsi="Arial"/>
                  <w:sz w:val="18"/>
                  <w:szCs w:val="18"/>
                  <w:color w:val="0000EE"/>
                  <w:w w:val="98"/>
                </w:rPr>
                <w:t>Fourth Amendment to Revolving Credit and Security Agreement and Guaranty dated January 29, 2021 with PNC Bank, National</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40" w:type="dxa"/>
            <w:vAlign w:val="bottom"/>
            <w:gridSpan w:val="31"/>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Association as agent and the lenders party thereto (incorporated by reference to Exhibit 10.9 to the Company’s registration statement on 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1 filed on February 1, 2021).</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Viant Technology Inc. 2021 Long-Term Incentive Plan (incorporated by reference to Exhibit 99.1 to the Company’s registration statement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on S-8 filed on February 9, 2021).</w:t>
              </w:r>
            </w:hyperlink>
          </w:p>
        </w:tc>
        <w:tc>
          <w:tcPr>
            <w:tcW w:w="7460" w:type="dxa"/>
            <w:vAlign w:val="bottom"/>
            <w:tcBorders>
              <w:top w:val="single" w:sz="8" w:color="0000EE"/>
            </w:tcBorders>
            <w:gridSpan w:val="23"/>
          </w:tcPr>
          <w:p>
            <w:pPr>
              <w:spacing w:after="0"/>
              <w:rPr>
                <w:sz w:val="17"/>
                <w:szCs w:val="17"/>
                <w:color w:val="auto"/>
              </w:rPr>
            </w:pPr>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Viant Technology LLC 2020 Equity Based Incentive Compensation Plan (incorporated by reference to Exhibit 10.12 to the Company’s</w:t>
              </w:r>
            </w:hyperlink>
          </w:p>
        </w:tc>
        <w:tc>
          <w:tcPr>
            <w:tcW w:w="320" w:type="dxa"/>
            <w:vAlign w:val="bottom"/>
            <w:gridSpan w:val="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registration statement on S-1 filed on February 1, 2021).</w:t>
              </w:r>
            </w:hyperlink>
          </w:p>
        </w:tc>
        <w:tc>
          <w:tcPr>
            <w:tcW w:w="598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Employment Agreement, dated March 27, 2017, by and between Viant Technology LLC and Larry Madden (incorporated by reference to</w:t>
              </w:r>
            </w:hyperlink>
          </w:p>
        </w:tc>
        <w:tc>
          <w:tcPr>
            <w:tcW w:w="1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Exhibit 10.13 to the Company’s registration statement on S-1 filed on February 1, 2021).</w:t>
              </w:r>
            </w:hyperlink>
          </w:p>
        </w:tc>
        <w:tc>
          <w:tcPr>
            <w:tcW w:w="36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9820" w:type="dxa"/>
            <w:vAlign w:val="bottom"/>
            <w:tcBorders>
              <w:bottom w:val="single" w:sz="8" w:color="0000EE"/>
            </w:tcBorders>
            <w:gridSpan w:val="24"/>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Limited Liability Company Agreement of Viant Technology Equity Plan LLC, dated as of March 15, 2017 (incorporated by reference to</w:t>
              </w:r>
            </w:hyperlink>
          </w:p>
        </w:tc>
        <w:tc>
          <w:tcPr>
            <w:tcW w:w="22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Exhibit 10.14 to the Company’s registration statement on S-1 filed on February 1, 2021).</w:t>
              </w:r>
            </w:hyperlink>
          </w:p>
        </w:tc>
        <w:tc>
          <w:tcPr>
            <w:tcW w:w="36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Subsidiaries of the Registrant (incorporated by reference to Exhibit 21.1 to the Company’s registration statement on S-1 filed on February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1, 2021).</w:t>
              </w:r>
            </w:hyperlink>
          </w:p>
        </w:tc>
        <w:tc>
          <w:tcPr>
            <w:tcW w:w="7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Consent of Deloitte &amp; Touche LLP, independent registered public accounting firm, as to Viant Technology Inc.</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gridSpan w:val="10"/>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81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07">
              <w:r>
                <w:rPr>
                  <w:rFonts w:ascii="Arial" w:cs="Arial" w:eastAsia="Arial" w:hAnsi="Arial"/>
                  <w:sz w:val="18"/>
                  <w:szCs w:val="18"/>
                  <w:color w:val="0000EE"/>
                  <w:w w:val="91"/>
                </w:rPr>
                <w:t>Consent of Deloitte &amp; Touche LLP, independent registered public accounting firm, as to Viant Technology LLC.</w:t>
              </w:r>
            </w:hyperlink>
          </w:p>
        </w:tc>
        <w:tc>
          <w:tcPr>
            <w:tcW w:w="1940" w:type="dxa"/>
            <w:vAlign w:val="bottom"/>
            <w:gridSpan w:val="1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96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08">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2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08">
              <w:r>
                <w:rPr>
                  <w:rFonts w:ascii="Arial" w:cs="Arial" w:eastAsia="Arial" w:hAnsi="Arial"/>
                  <w:sz w:val="18"/>
                  <w:szCs w:val="18"/>
                  <w:color w:val="0000EE"/>
                  <w:w w:val="90"/>
                </w:rPr>
                <w:t>Adopted Pursuant to Section 302 of the Sarbanes-Oxley Act of 2002.</w:t>
              </w:r>
            </w:hyperlink>
          </w:p>
        </w:tc>
        <w:tc>
          <w:tcPr>
            <w:tcW w:w="506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EE"/>
                <w:w w:val="95"/>
              </w:rPr>
            </w:pPr>
            <w:hyperlink w:anchor="page309">
              <w:r>
                <w:rPr>
                  <w:rFonts w:ascii="Arial" w:cs="Arial" w:eastAsia="Arial" w:hAnsi="Arial"/>
                  <w:sz w:val="18"/>
                  <w:szCs w:val="18"/>
                  <w:color w:val="0000EE"/>
                  <w:w w:val="95"/>
                </w:rPr>
                <w:t>Certification of Principal Financial Officer Pursuant to Rules 13a-14(a) and 15d-14(a) under the Securities Exchange Act of 1934, as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09">
              <w:r>
                <w:rPr>
                  <w:rFonts w:ascii="Arial" w:cs="Arial" w:eastAsia="Arial" w:hAnsi="Arial"/>
                  <w:sz w:val="18"/>
                  <w:szCs w:val="18"/>
                  <w:color w:val="0000EE"/>
                </w:rPr>
                <w:t>Adopted Pursuant to Section 302 of the Sarbanes-Oxley Act of 2002.</w:t>
              </w:r>
            </w:hyperlink>
          </w:p>
        </w:tc>
        <w:tc>
          <w:tcPr>
            <w:tcW w:w="4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tcBorders>
              <w:top w:val="single" w:sz="8" w:color="0000EE"/>
            </w:tcBorders>
            <w:gridSpan w:val="9"/>
          </w:tcPr>
          <w:p>
            <w:pPr>
              <w:ind w:left="4280"/>
              <w:spacing w:after="0"/>
              <w:rPr>
                <w:sz w:val="20"/>
                <w:szCs w:val="20"/>
                <w:color w:val="auto"/>
              </w:rPr>
            </w:pPr>
            <w:r>
              <w:rPr>
                <w:rFonts w:ascii="Arial" w:cs="Arial" w:eastAsia="Arial" w:hAnsi="Arial"/>
                <w:sz w:val="18"/>
                <w:szCs w:val="18"/>
                <w:color w:val="auto"/>
              </w:rPr>
              <w:t>133</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690"/>
              <w:spacing w:after="0"/>
              <w:rPr>
                <w:sz w:val="20"/>
                <w:szCs w:val="20"/>
                <w:color w:val="auto"/>
              </w:rPr>
            </w:pPr>
            <w:r>
              <w:rPr>
                <w:rFonts w:ascii="Arial" w:cs="Arial" w:eastAsia="Arial" w:hAnsi="Arial"/>
                <w:sz w:val="18"/>
                <w:szCs w:val="18"/>
                <w:color w:val="auto"/>
                <w:w w:val="95"/>
              </w:rPr>
              <w:t>32.1*</w:t>
            </w:r>
          </w:p>
        </w:tc>
        <w:tc>
          <w:tcPr>
            <w:tcW w:w="10000" w:type="dxa"/>
            <w:vAlign w:val="bottom"/>
            <w:gridSpan w:val="4"/>
          </w:tcPr>
          <w:p>
            <w:pPr>
              <w:spacing w:after="0"/>
              <w:rPr>
                <w:rFonts w:ascii="Arial" w:cs="Arial" w:eastAsia="Arial" w:hAnsi="Arial"/>
                <w:sz w:val="18"/>
                <w:szCs w:val="18"/>
                <w:color w:val="0000EE"/>
                <w:w w:val="94"/>
              </w:rPr>
            </w:pPr>
            <w:hyperlink w:anchor="page310">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200" w:type="dxa"/>
            <w:vAlign w:val="bottom"/>
          </w:tcPr>
          <w:p>
            <w:pPr>
              <w:spacing w:after="0"/>
              <w:rPr>
                <w:sz w:val="17"/>
                <w:szCs w:val="17"/>
                <w:color w:val="auto"/>
              </w:rPr>
            </w:pPr>
          </w:p>
        </w:tc>
        <w:tc>
          <w:tcPr>
            <w:tcW w:w="9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0">
              <w:r>
                <w:rPr>
                  <w:rFonts w:ascii="Arial" w:cs="Arial" w:eastAsia="Arial" w:hAnsi="Arial"/>
                  <w:sz w:val="18"/>
                  <w:szCs w:val="18"/>
                  <w:color w:val="0000EE"/>
                </w:rPr>
                <w:t>Oxley Act of 2002.</w:t>
              </w:r>
            </w:hyperlink>
          </w:p>
        </w:tc>
        <w:tc>
          <w:tcPr>
            <w:tcW w:w="4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20" w:type="dxa"/>
            <w:vAlign w:val="bottom"/>
            <w:gridSpan w:val="2"/>
          </w:tcPr>
          <w:p>
            <w:pPr>
              <w:spacing w:after="0" w:line="20" w:lineRule="exact"/>
              <w:rPr>
                <w:sz w:val="1"/>
                <w:szCs w:val="1"/>
                <w:color w:val="auto"/>
              </w:rPr>
            </w:pPr>
          </w:p>
        </w:tc>
      </w:tr>
      <w:tr>
        <w:trPr>
          <w:trHeight w:val="210"/>
        </w:trPr>
        <w:tc>
          <w:tcPr>
            <w:tcW w:w="1200" w:type="dxa"/>
            <w:vAlign w:val="bottom"/>
          </w:tcPr>
          <w:p>
            <w:pPr>
              <w:jc w:val="right"/>
              <w:ind w:right="690"/>
              <w:spacing w:after="0"/>
              <w:rPr>
                <w:sz w:val="20"/>
                <w:szCs w:val="20"/>
                <w:color w:val="auto"/>
              </w:rPr>
            </w:pPr>
            <w:r>
              <w:rPr>
                <w:rFonts w:ascii="Arial" w:cs="Arial" w:eastAsia="Arial" w:hAnsi="Arial"/>
                <w:sz w:val="18"/>
                <w:szCs w:val="18"/>
                <w:color w:val="auto"/>
                <w:w w:val="95"/>
              </w:rPr>
              <w:t>32.2*</w:t>
            </w:r>
          </w:p>
        </w:tc>
        <w:tc>
          <w:tcPr>
            <w:tcW w:w="100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1">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r>
      <w:tr>
        <w:trPr>
          <w:trHeight w:val="196"/>
        </w:trPr>
        <w:tc>
          <w:tcPr>
            <w:tcW w:w="1200" w:type="dxa"/>
            <w:vAlign w:val="bottom"/>
          </w:tcPr>
          <w:p>
            <w:pPr>
              <w:spacing w:after="0"/>
              <w:rPr>
                <w:sz w:val="17"/>
                <w:szCs w:val="17"/>
                <w:color w:val="auto"/>
              </w:rPr>
            </w:pPr>
          </w:p>
        </w:tc>
        <w:tc>
          <w:tcPr>
            <w:tcW w:w="10000" w:type="dxa"/>
            <w:vAlign w:val="bottom"/>
            <w:gridSpan w:val="4"/>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Act of 2002.</w:t>
              </w:r>
            </w:hyperlink>
          </w:p>
        </w:tc>
      </w:tr>
      <w:tr>
        <w:trPr>
          <w:trHeight w:val="20"/>
        </w:trPr>
        <w:tc>
          <w:tcPr>
            <w:tcW w:w="1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Viant Technology Inc.</w:t>
      </w:r>
    </w:p>
    <w:p>
      <w:pPr>
        <w:spacing w:after="0" w:line="252"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Tim Vanderhook</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00" w:lineRule="exact"/>
        <w:rPr>
          <w:sz w:val="20"/>
          <w:szCs w:val="20"/>
          <w:color w:val="auto"/>
        </w:rPr>
      </w:pPr>
    </w:p>
    <w:p>
      <w:pPr>
        <w:spacing w:after="0" w:line="24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700"/>
        <w:spacing w:after="0"/>
        <w:tabs>
          <w:tab w:leader="none" w:pos="5420" w:val="left"/>
          <w:tab w:leader="none" w:pos="91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0"/>
              </w:rPr>
              <w:t>/s/ Tim Vanderhook</w:t>
            </w:r>
          </w:p>
        </w:tc>
        <w:tc>
          <w:tcPr>
            <w:tcW w:w="4100" w:type="dxa"/>
            <w:vAlign w:val="bottom"/>
          </w:tcPr>
          <w:p>
            <w:pPr>
              <w:jc w:val="center"/>
              <w:ind w:right="395"/>
              <w:spacing w:after="0"/>
              <w:rPr>
                <w:sz w:val="20"/>
                <w:szCs w:val="20"/>
                <w:color w:val="auto"/>
              </w:rPr>
            </w:pPr>
            <w:r>
              <w:rPr>
                <w:rFonts w:ascii="Arial" w:cs="Arial" w:eastAsia="Arial" w:hAnsi="Arial"/>
                <w:sz w:val="18"/>
                <w:szCs w:val="18"/>
                <w:color w:val="auto"/>
                <w:w w:val="92"/>
              </w:rPr>
              <w:t>Chief Executive Officer and Chairman</w:t>
            </w:r>
          </w:p>
        </w:tc>
        <w:tc>
          <w:tcPr>
            <w:tcW w:w="2020" w:type="dxa"/>
            <w:vAlign w:val="bottom"/>
            <w:vMerge w:val="restart"/>
          </w:tcPr>
          <w:p>
            <w:pPr>
              <w:ind w:left="880"/>
              <w:spacing w:after="0"/>
              <w:rPr>
                <w:sz w:val="20"/>
                <w:szCs w:val="20"/>
                <w:color w:val="auto"/>
              </w:rPr>
            </w:pPr>
            <w:r>
              <w:rPr>
                <w:rFonts w:ascii="Arial" w:cs="Arial" w:eastAsia="Arial" w:hAnsi="Arial"/>
                <w:sz w:val="18"/>
                <w:szCs w:val="18"/>
                <w:color w:val="auto"/>
                <w:w w:val="89"/>
              </w:rPr>
              <w:t>March 23, 2021</w:t>
            </w:r>
          </w:p>
        </w:tc>
        <w:tc>
          <w:tcPr>
            <w:tcW w:w="0" w:type="dxa"/>
            <w:vAlign w:val="bottom"/>
          </w:tcPr>
          <w:p>
            <w:pPr>
              <w:spacing w:after="0"/>
              <w:rPr>
                <w:sz w:val="1"/>
                <w:szCs w:val="1"/>
                <w:color w:val="auto"/>
              </w:rPr>
            </w:pPr>
          </w:p>
        </w:tc>
      </w:tr>
      <w:tr>
        <w:trPr>
          <w:trHeight w:val="172"/>
        </w:trPr>
        <w:tc>
          <w:tcPr>
            <w:tcW w:w="3760" w:type="dxa"/>
            <w:vAlign w:val="bottom"/>
            <w:tcBorders>
              <w:bottom w:val="single" w:sz="8" w:color="auto"/>
            </w:tcBorders>
            <w:vMerge w:val="continue"/>
          </w:tcPr>
          <w:p>
            <w:pPr>
              <w:spacing w:after="0"/>
              <w:rPr>
                <w:sz w:val="14"/>
                <w:szCs w:val="14"/>
                <w:color w:val="auto"/>
              </w:rPr>
            </w:pPr>
          </w:p>
        </w:tc>
        <w:tc>
          <w:tcPr>
            <w:tcW w:w="4100" w:type="dxa"/>
            <w:vAlign w:val="bottom"/>
          </w:tcPr>
          <w:p>
            <w:pPr>
              <w:jc w:val="center"/>
              <w:ind w:right="375"/>
              <w:spacing w:after="0"/>
              <w:rPr>
                <w:sz w:val="20"/>
                <w:szCs w:val="20"/>
                <w:color w:val="auto"/>
              </w:rPr>
            </w:pPr>
            <w:r>
              <w:rPr>
                <w:rFonts w:ascii="Arial" w:cs="Arial" w:eastAsia="Arial" w:hAnsi="Arial"/>
                <w:sz w:val="14"/>
                <w:szCs w:val="14"/>
                <w:i w:val="1"/>
                <w:iCs w:val="1"/>
                <w:color w:val="auto"/>
                <w:w w:val="96"/>
              </w:rPr>
              <w:t>(principal executive officer)</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Tim Vanderhook</w:t>
            </w:r>
          </w:p>
        </w:tc>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1"/>
              </w:rPr>
              <w:t>/s/ Larry Madden</w:t>
            </w:r>
          </w:p>
        </w:tc>
        <w:tc>
          <w:tcPr>
            <w:tcW w:w="4100" w:type="dxa"/>
            <w:vAlign w:val="bottom"/>
          </w:tcPr>
          <w:p>
            <w:pPr>
              <w:jc w:val="center"/>
              <w:ind w:right="375"/>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vMerge w:val="restart"/>
          </w:tcPr>
          <w:p>
            <w:pPr>
              <w:ind w:left="880"/>
              <w:spacing w:after="0"/>
              <w:rPr>
                <w:sz w:val="20"/>
                <w:szCs w:val="20"/>
                <w:color w:val="auto"/>
              </w:rPr>
            </w:pPr>
            <w:r>
              <w:rPr>
                <w:rFonts w:ascii="Arial" w:cs="Arial" w:eastAsia="Arial" w:hAnsi="Arial"/>
                <w:sz w:val="18"/>
                <w:szCs w:val="18"/>
                <w:color w:val="auto"/>
                <w:w w:val="89"/>
              </w:rPr>
              <w:t>March 23, 2021</w:t>
            </w:r>
          </w:p>
        </w:tc>
        <w:tc>
          <w:tcPr>
            <w:tcW w:w="0" w:type="dxa"/>
            <w:vAlign w:val="bottom"/>
          </w:tcPr>
          <w:p>
            <w:pPr>
              <w:spacing w:after="0"/>
              <w:rPr>
                <w:sz w:val="1"/>
                <w:szCs w:val="1"/>
                <w:color w:val="auto"/>
              </w:rPr>
            </w:pPr>
          </w:p>
        </w:tc>
      </w:tr>
      <w:tr>
        <w:trPr>
          <w:trHeight w:val="172"/>
        </w:trPr>
        <w:tc>
          <w:tcPr>
            <w:tcW w:w="3760" w:type="dxa"/>
            <w:vAlign w:val="bottom"/>
            <w:tcBorders>
              <w:bottom w:val="single" w:sz="8" w:color="auto"/>
            </w:tcBorders>
            <w:vMerge w:val="continue"/>
          </w:tcPr>
          <w:p>
            <w:pPr>
              <w:spacing w:after="0"/>
              <w:rPr>
                <w:sz w:val="14"/>
                <w:szCs w:val="14"/>
                <w:color w:val="auto"/>
              </w:rPr>
            </w:pPr>
          </w:p>
        </w:tc>
        <w:tc>
          <w:tcPr>
            <w:tcW w:w="4100" w:type="dxa"/>
            <w:vAlign w:val="bottom"/>
          </w:tcPr>
          <w:p>
            <w:pPr>
              <w:jc w:val="center"/>
              <w:ind w:right="375"/>
              <w:spacing w:after="0"/>
              <w:rPr>
                <w:sz w:val="20"/>
                <w:szCs w:val="20"/>
                <w:color w:val="auto"/>
              </w:rPr>
            </w:pPr>
            <w:r>
              <w:rPr>
                <w:rFonts w:ascii="Arial" w:cs="Arial" w:eastAsia="Arial" w:hAnsi="Arial"/>
                <w:sz w:val="14"/>
                <w:szCs w:val="14"/>
                <w:i w:val="1"/>
                <w:iCs w:val="1"/>
                <w:color w:val="auto"/>
                <w:w w:val="97"/>
              </w:rPr>
              <w:t>(principal financial and accounting officer)</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Larry Madden</w:t>
            </w:r>
          </w:p>
        </w:tc>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Vanderhook</w:t>
            </w:r>
          </w:p>
        </w:tc>
        <w:tc>
          <w:tcPr>
            <w:tcW w:w="4100" w:type="dxa"/>
            <w:vAlign w:val="bottom"/>
          </w:tcPr>
          <w:p>
            <w:pPr>
              <w:jc w:val="center"/>
              <w:ind w:right="375"/>
              <w:spacing w:after="0"/>
              <w:rPr>
                <w:sz w:val="20"/>
                <w:szCs w:val="20"/>
                <w:color w:val="auto"/>
              </w:rPr>
            </w:pPr>
            <w:r>
              <w:rPr>
                <w:rFonts w:ascii="Arial" w:cs="Arial" w:eastAsia="Arial" w:hAnsi="Arial"/>
                <w:sz w:val="18"/>
                <w:szCs w:val="18"/>
                <w:color w:val="auto"/>
                <w:w w:val="93"/>
              </w:rPr>
              <w:t>Chief Operating Officer and Director</w:t>
            </w:r>
          </w:p>
        </w:tc>
        <w:tc>
          <w:tcPr>
            <w:tcW w:w="2020" w:type="dxa"/>
            <w:vAlign w:val="bottom"/>
          </w:tcPr>
          <w:p>
            <w:pPr>
              <w:ind w:left="880"/>
              <w:spacing w:after="0"/>
              <w:rPr>
                <w:sz w:val="20"/>
                <w:szCs w:val="20"/>
                <w:color w:val="auto"/>
              </w:rPr>
            </w:pPr>
            <w:r>
              <w:rPr>
                <w:rFonts w:ascii="Arial" w:cs="Arial" w:eastAsia="Arial" w:hAnsi="Arial"/>
                <w:sz w:val="18"/>
                <w:szCs w:val="18"/>
                <w:color w:val="auto"/>
                <w:w w:val="89"/>
              </w:rPr>
              <w:t>March 23, 2021</w:t>
            </w: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2"/>
              </w:rPr>
              <w:t>Chris Vanderhook</w:t>
            </w:r>
          </w:p>
        </w:tc>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Max Valdes</w:t>
            </w:r>
          </w:p>
        </w:tc>
        <w:tc>
          <w:tcPr>
            <w:tcW w:w="4100" w:type="dxa"/>
            <w:vAlign w:val="bottom"/>
          </w:tcPr>
          <w:p>
            <w:pPr>
              <w:jc w:val="center"/>
              <w:ind w:right="375"/>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ind w:left="880"/>
              <w:spacing w:after="0"/>
              <w:rPr>
                <w:sz w:val="20"/>
                <w:szCs w:val="20"/>
                <w:color w:val="auto"/>
              </w:rPr>
            </w:pPr>
            <w:r>
              <w:rPr>
                <w:rFonts w:ascii="Arial" w:cs="Arial" w:eastAsia="Arial" w:hAnsi="Arial"/>
                <w:sz w:val="18"/>
                <w:szCs w:val="18"/>
                <w:color w:val="auto"/>
                <w:w w:val="89"/>
              </w:rPr>
              <w:t>March 23, 2021</w:t>
            </w: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Max Valdes</w:t>
            </w:r>
          </w:p>
        </w:tc>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Elizabeth Williams</w:t>
            </w:r>
          </w:p>
        </w:tc>
        <w:tc>
          <w:tcPr>
            <w:tcW w:w="4100" w:type="dxa"/>
            <w:vAlign w:val="bottom"/>
          </w:tcPr>
          <w:p>
            <w:pPr>
              <w:jc w:val="center"/>
              <w:ind w:right="375"/>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ind w:left="880"/>
              <w:spacing w:after="0"/>
              <w:rPr>
                <w:sz w:val="20"/>
                <w:szCs w:val="20"/>
                <w:color w:val="auto"/>
              </w:rPr>
            </w:pPr>
            <w:r>
              <w:rPr>
                <w:rFonts w:ascii="Arial" w:cs="Arial" w:eastAsia="Arial" w:hAnsi="Arial"/>
                <w:sz w:val="18"/>
                <w:szCs w:val="18"/>
                <w:color w:val="auto"/>
                <w:w w:val="89"/>
              </w:rPr>
              <w:t>March 23, 2021</w:t>
            </w:r>
          </w:p>
        </w:tc>
        <w:tc>
          <w:tcPr>
            <w:tcW w:w="0" w:type="dxa"/>
            <w:vAlign w:val="bottom"/>
          </w:tcPr>
          <w:p>
            <w:pPr>
              <w:spacing w:after="0"/>
              <w:rPr>
                <w:sz w:val="1"/>
                <w:szCs w:val="1"/>
                <w:color w:val="auto"/>
              </w:rPr>
            </w:pPr>
          </w:p>
        </w:tc>
      </w:tr>
      <w:tr>
        <w:trPr>
          <w:trHeight w:val="180"/>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Elizabeth Williams</w:t>
            </w:r>
          </w:p>
        </w:tc>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337" w:right="35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VIANT TECHNOLOGY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(Pursuant to Sections 242 and 245 of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206" w:lineRule="exact"/>
        <w:rPr>
          <w:sz w:val="20"/>
          <w:szCs w:val="20"/>
          <w:color w:val="auto"/>
        </w:rPr>
      </w:pPr>
    </w:p>
    <w:p>
      <w:pPr>
        <w:ind w:right="740" w:firstLine="864"/>
        <w:spacing w:after="0" w:line="250" w:lineRule="auto"/>
        <w:rPr>
          <w:sz w:val="20"/>
          <w:szCs w:val="20"/>
          <w:color w:val="auto"/>
        </w:rPr>
      </w:pPr>
      <w:r>
        <w:rPr>
          <w:rFonts w:ascii="Arial" w:cs="Arial" w:eastAsia="Arial" w:hAnsi="Arial"/>
          <w:sz w:val="22"/>
          <w:szCs w:val="22"/>
          <w:color w:val="auto"/>
        </w:rPr>
        <w:t>VIANT TECHNOLOGY INC., a corporation organized and existing under the provisions of the DGCL, DOES HEREBY CERTIFY:</w:t>
      </w:r>
    </w:p>
    <w:p>
      <w:pPr>
        <w:spacing w:after="0" w:line="175" w:lineRule="exact"/>
        <w:rPr>
          <w:sz w:val="20"/>
          <w:szCs w:val="20"/>
          <w:color w:val="auto"/>
        </w:rPr>
      </w:pPr>
    </w:p>
    <w:p>
      <w:pPr>
        <w:ind w:right="320" w:firstLine="864"/>
        <w:spacing w:after="0" w:line="250" w:lineRule="auto"/>
        <w:rPr>
          <w:sz w:val="20"/>
          <w:szCs w:val="20"/>
          <w:color w:val="auto"/>
        </w:rPr>
      </w:pPr>
      <w:r>
        <w:rPr>
          <w:rFonts w:ascii="Arial" w:cs="Arial" w:eastAsia="Arial" w:hAnsi="Arial"/>
          <w:sz w:val="22"/>
          <w:szCs w:val="22"/>
          <w:color w:val="auto"/>
        </w:rPr>
        <w:t>FIRST: That the name of the corporation is Viant Technology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and that the Corporation was originally incorporated pursuant to the DGCL on October 9, 2020.</w:t>
      </w:r>
    </w:p>
    <w:p>
      <w:pPr>
        <w:spacing w:after="0" w:line="175" w:lineRule="exact"/>
        <w:rPr>
          <w:sz w:val="20"/>
          <w:szCs w:val="20"/>
          <w:color w:val="auto"/>
        </w:rPr>
      </w:pPr>
    </w:p>
    <w:p>
      <w:pPr>
        <w:ind w:right="240" w:firstLine="864"/>
        <w:spacing w:after="0" w:line="250" w:lineRule="auto"/>
        <w:rPr>
          <w:sz w:val="20"/>
          <w:szCs w:val="20"/>
          <w:color w:val="auto"/>
        </w:rPr>
      </w:pPr>
      <w:r>
        <w:rPr>
          <w:rFonts w:ascii="Arial" w:cs="Arial" w:eastAsia="Arial" w:hAnsi="Arial"/>
          <w:sz w:val="22"/>
          <w:szCs w:val="22"/>
          <w:color w:val="auto"/>
        </w:rPr>
        <w:t>SECOND: The Corporation’s Certificate of Incorporation (the “Original Certificate of Incorporation”) was filed with the Secretary of State of the State of Delaware on October 9, 2020.</w:t>
      </w:r>
    </w:p>
    <w:p>
      <w:pPr>
        <w:spacing w:after="0" w:line="175"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THIRD: This Amended and Restated Certificate of Incorporation has been duly adopted pursuant to Sections 242 and 245 of the DGCL.</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FOURTH: The Original Certificate of Incorporation is hereby amended and restated in its entirety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NAME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name of the corporation is Viant Technology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AGENT</w:t>
      </w:r>
    </w:p>
    <w:p>
      <w:pPr>
        <w:spacing w:after="0" w:line="188" w:lineRule="exact"/>
        <w:rPr>
          <w:sz w:val="20"/>
          <w:szCs w:val="20"/>
          <w:color w:val="auto"/>
        </w:rPr>
      </w:pPr>
    </w:p>
    <w:p>
      <w:pPr>
        <w:ind w:right="340" w:firstLine="864"/>
        <w:spacing w:after="0" w:line="328" w:lineRule="auto"/>
        <w:rPr>
          <w:sz w:val="20"/>
          <w:szCs w:val="20"/>
          <w:color w:val="auto"/>
        </w:rPr>
      </w:pPr>
      <w:r>
        <w:rPr>
          <w:rFonts w:ascii="Arial" w:cs="Arial" w:eastAsia="Arial" w:hAnsi="Arial"/>
          <w:sz w:val="19"/>
          <w:szCs w:val="19"/>
          <w:color w:val="auto"/>
        </w:rPr>
        <w:t>The address of the Corporation’s registered office in the State of Delaware is 1209 Orange Street, Wilmington, New Castle County, Delaware 19801. The name of its registered agent at such address is The Corporation Trust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188" w:lineRule="exact"/>
        <w:rPr>
          <w:sz w:val="20"/>
          <w:szCs w:val="20"/>
          <w:color w:val="auto"/>
        </w:rPr>
      </w:pPr>
    </w:p>
    <w:p>
      <w:pPr>
        <w:ind w:right="520" w:firstLine="864"/>
        <w:spacing w:after="0" w:line="250"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4.1</w:t>
      </w:r>
      <w:r>
        <w:rPr>
          <w:sz w:val="20"/>
          <w:szCs w:val="20"/>
          <w:color w:val="auto"/>
        </w:rPr>
        <w:tab/>
      </w:r>
      <w:r>
        <w:rPr>
          <w:rFonts w:ascii="Arial" w:cs="Arial" w:eastAsia="Arial" w:hAnsi="Arial"/>
          <w:sz w:val="19"/>
          <w:szCs w:val="19"/>
          <w:u w:val="single" w:color="auto"/>
          <w:color w:val="auto"/>
        </w:rPr>
        <w:t>Authorized Stock</w:t>
      </w:r>
      <w:r>
        <w:rPr>
          <w:rFonts w:ascii="Arial" w:cs="Arial" w:eastAsia="Arial" w:hAnsi="Arial"/>
          <w:sz w:val="19"/>
          <w:szCs w:val="19"/>
          <w:color w:val="auto"/>
        </w:rPr>
        <w:t>. The total number of shares of all classes of capital stock which the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shall have authority to issue is 610,000,000, of which 450,000,000 shall be designated as Class A Common Stock, par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$0.001 per share (the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150,000,000 shall be designated as Class B Common Stock, par value $0.001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 share (the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together with the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10,000,000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shall be designated as Preferred Stock, par value $0.001 per share (the “</w:t>
      </w:r>
      <w:r>
        <w:rPr>
          <w:rFonts w:ascii="Arial" w:cs="Arial" w:eastAsia="Arial" w:hAnsi="Arial"/>
          <w:sz w:val="22"/>
          <w:szCs w:val="22"/>
          <w:u w:val="single" w:color="auto"/>
          <w:color w:val="auto"/>
        </w:rPr>
        <w:t>Preferred Stock</w:t>
      </w:r>
      <w:r>
        <w:rPr>
          <w:rFonts w:ascii="Arial" w:cs="Arial" w:eastAsia="Arial" w:hAnsi="Arial"/>
          <w:sz w:val="22"/>
          <w:szCs w:val="22"/>
          <w:color w:val="auto"/>
        </w:rPr>
        <w:t>”).</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4.2</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72" w:lineRule="auto"/>
        <w:tabs>
          <w:tab w:leader="none" w:pos="2615"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 xml:space="preserve">Except as otherwise expressly provided herein or as required by the DGCL, the holders of shares of Class A Common Stock, as such, and Class B Common Stock shall vote together as one class on all matters (including the election of directors) submitted to a vote of the stockholders of the Corporation. Except as otherwise expressly provided herein or required by the DGCL, each holder of Class A Common Stock shall be entitled to one vote for each share of Class A Common Stock held of record by such holder on all matters on which stockholders generally are entitled to vote and each holder of Class B Common Stock shall be entitled to one vote for each share of Class B Common Stock held of record by such holder on all matters on which stockholders generally are entitled to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required by law, holders of Common Stock, as such, shall not be entitled to vote on any amendment to this Certificate of Incorporation, including any certificate of designations relating to any series of Preferred Stock (each hereinafter referred to as a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Designation</w:t>
      </w:r>
      <w:r>
        <w:rPr>
          <w:rFonts w:ascii="Arial" w:cs="Arial" w:eastAsia="Arial" w:hAnsi="Arial"/>
          <w:sz w:val="19"/>
          <w:szCs w:val="19"/>
          <w:color w:val="auto"/>
        </w:rPr>
        <w:t>”),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160" w:lineRule="exact"/>
        <w:rPr>
          <w:rFonts w:ascii="Arial" w:cs="Arial" w:eastAsia="Arial" w:hAnsi="Arial"/>
          <w:sz w:val="19"/>
          <w:szCs w:val="19"/>
          <w:color w:val="010000"/>
        </w:rPr>
      </w:pPr>
    </w:p>
    <w:p>
      <w:pPr>
        <w:ind w:right="180" w:firstLine="1735"/>
        <w:spacing w:after="0" w:line="252" w:lineRule="auto"/>
        <w:tabs>
          <w:tab w:leader="none" w:pos="2627" w:val="left"/>
        </w:tabs>
        <w:numPr>
          <w:ilvl w:val="0"/>
          <w:numId w:val="53"/>
        </w:numPr>
        <w:rPr>
          <w:rFonts w:ascii="Arial" w:cs="Arial" w:eastAsia="Arial" w:hAnsi="Arial"/>
          <w:sz w:val="21"/>
          <w:szCs w:val="21"/>
          <w:color w:val="010000"/>
        </w:rPr>
      </w:pPr>
      <w:r>
        <w:rPr>
          <w:rFonts w:ascii="Arial" w:cs="Arial" w:eastAsia="Arial" w:hAnsi="Arial"/>
          <w:sz w:val="21"/>
          <w:szCs w:val="21"/>
          <w:u w:val="single" w:color="auto"/>
          <w:color w:val="auto"/>
        </w:rPr>
        <w:t>Dividends</w:t>
      </w:r>
      <w:r>
        <w:rPr>
          <w:rFonts w:ascii="Arial" w:cs="Arial" w:eastAsia="Arial" w:hAnsi="Arial"/>
          <w:sz w:val="21"/>
          <w:szCs w:val="21"/>
          <w:color w:val="auto"/>
        </w:rPr>
        <w:t>. Subject to the rights of the holders of any outstanding series of Preferred Stock, the holders of shares of Class A Common Stock shall be entitled to receive dividends to the extent permitted by law when, as and if declared by the Board of Directors. Except as otherwise provided under this Certificate of Incorporation, dividends and other distributions shall not be declared or paid in respect of Class B Common Stock.</w:t>
      </w:r>
    </w:p>
    <w:p>
      <w:pPr>
        <w:spacing w:after="0" w:line="173" w:lineRule="exact"/>
        <w:rPr>
          <w:rFonts w:ascii="Arial" w:cs="Arial" w:eastAsia="Arial" w:hAnsi="Arial"/>
          <w:sz w:val="21"/>
          <w:szCs w:val="21"/>
          <w:color w:val="010000"/>
        </w:rPr>
      </w:pPr>
    </w:p>
    <w:p>
      <w:pPr>
        <w:ind w:right="20" w:firstLine="1735"/>
        <w:spacing w:after="0" w:line="236" w:lineRule="auto"/>
        <w:tabs>
          <w:tab w:leader="none" w:pos="2615"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Liquidation</w:t>
      </w:r>
      <w:r>
        <w:rPr>
          <w:rFonts w:ascii="Arial" w:cs="Arial" w:eastAsia="Arial" w:hAnsi="Arial"/>
          <w:sz w:val="22"/>
          <w:szCs w:val="22"/>
          <w:color w:val="auto"/>
        </w:rPr>
        <w:t>. Upon the dissolution, liquidation or winding up of the Corporation, subject to the rights of the holders of any outstanding series of Preferred Stock, the holders of shares of Class A Common Stock shall be entitled to receive the assets of the Corporation available for distribution to its stockholders ratably in proportion to the number of shares held by them. Holders of shares of Class B Common Stock shall not be entitled to receive any assets upon dissolution, liquidation or winding up of the 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7" w:name="page138"/>
    <w:bookmarkEnd w:id="137"/>
    <w:p>
      <w:pPr>
        <w:ind w:left="880"/>
        <w:spacing w:after="0"/>
        <w:tabs>
          <w:tab w:leader="none" w:pos="2480" w:val="left"/>
        </w:tabs>
        <w:rPr>
          <w:sz w:val="20"/>
          <w:szCs w:val="20"/>
          <w:color w:val="auto"/>
        </w:rPr>
      </w:pPr>
      <w:r>
        <w:rPr>
          <w:rFonts w:ascii="Arial" w:cs="Arial" w:eastAsia="Arial" w:hAnsi="Arial"/>
          <w:sz w:val="22"/>
          <w:szCs w:val="22"/>
          <w:color w:val="010000"/>
        </w:rPr>
        <w:t>Section 4.3</w:t>
      </w:r>
      <w:r>
        <w:rPr>
          <w:sz w:val="20"/>
          <w:szCs w:val="20"/>
          <w:color w:val="auto"/>
        </w:rPr>
        <w:tab/>
      </w:r>
      <w:r>
        <w:rPr>
          <w:rFonts w:ascii="Arial" w:cs="Arial" w:eastAsia="Arial" w:hAnsi="Arial"/>
          <w:sz w:val="19"/>
          <w:szCs w:val="19"/>
          <w:u w:val="single" w:color="auto"/>
          <w:color w:val="auto"/>
        </w:rPr>
        <w:t>Preferred Stock</w:t>
      </w:r>
      <w:r>
        <w:rPr>
          <w:rFonts w:ascii="Arial" w:cs="Arial" w:eastAsia="Arial" w:hAnsi="Arial"/>
          <w:sz w:val="19"/>
          <w:szCs w:val="19"/>
          <w:color w:val="auto"/>
        </w:rPr>
        <w:t>. The Preferred Stock may be issued from time to time in one or more</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series. Subject to limitations prescribed by law and the provisions of this Article IV (including any Preferred Stock Designation), the Board of Directors is hereby authorized to provide by resolution and by causing the filing of a Preferred Stock Designation for the issuance of the shares of Preferred Stock in one or more series, and to establish from time to time the number of shares to be included in each such series, and to fix the designations, powers, preferences, and relative, participating, optional or other rights, if any, and the qualifications, limitations or restrictions, if any, of the shares of each such series.</w:t>
      </w:r>
    </w:p>
    <w:p>
      <w:pPr>
        <w:spacing w:after="0" w:line="152" w:lineRule="exact"/>
        <w:rPr>
          <w:sz w:val="20"/>
          <w:szCs w:val="20"/>
          <w:color w:val="auto"/>
        </w:rPr>
      </w:pPr>
    </w:p>
    <w:p>
      <w:pPr>
        <w:ind w:right="160" w:firstLine="864"/>
        <w:spacing w:after="0" w:line="236" w:lineRule="auto"/>
        <w:rPr>
          <w:sz w:val="20"/>
          <w:szCs w:val="20"/>
          <w:color w:val="auto"/>
        </w:rPr>
      </w:pPr>
      <w:r>
        <w:rPr>
          <w:rFonts w:ascii="Arial" w:cs="Arial" w:eastAsia="Arial" w:hAnsi="Arial"/>
          <w:sz w:val="22"/>
          <w:szCs w:val="22"/>
          <w:color w:val="010000"/>
        </w:rPr>
        <w:t xml:space="preserve">Section 4.4 </w:t>
      </w:r>
      <w:r>
        <w:rPr>
          <w:rFonts w:ascii="Arial" w:cs="Arial" w:eastAsia="Arial" w:hAnsi="Arial"/>
          <w:sz w:val="22"/>
          <w:szCs w:val="22"/>
          <w:u w:val="single" w:color="auto"/>
          <w:color w:val="000000"/>
        </w:rPr>
        <w:t>No Class Vote on Changes in Authorized Number of Shares of Stock</w:t>
      </w:r>
      <w:r>
        <w:rPr>
          <w:rFonts w:ascii="Arial" w:cs="Arial" w:eastAsia="Arial" w:hAnsi="Arial"/>
          <w:sz w:val="22"/>
          <w:szCs w:val="22"/>
          <w:color w:val="000000"/>
        </w:rPr>
        <w:t>. Subject to the rights of the</w:t>
      </w:r>
      <w:r>
        <w:rPr>
          <w:rFonts w:ascii="Arial" w:cs="Arial" w:eastAsia="Arial" w:hAnsi="Arial"/>
          <w:sz w:val="22"/>
          <w:szCs w:val="22"/>
          <w:color w:val="010000"/>
        </w:rPr>
        <w:t xml:space="preserve"> </w:t>
      </w:r>
      <w:r>
        <w:rPr>
          <w:rFonts w:ascii="Arial" w:cs="Arial" w:eastAsia="Arial" w:hAnsi="Arial"/>
          <w:sz w:val="22"/>
          <w:szCs w:val="22"/>
          <w:color w:val="000000"/>
        </w:rPr>
        <w:t>holders of any outstanding series of Preferred Stock, the number of authorized shares of Common Stock or Preferred Stock may be increased or decreased (but not below the number of shares thereof then outstanding) by the affirmative vote of at least a majority of the voting power of the stock outstanding and entitled to vote thereon, voting as a single class, irrespective of the provisions of Section 242(b)(2) of the DGCL.</w:t>
      </w:r>
    </w:p>
    <w:p>
      <w:pPr>
        <w:spacing w:after="0" w:line="187" w:lineRule="exact"/>
        <w:rPr>
          <w:sz w:val="20"/>
          <w:szCs w:val="20"/>
          <w:color w:val="auto"/>
        </w:rPr>
      </w:pPr>
    </w:p>
    <w:p>
      <w:pPr>
        <w:ind w:firstLine="864"/>
        <w:spacing w:after="0" w:line="249" w:lineRule="auto"/>
        <w:rPr>
          <w:sz w:val="20"/>
          <w:szCs w:val="20"/>
          <w:color w:val="auto"/>
        </w:rPr>
      </w:pPr>
      <w:r>
        <w:rPr>
          <w:rFonts w:ascii="Arial" w:cs="Arial" w:eastAsia="Arial" w:hAnsi="Arial"/>
          <w:sz w:val="21"/>
          <w:szCs w:val="21"/>
          <w:color w:val="010000"/>
        </w:rPr>
        <w:t xml:space="preserve">Section 4.5 </w:t>
      </w:r>
      <w:r>
        <w:rPr>
          <w:rFonts w:ascii="Arial" w:cs="Arial" w:eastAsia="Arial" w:hAnsi="Arial"/>
          <w:sz w:val="21"/>
          <w:szCs w:val="21"/>
          <w:u w:val="single" w:color="auto"/>
          <w:color w:val="000000"/>
        </w:rPr>
        <w:t>No Redemption; Cancellation</w:t>
      </w:r>
      <w:r>
        <w:rPr>
          <w:rFonts w:ascii="Arial" w:cs="Arial" w:eastAsia="Arial" w:hAnsi="Arial"/>
          <w:sz w:val="21"/>
          <w:szCs w:val="21"/>
          <w:color w:val="000000"/>
        </w:rPr>
        <w:t>. The Common Stock is not redeemable. The Class B Common Stock</w:t>
      </w:r>
      <w:r>
        <w:rPr>
          <w:rFonts w:ascii="Arial" w:cs="Arial" w:eastAsia="Arial" w:hAnsi="Arial"/>
          <w:sz w:val="21"/>
          <w:szCs w:val="21"/>
          <w:color w:val="010000"/>
        </w:rPr>
        <w:t xml:space="preserve"> </w:t>
      </w:r>
      <w:r>
        <w:rPr>
          <w:rFonts w:ascii="Arial" w:cs="Arial" w:eastAsia="Arial" w:hAnsi="Arial"/>
          <w:sz w:val="21"/>
          <w:szCs w:val="21"/>
          <w:color w:val="000000"/>
        </w:rPr>
        <w:t>will be automatically cancelled upon the exchange of a Class B Unit (as defined herein) for a share of Class A Common Stock (or payment of the cash equivalent in respect thereof) on and subject to the terms and conditions contemplated by Article XII of the Second Amended and Restated Limited Liability Company Agreement of Viant Technology LLC, as the same may be amended, modified, supplemented and/or restated from time to time (the “</w:t>
      </w:r>
      <w:r>
        <w:rPr>
          <w:rFonts w:ascii="Arial" w:cs="Arial" w:eastAsia="Arial" w:hAnsi="Arial"/>
          <w:sz w:val="21"/>
          <w:szCs w:val="21"/>
          <w:u w:val="single" w:color="auto"/>
          <w:color w:val="000000"/>
        </w:rPr>
        <w:t>LLC Agreement</w:t>
      </w:r>
      <w:r>
        <w:rPr>
          <w:rFonts w:ascii="Arial" w:cs="Arial" w:eastAsia="Arial" w:hAnsi="Arial"/>
          <w:sz w:val="21"/>
          <w:szCs w:val="21"/>
          <w:color w:val="000000"/>
        </w:rPr>
        <w:t>”).</w:t>
      </w:r>
    </w:p>
    <w:p>
      <w:pPr>
        <w:spacing w:after="0" w:line="178"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010000"/>
        </w:rPr>
        <w:t xml:space="preserve">Section 4.6 </w:t>
      </w:r>
      <w:r>
        <w:rPr>
          <w:rFonts w:ascii="Arial" w:cs="Arial" w:eastAsia="Arial" w:hAnsi="Arial"/>
          <w:sz w:val="22"/>
          <w:szCs w:val="22"/>
          <w:u w:val="single" w:color="auto"/>
          <w:color w:val="000000"/>
        </w:rPr>
        <w:t>No Preemptive, Subscription or Conversion Rights</w:t>
      </w:r>
      <w:r>
        <w:rPr>
          <w:rFonts w:ascii="Arial" w:cs="Arial" w:eastAsia="Arial" w:hAnsi="Arial"/>
          <w:sz w:val="22"/>
          <w:szCs w:val="22"/>
          <w:color w:val="000000"/>
        </w:rPr>
        <w:t>. No holder of shares of Common Stock, solely</w:t>
      </w:r>
      <w:r>
        <w:rPr>
          <w:rFonts w:ascii="Arial" w:cs="Arial" w:eastAsia="Arial" w:hAnsi="Arial"/>
          <w:sz w:val="22"/>
          <w:szCs w:val="22"/>
          <w:color w:val="010000"/>
        </w:rPr>
        <w:t xml:space="preserve"> </w:t>
      </w:r>
      <w:r>
        <w:rPr>
          <w:rFonts w:ascii="Arial" w:cs="Arial" w:eastAsia="Arial" w:hAnsi="Arial"/>
          <w:sz w:val="22"/>
          <w:szCs w:val="22"/>
          <w:color w:val="000000"/>
        </w:rPr>
        <w:t>by virtue of such holder’s status as such, shall be entitled to preemptive, subscription or conversion rights.</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4.7</w:t>
      </w:r>
      <w:r>
        <w:rPr>
          <w:sz w:val="20"/>
          <w:szCs w:val="20"/>
          <w:color w:val="auto"/>
        </w:rPr>
        <w:tab/>
      </w:r>
      <w:r>
        <w:rPr>
          <w:rFonts w:ascii="Arial" w:cs="Arial" w:eastAsia="Arial" w:hAnsi="Arial"/>
          <w:sz w:val="19"/>
          <w:szCs w:val="19"/>
          <w:u w:val="single" w:color="auto"/>
          <w:color w:val="auto"/>
        </w:rPr>
        <w:t>Exchange</w:t>
      </w:r>
      <w:r>
        <w:rPr>
          <w:rFonts w:ascii="Arial" w:cs="Arial" w:eastAsia="Arial" w:hAnsi="Arial"/>
          <w:sz w:val="19"/>
          <w:szCs w:val="19"/>
          <w:color w:val="auto"/>
        </w:rPr>
        <w:t>.</w:t>
      </w:r>
    </w:p>
    <w:p>
      <w:pPr>
        <w:spacing w:after="0" w:line="206" w:lineRule="exact"/>
        <w:rPr>
          <w:sz w:val="20"/>
          <w:szCs w:val="20"/>
          <w:color w:val="auto"/>
        </w:rPr>
      </w:pPr>
    </w:p>
    <w:p>
      <w:pPr>
        <w:jc w:val="both"/>
        <w:ind w:right="520" w:firstLine="1735"/>
        <w:spacing w:after="0"/>
        <w:tabs>
          <w:tab w:leader="none" w:pos="2615"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Viant Technology LLC (“</w:t>
      </w:r>
      <w:r>
        <w:rPr>
          <w:rFonts w:ascii="Arial" w:cs="Arial" w:eastAsia="Arial" w:hAnsi="Arial"/>
          <w:sz w:val="22"/>
          <w:szCs w:val="22"/>
          <w:u w:val="single" w:color="auto"/>
          <w:color w:val="auto"/>
        </w:rPr>
        <w:t>Viant LLC</w:t>
      </w:r>
      <w:r>
        <w:rPr>
          <w:rFonts w:ascii="Arial" w:cs="Arial" w:eastAsia="Arial" w:hAnsi="Arial"/>
          <w:sz w:val="22"/>
          <w:szCs w:val="22"/>
          <w:color w:val="auto"/>
        </w:rPr>
        <w:t>”) has issued units designated as “Class B Units” (each, a “</w:t>
      </w:r>
      <w:r>
        <w:rPr>
          <w:rFonts w:ascii="Arial" w:cs="Arial" w:eastAsia="Arial" w:hAnsi="Arial"/>
          <w:sz w:val="22"/>
          <w:szCs w:val="22"/>
          <w:u w:val="single" w:color="auto"/>
          <w:color w:val="auto"/>
        </w:rPr>
        <w:t>Class B Unit</w:t>
      </w:r>
      <w:r>
        <w:rPr>
          <w:rFonts w:ascii="Arial" w:cs="Arial" w:eastAsia="Arial" w:hAnsi="Arial"/>
          <w:sz w:val="22"/>
          <w:szCs w:val="22"/>
          <w:color w:val="auto"/>
        </w:rPr>
        <w:t>”) pursuant to the terms and subject to the conditions of the LLC Agreement. Each holder of Class B Units is referred to herein as a “</w:t>
      </w:r>
      <w:r>
        <w:rPr>
          <w:rFonts w:ascii="Arial" w:cs="Arial" w:eastAsia="Arial" w:hAnsi="Arial"/>
          <w:sz w:val="22"/>
          <w:szCs w:val="22"/>
          <w:u w:val="single" w:color="auto"/>
          <w:color w:val="auto"/>
        </w:rPr>
        <w:t>Class B Holder</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right="280" w:firstLine="1735"/>
        <w:spacing w:after="0" w:line="287" w:lineRule="auto"/>
        <w:tabs>
          <w:tab w:leader="none" w:pos="2627"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Pursuant to and subject to the terms of the LLC Agreement, each Class B Holder has the right to surrender a Class B Unit to Viant LLC, together with the surrender of one share of Class B Common Stock to the Company, in exchange for the issuance of one fully paid and nonassessable share of Class A Common Stock (or payment of the cash equivalent in respect thereof) on and subject to the terms and conditions set forth herein and in the LLC Agreement.</w:t>
      </w:r>
    </w:p>
    <w:p>
      <w:pPr>
        <w:spacing w:after="0" w:line="143" w:lineRule="exact"/>
        <w:rPr>
          <w:sz w:val="20"/>
          <w:szCs w:val="20"/>
          <w:color w:val="auto"/>
        </w:rPr>
      </w:pPr>
    </w:p>
    <w:p>
      <w:pPr>
        <w:ind w:right="100" w:firstLine="864"/>
        <w:spacing w:after="0" w:line="249" w:lineRule="auto"/>
        <w:rPr>
          <w:sz w:val="20"/>
          <w:szCs w:val="20"/>
          <w:color w:val="auto"/>
        </w:rPr>
      </w:pPr>
      <w:r>
        <w:rPr>
          <w:rFonts w:ascii="Arial" w:cs="Arial" w:eastAsia="Arial" w:hAnsi="Arial"/>
          <w:sz w:val="21"/>
          <w:szCs w:val="21"/>
          <w:color w:val="010000"/>
        </w:rPr>
        <w:t xml:space="preserve">Section 4.8 </w:t>
      </w:r>
      <w:r>
        <w:rPr>
          <w:rFonts w:ascii="Arial" w:cs="Arial" w:eastAsia="Arial" w:hAnsi="Arial"/>
          <w:sz w:val="21"/>
          <w:szCs w:val="21"/>
          <w:u w:val="single" w:color="auto"/>
          <w:color w:val="000000"/>
        </w:rPr>
        <w:t>Retirement of Class B Common Stock</w:t>
      </w:r>
      <w:r>
        <w:rPr>
          <w:rFonts w:ascii="Arial" w:cs="Arial" w:eastAsia="Arial" w:hAnsi="Arial"/>
          <w:sz w:val="21"/>
          <w:szCs w:val="21"/>
          <w:color w:val="000000"/>
        </w:rPr>
        <w:t>. If any outstanding share of Class B Common Stock shall</w:t>
      </w:r>
      <w:r>
        <w:rPr>
          <w:rFonts w:ascii="Arial" w:cs="Arial" w:eastAsia="Arial" w:hAnsi="Arial"/>
          <w:sz w:val="21"/>
          <w:szCs w:val="21"/>
          <w:color w:val="010000"/>
        </w:rPr>
        <w:t xml:space="preserve"> </w:t>
      </w:r>
      <w:r>
        <w:rPr>
          <w:rFonts w:ascii="Arial" w:cs="Arial" w:eastAsia="Arial" w:hAnsi="Arial"/>
          <w:sz w:val="21"/>
          <w:szCs w:val="21"/>
          <w:color w:val="000000"/>
        </w:rPr>
        <w:t>cease to be held by a concurrent holder of a Class B Unit (including a transferee of a Class B Unit), such share shall automatically and without further action on the part of the Corporation or any holder of Class B Common Stock be transferred to the Corporation and upon such transfer shall be automatically retired and shall thereupon be restored to the status of an authorized but unissued share of Class B Common Stock of the Corporation.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8" w:name="page139"/>
    <w:bookmarkEnd w:id="138"/>
    <w:p>
      <w:pPr>
        <w:ind w:right="40" w:firstLine="864"/>
        <w:spacing w:after="0" w:line="238" w:lineRule="auto"/>
        <w:rPr>
          <w:sz w:val="20"/>
          <w:szCs w:val="20"/>
          <w:color w:val="auto"/>
        </w:rPr>
      </w:pPr>
      <w:r>
        <w:rPr>
          <w:rFonts w:ascii="Arial" w:cs="Arial" w:eastAsia="Arial" w:hAnsi="Arial"/>
          <w:sz w:val="22"/>
          <w:szCs w:val="22"/>
          <w:color w:val="010000"/>
        </w:rPr>
        <w:t xml:space="preserve">Section 4.9 </w:t>
      </w:r>
      <w:r>
        <w:rPr>
          <w:rFonts w:ascii="Arial" w:cs="Arial" w:eastAsia="Arial" w:hAnsi="Arial"/>
          <w:sz w:val="22"/>
          <w:szCs w:val="22"/>
          <w:u w:val="single" w:color="auto"/>
          <w:color w:val="000000"/>
        </w:rPr>
        <w:t>Further Issuances of Class B Common Stock</w:t>
      </w:r>
      <w:r>
        <w:rPr>
          <w:rFonts w:ascii="Arial" w:cs="Arial" w:eastAsia="Arial" w:hAnsi="Arial"/>
          <w:sz w:val="22"/>
          <w:szCs w:val="22"/>
          <w:color w:val="000000"/>
        </w:rPr>
        <w:t>. No shares of Class B Common Stock shall be issued</w:t>
      </w:r>
      <w:r>
        <w:rPr>
          <w:rFonts w:ascii="Arial" w:cs="Arial" w:eastAsia="Arial" w:hAnsi="Arial"/>
          <w:sz w:val="22"/>
          <w:szCs w:val="22"/>
          <w:color w:val="010000"/>
        </w:rPr>
        <w:t xml:space="preserve"> </w:t>
      </w:r>
      <w:r>
        <w:rPr>
          <w:rFonts w:ascii="Arial" w:cs="Arial" w:eastAsia="Arial" w:hAnsi="Arial"/>
          <w:sz w:val="22"/>
          <w:szCs w:val="22"/>
          <w:color w:val="000000"/>
        </w:rPr>
        <w:t>at any time after the filing and effectiveness of this Certificate of Incorporation except to a Class B Holder in a number necessary to maintain a one-to-one ratio between the number of Class B Units and the number of shares of Class B Common Stock outstanding.</w:t>
      </w:r>
    </w:p>
    <w:p>
      <w:pPr>
        <w:spacing w:after="0" w:line="185"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010000"/>
        </w:rPr>
        <w:t xml:space="preserve">Section 4.10 </w:t>
      </w:r>
      <w:r>
        <w:rPr>
          <w:rFonts w:ascii="Arial" w:cs="Arial" w:eastAsia="Arial" w:hAnsi="Arial"/>
          <w:sz w:val="22"/>
          <w:szCs w:val="22"/>
          <w:u w:val="single" w:color="auto"/>
          <w:color w:val="000000"/>
        </w:rPr>
        <w:t>Reservation of Stock</w:t>
      </w:r>
      <w:r>
        <w:rPr>
          <w:rFonts w:ascii="Arial" w:cs="Arial" w:eastAsia="Arial" w:hAnsi="Arial"/>
          <w:sz w:val="22"/>
          <w:szCs w:val="22"/>
          <w:color w:val="000000"/>
        </w:rPr>
        <w:t>. The Corporation will at all times reserve and keep available out of its</w:t>
      </w:r>
      <w:r>
        <w:rPr>
          <w:rFonts w:ascii="Arial" w:cs="Arial" w:eastAsia="Arial" w:hAnsi="Arial"/>
          <w:sz w:val="22"/>
          <w:szCs w:val="22"/>
          <w:color w:val="010000"/>
        </w:rPr>
        <w:t xml:space="preserve"> </w:t>
      </w:r>
      <w:r>
        <w:rPr>
          <w:rFonts w:ascii="Arial" w:cs="Arial" w:eastAsia="Arial" w:hAnsi="Arial"/>
          <w:sz w:val="22"/>
          <w:szCs w:val="22"/>
          <w:color w:val="000000"/>
        </w:rPr>
        <w:t>authorized but unissued shares of Class A Common Stock, solely for the purpose of effecting the exchange of Class B Units, such number of shares of Class A Common Stock as will from time to time be sufficient to effect the exchange of all outstanding Class B Units for Class A Common Stock.</w:t>
      </w:r>
    </w:p>
    <w:p>
      <w:pPr>
        <w:spacing w:after="0" w:line="185" w:lineRule="exact"/>
        <w:rPr>
          <w:sz w:val="20"/>
          <w:szCs w:val="20"/>
          <w:color w:val="auto"/>
        </w:rPr>
      </w:pPr>
    </w:p>
    <w:p>
      <w:pPr>
        <w:ind w:right="20" w:firstLine="864"/>
        <w:spacing w:after="0" w:line="235" w:lineRule="auto"/>
        <w:rPr>
          <w:sz w:val="20"/>
          <w:szCs w:val="20"/>
          <w:color w:val="auto"/>
        </w:rPr>
      </w:pPr>
      <w:r>
        <w:rPr>
          <w:rFonts w:ascii="Arial" w:cs="Arial" w:eastAsia="Arial" w:hAnsi="Arial"/>
          <w:sz w:val="22"/>
          <w:szCs w:val="22"/>
          <w:color w:val="010000"/>
        </w:rPr>
        <w:t xml:space="preserve">Section 4.11 </w:t>
      </w:r>
      <w:r>
        <w:rPr>
          <w:rFonts w:ascii="Arial" w:cs="Arial" w:eastAsia="Arial" w:hAnsi="Arial"/>
          <w:sz w:val="22"/>
          <w:szCs w:val="22"/>
          <w:u w:val="single" w:color="auto"/>
          <w:color w:val="000000"/>
        </w:rPr>
        <w:t>Protective Provisions</w:t>
      </w:r>
      <w:r>
        <w:rPr>
          <w:rFonts w:ascii="Arial" w:cs="Arial" w:eastAsia="Arial" w:hAnsi="Arial"/>
          <w:sz w:val="22"/>
          <w:szCs w:val="22"/>
          <w:color w:val="000000"/>
        </w:rPr>
        <w:t>. So long as any shares of Class B Common Stock remain outstanding, the</w:t>
      </w:r>
      <w:r>
        <w:rPr>
          <w:rFonts w:ascii="Arial" w:cs="Arial" w:eastAsia="Arial" w:hAnsi="Arial"/>
          <w:sz w:val="22"/>
          <w:szCs w:val="22"/>
          <w:color w:val="010000"/>
        </w:rPr>
        <w:t xml:space="preserve"> </w:t>
      </w:r>
      <w:r>
        <w:rPr>
          <w:rFonts w:ascii="Arial" w:cs="Arial" w:eastAsia="Arial" w:hAnsi="Arial"/>
          <w:sz w:val="22"/>
          <w:szCs w:val="22"/>
          <w:color w:val="000000"/>
        </w:rPr>
        <w:t>Corporation will not, whether by merger, consolidation or otherwise, amend, alter, repeal or waive Section 4.7, Section 4.10, this Section 4.11 or Section 4.12 (or adopt any provision inconsistent therewith), without first obtaining the approval of the holders of a majority of the then-outstanding shares of Class B Common Stock, voting as a separate class, in addition to any other vote required by the DGCL, this Certificate of Incorporation or the Corporation’s Bylaws, as the same may be amended or restated from time to time (the “</w:t>
      </w:r>
      <w:r>
        <w:rPr>
          <w:rFonts w:ascii="Arial" w:cs="Arial" w:eastAsia="Arial" w:hAnsi="Arial"/>
          <w:sz w:val="22"/>
          <w:szCs w:val="22"/>
          <w:u w:val="single" w:color="auto"/>
          <w:color w:val="000000"/>
        </w:rPr>
        <w:t>Bylaws</w:t>
      </w:r>
      <w:r>
        <w:rPr>
          <w:rFonts w:ascii="Arial" w:cs="Arial" w:eastAsia="Arial" w:hAnsi="Arial"/>
          <w:sz w:val="22"/>
          <w:szCs w:val="22"/>
          <w:color w:val="000000"/>
        </w:rPr>
        <w:t>”).</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4.12</w:t>
      </w:r>
      <w:r>
        <w:rPr>
          <w:sz w:val="20"/>
          <w:szCs w:val="20"/>
          <w:color w:val="auto"/>
        </w:rPr>
        <w:tab/>
      </w:r>
      <w:r>
        <w:rPr>
          <w:rFonts w:ascii="Arial" w:cs="Arial" w:eastAsia="Arial" w:hAnsi="Arial"/>
          <w:sz w:val="19"/>
          <w:szCs w:val="19"/>
          <w:u w:val="single" w:color="auto"/>
          <w:color w:val="auto"/>
        </w:rPr>
        <w:t>Reclassifications, Mergers and Other Transactions</w:t>
      </w:r>
      <w:r>
        <w:rPr>
          <w:rFonts w:ascii="Arial" w:cs="Arial" w:eastAsia="Arial" w:hAnsi="Arial"/>
          <w:sz w:val="19"/>
          <w:szCs w:val="19"/>
          <w:color w:val="auto"/>
        </w:rPr>
        <w:t>.</w:t>
      </w:r>
    </w:p>
    <w:p>
      <w:pPr>
        <w:spacing w:after="0" w:line="206" w:lineRule="exact"/>
        <w:rPr>
          <w:sz w:val="20"/>
          <w:szCs w:val="20"/>
          <w:color w:val="auto"/>
        </w:rPr>
      </w:pPr>
    </w:p>
    <w:p>
      <w:pPr>
        <w:ind w:right="40" w:firstLine="1735"/>
        <w:spacing w:after="0" w:line="274" w:lineRule="auto"/>
        <w:tabs>
          <w:tab w:leader="none" w:pos="2615"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the Corporation in any manner subdivides, combines or reclassifies the outstanding shares of Class A Common Stock or Class B Common Stock, the outstanding shares of the other such class shall, concurrently therewith, be subdivided, combined, or reclassified in the same proportion and manner such that the same proportionate equity ownership between the holders of outstanding Class A Common Stock and Class B Common Stock on the record date for such subdivision, combination or reclassification is preserved, unless different treatment of the shares of each such class is approved by (i) the holders of a majority of the outstanding Class A Common Stock and (ii) the holders of a majority of the outstanding Class B Common Stock, each of (i) and (ii) voting as separate classes. In the event of any such subdivision, combination or reclassification, the Corporation shall cause Viant LLC to make corresponding changes to the Class A Units and Class B Units to give effect to such subdivision, combination or reclassification.</w:t>
      </w:r>
    </w:p>
    <w:p>
      <w:pPr>
        <w:spacing w:after="0" w:line="158" w:lineRule="exact"/>
        <w:rPr>
          <w:rFonts w:ascii="Arial" w:cs="Arial" w:eastAsia="Arial" w:hAnsi="Arial"/>
          <w:sz w:val="19"/>
          <w:szCs w:val="19"/>
          <w:color w:val="auto"/>
        </w:rPr>
      </w:pPr>
    </w:p>
    <w:p>
      <w:pPr>
        <w:ind w:right="40" w:firstLine="1735"/>
        <w:spacing w:after="0" w:line="275" w:lineRule="auto"/>
        <w:tabs>
          <w:tab w:leader="none" w:pos="2627"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Corporation shall not consolidate, merge, combine or consummate any other transaction in which shares of Class A Common Stock are exchanged for or converted into other stock or securities, or the right to receive cash and/or any other property, unless in connection with any such consolidation, merger, combination or other transaction each share of Class B Common Stock and/or Class B Unit shall be entitled to be exchanged for or converted into the same kind and amount of stock or securities, cash and/or any other property, as the case may be, into which or for which each share of Class A Common Stock is exchanged or converted; provided, that the consideration for each share of Class B Common Stock and/or Class B Unit shall be deemed the same kind and amount into which or for which each share of Class A Common Stock is exchanged or converted, so long as any differences in the kind and amount of stock or securities, cash and/or any other property are intended (as determined by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39" w:name="page140"/>
    <w:bookmarkEnd w:id="139"/>
    <w:p>
      <w:pPr>
        <w:ind w:right="200"/>
        <w:spacing w:after="0" w:line="236" w:lineRule="auto"/>
        <w:rPr>
          <w:sz w:val="20"/>
          <w:szCs w:val="20"/>
          <w:color w:val="auto"/>
        </w:rPr>
      </w:pPr>
      <w:r>
        <w:rPr>
          <w:rFonts w:ascii="Arial" w:cs="Arial" w:eastAsia="Arial" w:hAnsi="Arial"/>
          <w:sz w:val="22"/>
          <w:szCs w:val="22"/>
          <w:color w:val="auto"/>
        </w:rPr>
        <w:t>Board of Directors in good faith) to maintain the relative voting power of each share of Class B Common Stock relative to each share of Class A Common Stock; provided, further, that the foregoing provisions of this Section 4.12(b) shall not apply to any action or transaction (including any consolidation, merger or combination) approved by (A) the holders of a majority of the outstanding Class A Common Stock, and (B) the holders of a majority of the outstanding Class B Common Stock, each of (A) and (B) voting as separate classes.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188" w:lineRule="exact"/>
        <w:rPr>
          <w:sz w:val="20"/>
          <w:szCs w:val="20"/>
          <w:color w:val="auto"/>
        </w:rPr>
      </w:pPr>
    </w:p>
    <w:p>
      <w:pPr>
        <w:jc w:val="both"/>
        <w:ind w:right="160" w:firstLine="864"/>
        <w:spacing w:after="0" w:line="257" w:lineRule="auto"/>
        <w:rPr>
          <w:sz w:val="20"/>
          <w:szCs w:val="20"/>
          <w:color w:val="auto"/>
        </w:rPr>
      </w:pPr>
      <w:r>
        <w:rPr>
          <w:rFonts w:ascii="Arial" w:cs="Arial" w:eastAsia="Arial" w:hAnsi="Arial"/>
          <w:sz w:val="21"/>
          <w:szCs w:val="21"/>
          <w:color w:val="010000"/>
        </w:rPr>
        <w:t xml:space="preserve">Section 5.1 </w:t>
      </w:r>
      <w:r>
        <w:rPr>
          <w:rFonts w:ascii="Arial" w:cs="Arial" w:eastAsia="Arial" w:hAnsi="Arial"/>
          <w:sz w:val="21"/>
          <w:szCs w:val="21"/>
          <w:u w:val="single" w:color="auto"/>
          <w:color w:val="000000"/>
        </w:rPr>
        <w:t>Number</w:t>
      </w:r>
      <w:r>
        <w:rPr>
          <w:rFonts w:ascii="Arial" w:cs="Arial" w:eastAsia="Arial" w:hAnsi="Arial"/>
          <w:sz w:val="21"/>
          <w:szCs w:val="21"/>
          <w:color w:val="000000"/>
        </w:rPr>
        <w:t>. Except as otherwise provided for or fixed pursuant to the provisions of Article IV hereof</w:t>
      </w:r>
      <w:r>
        <w:rPr>
          <w:rFonts w:ascii="Arial" w:cs="Arial" w:eastAsia="Arial" w:hAnsi="Arial"/>
          <w:sz w:val="21"/>
          <w:szCs w:val="21"/>
          <w:color w:val="010000"/>
        </w:rPr>
        <w:t xml:space="preserve"> </w:t>
      </w:r>
      <w:r>
        <w:rPr>
          <w:rFonts w:ascii="Arial" w:cs="Arial" w:eastAsia="Arial" w:hAnsi="Arial"/>
          <w:sz w:val="21"/>
          <w:szCs w:val="21"/>
          <w:color w:val="000000"/>
        </w:rPr>
        <w:t>(including any Preferred Stock Designation), the Board of Directors shall consist of not fewer than 3 nor more than 11 directors, the exact number to be determined from time to time solely by resolution of the Board of Directors.</w:t>
      </w:r>
    </w:p>
    <w:p>
      <w:pPr>
        <w:spacing w:after="0" w:line="169"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5.2</w:t>
      </w:r>
      <w:r>
        <w:rPr>
          <w:sz w:val="20"/>
          <w:szCs w:val="20"/>
          <w:color w:val="auto"/>
        </w:rPr>
        <w:tab/>
      </w:r>
      <w:r>
        <w:rPr>
          <w:rFonts w:ascii="Arial" w:cs="Arial" w:eastAsia="Arial" w:hAnsi="Arial"/>
          <w:sz w:val="19"/>
          <w:szCs w:val="19"/>
          <w:u w:val="single" w:color="auto"/>
          <w:color w:val="auto"/>
        </w:rPr>
        <w:t>Classification</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72" w:lineRule="auto"/>
        <w:tabs>
          <w:tab w:leader="none" w:pos="2615"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Except as may be otherwise provided with respect to directors elected by the holders of any series of Preferred Stock provided for or fixed pursuant to the provisions of Article IV hereof (including any Preferred Stock Designation) (the “</w:t>
      </w:r>
      <w:r>
        <w:rPr>
          <w:rFonts w:ascii="Arial" w:cs="Arial" w:eastAsia="Arial" w:hAnsi="Arial"/>
          <w:sz w:val="19"/>
          <w:szCs w:val="19"/>
          <w:u w:val="single" w:color="auto"/>
          <w:color w:val="auto"/>
        </w:rPr>
        <w:t>Preferred Stock Directors</w:t>
      </w:r>
      <w:r>
        <w:rPr>
          <w:rFonts w:ascii="Arial" w:cs="Arial" w:eastAsia="Arial" w:hAnsi="Arial"/>
          <w:sz w:val="19"/>
          <w:szCs w:val="19"/>
          <w:color w:val="auto"/>
        </w:rPr>
        <w:t>”)), the Board of Directors shall be divided into three classes, as nearly equal in number as possible, designated Class I, Class II and Class III. Class I directors shall initially serve until the first annual meeting of stockholders following the initial effectiveness of this Section 5.2; Class II directors shall initially serve until the second annual meeting of stockholders following the initial effectiveness of this Section 5.2; and Class III directors shall initially serve until the third annual meeting of stockholders following the initial effectiveness of this Section 5.2. Commencing with the first annual meeting of stockholders following the initial effectiveness of this Section 5.2, directors of each class the term of which shall then expire shall be elected to hold office for a three-year term and until the election and qualification of their respective successors in office. In case of any increase or decrease, from time to time, in the number of directors (other than Preferred Stock Directors), the number of directors in each class shall be apportioned as nearly equal as possible. The Board of Directors is authorized to assign members of the Board of Directors already in office to Class I, Class II or Class III, with such assignment becoming effective as of the initial effectiveness of this Section 5.2.</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right="60" w:firstLine="1735"/>
        <w:spacing w:after="0" w:line="269" w:lineRule="auto"/>
        <w:tabs>
          <w:tab w:leader="none" w:pos="2627"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Prior to any time that Tim Vanderhook, Chris Vanderhook and Four Brothers 2 LLC collectively cease to beneficially own a majority of the combined voting power of the Common Stock (the “Triggering Event”), subject to the rights of the holders of any outstanding series of Preferred Stock, and unless otherwise required by law, newly created directorships resulting from any increase in the authorized number of directors and any vacancies in the Board of Directors resulting from death, resignation, retirement, disqualification, removal from office or other cause may be filled by the affirmative vote of (i) a majority of the remaining directors then in office, even though less than a quorum of the Board of Directors, or by the sole remaining director or (ii) at least a majority of the voting power of the stock outstanding and entitled to vote</w:t>
      </w:r>
    </w:p>
    <w:p>
      <w:pPr>
        <w:spacing w:after="0" w:line="4" w:lineRule="exact"/>
        <w:rPr>
          <w:rFonts w:ascii="Arial" w:cs="Arial" w:eastAsia="Arial" w:hAnsi="Arial"/>
          <w:sz w:val="19"/>
          <w:szCs w:val="19"/>
          <w:color w:val="010000"/>
        </w:rPr>
      </w:pPr>
    </w:p>
    <w:p>
      <w:pPr>
        <w:ind w:right="580"/>
        <w:spacing w:after="0" w:line="236" w:lineRule="auto"/>
        <w:rPr>
          <w:rFonts w:ascii="Arial" w:cs="Arial" w:eastAsia="Arial" w:hAnsi="Arial"/>
          <w:sz w:val="19"/>
          <w:szCs w:val="19"/>
          <w:color w:val="010000"/>
        </w:rPr>
      </w:pPr>
      <w:r>
        <w:rPr>
          <w:rFonts w:ascii="Arial" w:cs="Arial" w:eastAsia="Arial" w:hAnsi="Arial"/>
          <w:sz w:val="22"/>
          <w:szCs w:val="22"/>
          <w:color w:val="auto"/>
        </w:rPr>
        <w:t>thereon. Any director so chosen shall hold office until the next election of the class for which such director shall have been chosen and until his or her successor shall have been duly elected and qualified.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0" w:name="page141"/>
    <w:bookmarkEnd w:id="140"/>
    <w:p>
      <w:pPr>
        <w:ind w:left="-20" w:right="120" w:firstLine="1735"/>
        <w:spacing w:after="0" w:line="246" w:lineRule="auto"/>
        <w:tabs>
          <w:tab w:leader="none" w:pos="2595"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After the Triggering Event, subject to the rights of the holders of any outstanding series of Preferred Stock, and unless otherwise required by law, newly created directorships resulting from any increase in the authorized number of directors and any vacancies in the Board of Directors resulting from death, resignation, retirement, disqualification, removal from office or other cause shall be filled solely by the affirmative vote of a majority of the remaining directors then in office, even though less than a quorum of the Board of Directors, or by the sole remaining director. Any director so chosen shall hold office until the next election of the class for which such director shall have been chosen and until his or her successor shall have been duly elected and qualified.</w:t>
      </w:r>
    </w:p>
    <w:p>
      <w:pPr>
        <w:spacing w:after="0" w:line="184" w:lineRule="exact"/>
        <w:rPr>
          <w:rFonts w:ascii="Arial" w:cs="Arial" w:eastAsia="Arial" w:hAnsi="Arial"/>
          <w:sz w:val="21"/>
          <w:szCs w:val="21"/>
          <w:color w:val="010000"/>
        </w:rPr>
      </w:pPr>
    </w:p>
    <w:p>
      <w:pPr>
        <w:ind w:left="2620" w:hanging="905"/>
        <w:spacing w:after="0"/>
        <w:tabs>
          <w:tab w:leader="none" w:pos="2620"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No decrease in the authorized number of directors shall shorten the term of any incumbent director.</w:t>
      </w:r>
    </w:p>
    <w:p>
      <w:pPr>
        <w:spacing w:after="0" w:line="240" w:lineRule="exact"/>
        <w:rPr>
          <w:rFonts w:ascii="Arial" w:cs="Arial" w:eastAsia="Arial" w:hAnsi="Arial"/>
          <w:sz w:val="19"/>
          <w:szCs w:val="19"/>
          <w:color w:val="010000"/>
        </w:rPr>
      </w:pPr>
    </w:p>
    <w:p>
      <w:pPr>
        <w:ind w:left="-20" w:right="120" w:firstLine="1735"/>
        <w:spacing w:after="0" w:line="248" w:lineRule="auto"/>
        <w:tabs>
          <w:tab w:leader="none" w:pos="2595"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 xml:space="preserve">Prior to the Triggering Event, any director, or the entire Board of Directors, may be removed, with or without cause, by the affirmative vote of at least a majority of the voting power of the stock outstanding and entitled to vote thereon;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whenever the holders of any class or series are entitled to elect one or more directors by this Certificate of Incorporation (including any Preferred Stock Designation), with respect to the removal without cause of a director or directors so elected, the vote of the holders of the outstanding shares of that class or series and not the vote of the outstanding shares as a whole shall apply.</w:t>
      </w:r>
    </w:p>
    <w:p>
      <w:pPr>
        <w:spacing w:after="0" w:line="176" w:lineRule="exact"/>
        <w:rPr>
          <w:rFonts w:ascii="Arial" w:cs="Arial" w:eastAsia="Arial" w:hAnsi="Arial"/>
          <w:sz w:val="21"/>
          <w:szCs w:val="21"/>
          <w:color w:val="010000"/>
        </w:rPr>
      </w:pPr>
    </w:p>
    <w:p>
      <w:pPr>
        <w:ind w:left="-20" w:right="360" w:firstLine="1735"/>
        <w:spacing w:after="0"/>
        <w:tabs>
          <w:tab w:leader="none" w:pos="2571"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After the Triggering Event, any director, or the entire Board of Directors, may be removed from office at any time, but only for cause and only by the affirmative vote of at least a majority of the voting power of the stock outstanding and entitled to vote thereon.</w:t>
      </w:r>
    </w:p>
    <w:p>
      <w:pPr>
        <w:spacing w:after="0" w:line="186" w:lineRule="exact"/>
        <w:rPr>
          <w:rFonts w:ascii="Arial" w:cs="Arial" w:eastAsia="Arial" w:hAnsi="Arial"/>
          <w:sz w:val="22"/>
          <w:szCs w:val="22"/>
          <w:color w:val="010000"/>
        </w:rPr>
      </w:pPr>
    </w:p>
    <w:p>
      <w:pPr>
        <w:ind w:left="-20" w:firstLine="1735"/>
        <w:spacing w:after="0" w:line="271" w:lineRule="auto"/>
        <w:tabs>
          <w:tab w:leader="none" w:pos="2607"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During any period when the holders of any series of Preferred Stock have the right to elect additional directors as provided for or fixed pursuant to the provisions of Article IV hereof (including any Preferred Stock Designation), and upon commencement and for the duration of the period during which such right continues: (i) the then otherwise total authorized number of directors of the Corporation shall automatically be increased by such number of directors that the holders of any series of Preferred Stock have a right to elect, and the holders of such Preferred Stock shall be entitled to elect the additional directors so provided for or fixed pursuant to said provisions; and (ii) each Preferred Stock Director shall serve until such Preferred Stock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for or fixed pursuant to the provisions of Article IV hereof (including any Preferred Stock Designation), whenever the holders of any series of Preferred Stock having such right to elect additional directors are divested of such right pursuant to said provisions, the terms of office of all Preferred Stock Directors elected by the holders of such Preferred Stock, or elected to fill any vacancies resulting from the death, resignation, disqualification or removal of such additional directors, shall forthwith terminate (in which case each such Preferred Stock Director shall cease to be qualified as a director and shall cease to be a director) and the total authorized number of directors of the Corporation shall be automatically reduced accordingly.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0" w:right="339" w:bottom="1440" w:gutter="0" w:footer="0" w:header="0"/>
        </w:sectPr>
      </w:pPr>
    </w:p>
    <w:bookmarkStart w:id="141" w:name="page142"/>
    <w:bookmarkEnd w:id="141"/>
    <w:p>
      <w:pPr>
        <w:ind w:right="320" w:firstLine="864"/>
        <w:spacing w:after="0"/>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u w:val="single" w:color="auto"/>
          <w:color w:val="000000"/>
        </w:rPr>
        <w:t>Powers</w:t>
      </w:r>
      <w:r>
        <w:rPr>
          <w:rFonts w:ascii="Arial" w:cs="Arial" w:eastAsia="Arial" w:hAnsi="Arial"/>
          <w:sz w:val="22"/>
          <w:szCs w:val="22"/>
          <w:color w:val="000000"/>
        </w:rPr>
        <w:t>. Except as otherwise required by the DGCL or as provided in this Certificate of</w:t>
      </w:r>
      <w:r>
        <w:rPr>
          <w:rFonts w:ascii="Arial" w:cs="Arial" w:eastAsia="Arial" w:hAnsi="Arial"/>
          <w:sz w:val="22"/>
          <w:szCs w:val="22"/>
          <w:color w:val="010000"/>
        </w:rPr>
        <w:t xml:space="preserve"> </w:t>
      </w:r>
      <w:r>
        <w:rPr>
          <w:rFonts w:ascii="Arial" w:cs="Arial" w:eastAsia="Arial" w:hAnsi="Arial"/>
          <w:sz w:val="22"/>
          <w:szCs w:val="22"/>
          <w:color w:val="000000"/>
        </w:rPr>
        <w:t>Incorporation (including any Preferred Stock Designation), the business and affairs of the Corporation shall be managed by or under the direction of the Board of Directors.</w:t>
      </w:r>
    </w:p>
    <w:p>
      <w:pPr>
        <w:spacing w:after="0" w:line="18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5.4</w:t>
      </w:r>
      <w:r>
        <w:rPr>
          <w:sz w:val="20"/>
          <w:szCs w:val="20"/>
          <w:color w:val="auto"/>
        </w:rPr>
        <w:tab/>
      </w:r>
      <w:r>
        <w:rPr>
          <w:rFonts w:ascii="Arial" w:cs="Arial" w:eastAsia="Arial" w:hAnsi="Arial"/>
          <w:sz w:val="19"/>
          <w:szCs w:val="19"/>
          <w:u w:val="single" w:color="auto"/>
          <w:color w:val="auto"/>
        </w:rPr>
        <w:t>Election; Annual Meeting of Stockholders</w:t>
      </w:r>
      <w:r>
        <w:rPr>
          <w:rFonts w:ascii="Arial" w:cs="Arial" w:eastAsia="Arial" w:hAnsi="Arial"/>
          <w:sz w:val="19"/>
          <w:szCs w:val="19"/>
          <w:color w:val="auto"/>
        </w:rPr>
        <w:t>.</w:t>
      </w:r>
    </w:p>
    <w:p>
      <w:pPr>
        <w:spacing w:after="0" w:line="206" w:lineRule="exact"/>
        <w:rPr>
          <w:sz w:val="20"/>
          <w:szCs w:val="20"/>
          <w:color w:val="auto"/>
        </w:rPr>
      </w:pPr>
    </w:p>
    <w:p>
      <w:pPr>
        <w:ind w:right="100" w:firstLine="1735"/>
        <w:spacing w:after="0" w:line="250" w:lineRule="auto"/>
        <w:tabs>
          <w:tab w:leader="none" w:pos="2615"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Ballot Not Required</w:t>
      </w:r>
      <w:r>
        <w:rPr>
          <w:rFonts w:ascii="Arial" w:cs="Arial" w:eastAsia="Arial" w:hAnsi="Arial"/>
          <w:sz w:val="22"/>
          <w:szCs w:val="22"/>
          <w:color w:val="auto"/>
        </w:rPr>
        <w:t>. The directors of the Corporation need not be elected by written ballot unless the Bylaws of the Corporation so provide.</w:t>
      </w:r>
    </w:p>
    <w:p>
      <w:pPr>
        <w:spacing w:after="0" w:line="174" w:lineRule="exact"/>
        <w:rPr>
          <w:rFonts w:ascii="Arial" w:cs="Arial" w:eastAsia="Arial" w:hAnsi="Arial"/>
          <w:sz w:val="22"/>
          <w:szCs w:val="22"/>
          <w:color w:val="010000"/>
        </w:rPr>
      </w:pPr>
    </w:p>
    <w:p>
      <w:pPr>
        <w:ind w:right="200" w:firstLine="1735"/>
        <w:spacing w:after="0" w:line="257" w:lineRule="auto"/>
        <w:tabs>
          <w:tab w:leader="none" w:pos="2627" w:val="left"/>
        </w:tabs>
        <w:numPr>
          <w:ilvl w:val="0"/>
          <w:numId w:val="58"/>
        </w:numPr>
        <w:rPr>
          <w:rFonts w:ascii="Arial" w:cs="Arial" w:eastAsia="Arial" w:hAnsi="Arial"/>
          <w:sz w:val="21"/>
          <w:szCs w:val="21"/>
          <w:color w:val="010000"/>
        </w:rPr>
      </w:pPr>
      <w:r>
        <w:rPr>
          <w:rFonts w:ascii="Arial" w:cs="Arial" w:eastAsia="Arial" w:hAnsi="Arial"/>
          <w:sz w:val="21"/>
          <w:szCs w:val="21"/>
          <w:u w:val="single" w:color="auto"/>
          <w:color w:val="auto"/>
        </w:rPr>
        <w:t>Notice</w:t>
      </w:r>
      <w:r>
        <w:rPr>
          <w:rFonts w:ascii="Arial" w:cs="Arial" w:eastAsia="Arial" w:hAnsi="Arial"/>
          <w:sz w:val="21"/>
          <w:szCs w:val="21"/>
          <w:color w:val="auto"/>
        </w:rPr>
        <w:t>. Advance notice of nominations for the election of directors, and of business other than nominations, to be proposed by stockholders for consideration at a meeting of stockholders of the Corporation shall be given in the manner and to the extent provided in or contemplated by the Bylaws of the Corporation.</w:t>
      </w:r>
    </w:p>
    <w:p>
      <w:pPr>
        <w:spacing w:after="0" w:line="169" w:lineRule="exact"/>
        <w:rPr>
          <w:rFonts w:ascii="Arial" w:cs="Arial" w:eastAsia="Arial" w:hAnsi="Arial"/>
          <w:sz w:val="21"/>
          <w:szCs w:val="21"/>
          <w:color w:val="010000"/>
        </w:rPr>
      </w:pPr>
    </w:p>
    <w:p>
      <w:pPr>
        <w:jc w:val="both"/>
        <w:ind w:firstLine="1735"/>
        <w:spacing w:after="0" w:line="297" w:lineRule="auto"/>
        <w:tabs>
          <w:tab w:leader="none" w:pos="2615"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for the election of directors to succeed those whose terms expire and for the transaction of such other business as may properly come before the meeting, shall be held at such place, if any, either within or without the State of Delaware, on such date, and at such time as the Board of Directors shall fix.</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STOCKHOLDER ACTION</w:t>
      </w:r>
    </w:p>
    <w:p>
      <w:pPr>
        <w:spacing w:after="0" w:line="188" w:lineRule="exact"/>
        <w:rPr>
          <w:sz w:val="20"/>
          <w:szCs w:val="20"/>
          <w:color w:val="auto"/>
        </w:rPr>
      </w:pPr>
    </w:p>
    <w:p>
      <w:pPr>
        <w:ind w:right="100" w:firstLine="864"/>
        <w:spacing w:after="0" w:line="238" w:lineRule="auto"/>
        <w:rPr>
          <w:sz w:val="20"/>
          <w:szCs w:val="20"/>
          <w:color w:val="auto"/>
        </w:rPr>
      </w:pPr>
      <w:r>
        <w:rPr>
          <w:rFonts w:ascii="Arial" w:cs="Arial" w:eastAsia="Arial" w:hAnsi="Arial"/>
          <w:sz w:val="22"/>
          <w:szCs w:val="22"/>
          <w:color w:val="auto"/>
        </w:rPr>
        <w:t>Prior to the Triggering Event, except as otherwise provided for or fixed pursuant to the provisions of Article IV hereof (including any Preferred Stock Designation), any action required or permitted to be taken at any annual or special meeting of the stockholders of the Corporation may be taken without a meeting, without prior notice and without a vote by consent in accordance with Section 228 of the DGCL.</w:t>
      </w:r>
    </w:p>
    <w:p>
      <w:pPr>
        <w:spacing w:after="0" w:line="185" w:lineRule="exact"/>
        <w:rPr>
          <w:sz w:val="20"/>
          <w:szCs w:val="20"/>
          <w:color w:val="auto"/>
        </w:rPr>
      </w:pPr>
    </w:p>
    <w:p>
      <w:pPr>
        <w:ind w:right="220" w:firstLine="864"/>
        <w:spacing w:after="0" w:line="238" w:lineRule="auto"/>
        <w:rPr>
          <w:sz w:val="20"/>
          <w:szCs w:val="20"/>
          <w:color w:val="auto"/>
        </w:rPr>
      </w:pPr>
      <w:r>
        <w:rPr>
          <w:rFonts w:ascii="Arial" w:cs="Arial" w:eastAsia="Arial" w:hAnsi="Arial"/>
          <w:sz w:val="22"/>
          <w:szCs w:val="22"/>
          <w:color w:val="auto"/>
        </w:rPr>
        <w:t>After the Triggering Event, except with respect to actions required or permitted to be taken solely by holders of Preferred Stock pursuant to the provisions of Article IV hereof (including any Preferred Stock Designation), no action that is required or permitted to be taken by the stockholders of the Corporation may be effected by consent of stockholders in lieu of a meeting of stockholders.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SPECIAL MEETINGS OF STOCKHOLDERS</w:t>
      </w:r>
    </w:p>
    <w:p>
      <w:pPr>
        <w:spacing w:after="0" w:line="188" w:lineRule="exact"/>
        <w:rPr>
          <w:sz w:val="20"/>
          <w:szCs w:val="20"/>
          <w:color w:val="auto"/>
        </w:rPr>
      </w:pPr>
    </w:p>
    <w:p>
      <w:pPr>
        <w:ind w:right="20" w:firstLine="864"/>
        <w:spacing w:after="0" w:line="249" w:lineRule="auto"/>
        <w:rPr>
          <w:sz w:val="20"/>
          <w:szCs w:val="20"/>
          <w:color w:val="auto"/>
        </w:rPr>
      </w:pPr>
      <w:r>
        <w:rPr>
          <w:rFonts w:ascii="Arial" w:cs="Arial" w:eastAsia="Arial" w:hAnsi="Arial"/>
          <w:sz w:val="21"/>
          <w:szCs w:val="21"/>
          <w:color w:val="auto"/>
        </w:rPr>
        <w:t>Except as otherwise required by law, and except as otherwise provided for or fixed pursuant to the provisions of Article IV hereof (including any Preferred Stock Designation), a special meeting of the stockholders of the Corporation may be called at any time only by or at the direction of the Board of Directors, the Chairman of the Board of Directors or the Chief Executive Officer with the concurrence of a majority of the Board of Directors. Only such business shall be conducted at a special meeting of stockholders as shall have been specified in the notice for such meeting.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b w:val="1"/>
          <w:bCs w:val="1"/>
          <w:color w:val="010000"/>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EXISTENCE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Corporation shall have perpetual existence.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w:t>
      </w:r>
    </w:p>
    <w:p>
      <w:pPr>
        <w:spacing w:after="0" w:line="188" w:lineRule="exact"/>
        <w:rPr>
          <w:sz w:val="20"/>
          <w:szCs w:val="20"/>
          <w:color w:val="auto"/>
        </w:rPr>
      </w:pPr>
    </w:p>
    <w:p>
      <w:pPr>
        <w:ind w:right="100" w:firstLine="864"/>
        <w:spacing w:after="0" w:line="275" w:lineRule="auto"/>
        <w:rPr>
          <w:sz w:val="20"/>
          <w:szCs w:val="20"/>
          <w:color w:val="auto"/>
        </w:rPr>
      </w:pPr>
      <w:r>
        <w:rPr>
          <w:rFonts w:ascii="Arial" w:cs="Arial" w:eastAsia="Arial" w:hAnsi="Arial"/>
          <w:sz w:val="19"/>
          <w:szCs w:val="19"/>
          <w:color w:val="010000"/>
        </w:rPr>
        <w:t xml:space="preserve">Section 9.1 </w:t>
      </w:r>
      <w:r>
        <w:rPr>
          <w:rFonts w:ascii="Arial" w:cs="Arial" w:eastAsia="Arial" w:hAnsi="Arial"/>
          <w:sz w:val="19"/>
          <w:szCs w:val="19"/>
          <w:u w:val="single" w:color="auto"/>
          <w:color w:val="000000"/>
        </w:rPr>
        <w:t>Amendment of Certificate of Incorporation</w:t>
      </w:r>
      <w:r>
        <w:rPr>
          <w:rFonts w:ascii="Arial" w:cs="Arial" w:eastAsia="Arial" w:hAnsi="Arial"/>
          <w:sz w:val="19"/>
          <w:szCs w:val="19"/>
          <w:color w:val="000000"/>
        </w:rPr>
        <w:t>. The Corporation reserves the right at any time, and</w:t>
      </w:r>
      <w:r>
        <w:rPr>
          <w:rFonts w:ascii="Arial" w:cs="Arial" w:eastAsia="Arial" w:hAnsi="Arial"/>
          <w:sz w:val="19"/>
          <w:szCs w:val="19"/>
          <w:color w:val="010000"/>
        </w:rPr>
        <w:t xml:space="preserve"> </w:t>
      </w:r>
      <w:r>
        <w:rPr>
          <w:rFonts w:ascii="Arial" w:cs="Arial" w:eastAsia="Arial" w:hAnsi="Arial"/>
          <w:sz w:val="19"/>
          <w:szCs w:val="19"/>
          <w:color w:val="000000"/>
        </w:rPr>
        <w:t xml:space="preserve">from time to time, to amend, alter, change or repeal any provision contained in this Certificate of Incorporation (including any Preferred Stock Designation), and other provisions 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 this Certificate of Incorporation (including any Preferred Stock Designation) in its present form or as hereafter amended are granted subject to this reservation;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except as otherwise provided in this Certificate of Incorporation (including any provision of a Preferred Stock Designation that provides for a greater or lesser vote) and in addition to any other vote required by law, the affirmative vote of at least 66⅔ % of the voting power of the stock outstanding and entitled to vote thereon, voting together as a single class, shall be required to adopt, amend or repeal, or adopt any provision of this Certificate of Incorporation.</w:t>
      </w:r>
    </w:p>
    <w:p>
      <w:pPr>
        <w:spacing w:after="0" w:line="156"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010000"/>
        </w:rPr>
        <w:t xml:space="preserve">Section 9.2 </w:t>
      </w:r>
      <w:r>
        <w:rPr>
          <w:rFonts w:ascii="Arial" w:cs="Arial" w:eastAsia="Arial" w:hAnsi="Arial"/>
          <w:sz w:val="19"/>
          <w:szCs w:val="19"/>
          <w:u w:val="single" w:color="auto"/>
          <w:color w:val="000000"/>
        </w:rPr>
        <w:t>Amendment of Bylaws</w:t>
      </w:r>
      <w:r>
        <w:rPr>
          <w:rFonts w:ascii="Arial" w:cs="Arial" w:eastAsia="Arial" w:hAnsi="Arial"/>
          <w:sz w:val="19"/>
          <w:szCs w:val="19"/>
          <w:color w:val="000000"/>
        </w:rPr>
        <w:t>. In furtherance and not in limitation of the powers conferred by the laws of</w:t>
      </w:r>
      <w:r>
        <w:rPr>
          <w:rFonts w:ascii="Arial" w:cs="Arial" w:eastAsia="Arial" w:hAnsi="Arial"/>
          <w:sz w:val="19"/>
          <w:szCs w:val="19"/>
          <w:color w:val="010000"/>
        </w:rPr>
        <w:t xml:space="preserve"> </w:t>
      </w:r>
      <w:r>
        <w:rPr>
          <w:rFonts w:ascii="Arial" w:cs="Arial" w:eastAsia="Arial" w:hAnsi="Arial"/>
          <w:sz w:val="19"/>
          <w:szCs w:val="19"/>
          <w:color w:val="000000"/>
        </w:rPr>
        <w:t>the State of Delaware, but subject to the terms of any series of Preferred Stock then outstanding, the Board of Directors is expressly authorized to adopt, amend or repeal the Bylaws of the Corporation. Except as otherwise provided in this Certificate of Incorporation (including the terms of any Preferred Stock Designation that require an additional vote) or the Bylaws of the Corporation, and in addition to any requirements of law, the affirmative vote of at least 66⅔% of the voting power of the stock outstanding and entitled to vote thereon, voting together as a single class, shall be required for the stockholders to adopt, amend or repeal, or adopt any provision inconsistent with, any provision of the Bylaws of the Corporation.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LIABILITY OF DIRECTORS</w:t>
      </w:r>
    </w:p>
    <w:p>
      <w:pPr>
        <w:spacing w:after="0" w:line="188" w:lineRule="exact"/>
        <w:rPr>
          <w:sz w:val="20"/>
          <w:szCs w:val="20"/>
          <w:color w:val="auto"/>
        </w:rPr>
      </w:pPr>
    </w:p>
    <w:p>
      <w:pPr>
        <w:ind w:firstLine="864"/>
        <w:spacing w:after="0"/>
        <w:rPr>
          <w:sz w:val="20"/>
          <w:szCs w:val="20"/>
          <w:color w:val="auto"/>
        </w:rPr>
      </w:pPr>
      <w:r>
        <w:rPr>
          <w:rFonts w:ascii="Arial" w:cs="Arial" w:eastAsia="Arial" w:hAnsi="Arial"/>
          <w:sz w:val="22"/>
          <w:szCs w:val="22"/>
          <w:color w:val="010000"/>
        </w:rPr>
        <w:t xml:space="preserve">Section 10.1 </w:t>
      </w:r>
      <w:r>
        <w:rPr>
          <w:rFonts w:ascii="Arial" w:cs="Arial" w:eastAsia="Arial" w:hAnsi="Arial"/>
          <w:sz w:val="22"/>
          <w:szCs w:val="22"/>
          <w:u w:val="single" w:color="auto"/>
          <w:color w:val="000000"/>
        </w:rPr>
        <w:t>No Personal Liability</w:t>
      </w:r>
      <w:r>
        <w:rPr>
          <w:rFonts w:ascii="Arial" w:cs="Arial" w:eastAsia="Arial" w:hAnsi="Arial"/>
          <w:sz w:val="22"/>
          <w:szCs w:val="22"/>
          <w:color w:val="000000"/>
        </w:rPr>
        <w:t>. To the fullest extent permitted by the DGCL as the same exists or as may</w:t>
      </w:r>
      <w:r>
        <w:rPr>
          <w:rFonts w:ascii="Arial" w:cs="Arial" w:eastAsia="Arial" w:hAnsi="Arial"/>
          <w:sz w:val="22"/>
          <w:szCs w:val="22"/>
          <w:color w:val="010000"/>
        </w:rPr>
        <w:t xml:space="preserve"> </w:t>
      </w:r>
      <w:r>
        <w:rPr>
          <w:rFonts w:ascii="Arial" w:cs="Arial" w:eastAsia="Arial" w:hAnsi="Arial"/>
          <w:sz w:val="22"/>
          <w:szCs w:val="22"/>
          <w:color w:val="000000"/>
        </w:rPr>
        <w:t>hereafter be amended, no director of the Corporation shall be personally liable to the Corporation or its stockholders for monetary damages for breach of fiduciary duty as a director.</w:t>
      </w:r>
    </w:p>
    <w:p>
      <w:pPr>
        <w:spacing w:after="0" w:line="186" w:lineRule="exact"/>
        <w:rPr>
          <w:sz w:val="20"/>
          <w:szCs w:val="20"/>
          <w:color w:val="auto"/>
        </w:rPr>
      </w:pPr>
    </w:p>
    <w:p>
      <w:pPr>
        <w:jc w:val="both"/>
        <w:ind w:right="60" w:firstLine="864"/>
        <w:spacing w:after="0" w:line="257"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21"/>
          <w:szCs w:val="21"/>
          <w:u w:val="single" w:color="auto"/>
          <w:color w:val="000000"/>
        </w:rPr>
        <w:t>Amendment or Repeal</w:t>
      </w:r>
      <w:r>
        <w:rPr>
          <w:rFonts w:ascii="Arial" w:cs="Arial" w:eastAsia="Arial" w:hAnsi="Arial"/>
          <w:sz w:val="21"/>
          <w:szCs w:val="21"/>
          <w:color w:val="000000"/>
        </w:rPr>
        <w:t>. Any amendment, repeal or elimination of this Article X, or the adoption of</w:t>
      </w:r>
      <w:r>
        <w:rPr>
          <w:rFonts w:ascii="Arial" w:cs="Arial" w:eastAsia="Arial" w:hAnsi="Arial"/>
          <w:sz w:val="21"/>
          <w:szCs w:val="21"/>
          <w:color w:val="010000"/>
        </w:rPr>
        <w:t xml:space="preserve"> </w:t>
      </w:r>
      <w:r>
        <w:rPr>
          <w:rFonts w:ascii="Arial" w:cs="Arial" w:eastAsia="Arial" w:hAnsi="Arial"/>
          <w:sz w:val="21"/>
          <w:szCs w:val="21"/>
          <w:color w:val="000000"/>
        </w:rPr>
        <w:t>any provision of the Certificate of Incorporation inconsistent with this Article X, shall not affect its application with respect to an act or omission by a director occurring before such amendment, adoption, repeal or elimination.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22"/>
          <w:szCs w:val="22"/>
          <w:b w:val="1"/>
          <w:bCs w:val="1"/>
          <w:color w:val="010000"/>
        </w:rPr>
        <w:t>ARTICLE XI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FORUM FOR ADJUDICATION OF DISPUTES</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11.1</w:t>
      </w:r>
      <w:r>
        <w:rPr>
          <w:sz w:val="20"/>
          <w:szCs w:val="20"/>
          <w:color w:val="auto"/>
        </w:rPr>
        <w:tab/>
      </w:r>
      <w:r>
        <w:rPr>
          <w:rFonts w:ascii="Arial" w:cs="Arial" w:eastAsia="Arial" w:hAnsi="Arial"/>
          <w:sz w:val="19"/>
          <w:szCs w:val="19"/>
          <w:u w:val="single" w:color="auto"/>
          <w:color w:val="auto"/>
        </w:rPr>
        <w:t>Forum</w:t>
      </w:r>
      <w:r>
        <w:rPr>
          <w:rFonts w:ascii="Arial" w:cs="Arial" w:eastAsia="Arial" w:hAnsi="Arial"/>
          <w:sz w:val="19"/>
          <w:szCs w:val="19"/>
          <w:color w:val="auto"/>
        </w:rPr>
        <w:t>. Unless the Corporation, in writing, selects or consents to the selection of an alternative</w:t>
      </w:r>
    </w:p>
    <w:p>
      <w:pPr>
        <w:spacing w:after="0" w:line="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forum: (a) the sole and exclusive forum for any complaint asserting any internal corporate claims (as defined below),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as amended, to the fullest extent permitted by law, shall be the federal district courts of the United States of America. For purposes of this Article XI, internal corporate claims means claims, including claims in the right of the Corporation that are based upon a violation of a duty by a current or former director, officer, employee or stockholder in such capacity, or as to which the DGCL confers jurisdiction upon the Court of Chancery. Notwithstanding anything herein to the contrary, and for the avoidance of doubt, this Article XI shall not apply to suits brought to enforce a duty or liability created by the Securities Exchange Act of 1934, as amended. Any person or entity purchasing or otherwise acquiring or holding any interest in shares of stock of the Corporation shall be deemed to have notice of and consented to the provisions of this Article XII.</w:t>
      </w:r>
    </w:p>
    <w:p>
      <w:pPr>
        <w:spacing w:after="0" w:line="157" w:lineRule="exact"/>
        <w:rPr>
          <w:sz w:val="20"/>
          <w:szCs w:val="20"/>
          <w:color w:val="auto"/>
        </w:rPr>
      </w:pPr>
    </w:p>
    <w:p>
      <w:pPr>
        <w:ind w:right="120" w:firstLine="864"/>
        <w:spacing w:after="0" w:line="279" w:lineRule="auto"/>
        <w:rPr>
          <w:sz w:val="20"/>
          <w:szCs w:val="20"/>
          <w:color w:val="auto"/>
        </w:rPr>
      </w:pPr>
      <w:r>
        <w:rPr>
          <w:rFonts w:ascii="Arial" w:cs="Arial" w:eastAsia="Arial" w:hAnsi="Arial"/>
          <w:sz w:val="19"/>
          <w:szCs w:val="19"/>
          <w:color w:val="010000"/>
        </w:rPr>
        <w:t xml:space="preserve">Section 11.2 </w:t>
      </w:r>
      <w:r>
        <w:rPr>
          <w:rFonts w:ascii="Arial" w:cs="Arial" w:eastAsia="Arial" w:hAnsi="Arial"/>
          <w:sz w:val="19"/>
          <w:szCs w:val="19"/>
          <w:u w:val="single" w:color="auto"/>
          <w:color w:val="000000"/>
        </w:rPr>
        <w:t>Enforceability</w:t>
      </w:r>
      <w:r>
        <w:rPr>
          <w:rFonts w:ascii="Arial" w:cs="Arial" w:eastAsia="Arial" w:hAnsi="Arial"/>
          <w:sz w:val="19"/>
          <w:szCs w:val="19"/>
          <w:color w:val="000000"/>
        </w:rPr>
        <w:t>. If any provision of this Article XI shall be held to be invalid, illegal or</w:t>
      </w:r>
      <w:r>
        <w:rPr>
          <w:rFonts w:ascii="Arial" w:cs="Arial" w:eastAsia="Arial" w:hAnsi="Arial"/>
          <w:sz w:val="19"/>
          <w:szCs w:val="19"/>
          <w:color w:val="010000"/>
        </w:rPr>
        <w:t xml:space="preserve"> </w:t>
      </w:r>
      <w:r>
        <w:rPr>
          <w:rFonts w:ascii="Arial" w:cs="Arial" w:eastAsia="Arial" w:hAnsi="Arial"/>
          <w:sz w:val="19"/>
          <w:szCs w:val="19"/>
          <w:color w:val="000000"/>
        </w:rPr>
        <w:t>unenforceable as applied to any person or entity or circumstance for any reason whatsoever, then, to the fullest extent permitted by law, the validity, legality and enforceability of such provision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remainder of 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44" w:name="page145"/>
    <w:bookmarkEnd w:id="144"/>
    <w:p>
      <w:pPr>
        <w:ind w:firstLine="864"/>
        <w:spacing w:after="0" w:line="250" w:lineRule="auto"/>
        <w:rPr>
          <w:sz w:val="20"/>
          <w:szCs w:val="20"/>
          <w:color w:val="auto"/>
        </w:rPr>
      </w:pPr>
      <w:r>
        <w:rPr>
          <w:rFonts w:ascii="Arial" w:cs="Arial" w:eastAsia="Arial" w:hAnsi="Arial"/>
          <w:sz w:val="22"/>
          <w:szCs w:val="22"/>
          <w:color w:val="auto"/>
        </w:rPr>
        <w:t>IN WITNESS WHEREOF, the Corporation has caused this Amended and Restated Certificate of Incorporation to be executed by a duly authorized officer of the Corporation, this 9th day of February, 2021.</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VIANT TECHNOLOGY INC.</w:t>
      </w:r>
    </w:p>
    <w:p>
      <w:pPr>
        <w:spacing w:after="0" w:line="206"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6985</wp:posOffset>
            </wp:positionV>
            <wp:extent cx="2228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6120"/>
        <w:spacing w:after="0"/>
        <w:tabs>
          <w:tab w:leader="none" w:pos="6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Larry Madden</w:t>
      </w:r>
    </w:p>
    <w:p>
      <w:pPr>
        <w:ind w:left="6120"/>
        <w:spacing w:after="0"/>
        <w:tabs>
          <w:tab w:leader="none" w:pos="688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C</w:t>
      </w:r>
      <w:r>
        <w:rPr>
          <w:rFonts w:ascii="Arial" w:cs="Arial" w:eastAsia="Arial" w:hAnsi="Arial"/>
          <w:sz w:val="12"/>
          <w:szCs w:val="12"/>
          <w:color w:val="auto"/>
        </w:rPr>
        <w:t>ERTIFICATE OF</w:t>
      </w:r>
      <w:r>
        <w:rPr>
          <w:rFonts w:ascii="Arial" w:cs="Arial" w:eastAsia="Arial" w:hAnsi="Arial"/>
          <w:sz w:val="18"/>
          <w:szCs w:val="18"/>
          <w:color w:val="auto"/>
        </w:rPr>
        <w:t xml:space="preserve"> I</w:t>
      </w:r>
      <w:r>
        <w:rPr>
          <w:rFonts w:ascii="Arial" w:cs="Arial" w:eastAsia="Arial" w:hAnsi="Arial"/>
          <w:sz w:val="12"/>
          <w:szCs w:val="12"/>
          <w:color w:val="auto"/>
        </w:rPr>
        <w:t>NCORPORATION</w:t>
      </w:r>
    </w:p>
    <w:p>
      <w:pPr>
        <w:sectPr>
          <w:pgSz w:w="11900" w:h="16838" w:orient="portrait"/>
          <w:cols w:equalWidth="0" w:num="1">
            <w:col w:w="10960"/>
          </w:cols>
          <w:pgMar w:left="320" w:top="550" w:right="61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VIANT TECHNOLOGY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OFFICES</w:t>
      </w:r>
    </w:p>
    <w:p>
      <w:pPr>
        <w:spacing w:after="0" w:line="188" w:lineRule="exact"/>
        <w:rPr>
          <w:sz w:val="20"/>
          <w:szCs w:val="20"/>
          <w:color w:val="auto"/>
        </w:rPr>
      </w:pPr>
    </w:p>
    <w:p>
      <w:pPr>
        <w:ind w:right="600" w:firstLine="864"/>
        <w:spacing w:after="0" w:line="250"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Registered Office</w:t>
      </w:r>
      <w:r>
        <w:rPr>
          <w:rFonts w:ascii="Arial" w:cs="Arial" w:eastAsia="Arial" w:hAnsi="Arial"/>
          <w:sz w:val="22"/>
          <w:szCs w:val="22"/>
          <w:color w:val="000000"/>
        </w:rPr>
        <w:t>. The registered office of the Corporation shall be fixed in the Amended and</w:t>
      </w:r>
      <w:r>
        <w:rPr>
          <w:rFonts w:ascii="Arial" w:cs="Arial" w:eastAsia="Arial" w:hAnsi="Arial"/>
          <w:sz w:val="22"/>
          <w:szCs w:val="22"/>
          <w:color w:val="010000"/>
        </w:rPr>
        <w:t xml:space="preserve"> </w:t>
      </w:r>
      <w:r>
        <w:rPr>
          <w:rFonts w:ascii="Arial" w:cs="Arial" w:eastAsia="Arial" w:hAnsi="Arial"/>
          <w:sz w:val="22"/>
          <w:szCs w:val="22"/>
          <w:color w:val="000000"/>
        </w:rPr>
        <w:t>Restated Certificate of Incorporation (the “</w:t>
      </w:r>
      <w:r>
        <w:rPr>
          <w:rFonts w:ascii="Arial" w:cs="Arial" w:eastAsia="Arial" w:hAnsi="Arial"/>
          <w:sz w:val="22"/>
          <w:szCs w:val="22"/>
          <w:u w:val="single" w:color="auto"/>
          <w:color w:val="000000"/>
        </w:rPr>
        <w:t>Certificate of Incorporation</w:t>
      </w:r>
      <w:r>
        <w:rPr>
          <w:rFonts w:ascii="Arial" w:cs="Arial" w:eastAsia="Arial" w:hAnsi="Arial"/>
          <w:sz w:val="22"/>
          <w:szCs w:val="22"/>
          <w:color w:val="000000"/>
        </w:rPr>
        <w:t>”) of the Corporation.</w:t>
      </w:r>
    </w:p>
    <w:p>
      <w:pPr>
        <w:spacing w:after="0" w:line="175" w:lineRule="exact"/>
        <w:rPr>
          <w:sz w:val="20"/>
          <w:szCs w:val="20"/>
          <w:color w:val="auto"/>
        </w:rPr>
      </w:pPr>
    </w:p>
    <w:p>
      <w:pPr>
        <w:ind w:right="180" w:firstLine="864"/>
        <w:spacing w:after="0" w:line="297" w:lineRule="auto"/>
        <w:rPr>
          <w:sz w:val="20"/>
          <w:szCs w:val="20"/>
          <w:color w:val="auto"/>
        </w:rPr>
      </w:pPr>
      <w:r>
        <w:rPr>
          <w:rFonts w:ascii="Arial" w:cs="Arial" w:eastAsia="Arial" w:hAnsi="Arial"/>
          <w:sz w:val="19"/>
          <w:szCs w:val="19"/>
          <w:color w:val="010000"/>
        </w:rPr>
        <w:t xml:space="preserve">Section 1.2 </w:t>
      </w:r>
      <w:r>
        <w:rPr>
          <w:rFonts w:ascii="Arial" w:cs="Arial" w:eastAsia="Arial" w:hAnsi="Arial"/>
          <w:sz w:val="19"/>
          <w:szCs w:val="19"/>
          <w:u w:val="single" w:color="auto"/>
          <w:color w:val="000000"/>
        </w:rPr>
        <w:t>Other Offices</w:t>
      </w:r>
      <w:r>
        <w:rPr>
          <w:rFonts w:ascii="Arial" w:cs="Arial" w:eastAsia="Arial" w:hAnsi="Arial"/>
          <w:sz w:val="19"/>
          <w:szCs w:val="19"/>
          <w:color w:val="000000"/>
        </w:rPr>
        <w:t>. The Corporation may also have an office or offices, and keep the books and records</w:t>
      </w:r>
      <w:r>
        <w:rPr>
          <w:rFonts w:ascii="Arial" w:cs="Arial" w:eastAsia="Arial" w:hAnsi="Arial"/>
          <w:sz w:val="19"/>
          <w:szCs w:val="19"/>
          <w:color w:val="010000"/>
        </w:rPr>
        <w:t xml:space="preserve"> </w:t>
      </w:r>
      <w:r>
        <w:rPr>
          <w:rFonts w:ascii="Arial" w:cs="Arial" w:eastAsia="Arial" w:hAnsi="Arial"/>
          <w:sz w:val="19"/>
          <w:szCs w:val="19"/>
          <w:color w:val="000000"/>
        </w:rPr>
        <w:t>of the Corporation, except as otherwise required by law, at such other place or places, either within or without the State of Delaware, as the Corporation may from time to time determine or the business of the Corporation may require.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188" w:lineRule="exact"/>
        <w:rPr>
          <w:sz w:val="20"/>
          <w:szCs w:val="20"/>
          <w:color w:val="auto"/>
        </w:rPr>
      </w:pPr>
    </w:p>
    <w:p>
      <w:pPr>
        <w:jc w:val="both"/>
        <w:ind w:right="100" w:firstLine="864"/>
        <w:spacing w:after="0" w:line="273" w:lineRule="auto"/>
        <w:rPr>
          <w:sz w:val="20"/>
          <w:szCs w:val="20"/>
          <w:color w:val="auto"/>
        </w:rPr>
      </w:pPr>
      <w:r>
        <w:rPr>
          <w:rFonts w:ascii="Arial" w:cs="Arial" w:eastAsia="Arial" w:hAnsi="Arial"/>
          <w:sz w:val="19"/>
          <w:szCs w:val="19"/>
          <w:color w:val="010000"/>
        </w:rPr>
        <w:t xml:space="preserve">Section 2.1 </w:t>
      </w:r>
      <w:r>
        <w:rPr>
          <w:rFonts w:ascii="Arial" w:cs="Arial" w:eastAsia="Arial" w:hAnsi="Arial"/>
          <w:sz w:val="19"/>
          <w:szCs w:val="19"/>
          <w:u w:val="single" w:color="auto"/>
          <w:color w:val="000000"/>
        </w:rPr>
        <w:t>Annual Meeting</w:t>
      </w:r>
      <w:r>
        <w:rPr>
          <w:rFonts w:ascii="Arial" w:cs="Arial" w:eastAsia="Arial" w:hAnsi="Arial"/>
          <w:sz w:val="19"/>
          <w:szCs w:val="19"/>
          <w:color w:val="000000"/>
        </w:rPr>
        <w:t>. The annual meeting of stockholders, for the election of directors to succeed those</w:t>
      </w:r>
      <w:r>
        <w:rPr>
          <w:rFonts w:ascii="Arial" w:cs="Arial" w:eastAsia="Arial" w:hAnsi="Arial"/>
          <w:sz w:val="19"/>
          <w:szCs w:val="19"/>
          <w:color w:val="010000"/>
        </w:rPr>
        <w:t xml:space="preserve"> </w:t>
      </w:r>
      <w:r>
        <w:rPr>
          <w:rFonts w:ascii="Arial" w:cs="Arial" w:eastAsia="Arial" w:hAnsi="Arial"/>
          <w:sz w:val="19"/>
          <w:szCs w:val="19"/>
          <w:color w:val="000000"/>
        </w:rPr>
        <w:t>whose terms expire and for the transaction of such other business as may properly come before the meeting, shall be held at such place, if any, either within or without the State of Delaware, on such date, and at such time as the Board of Directors shall</w:t>
      </w:r>
    </w:p>
    <w:p>
      <w:pPr>
        <w:spacing w:after="0" w:line="1" w:lineRule="exact"/>
        <w:rPr>
          <w:sz w:val="20"/>
          <w:szCs w:val="20"/>
          <w:color w:val="auto"/>
        </w:rPr>
      </w:pPr>
    </w:p>
    <w:p>
      <w:pPr>
        <w:jc w:val="both"/>
        <w:ind w:right="100"/>
        <w:spacing w:after="0" w:line="236" w:lineRule="auto"/>
        <w:rPr>
          <w:sz w:val="20"/>
          <w:szCs w:val="20"/>
          <w:color w:val="auto"/>
        </w:rPr>
      </w:pPr>
      <w:r>
        <w:rPr>
          <w:rFonts w:ascii="Arial" w:cs="Arial" w:eastAsia="Arial" w:hAnsi="Arial"/>
          <w:sz w:val="22"/>
          <w:szCs w:val="22"/>
          <w:color w:val="auto"/>
        </w:rPr>
        <w:t>fix. The Board of Directors may postpone, reschedule or cancel any annual meeting of stockholders previously scheduled by the Board of Directors.</w:t>
      </w:r>
    </w:p>
    <w:p>
      <w:pPr>
        <w:spacing w:after="0" w:line="18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2.2</w:t>
      </w:r>
      <w:r>
        <w:rPr>
          <w:sz w:val="20"/>
          <w:szCs w:val="20"/>
          <w:color w:val="auto"/>
        </w:rPr>
        <w:tab/>
      </w:r>
      <w:r>
        <w:rPr>
          <w:rFonts w:ascii="Arial" w:cs="Arial" w:eastAsia="Arial" w:hAnsi="Arial"/>
          <w:sz w:val="19"/>
          <w:szCs w:val="19"/>
          <w:u w:val="single" w:color="auto"/>
          <w:color w:val="auto"/>
        </w:rPr>
        <w:t>Special Meeting</w:t>
      </w:r>
      <w:r>
        <w:rPr>
          <w:rFonts w:ascii="Arial" w:cs="Arial" w:eastAsia="Arial" w:hAnsi="Arial"/>
          <w:sz w:val="19"/>
          <w:szCs w:val="19"/>
          <w:color w:val="auto"/>
        </w:rPr>
        <w:t>.</w:t>
      </w:r>
    </w:p>
    <w:p>
      <w:pPr>
        <w:spacing w:after="0" w:line="206" w:lineRule="exact"/>
        <w:rPr>
          <w:sz w:val="20"/>
          <w:szCs w:val="20"/>
          <w:color w:val="auto"/>
        </w:rPr>
      </w:pPr>
    </w:p>
    <w:p>
      <w:pPr>
        <w:ind w:right="60" w:firstLine="1727"/>
        <w:spacing w:after="0" w:line="277" w:lineRule="auto"/>
        <w:rPr>
          <w:sz w:val="20"/>
          <w:szCs w:val="20"/>
          <w:color w:val="auto"/>
        </w:rPr>
      </w:pPr>
      <w:r>
        <w:rPr>
          <w:rFonts w:ascii="Arial" w:cs="Arial" w:eastAsia="Arial" w:hAnsi="Arial"/>
          <w:sz w:val="19"/>
          <w:szCs w:val="19"/>
          <w:color w:val="auto"/>
        </w:rPr>
        <w:t>Except as otherwise required by law, and except as otherwise provided for or fixed pursuant to the Certificate of Incorporation, including any certificate of designations relating to any series of Preferred Stock (each hereinafter referred to as a “</w:t>
      </w:r>
      <w:r>
        <w:rPr>
          <w:rFonts w:ascii="Arial" w:cs="Arial" w:eastAsia="Arial" w:hAnsi="Arial"/>
          <w:sz w:val="19"/>
          <w:szCs w:val="19"/>
          <w:u w:val="single" w:color="auto"/>
          <w:color w:val="auto"/>
        </w:rPr>
        <w:t>Preferred Stock Designation</w:t>
      </w:r>
      <w:r>
        <w:rPr>
          <w:rFonts w:ascii="Arial" w:cs="Arial" w:eastAsia="Arial" w:hAnsi="Arial"/>
          <w:sz w:val="19"/>
          <w:szCs w:val="19"/>
          <w:color w:val="auto"/>
        </w:rPr>
        <w:t>”), a special meeting of the stockholders of the Corporation may be called at any time only by or at the direction of the Board of Directors, the Chairman of the Board of Directors or the Chief Executive Officer with the concurrence of a majority of the Board of Directors. The Board of Directors may postpone, reschedule or cancel any special meeting of stockholders previously scheduled by the Board of Directors. Only such business shall be conducted at a special meeting of stockholders as shall have been specified in the notice for such meeting.</w:t>
      </w:r>
    </w:p>
    <w:p>
      <w:pPr>
        <w:spacing w:after="0" w:line="15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2.3</w:t>
      </w:r>
      <w:r>
        <w:rPr>
          <w:sz w:val="20"/>
          <w:szCs w:val="20"/>
          <w:color w:val="auto"/>
        </w:rPr>
        <w:tab/>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w:t>
      </w:r>
    </w:p>
    <w:p>
      <w:pPr>
        <w:spacing w:after="0" w:line="206" w:lineRule="exact"/>
        <w:rPr>
          <w:sz w:val="20"/>
          <w:szCs w:val="20"/>
          <w:color w:val="auto"/>
        </w:rPr>
      </w:pPr>
    </w:p>
    <w:p>
      <w:pPr>
        <w:ind w:right="40" w:firstLine="1735"/>
        <w:spacing w:after="0" w:line="238" w:lineRule="auto"/>
        <w:tabs>
          <w:tab w:leader="none" w:pos="2615"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Whenever stockholders are required or permitted to take any action at a meeting, notice of the place, if any, date, and time of the meeting of stockholders, the record date for determining the stockholders entitled to vote at the meeting (if such date is different from the record date for determining the stockholders entitled to notice of the meeting), the means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6" w:name="page147"/>
    <w:bookmarkEnd w:id="146"/>
    <w:p>
      <w:pPr>
        <w:spacing w:after="0" w:line="277" w:lineRule="auto"/>
        <w:rPr>
          <w:sz w:val="20"/>
          <w:szCs w:val="20"/>
          <w:color w:val="auto"/>
        </w:rPr>
      </w:pPr>
      <w:r>
        <w:rPr>
          <w:rFonts w:ascii="Arial" w:cs="Arial" w:eastAsia="Arial" w:hAnsi="Arial"/>
          <w:sz w:val="19"/>
          <w:szCs w:val="19"/>
          <w:color w:val="auto"/>
        </w:rPr>
        <w:t>remote communications, if any, by which stockholders and proxyholders may be deemed to be present in person and vote at such meeting and, if the meeting is to be held solely by means of remote communications, the means for accessing the list of stockholders contemplated by Section 2.5 of these Bylaws, shall be given. The notice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law, the Certificate of Incorporation (including any Preferred Stock Designation) or these Bylaws. In the case of a special meeting, the purpose or purposes for which the meeting is called also shall be set forth in the notice.</w:t>
      </w:r>
    </w:p>
    <w:p>
      <w:pPr>
        <w:spacing w:after="0" w:line="152" w:lineRule="exact"/>
        <w:rPr>
          <w:sz w:val="20"/>
          <w:szCs w:val="20"/>
          <w:color w:val="auto"/>
        </w:rPr>
      </w:pPr>
    </w:p>
    <w:p>
      <w:pPr>
        <w:ind w:right="200" w:firstLine="1735"/>
        <w:spacing w:after="0" w:line="238" w:lineRule="auto"/>
        <w:tabs>
          <w:tab w:leader="none" w:pos="2627"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Except as otherwise required by law, notice may be given in writing directed to a stockholder’s mailing address as it appears on the records of the Corporation and shall be given: (i) if mailed, when notice is deposited in the U.S. mail, postage prepaid; and (ii) if delivered by courier service, the earlier of when the notice is received or left at such stockholder’s address.</w:t>
      </w:r>
    </w:p>
    <w:p>
      <w:pPr>
        <w:spacing w:after="0" w:line="184" w:lineRule="exact"/>
        <w:rPr>
          <w:rFonts w:ascii="Arial" w:cs="Arial" w:eastAsia="Arial" w:hAnsi="Arial"/>
          <w:sz w:val="22"/>
          <w:szCs w:val="22"/>
          <w:color w:val="010000"/>
        </w:rPr>
      </w:pPr>
    </w:p>
    <w:p>
      <w:pPr>
        <w:ind w:right="80" w:firstLine="1735"/>
        <w:spacing w:after="0" w:line="246" w:lineRule="auto"/>
        <w:tabs>
          <w:tab w:leader="none" w:pos="2615"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So long as the Corporation is subject to the Securities and Exchange Commission’s proxy rules set forth in Regulation 14A under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 If notice is given by electronic mail, such notice shall comply with the applicable provisions of Sections 232(a) and 232(d) of the DGCL.</w:t>
      </w:r>
    </w:p>
    <w:p>
      <w:pPr>
        <w:spacing w:after="0" w:line="179" w:lineRule="exact"/>
        <w:rPr>
          <w:rFonts w:ascii="Arial" w:cs="Arial" w:eastAsia="Arial" w:hAnsi="Arial"/>
          <w:sz w:val="21"/>
          <w:szCs w:val="21"/>
          <w:color w:val="010000"/>
        </w:rPr>
      </w:pPr>
    </w:p>
    <w:p>
      <w:pPr>
        <w:ind w:right="40" w:firstLine="1735"/>
        <w:spacing w:after="0" w:line="274" w:lineRule="auto"/>
        <w:tabs>
          <w:tab w:leader="none" w:pos="2627"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Notice may be given by other forms of electronic transmission with the consent of a stockholder in the manner permitted by Section 232(b) of the DGCL and shall be deemed given as provided therein.</w:t>
      </w:r>
    </w:p>
    <w:p>
      <w:pPr>
        <w:spacing w:after="0" w:line="150" w:lineRule="exact"/>
        <w:rPr>
          <w:rFonts w:ascii="Arial" w:cs="Arial" w:eastAsia="Arial" w:hAnsi="Arial"/>
          <w:sz w:val="21"/>
          <w:szCs w:val="21"/>
          <w:color w:val="010000"/>
        </w:rPr>
      </w:pPr>
    </w:p>
    <w:p>
      <w:pPr>
        <w:ind w:right="100" w:firstLine="1735"/>
        <w:spacing w:after="0" w:line="251" w:lineRule="exact"/>
        <w:tabs>
          <w:tab w:leader="none" w:pos="2615"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 xml:space="preserve">An affidavit that notice has been given, executed by the Secretary of the Corporation, Assistant Secretary or any transfer agent or other agent of the Corporation,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in the notice in the absence of fraud. Notice shall be deemed to have been given to all stockholders who share an address if notice is given in accordance with the “householding” rules set forth in Rule 14a</w:t>
      </w:r>
      <w:r>
        <w:rPr>
          <w:rFonts w:ascii="MS PGothic" w:cs="MS PGothic" w:eastAsia="MS PGothic" w:hAnsi="MS PGothic"/>
          <w:sz w:val="19"/>
          <w:szCs w:val="19"/>
          <w:color w:val="auto"/>
        </w:rPr>
        <w:t>‑</w:t>
      </w:r>
      <w:r>
        <w:rPr>
          <w:rFonts w:ascii="Arial" w:cs="Arial" w:eastAsia="Arial" w:hAnsi="Arial"/>
          <w:sz w:val="19"/>
          <w:szCs w:val="19"/>
          <w:color w:val="auto"/>
        </w:rPr>
        <w:t>3(e) under the Exchange Act and Section 233 of the DGCL.</w:t>
      </w:r>
    </w:p>
    <w:p>
      <w:pPr>
        <w:spacing w:after="0" w:line="186" w:lineRule="exact"/>
        <w:rPr>
          <w:rFonts w:ascii="Arial" w:cs="Arial" w:eastAsia="Arial" w:hAnsi="Arial"/>
          <w:sz w:val="19"/>
          <w:szCs w:val="19"/>
          <w:color w:val="010000"/>
        </w:rPr>
      </w:pPr>
    </w:p>
    <w:p>
      <w:pPr>
        <w:ind w:right="120" w:firstLine="1735"/>
        <w:spacing w:after="0" w:line="277" w:lineRule="auto"/>
        <w:tabs>
          <w:tab w:leader="none" w:pos="2591"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 xml:space="preserve">When a meeting is adjourned to another time or place,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7.6(a), and shall give notice of the adjourned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7" w:name="page148"/>
    <w:bookmarkEnd w:id="147"/>
    <w:p>
      <w:pPr>
        <w:ind w:right="420"/>
        <w:spacing w:after="0" w:line="250" w:lineRule="auto"/>
        <w:rPr>
          <w:sz w:val="20"/>
          <w:szCs w:val="20"/>
          <w:color w:val="auto"/>
        </w:rPr>
      </w:pPr>
      <w:r>
        <w:rPr>
          <w:rFonts w:ascii="Arial" w:cs="Arial" w:eastAsia="Arial" w:hAnsi="Arial"/>
          <w:sz w:val="22"/>
          <w:szCs w:val="22"/>
          <w:color w:val="auto"/>
        </w:rPr>
        <w:t>meeting to each stockholder of record entitled to vote at such adjourned meeting as of the record date fixed for notice of such adjourned meeting.</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2.4</w:t>
      </w:r>
      <w:r>
        <w:rPr>
          <w:sz w:val="20"/>
          <w:szCs w:val="20"/>
          <w:color w:val="auto"/>
        </w:rPr>
        <w:tab/>
      </w:r>
      <w:r>
        <w:rPr>
          <w:rFonts w:ascii="Arial" w:cs="Arial" w:eastAsia="Arial" w:hAnsi="Arial"/>
          <w:sz w:val="19"/>
          <w:szCs w:val="19"/>
          <w:u w:val="single" w:color="auto"/>
          <w:color w:val="auto"/>
        </w:rPr>
        <w:t>Organization</w:t>
      </w:r>
      <w:r>
        <w:rPr>
          <w:rFonts w:ascii="Arial" w:cs="Arial" w:eastAsia="Arial" w:hAnsi="Arial"/>
          <w:sz w:val="19"/>
          <w:szCs w:val="19"/>
          <w:color w:val="auto"/>
        </w:rPr>
        <w:t>.</w:t>
      </w:r>
    </w:p>
    <w:p>
      <w:pPr>
        <w:spacing w:after="0" w:line="206" w:lineRule="exact"/>
        <w:rPr>
          <w:sz w:val="20"/>
          <w:szCs w:val="20"/>
          <w:color w:val="auto"/>
        </w:rPr>
      </w:pPr>
    </w:p>
    <w:p>
      <w:pPr>
        <w:ind w:right="80" w:firstLine="1735"/>
        <w:spacing w:after="0" w:line="282" w:lineRule="auto"/>
        <w:tabs>
          <w:tab w:leader="none" w:pos="2615"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Unless otherwise determined by the Board of Directors, meetings of stockholders shall be presided over by the Chairman of the Board of Directors, or in his or her absence, by the Chief Executive Officer or, in his or her absence, by another person designated by the Board of Directors. The Secretary of the Corporation,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47" w:lineRule="exact"/>
        <w:rPr>
          <w:rFonts w:ascii="Arial" w:cs="Arial" w:eastAsia="Arial" w:hAnsi="Arial"/>
          <w:sz w:val="19"/>
          <w:szCs w:val="19"/>
          <w:color w:val="010000"/>
        </w:rPr>
      </w:pPr>
    </w:p>
    <w:p>
      <w:pPr>
        <w:ind w:firstLine="1735"/>
        <w:spacing w:after="0" w:line="270" w:lineRule="auto"/>
        <w:tabs>
          <w:tab w:leader="none" w:pos="2627"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Section 2.7. The chairman of the meeting, in addition to making any other determinations that may be appropriate to the conduct of the meeting, shall have the power to declare that a nomination or other business was not properly brought before the meeting if the facts warrant (including if a determination is made, pursuant to Section 2.10(c)(i) of these Bylaws, that a nomination or other business was not made or proposed, as the case may be, in accordance with Section 2.10 of these Bylaws), and if such chairman should so declare, such nomination shall be disregarded or such other business shall not be transacted.</w:t>
      </w:r>
    </w:p>
    <w:p>
      <w:pPr>
        <w:spacing w:after="0" w:line="157" w:lineRule="exact"/>
        <w:rPr>
          <w:sz w:val="20"/>
          <w:szCs w:val="20"/>
          <w:color w:val="auto"/>
        </w:rPr>
      </w:pPr>
    </w:p>
    <w:p>
      <w:pPr>
        <w:ind w:right="460" w:firstLine="864"/>
        <w:spacing w:after="0" w:line="287" w:lineRule="auto"/>
        <w:rPr>
          <w:sz w:val="20"/>
          <w:szCs w:val="20"/>
          <w:color w:val="auto"/>
        </w:rPr>
      </w:pPr>
      <w:r>
        <w:rPr>
          <w:rFonts w:ascii="Arial" w:cs="Arial" w:eastAsia="Arial" w:hAnsi="Arial"/>
          <w:sz w:val="19"/>
          <w:szCs w:val="19"/>
          <w:color w:val="010000"/>
        </w:rPr>
        <w:t xml:space="preserve">Section 2.5 </w:t>
      </w:r>
      <w:r>
        <w:rPr>
          <w:rFonts w:ascii="Arial" w:cs="Arial" w:eastAsia="Arial" w:hAnsi="Arial"/>
          <w:sz w:val="19"/>
          <w:szCs w:val="19"/>
          <w:u w:val="single" w:color="auto"/>
          <w:color w:val="000000"/>
        </w:rPr>
        <w:t>List of Stockholders</w:t>
      </w:r>
      <w:r>
        <w:rPr>
          <w:rFonts w:ascii="Arial" w:cs="Arial" w:eastAsia="Arial" w:hAnsi="Arial"/>
          <w:sz w:val="19"/>
          <w:szCs w:val="19"/>
          <w:color w:val="000000"/>
        </w:rPr>
        <w:t>. The Corporation shall prepare, at least 10 days before every meeting of</w:t>
      </w:r>
      <w:r>
        <w:rPr>
          <w:rFonts w:ascii="Arial" w:cs="Arial" w:eastAsia="Arial" w:hAnsi="Arial"/>
          <w:sz w:val="19"/>
          <w:szCs w:val="19"/>
          <w:color w:val="010000"/>
        </w:rPr>
        <w:t xml:space="preserve"> </w:t>
      </w:r>
      <w:r>
        <w:rPr>
          <w:rFonts w:ascii="Arial" w:cs="Arial" w:eastAsia="Arial" w:hAnsi="Arial"/>
          <w:sz w:val="19"/>
          <w:szCs w:val="19"/>
          <w:color w:val="000000"/>
        </w:rPr>
        <w:t xml:space="preserve">stockholders, a complete list of the stockholders entitled to vote at the meeting;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if the record date for determining the stockholders entitled to vote is less than 10 days before the date of the meeting, the list shall reflect the stockholders entitled to vote as of the 10th day before the meeting date. Such list shall be arranged in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8" w:name="page149"/>
    <w:bookmarkEnd w:id="148"/>
    <w:p>
      <w:pPr>
        <w:ind w:right="20"/>
        <w:spacing w:after="0" w:line="271" w:lineRule="auto"/>
        <w:rPr>
          <w:sz w:val="20"/>
          <w:szCs w:val="20"/>
          <w:color w:val="auto"/>
        </w:rPr>
      </w:pPr>
      <w:r>
        <w:rPr>
          <w:rFonts w:ascii="Arial" w:cs="Arial" w:eastAsia="Arial" w:hAnsi="Arial"/>
          <w:sz w:val="19"/>
          <w:szCs w:val="19"/>
          <w:color w:val="auto"/>
        </w:rPr>
        <w:t xml:space="preserve">alphabetical order and shall show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at least 10 days prior to the meeting: (a) on a reasonably accessible electronic network,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required by law, the stock ledger shall be the only evidence as to who are the stockholders entitled to examine the list of stockholders required by this Section 2.5 or to vote in person or by proxy at any meeting of stockholders.</w:t>
      </w:r>
    </w:p>
    <w:p>
      <w:pPr>
        <w:spacing w:after="0" w:line="200" w:lineRule="exact"/>
        <w:rPr>
          <w:sz w:val="20"/>
          <w:szCs w:val="20"/>
          <w:color w:val="auto"/>
        </w:rPr>
      </w:pPr>
    </w:p>
    <w:p>
      <w:pPr>
        <w:spacing w:after="0" w:line="211"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010000"/>
        </w:rPr>
        <w:t xml:space="preserve">Section 2.6 </w:t>
      </w:r>
      <w:r>
        <w:rPr>
          <w:rFonts w:ascii="Arial" w:cs="Arial" w:eastAsia="Arial" w:hAnsi="Arial"/>
          <w:sz w:val="19"/>
          <w:szCs w:val="19"/>
          <w:u w:val="single" w:color="auto"/>
          <w:color w:val="000000"/>
        </w:rPr>
        <w:t>Quorum</w:t>
      </w:r>
      <w:r>
        <w:rPr>
          <w:rFonts w:ascii="Arial" w:cs="Arial" w:eastAsia="Arial" w:hAnsi="Arial"/>
          <w:sz w:val="19"/>
          <w:szCs w:val="19"/>
          <w:color w:val="000000"/>
        </w:rPr>
        <w:t>. Except as otherwise required by law, the Certificate of Incorporation (including any</w:t>
      </w:r>
      <w:r>
        <w:rPr>
          <w:rFonts w:ascii="Arial" w:cs="Arial" w:eastAsia="Arial" w:hAnsi="Arial"/>
          <w:sz w:val="19"/>
          <w:szCs w:val="19"/>
          <w:color w:val="010000"/>
        </w:rPr>
        <w:t xml:space="preserve"> </w:t>
      </w:r>
      <w:r>
        <w:rPr>
          <w:rFonts w:ascii="Arial" w:cs="Arial" w:eastAsia="Arial" w:hAnsi="Arial"/>
          <w:sz w:val="19"/>
          <w:szCs w:val="19"/>
          <w:color w:val="000000"/>
        </w:rPr>
        <w:t xml:space="preserve">Preferred Stock Designation) or these Bylaws, at any meeting of stockholders, a majority of the voting power of the stock outstanding and entitled to vote at the meeting, present in person or represented by proxy, shall constitute a quorum for the transaction of business;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where a separate vote by a class or series or classes or series is required, a majority of the voting power of the stock of such class or series or classes or series outstanding and entitled to vote on that matter, present in person or represented by proxy, shall constitute a quorum entitled to take action with respect to such matter. If a quorum is not present or represented at any meeting of stockholders, then the chairman of the meeting, or a majority of the voting power of the stock present in person or represented by proxy at the meeting and entitled to vote thereon, shall have power to adjourn or recess the meeting from time to time in accordance with Section 2.7,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61" w:lineRule="exact"/>
        <w:rPr>
          <w:sz w:val="20"/>
          <w:szCs w:val="20"/>
          <w:color w:val="auto"/>
        </w:rPr>
      </w:pPr>
    </w:p>
    <w:p>
      <w:pPr>
        <w:ind w:right="20" w:firstLine="864"/>
        <w:spacing w:after="0" w:line="234" w:lineRule="auto"/>
        <w:rPr>
          <w:sz w:val="20"/>
          <w:szCs w:val="20"/>
          <w:color w:val="auto"/>
        </w:rPr>
      </w:pPr>
      <w:r>
        <w:rPr>
          <w:rFonts w:ascii="Arial" w:cs="Arial" w:eastAsia="Arial" w:hAnsi="Arial"/>
          <w:sz w:val="22"/>
          <w:szCs w:val="22"/>
          <w:color w:val="010000"/>
        </w:rPr>
        <w:t xml:space="preserve">Section 2.7 </w:t>
      </w:r>
      <w:r>
        <w:rPr>
          <w:rFonts w:ascii="Arial" w:cs="Arial" w:eastAsia="Arial" w:hAnsi="Arial"/>
          <w:sz w:val="22"/>
          <w:szCs w:val="22"/>
          <w:u w:val="single" w:color="auto"/>
          <w:color w:val="000000"/>
        </w:rPr>
        <w:t>Adjourned or Recessed Meeting</w:t>
      </w:r>
      <w:r>
        <w:rPr>
          <w:rFonts w:ascii="Arial" w:cs="Arial" w:eastAsia="Arial" w:hAnsi="Arial"/>
          <w:sz w:val="22"/>
          <w:szCs w:val="22"/>
          <w:color w:val="000000"/>
        </w:rPr>
        <w:t>. Any annual or special meeting of stockholders, whether or not a</w:t>
      </w:r>
      <w:r>
        <w:rPr>
          <w:rFonts w:ascii="Arial" w:cs="Arial" w:eastAsia="Arial" w:hAnsi="Arial"/>
          <w:sz w:val="22"/>
          <w:szCs w:val="22"/>
          <w:color w:val="010000"/>
        </w:rPr>
        <w:t xml:space="preserve"> </w:t>
      </w:r>
      <w:r>
        <w:rPr>
          <w:rFonts w:ascii="Arial" w:cs="Arial" w:eastAsia="Arial" w:hAnsi="Arial"/>
          <w:sz w:val="22"/>
          <w:szCs w:val="22"/>
          <w:color w:val="000000"/>
        </w:rPr>
        <w:t>quorum is present, may be adjourned or recessed for any or no reason from time to time by the chairman of the meeting, subject to any rules and regulations adopted by the Board of Directors pursuant to Section 2.4(b). Any such meeting may be adjourned for any or no reason (and may be recessed if a quorum is not present or represented) from time to time by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9" w:name="page150"/>
    <w:bookmarkEnd w:id="149"/>
    <w:p>
      <w:pPr>
        <w:ind w:left="860"/>
        <w:spacing w:after="0"/>
        <w:tabs>
          <w:tab w:leader="none" w:pos="2460" w:val="left"/>
        </w:tabs>
        <w:rPr>
          <w:sz w:val="20"/>
          <w:szCs w:val="20"/>
          <w:color w:val="auto"/>
        </w:rPr>
      </w:pPr>
      <w:r>
        <w:rPr>
          <w:rFonts w:ascii="Arial" w:cs="Arial" w:eastAsia="Arial" w:hAnsi="Arial"/>
          <w:sz w:val="22"/>
          <w:szCs w:val="22"/>
          <w:color w:val="010000"/>
        </w:rPr>
        <w:t>Section 2.8</w:t>
      </w:r>
      <w:r>
        <w:rPr>
          <w:sz w:val="20"/>
          <w:szCs w:val="20"/>
          <w:color w:val="auto"/>
        </w:rPr>
        <w:tab/>
      </w:r>
      <w:r>
        <w:rPr>
          <w:rFonts w:ascii="Arial" w:cs="Arial" w:eastAsia="Arial" w:hAnsi="Arial"/>
          <w:sz w:val="19"/>
          <w:szCs w:val="19"/>
          <w:u w:val="single" w:color="auto"/>
          <w:color w:val="auto"/>
        </w:rPr>
        <w:t>Voting; Proxies</w:t>
      </w:r>
      <w:r>
        <w:rPr>
          <w:rFonts w:ascii="Arial" w:cs="Arial" w:eastAsia="Arial" w:hAnsi="Arial"/>
          <w:sz w:val="19"/>
          <w:szCs w:val="19"/>
          <w:color w:val="auto"/>
        </w:rPr>
        <w:t>.</w:t>
      </w:r>
    </w:p>
    <w:p>
      <w:pPr>
        <w:spacing w:after="0" w:line="206" w:lineRule="exact"/>
        <w:rPr>
          <w:sz w:val="20"/>
          <w:szCs w:val="20"/>
          <w:color w:val="auto"/>
        </w:rPr>
      </w:pPr>
    </w:p>
    <w:p>
      <w:pPr>
        <w:jc w:val="both"/>
        <w:ind w:left="-20" w:right="340" w:firstLine="1735"/>
        <w:spacing w:after="0" w:line="297" w:lineRule="auto"/>
        <w:tabs>
          <w:tab w:leader="none" w:pos="2595"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Except as otherwise required by law or the Certificate of Incorporation (including any Preferred Stock Designation), each holder of stock of the Corporation entitled to vote at any meeting of stockholders shall be entitled to one vote for each share of such stock held of record by such holder that has voting power upon the subject matter in question.</w:t>
      </w:r>
    </w:p>
    <w:p>
      <w:pPr>
        <w:spacing w:after="0" w:line="133" w:lineRule="exact"/>
        <w:rPr>
          <w:rFonts w:ascii="Arial" w:cs="Arial" w:eastAsia="Arial" w:hAnsi="Arial"/>
          <w:sz w:val="19"/>
          <w:szCs w:val="19"/>
          <w:color w:val="010000"/>
        </w:rPr>
      </w:pPr>
    </w:p>
    <w:p>
      <w:pPr>
        <w:ind w:left="-20" w:right="60" w:firstLine="1735"/>
        <w:spacing w:after="0" w:line="275" w:lineRule="auto"/>
        <w:tabs>
          <w:tab w:leader="none" w:pos="2607"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Except as otherwise required by law, the Certificate of Incorporation (including any Preferred Stock Designation), these Bylaws or any law, rule or regulation applicable to the Corporation or its securities, at each meeting of stockholders at which a quorum is present, all corporate actions to be taken by vote of the stockholders shall be authorized by the affirmative vote of at least a majority of the voting power of the stock present in person or represented by proxy and entitled to vote on the subject matter, and where a separate vote by a class or series or classes or series is required, if a quorum of such class or series or classes or series is present, such act shall be authorized by the affirmative vote of at least a majority of the voting power of the stock of such class or series or classes or series present in person or represented by proxy and entitled to vote on the subject matter. Voting at meetings of stockholders need not be by written ballot.</w:t>
      </w:r>
    </w:p>
    <w:p>
      <w:pPr>
        <w:spacing w:after="0" w:line="157" w:lineRule="exact"/>
        <w:rPr>
          <w:rFonts w:ascii="Arial" w:cs="Arial" w:eastAsia="Arial" w:hAnsi="Arial"/>
          <w:sz w:val="19"/>
          <w:szCs w:val="19"/>
          <w:color w:val="010000"/>
        </w:rPr>
      </w:pPr>
    </w:p>
    <w:p>
      <w:pPr>
        <w:ind w:left="-20" w:right="60" w:firstLine="1735"/>
        <w:spacing w:after="0" w:line="246" w:lineRule="auto"/>
        <w:tabs>
          <w:tab w:leader="none" w:pos="2595" w:val="left"/>
        </w:tabs>
        <w:numPr>
          <w:ilvl w:val="0"/>
          <w:numId w:val="62"/>
        </w:numPr>
        <w:rPr>
          <w:rFonts w:ascii="Arial" w:cs="Arial" w:eastAsia="Arial" w:hAnsi="Arial"/>
          <w:sz w:val="21"/>
          <w:szCs w:val="21"/>
          <w:color w:val="010000"/>
        </w:rPr>
      </w:pPr>
      <w:r>
        <w:rPr>
          <w:rFonts w:ascii="Arial" w:cs="Arial" w:eastAsia="Arial" w:hAnsi="Arial"/>
          <w:sz w:val="21"/>
          <w:szCs w:val="21"/>
          <w:color w:val="auto"/>
        </w:rPr>
        <w:t>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w:t>
      </w:r>
    </w:p>
    <w:p>
      <w:pPr>
        <w:spacing w:after="0" w:line="180"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22"/>
          <w:szCs w:val="22"/>
          <w:color w:val="010000"/>
        </w:rPr>
        <w:t>Section 2.9</w:t>
      </w:r>
      <w:r>
        <w:rPr>
          <w:sz w:val="20"/>
          <w:szCs w:val="20"/>
          <w:color w:val="auto"/>
        </w:rPr>
        <w:tab/>
      </w:r>
      <w:r>
        <w:rPr>
          <w:rFonts w:ascii="Arial" w:cs="Arial" w:eastAsia="Arial" w:hAnsi="Arial"/>
          <w:sz w:val="19"/>
          <w:szCs w:val="19"/>
          <w:u w:val="single" w:color="auto"/>
          <w:color w:val="auto"/>
        </w:rPr>
        <w:t>Submission of Information by Director Nominees</w:t>
      </w:r>
      <w:r>
        <w:rPr>
          <w:rFonts w:ascii="Arial" w:cs="Arial" w:eastAsia="Arial" w:hAnsi="Arial"/>
          <w:sz w:val="19"/>
          <w:szCs w:val="19"/>
          <w:color w:val="auto"/>
        </w:rPr>
        <w:t>.</w:t>
      </w:r>
    </w:p>
    <w:p>
      <w:pPr>
        <w:spacing w:after="0" w:line="206" w:lineRule="exact"/>
        <w:rPr>
          <w:sz w:val="20"/>
          <w:szCs w:val="20"/>
          <w:color w:val="auto"/>
        </w:rPr>
      </w:pPr>
    </w:p>
    <w:p>
      <w:pPr>
        <w:ind w:left="-20" w:right="160" w:firstLine="1735"/>
        <w:spacing w:after="0" w:line="328" w:lineRule="auto"/>
        <w:tabs>
          <w:tab w:leader="none" w:pos="2595"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04" w:lineRule="exact"/>
        <w:rPr>
          <w:rFonts w:ascii="Arial" w:cs="Arial" w:eastAsia="Arial" w:hAnsi="Arial"/>
          <w:sz w:val="19"/>
          <w:szCs w:val="19"/>
          <w:color w:val="010000"/>
        </w:rPr>
      </w:pPr>
    </w:p>
    <w:p>
      <w:pPr>
        <w:ind w:left="-20" w:firstLine="2600"/>
        <w:spacing w:after="0" w:line="245" w:lineRule="auto"/>
        <w:tabs>
          <w:tab w:leader="none" w:pos="3424" w:val="left"/>
        </w:tabs>
        <w:numPr>
          <w:ilvl w:val="1"/>
          <w:numId w:val="63"/>
        </w:numPr>
        <w:rPr>
          <w:rFonts w:ascii="Arial" w:cs="Arial" w:eastAsia="Arial" w:hAnsi="Arial"/>
          <w:sz w:val="21"/>
          <w:szCs w:val="21"/>
          <w:color w:val="010000"/>
        </w:rPr>
      </w:pPr>
      <w:r>
        <w:rPr>
          <w:rFonts w:ascii="Arial" w:cs="Arial" w:eastAsia="Arial" w:hAnsi="Arial"/>
          <w:sz w:val="21"/>
          <w:szCs w:val="21"/>
          <w:color w:val="auto"/>
        </w:rPr>
        <w:t xml:space="preserve">a written representation and agreement, which shall be signed by such person and pursuant to which such person shall represent and agree that such person: (A) </w:t>
      </w:r>
      <w:r>
        <w:rPr>
          <w:rFonts w:ascii="Arial" w:cs="Arial" w:eastAsia="Arial" w:hAnsi="Arial"/>
          <w:sz w:val="21"/>
          <w:szCs w:val="21"/>
          <w:color w:val="010000"/>
        </w:rPr>
        <w:t>consents to serving as a director if elected and to</w:t>
      </w:r>
      <w:r>
        <w:rPr>
          <w:rFonts w:ascii="Arial" w:cs="Arial" w:eastAsia="Arial" w:hAnsi="Arial"/>
          <w:sz w:val="21"/>
          <w:szCs w:val="21"/>
          <w:color w:val="auto"/>
        </w:rPr>
        <w:t xml:space="preserve"> </w:t>
      </w:r>
      <w:r>
        <w:rPr>
          <w:rFonts w:ascii="Arial" w:cs="Arial" w:eastAsia="Arial" w:hAnsi="Arial"/>
          <w:sz w:val="21"/>
          <w:szCs w:val="21"/>
          <w:color w:val="010000"/>
        </w:rPr>
        <w:t xml:space="preserve">being named in the Corporation’s proxy statement and form of proxy as a nominee, and currently intends to serve as a director for the full term for which such person is standing for election; (B) </w:t>
      </w:r>
      <w:r>
        <w:rPr>
          <w:rFonts w:ascii="Arial" w:cs="Arial" w:eastAsia="Arial" w:hAnsi="Arial"/>
          <w:sz w:val="21"/>
          <w:szCs w:val="21"/>
          <w:color w:val="000000"/>
        </w:rPr>
        <w:t>is not and will not become a party to any agreement, arrangement</w:t>
      </w:r>
      <w:r>
        <w:rPr>
          <w:rFonts w:ascii="Arial" w:cs="Arial" w:eastAsia="Arial" w:hAnsi="Arial"/>
          <w:sz w:val="21"/>
          <w:szCs w:val="21"/>
          <w:color w:val="010000"/>
        </w:rPr>
        <w:t xml:space="preserve"> </w:t>
      </w:r>
      <w:r>
        <w:rPr>
          <w:rFonts w:ascii="Arial" w:cs="Arial" w:eastAsia="Arial" w:hAnsi="Arial"/>
          <w:sz w:val="21"/>
          <w:szCs w:val="21"/>
          <w:color w:val="000000"/>
        </w:rPr>
        <w:t>or understanding with, and has not given any 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50" w:right="339" w:bottom="1440" w:gutter="0" w:footer="0" w:header="0"/>
        </w:sectPr>
      </w:pPr>
    </w:p>
    <w:bookmarkStart w:id="150" w:name="page151"/>
    <w:bookmarkEnd w:id="150"/>
    <w:p>
      <w:pPr>
        <w:ind w:right="60"/>
        <w:spacing w:after="0" w:line="287" w:lineRule="auto"/>
        <w:rPr>
          <w:sz w:val="20"/>
          <w:szCs w:val="20"/>
          <w:color w:val="auto"/>
        </w:rPr>
      </w:pPr>
      <w:r>
        <w:rPr>
          <w:rFonts w:ascii="Arial" w:cs="Arial" w:eastAsia="Arial" w:hAnsi="Arial"/>
          <w:sz w:val="19"/>
          <w:szCs w:val="19"/>
          <w:color w:val="auto"/>
        </w:rPr>
        <w:t>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43" w:lineRule="exact"/>
        <w:rPr>
          <w:sz w:val="20"/>
          <w:szCs w:val="20"/>
          <w:color w:val="auto"/>
        </w:rPr>
      </w:pPr>
    </w:p>
    <w:p>
      <w:pPr>
        <w:ind w:right="80" w:firstLine="2600"/>
        <w:spacing w:after="0" w:line="248" w:lineRule="auto"/>
        <w:tabs>
          <w:tab w:leader="none" w:pos="3504"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and the Corporation’s corporate governance policies and guidelines) (all of the foregoing, “</w:t>
      </w:r>
      <w:r>
        <w:rPr>
          <w:rFonts w:ascii="Arial" w:cs="Arial" w:eastAsia="Arial" w:hAnsi="Arial"/>
          <w:sz w:val="21"/>
          <w:szCs w:val="21"/>
          <w:u w:val="single" w:color="auto"/>
          <w:color w:val="auto"/>
        </w:rPr>
        <w:t>Questionnaires</w:t>
      </w:r>
      <w:r>
        <w:rPr>
          <w:rFonts w:ascii="Arial" w:cs="Arial" w:eastAsia="Arial" w:hAnsi="Arial"/>
          <w:sz w:val="21"/>
          <w:szCs w:val="21"/>
          <w:color w:val="auto"/>
        </w:rPr>
        <w:t>”). The Questionnaires will be promptly provided following a request therefor.</w:t>
      </w:r>
    </w:p>
    <w:p>
      <w:pPr>
        <w:spacing w:after="0" w:line="176" w:lineRule="exact"/>
        <w:rPr>
          <w:rFonts w:ascii="Arial" w:cs="Arial" w:eastAsia="Arial" w:hAnsi="Arial"/>
          <w:sz w:val="21"/>
          <w:szCs w:val="21"/>
          <w:color w:val="010000"/>
        </w:rPr>
      </w:pPr>
    </w:p>
    <w:p>
      <w:pPr>
        <w:ind w:right="40" w:firstLine="1735"/>
        <w:spacing w:after="0" w:line="287" w:lineRule="auto"/>
        <w:tabs>
          <w:tab w:leader="none" w:pos="2627"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142" w:lineRule="exact"/>
        <w:rPr>
          <w:rFonts w:ascii="Arial" w:cs="Arial" w:eastAsia="Arial" w:hAnsi="Arial"/>
          <w:sz w:val="19"/>
          <w:szCs w:val="19"/>
          <w:color w:val="010000"/>
        </w:rPr>
      </w:pPr>
    </w:p>
    <w:p>
      <w:pPr>
        <w:ind w:firstLine="1735"/>
        <w:spacing w:after="0" w:line="235" w:lineRule="auto"/>
        <w:tabs>
          <w:tab w:leader="none" w:pos="2615"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Notwithstanding any other provision of these Bylaws, if a stockholder has submitted notice of an intent to nominate a candidate for election or re-election as a director pursuant to Section 2.10, the Questionnaires described in Section 2.9(a)(ii) above and the additional information described in Section 2.9(b) above shall be considered timely if provided to the Corporation promptly upon request by the Corporation, but in any event within five business days after such request, and all information provided pursuant to this Section 2.9 shall be deemed part of the stockholder’s notice submitted pursuant to Section 2.10.</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2.10</w:t>
      </w:r>
      <w:r>
        <w:rPr>
          <w:sz w:val="20"/>
          <w:szCs w:val="20"/>
          <w:color w:val="auto"/>
        </w:rPr>
        <w:tab/>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Annual Meeting</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80" w:firstLine="2600"/>
        <w:spacing w:after="0" w:line="246" w:lineRule="exact"/>
        <w:tabs>
          <w:tab w:leader="none" w:pos="3444" w:val="left"/>
        </w:tabs>
        <w:numPr>
          <w:ilvl w:val="1"/>
          <w:numId w:val="66"/>
        </w:numPr>
        <w:rPr>
          <w:rFonts w:ascii="Arial" w:cs="Arial" w:eastAsia="Arial" w:hAnsi="Arial"/>
          <w:sz w:val="21"/>
          <w:szCs w:val="21"/>
          <w:color w:val="010000"/>
        </w:rPr>
      </w:pPr>
      <w:r>
        <w:rPr>
          <w:rFonts w:ascii="Arial" w:cs="Arial" w:eastAsia="Arial" w:hAnsi="Arial"/>
          <w:sz w:val="21"/>
          <w:szCs w:val="21"/>
          <w:color w:val="auto"/>
        </w:rPr>
        <w:t>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is a stockholder of record at the time the notice provided for in this Section 2.10(a) is delivered to the Secretary of the Corporation, who is entitled to vote at the meeting and who complies with the notice procedures set forth in this Section 2.10(a). For the avoidance of doubt, the foregoing clause (C) shall be the exclusive means for a stockholder to make nominations or propose other business at an annual meeting of stockholders (other than a proposal included in the Corporation’s proxy statement pursuant to and in compliance with Rule 14a</w:t>
      </w:r>
      <w:r>
        <w:rPr>
          <w:rFonts w:ascii="MS PGothic" w:cs="MS PGothic" w:eastAsia="MS PGothic" w:hAnsi="MS PGothic"/>
          <w:sz w:val="21"/>
          <w:szCs w:val="21"/>
          <w:color w:val="auto"/>
        </w:rPr>
        <w:t>‑</w:t>
      </w:r>
      <w:r>
        <w:rPr>
          <w:rFonts w:ascii="Arial" w:cs="Arial" w:eastAsia="Arial" w:hAnsi="Arial"/>
          <w:sz w:val="21"/>
          <w:szCs w:val="21"/>
          <w:color w:val="auto"/>
        </w:rPr>
        <w:t>8 under the Exchange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1" w:name="page152"/>
    <w:bookmarkEnd w:id="151"/>
    <w:p>
      <w:pPr>
        <w:ind w:firstLine="2600"/>
        <w:spacing w:after="0" w:line="268" w:lineRule="auto"/>
        <w:tabs>
          <w:tab w:leader="none" w:pos="3504"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 the principal executive offices of the Corporation not later than the close of business (as defined in Section 2.10(c)(ii) below) on the 90th day nor earlier than the close of business on the 120th day prior to the first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Section 2.10(c)</w:t>
      </w:r>
    </w:p>
    <w:p>
      <w:pPr>
        <w:spacing w:after="0" w:line="8" w:lineRule="exact"/>
        <w:rPr>
          <w:rFonts w:ascii="Arial" w:cs="Arial" w:eastAsia="Arial" w:hAnsi="Arial"/>
          <w:sz w:val="19"/>
          <w:szCs w:val="19"/>
          <w:color w:val="010000"/>
        </w:rPr>
      </w:pPr>
    </w:p>
    <w:p>
      <w:pPr>
        <w:ind w:right="100" w:firstLine="8"/>
        <w:spacing w:after="0" w:line="272" w:lineRule="auto"/>
        <w:tabs>
          <w:tab w:leader="none" w:pos="318" w:val="left"/>
        </w:tabs>
        <w:numPr>
          <w:ilvl w:val="0"/>
          <w:numId w:val="68"/>
        </w:numPr>
        <w:rPr>
          <w:rFonts w:ascii="Arial" w:cs="Arial" w:eastAsia="Arial" w:hAnsi="Arial"/>
          <w:sz w:val="19"/>
          <w:szCs w:val="19"/>
          <w:color w:val="auto"/>
        </w:rPr>
      </w:pPr>
      <w:r>
        <w:rPr>
          <w:rFonts w:ascii="Arial" w:cs="Arial" w:eastAsia="Arial" w:hAnsi="Arial"/>
          <w:sz w:val="19"/>
          <w:szCs w:val="19"/>
          <w:color w:val="auto"/>
        </w:rPr>
        <w:t>below)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For purposes of this Section 2.10, the 2021 annual meeting of stockholders shall be deemed to have been held on May 30, 2021. Such stockholder’s notice shall set forth:</w:t>
      </w:r>
    </w:p>
    <w:p>
      <w:pPr>
        <w:spacing w:after="0" w:line="161" w:lineRule="exact"/>
        <w:rPr>
          <w:rFonts w:ascii="Arial" w:cs="Arial" w:eastAsia="Arial" w:hAnsi="Arial"/>
          <w:sz w:val="19"/>
          <w:szCs w:val="19"/>
          <w:color w:val="auto"/>
        </w:rPr>
      </w:pPr>
    </w:p>
    <w:p>
      <w:pPr>
        <w:ind w:firstLine="3464"/>
        <w:spacing w:after="0" w:line="271" w:lineRule="auto"/>
        <w:tabs>
          <w:tab w:leader="none" w:pos="4404" w:val="left"/>
        </w:tabs>
        <w:numPr>
          <w:ilvl w:val="2"/>
          <w:numId w:val="68"/>
        </w:numPr>
        <w:rPr>
          <w:rFonts w:ascii="Arial" w:cs="Arial" w:eastAsia="Arial" w:hAnsi="Arial"/>
          <w:sz w:val="19"/>
          <w:szCs w:val="19"/>
          <w:color w:val="010000"/>
        </w:rPr>
      </w:pPr>
      <w:r>
        <w:rPr>
          <w:rFonts w:ascii="Arial" w:cs="Arial" w:eastAsia="Arial" w:hAnsi="Arial"/>
          <w:sz w:val="19"/>
          <w:szCs w:val="19"/>
          <w:color w:val="auto"/>
        </w:rPr>
        <w:t>as to each person whom the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by nominees pursuant to Section 2.9(a)</w:t>
      </w:r>
    </w:p>
    <w:p>
      <w:pPr>
        <w:spacing w:after="0" w:line="3" w:lineRule="exact"/>
        <w:rPr>
          <w:rFonts w:ascii="Arial" w:cs="Arial" w:eastAsia="Arial" w:hAnsi="Arial"/>
          <w:sz w:val="19"/>
          <w:szCs w:val="19"/>
          <w:color w:val="010000"/>
        </w:rPr>
      </w:pPr>
    </w:p>
    <w:p>
      <w:pPr>
        <w:ind w:right="380" w:firstLine="8"/>
        <w:spacing w:after="0" w:line="236" w:lineRule="auto"/>
        <w:tabs>
          <w:tab w:leader="none" w:pos="258" w:val="left"/>
        </w:tabs>
        <w:numPr>
          <w:ilvl w:val="0"/>
          <w:numId w:val="69"/>
        </w:numPr>
        <w:rPr>
          <w:rFonts w:ascii="Arial" w:cs="Arial" w:eastAsia="Arial" w:hAnsi="Arial"/>
          <w:sz w:val="22"/>
          <w:szCs w:val="22"/>
          <w:color w:val="auto"/>
        </w:rPr>
      </w:pPr>
      <w:r>
        <w:rPr>
          <w:rFonts w:ascii="Arial" w:cs="Arial" w:eastAsia="Arial" w:hAnsi="Arial"/>
          <w:sz w:val="22"/>
          <w:szCs w:val="22"/>
          <w:color w:val="auto"/>
        </w:rPr>
        <w:t>above and all completed and signed Questionnaires described in Section 2.9(a)(ii) above, which will be promptly provided following a request therefor;</w:t>
      </w:r>
    </w:p>
    <w:p>
      <w:pPr>
        <w:spacing w:after="0" w:line="186" w:lineRule="exact"/>
        <w:rPr>
          <w:rFonts w:ascii="Arial" w:cs="Arial" w:eastAsia="Arial" w:hAnsi="Arial"/>
          <w:sz w:val="22"/>
          <w:szCs w:val="22"/>
          <w:color w:val="auto"/>
        </w:rPr>
      </w:pPr>
    </w:p>
    <w:p>
      <w:pPr>
        <w:ind w:left="4400" w:hanging="936"/>
        <w:spacing w:after="0"/>
        <w:tabs>
          <w:tab w:leader="none" w:pos="4400" w:val="left"/>
        </w:tabs>
        <w:numPr>
          <w:ilvl w:val="2"/>
          <w:numId w:val="69"/>
        </w:numPr>
        <w:rPr>
          <w:rFonts w:ascii="Arial" w:cs="Arial" w:eastAsia="Arial" w:hAnsi="Arial"/>
          <w:sz w:val="19"/>
          <w:szCs w:val="19"/>
          <w:color w:val="010000"/>
        </w:rPr>
      </w:pPr>
      <w:r>
        <w:rPr>
          <w:rFonts w:ascii="Arial" w:cs="Arial" w:eastAsia="Arial" w:hAnsi="Arial"/>
          <w:sz w:val="19"/>
          <w:szCs w:val="19"/>
          <w:color w:val="auto"/>
        </w:rPr>
        <w:t>as to any other business that the stockholder proposes to bring before the</w:t>
      </w:r>
    </w:p>
    <w:p>
      <w:pPr>
        <w:spacing w:after="0" w:line="42" w:lineRule="exact"/>
        <w:rPr>
          <w:rFonts w:ascii="Arial" w:cs="Arial" w:eastAsia="Arial" w:hAnsi="Arial"/>
          <w:sz w:val="19"/>
          <w:szCs w:val="19"/>
          <w:color w:val="010000"/>
        </w:rPr>
      </w:pPr>
    </w:p>
    <w:p>
      <w:pPr>
        <w:ind w:right="20"/>
        <w:spacing w:after="0" w:line="232" w:lineRule="auto"/>
        <w:rPr>
          <w:rFonts w:ascii="Arial" w:cs="Arial" w:eastAsia="Arial" w:hAnsi="Arial"/>
          <w:sz w:val="19"/>
          <w:szCs w:val="19"/>
          <w:color w:val="010000"/>
        </w:rPr>
      </w:pPr>
      <w:r>
        <w:rPr>
          <w:rFonts w:ascii="Arial" w:cs="Arial" w:eastAsia="Arial" w:hAnsi="Arial"/>
          <w:sz w:val="22"/>
          <w:szCs w:val="22"/>
          <w:color w:val="auto"/>
        </w:rPr>
        <w:t>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pacing w:after="0" w:line="188" w:lineRule="exact"/>
        <w:rPr>
          <w:rFonts w:ascii="Arial" w:cs="Arial" w:eastAsia="Arial" w:hAnsi="Arial"/>
          <w:sz w:val="19"/>
          <w:szCs w:val="19"/>
          <w:color w:val="010000"/>
        </w:rPr>
      </w:pPr>
    </w:p>
    <w:p>
      <w:pPr>
        <w:ind w:right="460" w:firstLine="3464"/>
        <w:spacing w:after="0" w:line="250" w:lineRule="auto"/>
        <w:tabs>
          <w:tab w:leader="none" w:pos="4392" w:val="left"/>
        </w:tabs>
        <w:numPr>
          <w:ilvl w:val="2"/>
          <w:numId w:val="69"/>
        </w:numPr>
        <w:rPr>
          <w:rFonts w:ascii="Arial" w:cs="Arial" w:eastAsia="Arial" w:hAnsi="Arial"/>
          <w:sz w:val="22"/>
          <w:szCs w:val="22"/>
          <w:color w:val="010000"/>
        </w:rPr>
      </w:pPr>
      <w:r>
        <w:rPr>
          <w:rFonts w:ascii="Arial" w:cs="Arial" w:eastAsia="Arial" w:hAnsi="Arial"/>
          <w:sz w:val="22"/>
          <w:szCs w:val="22"/>
          <w:color w:val="auto"/>
        </w:rPr>
        <w:t>as to the stockholder giving the notice and the beneficial owner, if any, on whose behalf the nomination is made or the other business is proposed:</w:t>
      </w:r>
    </w:p>
    <w:p>
      <w:pPr>
        <w:spacing w:after="0" w:line="174" w:lineRule="exact"/>
        <w:rPr>
          <w:rFonts w:ascii="Arial" w:cs="Arial" w:eastAsia="Arial" w:hAnsi="Arial"/>
          <w:sz w:val="22"/>
          <w:szCs w:val="22"/>
          <w:color w:val="010000"/>
        </w:rPr>
      </w:pPr>
    </w:p>
    <w:p>
      <w:pPr>
        <w:ind w:left="5220" w:hanging="892"/>
        <w:spacing w:after="0"/>
        <w:tabs>
          <w:tab w:leader="none" w:pos="5220" w:val="left"/>
        </w:tabs>
        <w:numPr>
          <w:ilvl w:val="3"/>
          <w:numId w:val="69"/>
        </w:numPr>
        <w:rPr>
          <w:rFonts w:ascii="Arial" w:cs="Arial" w:eastAsia="Arial" w:hAnsi="Arial"/>
          <w:sz w:val="19"/>
          <w:szCs w:val="19"/>
          <w:color w:val="010000"/>
        </w:rPr>
      </w:pPr>
      <w:r>
        <w:rPr>
          <w:rFonts w:ascii="Arial" w:cs="Arial" w:eastAsia="Arial" w:hAnsi="Arial"/>
          <w:sz w:val="19"/>
          <w:szCs w:val="19"/>
          <w:color w:val="auto"/>
        </w:rPr>
        <w:t>the name and address of such stockholder, as they appear on the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Corporation’s books, and the name and address of such beneficial owner;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2" w:name="page153"/>
    <w:bookmarkEnd w:id="152"/>
    <w:p>
      <w:pPr>
        <w:ind w:right="60" w:firstLine="4328"/>
        <w:spacing w:after="0" w:line="236" w:lineRule="auto"/>
        <w:tabs>
          <w:tab w:leader="none" w:pos="5220"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the class or series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or series and number of shares of stock of the Corporation owned of record by the stockholder and such beneficial owner as of the record date for the meeting; and</w:t>
      </w:r>
    </w:p>
    <w:p>
      <w:pPr>
        <w:spacing w:after="0" w:line="187" w:lineRule="exact"/>
        <w:rPr>
          <w:rFonts w:ascii="Arial" w:cs="Arial" w:eastAsia="Arial" w:hAnsi="Arial"/>
          <w:sz w:val="22"/>
          <w:szCs w:val="22"/>
          <w:color w:val="010000"/>
        </w:rPr>
      </w:pPr>
    </w:p>
    <w:p>
      <w:pPr>
        <w:ind w:left="5220" w:hanging="892"/>
        <w:spacing w:after="0"/>
        <w:tabs>
          <w:tab w:leader="none" w:pos="5220"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a representation that the stockholder (or a qualified representative of</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stockholder) intends to appear at the meeting to make such nomination or propose such business;</w:t>
      </w:r>
    </w:p>
    <w:p>
      <w:pPr>
        <w:spacing w:after="0" w:line="188" w:lineRule="exact"/>
        <w:rPr>
          <w:rFonts w:ascii="Arial" w:cs="Arial" w:eastAsia="Arial" w:hAnsi="Arial"/>
          <w:sz w:val="19"/>
          <w:szCs w:val="19"/>
          <w:color w:val="010000"/>
        </w:rPr>
      </w:pPr>
    </w:p>
    <w:p>
      <w:pPr>
        <w:ind w:right="180" w:firstLine="3464"/>
        <w:spacing w:after="0" w:line="238" w:lineRule="auto"/>
        <w:tabs>
          <w:tab w:leader="none" w:pos="4404"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Arial" w:cs="Arial" w:eastAsia="Arial" w:hAnsi="Arial"/>
          <w:sz w:val="22"/>
          <w:szCs w:val="22"/>
          <w:u w:val="single" w:color="auto"/>
          <w:color w:val="auto"/>
        </w:rPr>
        <w:t>control person</w:t>
      </w:r>
      <w:r>
        <w:rPr>
          <w:rFonts w:ascii="Arial" w:cs="Arial" w:eastAsia="Arial" w:hAnsi="Arial"/>
          <w:sz w:val="22"/>
          <w:szCs w:val="22"/>
          <w:color w:val="auto"/>
        </w:rPr>
        <w:t>”):</w:t>
      </w:r>
    </w:p>
    <w:p>
      <w:pPr>
        <w:spacing w:after="0" w:line="184" w:lineRule="exact"/>
        <w:rPr>
          <w:rFonts w:ascii="Arial" w:cs="Arial" w:eastAsia="Arial" w:hAnsi="Arial"/>
          <w:sz w:val="22"/>
          <w:szCs w:val="22"/>
          <w:color w:val="010000"/>
        </w:rPr>
      </w:pPr>
    </w:p>
    <w:p>
      <w:pPr>
        <w:ind w:left="5220" w:hanging="892"/>
        <w:spacing w:after="0"/>
        <w:tabs>
          <w:tab w:leader="none" w:pos="5220"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the class or series and number of shares of stock of the Corporation</w:t>
      </w:r>
    </w:p>
    <w:p>
      <w:pPr>
        <w:spacing w:after="0" w:line="42" w:lineRule="exact"/>
        <w:rPr>
          <w:rFonts w:ascii="Arial" w:cs="Arial" w:eastAsia="Arial" w:hAnsi="Arial"/>
          <w:sz w:val="19"/>
          <w:szCs w:val="19"/>
          <w:color w:val="010000"/>
        </w:rPr>
      </w:pPr>
    </w:p>
    <w:p>
      <w:pPr>
        <w:ind w:right="140"/>
        <w:spacing w:after="0" w:line="280" w:lineRule="auto"/>
        <w:rPr>
          <w:rFonts w:ascii="Arial" w:cs="Arial" w:eastAsia="Arial" w:hAnsi="Arial"/>
          <w:sz w:val="19"/>
          <w:szCs w:val="19"/>
          <w:color w:val="010000"/>
        </w:rPr>
      </w:pPr>
      <w:r>
        <w:rPr>
          <w:rFonts w:ascii="Arial" w:cs="Arial" w:eastAsia="Arial" w:hAnsi="Arial"/>
          <w:sz w:val="19"/>
          <w:szCs w:val="19"/>
          <w:color w:val="auto"/>
        </w:rPr>
        <w:t>which are beneficially owned (as defined in Section 2.10(c)(ii) below) by such stockholder or beneficial owner and by any control person as of the date of the notice, and a representation that the stockholder will notify the Corporation in writing within five business days after the record date for such meeting of the class or series and number of shares of stock of the Corporation beneficially owned by such stockholder or beneficial owner and by any control person as of the record date for the meeting;</w:t>
      </w:r>
    </w:p>
    <w:p>
      <w:pPr>
        <w:spacing w:after="0" w:line="150" w:lineRule="exact"/>
        <w:rPr>
          <w:rFonts w:ascii="Arial" w:cs="Arial" w:eastAsia="Arial" w:hAnsi="Arial"/>
          <w:sz w:val="19"/>
          <w:szCs w:val="19"/>
          <w:color w:val="010000"/>
        </w:rPr>
      </w:pPr>
    </w:p>
    <w:p>
      <w:pPr>
        <w:ind w:left="5220" w:hanging="892"/>
        <w:spacing w:after="0"/>
        <w:tabs>
          <w:tab w:leader="none" w:pos="5220"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a description of any agreement, arrangement or understanding with</w:t>
      </w:r>
    </w:p>
    <w:p>
      <w:pPr>
        <w:spacing w:after="0" w:line="42" w:lineRule="exact"/>
        <w:rPr>
          <w:rFonts w:ascii="Arial" w:cs="Arial" w:eastAsia="Arial" w:hAnsi="Arial"/>
          <w:sz w:val="19"/>
          <w:szCs w:val="19"/>
          <w:color w:val="010000"/>
        </w:rPr>
      </w:pPr>
    </w:p>
    <w:p>
      <w:pPr>
        <w:ind w:right="40"/>
        <w:spacing w:after="0" w:line="277" w:lineRule="auto"/>
        <w:rPr>
          <w:rFonts w:ascii="Arial" w:cs="Arial" w:eastAsia="Arial" w:hAnsi="Arial"/>
          <w:sz w:val="19"/>
          <w:szCs w:val="19"/>
          <w:color w:val="010000"/>
        </w:rPr>
      </w:pPr>
      <w:r>
        <w:rPr>
          <w:rFonts w:ascii="Arial" w:cs="Arial" w:eastAsia="Arial" w:hAnsi="Arial"/>
          <w:sz w:val="19"/>
          <w:szCs w:val="19"/>
          <w:color w:val="auto"/>
        </w:rPr>
        <w:t>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52" w:lineRule="exact"/>
        <w:rPr>
          <w:rFonts w:ascii="Arial" w:cs="Arial" w:eastAsia="Arial" w:hAnsi="Arial"/>
          <w:sz w:val="19"/>
          <w:szCs w:val="19"/>
          <w:color w:val="010000"/>
        </w:rPr>
      </w:pPr>
    </w:p>
    <w:p>
      <w:pPr>
        <w:ind w:left="5220" w:hanging="892"/>
        <w:spacing w:after="0"/>
        <w:tabs>
          <w:tab w:leader="none" w:pos="5220" w:val="left"/>
        </w:tabs>
        <w:numPr>
          <w:ilvl w:val="1"/>
          <w:numId w:val="71"/>
        </w:numPr>
        <w:rPr>
          <w:rFonts w:ascii="Arial" w:cs="Arial" w:eastAsia="Arial" w:hAnsi="Arial"/>
          <w:sz w:val="21"/>
          <w:szCs w:val="21"/>
          <w:color w:val="010000"/>
        </w:rPr>
      </w:pPr>
      <w:r>
        <w:rPr>
          <w:rFonts w:ascii="Arial" w:cs="Arial" w:eastAsia="Arial" w:hAnsi="Arial"/>
          <w:sz w:val="21"/>
          <w:szCs w:val="21"/>
          <w:color w:val="auto"/>
        </w:rPr>
        <w:t>a description of any agreement, arrangement or understanding</w:t>
      </w:r>
    </w:p>
    <w:p>
      <w:pPr>
        <w:spacing w:after="0" w:line="19" w:lineRule="exact"/>
        <w:rPr>
          <w:rFonts w:ascii="Arial" w:cs="Arial" w:eastAsia="Arial" w:hAnsi="Arial"/>
          <w:sz w:val="21"/>
          <w:szCs w:val="21"/>
          <w:color w:val="010000"/>
        </w:rPr>
      </w:pPr>
    </w:p>
    <w:p>
      <w:pPr>
        <w:spacing w:after="0" w:line="243" w:lineRule="auto"/>
        <w:rPr>
          <w:rFonts w:ascii="Arial" w:cs="Arial" w:eastAsia="Arial" w:hAnsi="Arial"/>
          <w:sz w:val="21"/>
          <w:szCs w:val="21"/>
          <w:color w:val="010000"/>
        </w:rPr>
      </w:pPr>
      <w:r>
        <w:rPr>
          <w:rFonts w:ascii="Arial" w:cs="Arial" w:eastAsia="Arial" w:hAnsi="Arial"/>
          <w:sz w:val="21"/>
          <w:szCs w:val="21"/>
          <w:color w:val="auto"/>
        </w:rPr>
        <w:t>(including, without limitation,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Corporation’s stock, or maintain, increase or decrease the voting power of the stockholder, beneficial owner or control person with respect to securities of the Corporation,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87" w:lineRule="exact"/>
        <w:rPr>
          <w:rFonts w:ascii="Arial" w:cs="Arial" w:eastAsia="Arial" w:hAnsi="Arial"/>
          <w:sz w:val="21"/>
          <w:szCs w:val="21"/>
          <w:color w:val="010000"/>
        </w:rPr>
      </w:pPr>
    </w:p>
    <w:p>
      <w:pPr>
        <w:ind w:left="5220" w:hanging="892"/>
        <w:spacing w:after="0"/>
        <w:tabs>
          <w:tab w:leader="none" w:pos="5220"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a representation whether the stockholder or the beneficial owner, if</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any, will engage in a solicitation with respect to the nomination or other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3" w:name="page154"/>
    <w:bookmarkEnd w:id="153"/>
    <w:p>
      <w:pPr>
        <w:ind w:right="180"/>
        <w:spacing w:after="0" w:line="249" w:lineRule="auto"/>
        <w:rPr>
          <w:sz w:val="20"/>
          <w:szCs w:val="20"/>
          <w:color w:val="auto"/>
        </w:rPr>
      </w:pPr>
      <w:r>
        <w:rPr>
          <w:rFonts w:ascii="Arial" w:cs="Arial" w:eastAsia="Arial" w:hAnsi="Arial"/>
          <w:sz w:val="21"/>
          <w:szCs w:val="21"/>
          <w:color w:val="auto"/>
        </w:rPr>
        <w:t>business and, if so, the name of each participant in such solicitation (as defined in Item 4 of Schedule 14A under the Exchange Act) and whether such person intends or is part of a group which intends to deliver a proxy statement and/or form of proxy to holders of shares representing at least 50% of the voting power of the stock entitled to vote generally in the election of directors in the case of a nomination, or holders of at least the percentage of the Corporation’s stock required to approve or adopt the business to be proposed in the case of other business.</w:t>
      </w:r>
    </w:p>
    <w:p>
      <w:pPr>
        <w:spacing w:after="0" w:line="178" w:lineRule="exact"/>
        <w:rPr>
          <w:sz w:val="20"/>
          <w:szCs w:val="20"/>
          <w:color w:val="auto"/>
        </w:rPr>
      </w:pPr>
    </w:p>
    <w:p>
      <w:pPr>
        <w:ind w:firstLine="2600"/>
        <w:spacing w:after="0" w:line="247" w:lineRule="exact"/>
        <w:tabs>
          <w:tab w:leader="none" w:pos="3564"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Notwithstanding anything in Section 2.10(a)(ii) above or Section 2.10(b) below to the contrary, if the record date for determining the stockholders entitled to vote at any meeting of stockholders is different from the record date for determining the stockholders entitled to notice of the meeting, a stockholder’s notice required by this Section 2.10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clauses (ii)(C)(2) and (ii)(D)(1)</w:t>
      </w:r>
      <w:r>
        <w:rPr>
          <w:rFonts w:ascii="MS PGothic" w:cs="MS PGothic" w:eastAsia="MS PGothic" w:hAnsi="MS PGothic"/>
          <w:sz w:val="22"/>
          <w:szCs w:val="22"/>
          <w:color w:val="auto"/>
        </w:rPr>
        <w:t>‑</w:t>
      </w:r>
      <w:r>
        <w:rPr>
          <w:rFonts w:ascii="Arial" w:cs="Arial" w:eastAsia="Arial" w:hAnsi="Arial"/>
          <w:sz w:val="22"/>
          <w:szCs w:val="22"/>
          <w:color w:val="auto"/>
        </w:rPr>
        <w:t>(3) of this Section 2.10(a), and such information when provided to the Corporation shall be current as of the record date for determining the stockholders entitled to vote at the meeting.</w:t>
      </w:r>
    </w:p>
    <w:p>
      <w:pPr>
        <w:spacing w:after="0" w:line="186" w:lineRule="exact"/>
        <w:rPr>
          <w:rFonts w:ascii="Arial" w:cs="Arial" w:eastAsia="Arial" w:hAnsi="Arial"/>
          <w:sz w:val="22"/>
          <w:szCs w:val="22"/>
          <w:color w:val="010000"/>
        </w:rPr>
      </w:pPr>
    </w:p>
    <w:p>
      <w:pPr>
        <w:jc w:val="both"/>
        <w:ind w:firstLine="2600"/>
        <w:spacing w:after="0" w:line="251" w:lineRule="exact"/>
        <w:tabs>
          <w:tab w:leader="none" w:pos="3552" w:val="left"/>
        </w:tabs>
        <w:numPr>
          <w:ilvl w:val="1"/>
          <w:numId w:val="72"/>
        </w:numPr>
        <w:rPr>
          <w:rFonts w:ascii="Arial" w:cs="Arial" w:eastAsia="Arial" w:hAnsi="Arial"/>
          <w:sz w:val="21"/>
          <w:szCs w:val="21"/>
          <w:color w:val="010000"/>
        </w:rPr>
      </w:pPr>
      <w:r>
        <w:rPr>
          <w:rFonts w:ascii="Arial" w:cs="Arial" w:eastAsia="Arial" w:hAnsi="Arial"/>
          <w:sz w:val="21"/>
          <w:szCs w:val="21"/>
          <w:color w:val="auto"/>
        </w:rPr>
        <w:t>This Section 2.10(a) shall not apply to a proposal proposed to be made by a stockholder if the stockholder has notified the Corporation of his or her intention to present the proposal at an annual or special meeting only pursuant to and in compliance with Rule 14a</w:t>
      </w:r>
      <w:r>
        <w:rPr>
          <w:rFonts w:ascii="MS PGothic" w:cs="MS PGothic" w:eastAsia="MS PGothic" w:hAnsi="MS PGothic"/>
          <w:sz w:val="21"/>
          <w:szCs w:val="21"/>
          <w:color w:val="auto"/>
        </w:rPr>
        <w:t>‑</w:t>
      </w:r>
      <w:r>
        <w:rPr>
          <w:rFonts w:ascii="Arial" w:cs="Arial" w:eastAsia="Arial" w:hAnsi="Arial"/>
          <w:sz w:val="21"/>
          <w:szCs w:val="21"/>
          <w:color w:val="auto"/>
        </w:rPr>
        <w:t>8 under the Exchange Act and such proposal has been included in a proxy statement that has been prepared by the Corporation to solicit proxies for such meeting.</w:t>
      </w:r>
    </w:p>
    <w:p>
      <w:pPr>
        <w:spacing w:after="0" w:line="185" w:lineRule="exact"/>
        <w:rPr>
          <w:rFonts w:ascii="Arial" w:cs="Arial" w:eastAsia="Arial" w:hAnsi="Arial"/>
          <w:sz w:val="21"/>
          <w:szCs w:val="21"/>
          <w:color w:val="010000"/>
        </w:rPr>
      </w:pPr>
    </w:p>
    <w:p>
      <w:pPr>
        <w:ind w:firstLine="2600"/>
        <w:spacing w:after="0" w:line="246" w:lineRule="auto"/>
        <w:tabs>
          <w:tab w:leader="none" w:pos="3492" w:val="left"/>
        </w:tabs>
        <w:numPr>
          <w:ilvl w:val="1"/>
          <w:numId w:val="72"/>
        </w:numPr>
        <w:rPr>
          <w:rFonts w:ascii="Arial" w:cs="Arial" w:eastAsia="Arial" w:hAnsi="Arial"/>
          <w:sz w:val="21"/>
          <w:szCs w:val="21"/>
          <w:color w:val="010000"/>
        </w:rPr>
      </w:pPr>
      <w:r>
        <w:rPr>
          <w:rFonts w:ascii="Arial" w:cs="Arial" w:eastAsia="Arial" w:hAnsi="Arial"/>
          <w:sz w:val="21"/>
          <w:szCs w:val="21"/>
          <w:color w:val="auto"/>
        </w:rPr>
        <w:t>Notwithstanding anything in this Section 2.10(a)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made by the Corporation at least 10 days prior to the last day a stockholder may deliver a notice in accordance with Section 2.10(a)(ii) above, a stockholder’s notice required by this Section 2.10(a)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79" w:lineRule="exact"/>
        <w:rPr>
          <w:rFonts w:ascii="Arial" w:cs="Arial" w:eastAsia="Arial" w:hAnsi="Arial"/>
          <w:sz w:val="21"/>
          <w:szCs w:val="21"/>
          <w:color w:val="010000"/>
        </w:rPr>
      </w:pPr>
    </w:p>
    <w:p>
      <w:pPr>
        <w:ind w:right="40" w:firstLine="1735"/>
        <w:spacing w:after="0" w:line="274" w:lineRule="auto"/>
        <w:tabs>
          <w:tab w:leader="none" w:pos="2627" w:val="left"/>
        </w:tabs>
        <w:numPr>
          <w:ilvl w:val="0"/>
          <w:numId w:val="73"/>
        </w:numPr>
        <w:rPr>
          <w:rFonts w:ascii="Arial" w:cs="Arial" w:eastAsia="Arial" w:hAnsi="Arial"/>
          <w:sz w:val="19"/>
          <w:szCs w:val="19"/>
          <w:color w:val="010000"/>
        </w:rPr>
      </w:pPr>
      <w:r>
        <w:rPr>
          <w:rFonts w:ascii="Arial" w:cs="Arial" w:eastAsia="Arial" w:hAnsi="Arial"/>
          <w:sz w:val="19"/>
          <w:szCs w:val="19"/>
          <w:u w:val="single" w:color="auto"/>
          <w:color w:val="auto"/>
        </w:rPr>
        <w:t>Special Meeting</w:t>
      </w:r>
      <w:r>
        <w:rPr>
          <w:rFonts w:ascii="Arial" w:cs="Arial" w:eastAsia="Arial" w:hAnsi="Arial"/>
          <w:sz w:val="19"/>
          <w:szCs w:val="19"/>
          <w:color w:val="auto"/>
        </w:rPr>
        <w:t xml:space="preserve">. Nominations of persons for election to the Board of Directors may be made at a special meeting of stockholders at which directors are to be elected pursuant to the Corporation’s notice of meeting: (i) by or at the direction of the Board of Directors (or any authorized committee thereof); or (ii)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one or more directors are to be elected at such meeting, by any stockholder of the Corporation who is a stockholder of record at the time the notice provided for in this Section 2.10(b) is delivered to the Secretary of the Corporation, who is entitled to vote at the meeting and upon such election and who delivers notice thereof in writing setting forth the information required by Section 2.10(a) above and provides the additional information required by Section 2.9 above.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4" w:name="page155"/>
    <w:bookmarkEnd w:id="154"/>
    <w:p>
      <w:pPr>
        <w:ind w:right="20"/>
        <w:spacing w:after="0" w:line="274" w:lineRule="auto"/>
        <w:rPr>
          <w:sz w:val="20"/>
          <w:szCs w:val="20"/>
          <w:color w:val="auto"/>
        </w:rPr>
      </w:pPr>
      <w:r>
        <w:rPr>
          <w:rFonts w:ascii="Arial" w:cs="Arial" w:eastAsia="Arial" w:hAnsi="Arial"/>
          <w:sz w:val="19"/>
          <w:szCs w:val="19"/>
          <w:color w:val="auto"/>
        </w:rPr>
        <w:t>Corporation’s notice of meeting, if the notice required by this Section 2.10(b)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 of the special meeting and of the nominees proposed by the Board 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annual meeting on behalf of such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w:t>
      </w:r>
    </w:p>
    <w:p>
      <w:pPr>
        <w:spacing w:after="0" w:line="158" w:lineRule="exact"/>
        <w:rPr>
          <w:sz w:val="20"/>
          <w:szCs w:val="20"/>
          <w:color w:val="auto"/>
        </w:rPr>
      </w:pPr>
    </w:p>
    <w:p>
      <w:pPr>
        <w:ind w:left="2620" w:hanging="885"/>
        <w:spacing w:after="0"/>
        <w:tabs>
          <w:tab w:leader="none" w:pos="2620"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firstLine="2600"/>
        <w:spacing w:after="0" w:line="245" w:lineRule="exact"/>
        <w:tabs>
          <w:tab w:leader="none" w:pos="3444" w:val="left"/>
        </w:tabs>
        <w:numPr>
          <w:ilvl w:val="1"/>
          <w:numId w:val="74"/>
        </w:numPr>
        <w:rPr>
          <w:rFonts w:ascii="Arial" w:cs="Arial" w:eastAsia="Arial" w:hAnsi="Arial"/>
          <w:sz w:val="19"/>
          <w:szCs w:val="19"/>
          <w:color w:val="010000"/>
        </w:rPr>
      </w:pPr>
      <w:r>
        <w:rPr>
          <w:rFonts w:ascii="Arial" w:cs="Arial" w:eastAsia="Arial" w:hAnsi="Arial"/>
          <w:sz w:val="19"/>
          <w:szCs w:val="19"/>
          <w:color w:val="auto"/>
        </w:rPr>
        <w:t>Except as otherwise required by law, only such persons who are nominated in accordance with the procedures set forth in this Section 2.10 shall be eligible to be elected at any meeting of stockholders of the Corporation to serve as directors and only such other business shall be conducted at a meeting of stockholders as shall have been brought before the meeting in accordance with the procedures set forth in this Section 2.10. Except as otherwise required by law, each of the Board of Directors or the chairman of the meeting shall have the power to determine whether a nomination or any other business proposed to be brought before the meeting was made or proposed, as the case may be, in accordance with the procedures set forth in this Section 2.10 (including whether a stockholder or beneficial owner solicited (or is part of a group which solicited) or did not so solicit, as the case may be, proxies in compliance with such stockholder’s representation as required by clause (a)(ii) (D)(4) of this Section 2.10). If any proposed nomination or other business is not in compliance with this Section 2.10, then except as otherwise required by law, the chairman of the meeting shall have the power to declare that such nomination shall be disregarded or that such other business shall not be transacted. Notwithstanding the foregoing provisions of this Section 2.10, unless otherwise required by law, or otherwise determined by the Board of Directors or the chairman of the meeting, if the stockholder does not provide the information required under Section 2.9 or clauses (a)(ii)(C)(2) and (a)(ii)(D)(1)</w:t>
      </w:r>
      <w:r>
        <w:rPr>
          <w:rFonts w:ascii="MS PGothic" w:cs="MS PGothic" w:eastAsia="MS PGothic" w:hAnsi="MS PGothic"/>
          <w:sz w:val="19"/>
          <w:szCs w:val="19"/>
          <w:color w:val="auto"/>
        </w:rPr>
        <w:t>‑</w:t>
      </w:r>
      <w:r>
        <w:rPr>
          <w:rFonts w:ascii="Arial" w:cs="Arial" w:eastAsia="Arial" w:hAnsi="Arial"/>
          <w:sz w:val="19"/>
          <w:szCs w:val="19"/>
          <w:color w:val="auto"/>
        </w:rPr>
        <w:t>(3) of this Section 2.10 to the Corporation within the time frames specified herein, any such nomination shall be disregarded and any such other business shall not be transacted, notwithstanding that proxies in respect of such vote may have been received by the Corporation. Notwithstanding the foregoing provisions of this Section 2.10, unless otherwise required by law, or otherwise determined by the Board of Directors or the chairman of the meeting, if the stockholder (or a qualified representative of the stockholder) does not appear at the annual or special meeting of stockholders of the Corporation to present a nomination or other business (whether pursuant to the requirements of these Bylaws or in accordance with Rule 14a-8 under the Exchange Act), such nomination shall be disregarded and such other business shall not be transacted, notwithstanding that proxies in respect of such vote may have been received by the Corporation. To be considered a qualified representative of a stockholder pursuant to the preceding sentence, a person must be a duly authorized officer, manager or partner of such stockholder or authorized by a writing executed by such stockholder (or a reliable reproduction of the writing) delivered to the Corporation prior to the making of such nomination or proposal at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5" w:name="page156"/>
    <w:bookmarkEnd w:id="155"/>
    <w:p>
      <w:pPr>
        <w:ind w:right="100"/>
        <w:spacing w:after="0" w:line="250" w:lineRule="auto"/>
        <w:rPr>
          <w:sz w:val="20"/>
          <w:szCs w:val="20"/>
          <w:color w:val="auto"/>
        </w:rPr>
      </w:pPr>
      <w:r>
        <w:rPr>
          <w:rFonts w:ascii="Arial" w:cs="Arial" w:eastAsia="Arial" w:hAnsi="Arial"/>
          <w:sz w:val="22"/>
          <w:szCs w:val="22"/>
          <w:color w:val="auto"/>
        </w:rPr>
        <w:t>such meeting (and in any event not fewer than five days before the meeting) stating that such person is authorized to act for such stockholder as proxy at the meeting of stockholders.</w:t>
      </w:r>
    </w:p>
    <w:p>
      <w:pPr>
        <w:spacing w:after="0" w:line="175" w:lineRule="exact"/>
        <w:rPr>
          <w:sz w:val="20"/>
          <w:szCs w:val="20"/>
          <w:color w:val="auto"/>
        </w:rPr>
      </w:pPr>
    </w:p>
    <w:p>
      <w:pPr>
        <w:ind w:firstLine="2600"/>
        <w:spacing w:after="0" w:line="273" w:lineRule="auto"/>
        <w:tabs>
          <w:tab w:leader="none" w:pos="3504"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For purposes of this Section 2.10, the “</w:t>
      </w:r>
      <w:r>
        <w:rPr>
          <w:rFonts w:ascii="Arial" w:cs="Arial" w:eastAsia="Arial" w:hAnsi="Arial"/>
          <w:sz w:val="19"/>
          <w:szCs w:val="19"/>
          <w:u w:val="single" w:color="auto"/>
          <w:color w:val="auto"/>
        </w:rPr>
        <w:t>close of business</w:t>
      </w:r>
      <w:r>
        <w:rPr>
          <w:rFonts w:ascii="Arial" w:cs="Arial" w:eastAsia="Arial" w:hAnsi="Arial"/>
          <w:sz w:val="19"/>
          <w:szCs w:val="19"/>
          <w:color w:val="auto"/>
        </w:rPr>
        <w:t>” shall mean 6:00 p.m. local time at the principal executive offices of the Corporation on any calendar day, whether or not the day is a business day, and a “</w:t>
      </w:r>
      <w:r>
        <w:rPr>
          <w:rFonts w:ascii="Arial" w:cs="Arial" w:eastAsia="Arial" w:hAnsi="Arial"/>
          <w:sz w:val="19"/>
          <w:szCs w:val="19"/>
          <w:u w:val="single" w:color="auto"/>
          <w:color w:val="auto"/>
        </w:rPr>
        <w:t>public</w:t>
      </w:r>
      <w:r>
        <w:rPr>
          <w:rFonts w:ascii="Arial" w:cs="Arial" w:eastAsia="Arial" w:hAnsi="Arial"/>
          <w:sz w:val="19"/>
          <w:szCs w:val="19"/>
          <w:color w:val="auto"/>
        </w:rPr>
        <w:t xml:space="preserve"> </w:t>
      </w:r>
      <w:r>
        <w:rPr>
          <w:rFonts w:ascii="Arial" w:cs="Arial" w:eastAsia="Arial" w:hAnsi="Arial"/>
          <w:sz w:val="19"/>
          <w:szCs w:val="19"/>
          <w:u w:val="single" w:color="auto"/>
          <w:color w:val="auto"/>
        </w:rPr>
        <w:t>announcement</w:t>
      </w:r>
      <w:r>
        <w:rPr>
          <w:rFonts w:ascii="Arial" w:cs="Arial" w:eastAsia="Arial" w:hAnsi="Arial"/>
          <w:sz w:val="19"/>
          <w:szCs w:val="19"/>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 For purposes of clause (a)(ii)(D)(1) of this Section 2.10, shares shall be treated as “</w:t>
      </w:r>
      <w:r>
        <w:rPr>
          <w:rFonts w:ascii="Arial" w:cs="Arial" w:eastAsia="Arial" w:hAnsi="Arial"/>
          <w:sz w:val="19"/>
          <w:szCs w:val="19"/>
          <w:u w:val="single" w:color="auto"/>
          <w:color w:val="auto"/>
        </w:rPr>
        <w:t>beneficially owned</w:t>
      </w:r>
      <w:r>
        <w:rPr>
          <w:rFonts w:ascii="Arial" w:cs="Arial" w:eastAsia="Arial" w:hAnsi="Arial"/>
          <w:sz w:val="19"/>
          <w:szCs w:val="19"/>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155" w:lineRule="exact"/>
        <w:rPr>
          <w:rFonts w:ascii="Arial" w:cs="Arial" w:eastAsia="Arial" w:hAnsi="Arial"/>
          <w:sz w:val="19"/>
          <w:szCs w:val="19"/>
          <w:color w:val="010000"/>
        </w:rPr>
      </w:pPr>
    </w:p>
    <w:p>
      <w:pPr>
        <w:ind w:right="20" w:firstLine="2600"/>
        <w:spacing w:after="0"/>
        <w:tabs>
          <w:tab w:leader="none" w:pos="3564"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Nothing in this Section 2.10 shall be deemed to affect any rights of the holders of any series of Preferred Stock to elect directors pursuant to any applicable provisions of the Certificate of Incorporation (including any Preferred Stock Designation).</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010000"/>
        </w:rPr>
        <w:t>Section 2.11</w:t>
      </w:r>
      <w:r>
        <w:rPr>
          <w:sz w:val="20"/>
          <w:szCs w:val="20"/>
          <w:color w:val="auto"/>
        </w:rPr>
        <w:tab/>
      </w:r>
      <w:r>
        <w:rPr>
          <w:rFonts w:ascii="Arial" w:cs="Arial" w:eastAsia="Arial" w:hAnsi="Arial"/>
          <w:sz w:val="19"/>
          <w:szCs w:val="19"/>
          <w:u w:val="single" w:color="auto"/>
          <w:color w:val="auto"/>
        </w:rPr>
        <w:t>Action by Written Consent</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71" w:lineRule="auto"/>
        <w:tabs>
          <w:tab w:leader="none" w:pos="2615"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Prior to any time that Tim Vanderhook, Chris Vanderhook and Four Brothers 2 LLC collectively cease to beneficially own a majority of the combined voting power of the Common Stock (the “Triggering Event”), except as otherwise provided for or fixed pursuant to the Certificate of Incorporation (including any Preferred Stock Designation), any action required or permitted to be taken at any annual or special meeting of stockholders of the Corporation may be taken without a meeting, without prior notice and without a vote, if a consent or consents, setting forth the action so taken, are signed by the holders of the outstanding stock having not less than the minimum number of votes that would be necessary to authorize or take such action at a meeting at which all shares entitled to vote thereon were present and voted. To be effective, such a consent must be delivered to the Corporation in accordance with Section 228(d) of the DGCL; provided, however, that the Corporation has not designated, and shall not designate, any information processing system for receiving such consents. No consent shall be effective to take the corporate action referred to therein unless consents signed by a sufficient number of holders to take action are delivered to the Corporation in accordance with this Section 2.11 within 60 days of the first date on which a consent is so delivered to the Corporation. Any person executing a consent may provide, whether through instruction to an agent or otherwise, that such a consent shall be effective at a future time (including a time determined upon the happening of an event), no later than 60 days after such instruction is given or such provision is made, if evidence of such instruction or provision is provided to the Corporation. Unless otherwise provided, any such consent shall be revocable prior to its becoming effective.</w:t>
      </w:r>
    </w:p>
    <w:p>
      <w:pPr>
        <w:spacing w:after="0" w:line="160" w:lineRule="exact"/>
        <w:rPr>
          <w:rFonts w:ascii="Arial" w:cs="Arial" w:eastAsia="Arial" w:hAnsi="Arial"/>
          <w:sz w:val="19"/>
          <w:szCs w:val="19"/>
          <w:color w:val="010000"/>
        </w:rPr>
      </w:pPr>
    </w:p>
    <w:p>
      <w:pPr>
        <w:ind w:firstLine="1735"/>
        <w:spacing w:after="0" w:line="250" w:lineRule="auto"/>
        <w:tabs>
          <w:tab w:leader="none" w:pos="2627"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Prior to the Triggering Event, prompt notice of the taking of the corporate action without a meeting by less than unanimous consent shall be given to those stockholders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6" w:name="page157"/>
    <w:bookmarkEnd w:id="156"/>
    <w:p>
      <w:pPr>
        <w:jc w:val="both"/>
        <w:ind w:right="200"/>
        <w:spacing w:after="0"/>
        <w:rPr>
          <w:sz w:val="20"/>
          <w:szCs w:val="20"/>
          <w:color w:val="auto"/>
        </w:rPr>
      </w:pPr>
      <w:r>
        <w:rPr>
          <w:rFonts w:ascii="Arial" w:cs="Arial" w:eastAsia="Arial" w:hAnsi="Arial"/>
          <w:sz w:val="22"/>
          <w:szCs w:val="22"/>
          <w:color w:val="auto"/>
        </w:rPr>
        <w:t>who have not consented and who, if the action had been taken at a meeting, would have been entitled to notice of the meeting if the record date for notice of such meeting had been the date that consents signed by a sufficient number of stockholders to take the action were delivered to the Corporation in accordance with this Section 2.11.</w:t>
      </w:r>
    </w:p>
    <w:p>
      <w:pPr>
        <w:spacing w:after="0" w:line="186" w:lineRule="exact"/>
        <w:rPr>
          <w:sz w:val="20"/>
          <w:szCs w:val="20"/>
          <w:color w:val="auto"/>
        </w:rPr>
      </w:pPr>
    </w:p>
    <w:p>
      <w:pPr>
        <w:jc w:val="both"/>
        <w:ind w:right="40" w:firstLine="1735"/>
        <w:spacing w:after="0" w:line="238" w:lineRule="auto"/>
        <w:tabs>
          <w:tab w:leader="none" w:pos="2615"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After the Triggering Event, except with respect to actions required or permitted to be taken solely by holders of Preferred Stock pursuant to the Certificate of Incorporation (including any Preferred Stock Designation), no action that is required or permitted to be taken by the stockholders of the Corporation may be effected by consent of stockholders in lieu of a meeting of stockholders.</w:t>
      </w:r>
    </w:p>
    <w:p>
      <w:pPr>
        <w:spacing w:after="0" w:line="185" w:lineRule="exact"/>
        <w:rPr>
          <w:sz w:val="20"/>
          <w:szCs w:val="20"/>
          <w:color w:val="auto"/>
        </w:rPr>
      </w:pPr>
    </w:p>
    <w:p>
      <w:pPr>
        <w:ind w:right="40" w:firstLine="864"/>
        <w:spacing w:after="0" w:line="275" w:lineRule="auto"/>
        <w:rPr>
          <w:sz w:val="20"/>
          <w:szCs w:val="20"/>
          <w:color w:val="auto"/>
        </w:rPr>
      </w:pPr>
      <w:r>
        <w:rPr>
          <w:rFonts w:ascii="Arial" w:cs="Arial" w:eastAsia="Arial" w:hAnsi="Arial"/>
          <w:sz w:val="19"/>
          <w:szCs w:val="19"/>
          <w:color w:val="010000"/>
        </w:rPr>
        <w:t xml:space="preserve">Section 2.12 </w:t>
      </w:r>
      <w:r>
        <w:rPr>
          <w:rFonts w:ascii="Arial" w:cs="Arial" w:eastAsia="Arial" w:hAnsi="Arial"/>
          <w:sz w:val="19"/>
          <w:szCs w:val="19"/>
          <w:u w:val="single" w:color="auto"/>
          <w:color w:val="000000"/>
        </w:rPr>
        <w:t>Inspectors of Election</w:t>
      </w:r>
      <w:r>
        <w:rPr>
          <w:rFonts w:ascii="Arial" w:cs="Arial" w:eastAsia="Arial" w:hAnsi="Arial"/>
          <w:sz w:val="19"/>
          <w:szCs w:val="19"/>
          <w:color w:val="000000"/>
        </w:rPr>
        <w:t>. Before any meeting of stockholders, the Corporation may, and shall if</w:t>
      </w:r>
      <w:r>
        <w:rPr>
          <w:rFonts w:ascii="Arial" w:cs="Arial" w:eastAsia="Arial" w:hAnsi="Arial"/>
          <w:sz w:val="19"/>
          <w:szCs w:val="19"/>
          <w:color w:val="010000"/>
        </w:rPr>
        <w:t xml:space="preserve"> </w:t>
      </w:r>
      <w:r>
        <w:rPr>
          <w:rFonts w:ascii="Arial" w:cs="Arial" w:eastAsia="Arial" w:hAnsi="Arial"/>
          <w:sz w:val="19"/>
          <w:szCs w:val="19"/>
          <w:color w:val="000000"/>
        </w:rPr>
        <w:t>required by law, appoint one or more inspectors of election to act at the meeting and make a written report thereof. Inspectors may be employees of the Corporation. The Corporation may designate one or more persons as alternate inspectors to replace any inspector who fails to act. If no inspector or alternate is able to act at a meeting of stockholders, the chairman of the meeting may, and shall if required by law, appoint one or more inspectors to act at the meeting. Each inspector, before entering upon the discharge of his or her duties, shall take and sign an oath faithfully to execute the duties of inspector with strict impartiality and according to the best of his or her ability. Inspectors need not be stockholders. No director or nominee for the office of director at an election shall be appointed as an inspector at such election.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Such inspectors shall:</w:t>
      </w:r>
    </w:p>
    <w:p>
      <w:pPr>
        <w:spacing w:after="0" w:line="206" w:lineRule="exact"/>
        <w:rPr>
          <w:sz w:val="20"/>
          <w:szCs w:val="20"/>
          <w:color w:val="auto"/>
        </w:rPr>
      </w:pPr>
    </w:p>
    <w:p>
      <w:pPr>
        <w:ind w:right="360" w:firstLine="1735"/>
        <w:spacing w:after="0" w:line="250" w:lineRule="auto"/>
        <w:tabs>
          <w:tab w:leader="none" w:pos="2615"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determine the number of shares outstanding and the voting power of each, the number of shares represented at the meeting, the existence of a quorum, and the validity of proxies and ballots;</w:t>
      </w:r>
    </w:p>
    <w:p>
      <w:pPr>
        <w:spacing w:after="0" w:line="174" w:lineRule="exact"/>
        <w:rPr>
          <w:rFonts w:ascii="Arial" w:cs="Arial" w:eastAsia="Arial" w:hAnsi="Arial"/>
          <w:sz w:val="22"/>
          <w:szCs w:val="22"/>
          <w:color w:val="010000"/>
        </w:rPr>
      </w:pPr>
    </w:p>
    <w:p>
      <w:pPr>
        <w:ind w:right="180" w:firstLine="1735"/>
        <w:spacing w:after="0" w:line="250" w:lineRule="auto"/>
        <w:tabs>
          <w:tab w:leader="none" w:pos="2627"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determine and retain for a reasonable period a record of the disposition of any challenges made to any determination by the inspectors;</w:t>
      </w:r>
    </w:p>
    <w:p>
      <w:pPr>
        <w:spacing w:after="0" w:line="174" w:lineRule="exact"/>
        <w:rPr>
          <w:rFonts w:ascii="Arial" w:cs="Arial" w:eastAsia="Arial" w:hAnsi="Arial"/>
          <w:sz w:val="22"/>
          <w:szCs w:val="22"/>
          <w:color w:val="010000"/>
        </w:rPr>
      </w:pPr>
    </w:p>
    <w:p>
      <w:pPr>
        <w:ind w:left="2620" w:hanging="885"/>
        <w:spacing w:after="0"/>
        <w:tabs>
          <w:tab w:leader="none" w:pos="2620"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count and tabulate all votes and ballots; and</w:t>
      </w:r>
    </w:p>
    <w:p>
      <w:pPr>
        <w:spacing w:after="0" w:line="206" w:lineRule="exact"/>
        <w:rPr>
          <w:rFonts w:ascii="Arial" w:cs="Arial" w:eastAsia="Arial" w:hAnsi="Arial"/>
          <w:sz w:val="22"/>
          <w:szCs w:val="22"/>
          <w:color w:val="010000"/>
        </w:rPr>
      </w:pPr>
    </w:p>
    <w:p>
      <w:pPr>
        <w:ind w:left="2640" w:hanging="905"/>
        <w:spacing w:after="0"/>
        <w:tabs>
          <w:tab w:leader="none" w:pos="2640"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certify their determination of the number of shares represented at the meeting, and their count of all</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votes and ballots.</w:t>
      </w:r>
    </w:p>
    <w:p>
      <w:pPr>
        <w:spacing w:after="0" w:line="188" w:lineRule="exact"/>
        <w:rPr>
          <w:sz w:val="20"/>
          <w:szCs w:val="20"/>
          <w:color w:val="auto"/>
        </w:rPr>
      </w:pPr>
    </w:p>
    <w:p>
      <w:pPr>
        <w:ind w:right="60" w:firstLine="864"/>
        <w:spacing w:after="0" w:line="270" w:lineRule="auto"/>
        <w:rPr>
          <w:sz w:val="20"/>
          <w:szCs w:val="20"/>
          <w:color w:val="auto"/>
        </w:rPr>
      </w:pPr>
      <w:r>
        <w:rPr>
          <w:rFonts w:ascii="Arial" w:cs="Arial" w:eastAsia="Arial" w:hAnsi="Arial"/>
          <w:sz w:val="19"/>
          <w:szCs w:val="19"/>
          <w:color w:val="010000"/>
        </w:rPr>
        <w:t xml:space="preserve">Section 2.13 </w:t>
      </w:r>
      <w:r>
        <w:rPr>
          <w:rFonts w:ascii="Arial" w:cs="Arial" w:eastAsia="Arial" w:hAnsi="Arial"/>
          <w:sz w:val="19"/>
          <w:szCs w:val="19"/>
          <w:u w:val="single" w:color="auto"/>
          <w:color w:val="000000"/>
        </w:rPr>
        <w:t>Meetings by Remote Communications</w:t>
      </w:r>
      <w:r>
        <w:rPr>
          <w:rFonts w:ascii="Arial" w:cs="Arial" w:eastAsia="Arial" w:hAnsi="Arial"/>
          <w:sz w:val="19"/>
          <w:szCs w:val="19"/>
          <w:color w:val="000000"/>
        </w:rPr>
        <w:t>. The Board of Directors may, in its sole discretion,</w:t>
      </w:r>
      <w:r>
        <w:rPr>
          <w:rFonts w:ascii="Arial" w:cs="Arial" w:eastAsia="Arial" w:hAnsi="Arial"/>
          <w:sz w:val="19"/>
          <w:szCs w:val="19"/>
          <w:color w:val="010000"/>
        </w:rPr>
        <w:t xml:space="preserve"> </w:t>
      </w:r>
      <w:r>
        <w:rPr>
          <w:rFonts w:ascii="Arial" w:cs="Arial" w:eastAsia="Arial" w:hAnsi="Arial"/>
          <w:sz w:val="19"/>
          <w:szCs w:val="19"/>
          <w:color w:val="000000"/>
        </w:rPr>
        <w:t>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w:t>
      </w:r>
    </w:p>
    <w:p>
      <w:pPr>
        <w:spacing w:after="0" w:line="4" w:lineRule="exact"/>
        <w:rPr>
          <w:sz w:val="20"/>
          <w:szCs w:val="20"/>
          <w:color w:val="auto"/>
        </w:rPr>
      </w:pPr>
    </w:p>
    <w:p>
      <w:pPr>
        <w:jc w:val="both"/>
        <w:ind w:right="60" w:firstLine="8"/>
        <w:spacing w:after="0" w:line="233" w:lineRule="auto"/>
        <w:tabs>
          <w:tab w:leader="none" w:pos="30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Corporation shall implement reasonable measures to verify that each person deemed present and permitted to vote at the meeting by means of remote communication is a stockholder or proxyholder; (ii) the Corporation shall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7" w:name="page158"/>
    <w:bookmarkEnd w:id="157"/>
    <w:p>
      <w:pPr>
        <w:ind w:right="140"/>
        <w:spacing w:after="0" w:line="287" w:lineRule="auto"/>
        <w:rPr>
          <w:sz w:val="20"/>
          <w:szCs w:val="20"/>
          <w:color w:val="auto"/>
        </w:rPr>
      </w:pPr>
      <w:r>
        <w:rPr>
          <w:rFonts w:ascii="Arial" w:cs="Arial" w:eastAsia="Arial" w:hAnsi="Arial"/>
          <w:sz w:val="19"/>
          <w:szCs w:val="19"/>
          <w:color w:val="auto"/>
        </w:rPr>
        <w:t>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43" w:lineRule="exact"/>
        <w:rPr>
          <w:sz w:val="20"/>
          <w:szCs w:val="20"/>
          <w:color w:val="auto"/>
        </w:rPr>
      </w:pPr>
    </w:p>
    <w:p>
      <w:pPr>
        <w:ind w:firstLine="864"/>
        <w:spacing w:after="0" w:line="248" w:lineRule="auto"/>
        <w:rPr>
          <w:sz w:val="20"/>
          <w:szCs w:val="20"/>
          <w:color w:val="auto"/>
        </w:rPr>
      </w:pPr>
      <w:r>
        <w:rPr>
          <w:rFonts w:ascii="Arial" w:cs="Arial" w:eastAsia="Arial" w:hAnsi="Arial"/>
          <w:sz w:val="21"/>
          <w:szCs w:val="21"/>
          <w:color w:val="010000"/>
        </w:rPr>
        <w:t xml:space="preserve">Section 2.14 </w:t>
      </w:r>
      <w:r>
        <w:rPr>
          <w:rFonts w:ascii="Arial" w:cs="Arial" w:eastAsia="Arial" w:hAnsi="Arial"/>
          <w:sz w:val="21"/>
          <w:szCs w:val="21"/>
          <w:u w:val="single" w:color="auto"/>
          <w:color w:val="000000"/>
        </w:rPr>
        <w:t>Delivery to the Corporation</w:t>
      </w:r>
      <w:r>
        <w:rPr>
          <w:rFonts w:ascii="Arial" w:cs="Arial" w:eastAsia="Arial" w:hAnsi="Arial"/>
          <w:sz w:val="21"/>
          <w:szCs w:val="21"/>
          <w:color w:val="000000"/>
        </w:rPr>
        <w:t>. Whenever this Article II requires one or more persons (including a</w:t>
      </w:r>
      <w:r>
        <w:rPr>
          <w:rFonts w:ascii="Arial" w:cs="Arial" w:eastAsia="Arial" w:hAnsi="Arial"/>
          <w:sz w:val="21"/>
          <w:szCs w:val="21"/>
          <w:color w:val="010000"/>
        </w:rPr>
        <w:t xml:space="preserve"> </w:t>
      </w:r>
      <w:r>
        <w:rPr>
          <w:rFonts w:ascii="Arial" w:cs="Arial" w:eastAsia="Arial" w:hAnsi="Arial"/>
          <w:sz w:val="21"/>
          <w:szCs w:val="21"/>
          <w:color w:val="000000"/>
        </w:rPr>
        <w:t>record or 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3.1</w:t>
      </w:r>
      <w:r>
        <w:rPr>
          <w:sz w:val="20"/>
          <w:szCs w:val="20"/>
          <w:color w:val="auto"/>
        </w:rPr>
        <w:tab/>
      </w:r>
      <w:r>
        <w:rPr>
          <w:rFonts w:ascii="Arial" w:cs="Arial" w:eastAsia="Arial" w:hAnsi="Arial"/>
          <w:sz w:val="19"/>
          <w:szCs w:val="19"/>
          <w:u w:val="single" w:color="auto"/>
          <w:color w:val="auto"/>
        </w:rPr>
        <w:t>Powers</w:t>
      </w:r>
      <w:r>
        <w:rPr>
          <w:rFonts w:ascii="Arial" w:cs="Arial" w:eastAsia="Arial" w:hAnsi="Arial"/>
          <w:sz w:val="19"/>
          <w:szCs w:val="19"/>
          <w:color w:val="auto"/>
        </w:rPr>
        <w:t>. Except as otherwise required by the DGCL or as provided in the Certificate of</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Incorporation (including any Preferred Stock Designation), the 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the Certificate of Incorporation (including any Preferred Stock Designation) or these Bylaws required to be exercised or done by the stockholders.</w:t>
      </w:r>
    </w:p>
    <w:p>
      <w:pPr>
        <w:spacing w:after="0" w:line="185" w:lineRule="exact"/>
        <w:rPr>
          <w:sz w:val="20"/>
          <w:szCs w:val="20"/>
          <w:color w:val="auto"/>
        </w:rPr>
      </w:pPr>
    </w:p>
    <w:p>
      <w:pPr>
        <w:ind w:right="60" w:firstLine="864"/>
        <w:spacing w:after="0" w:line="297" w:lineRule="auto"/>
        <w:rPr>
          <w:sz w:val="20"/>
          <w:szCs w:val="20"/>
          <w:color w:val="auto"/>
        </w:rPr>
      </w:pPr>
      <w:r>
        <w:rPr>
          <w:rFonts w:ascii="Arial" w:cs="Arial" w:eastAsia="Arial" w:hAnsi="Arial"/>
          <w:sz w:val="19"/>
          <w:szCs w:val="19"/>
          <w:color w:val="010000"/>
        </w:rPr>
        <w:t xml:space="preserve">Section 3.2 </w:t>
      </w:r>
      <w:r>
        <w:rPr>
          <w:rFonts w:ascii="Arial" w:cs="Arial" w:eastAsia="Arial" w:hAnsi="Arial"/>
          <w:sz w:val="19"/>
          <w:szCs w:val="19"/>
          <w:u w:val="single" w:color="auto"/>
          <w:color w:val="000000"/>
        </w:rPr>
        <w:t>Number and Election</w:t>
      </w:r>
      <w:r>
        <w:rPr>
          <w:rFonts w:ascii="Arial" w:cs="Arial" w:eastAsia="Arial" w:hAnsi="Arial"/>
          <w:sz w:val="19"/>
          <w:szCs w:val="19"/>
          <w:color w:val="000000"/>
        </w:rPr>
        <w:t>. Except as otherwise provided for or fixed pursuant to the Certificate of</w:t>
      </w:r>
      <w:r>
        <w:rPr>
          <w:rFonts w:ascii="Arial" w:cs="Arial" w:eastAsia="Arial" w:hAnsi="Arial"/>
          <w:sz w:val="19"/>
          <w:szCs w:val="19"/>
          <w:color w:val="010000"/>
        </w:rPr>
        <w:t xml:space="preserve"> </w:t>
      </w:r>
      <w:r>
        <w:rPr>
          <w:rFonts w:ascii="Arial" w:cs="Arial" w:eastAsia="Arial" w:hAnsi="Arial"/>
          <w:sz w:val="19"/>
          <w:szCs w:val="19"/>
          <w:color w:val="000000"/>
        </w:rPr>
        <w:t>Incorporation (including any Preferred Stock Designation), the Board of Directors shall consist of not fewer than 3 nor more than 11 directors, the exact number to be determined from time to time solely by resolution of the Board of Directors.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At any meeting of stockholders at which directors are to be elected, directors shall be elected by a plurality of the votes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cast.</w:t>
      </w:r>
    </w:p>
    <w:p>
      <w:pPr>
        <w:spacing w:after="0" w:line="188" w:lineRule="exact"/>
        <w:rPr>
          <w:sz w:val="20"/>
          <w:szCs w:val="20"/>
          <w:color w:val="auto"/>
        </w:rPr>
      </w:pPr>
    </w:p>
    <w:p>
      <w:pPr>
        <w:ind w:right="460" w:firstLine="972"/>
        <w:spacing w:after="0" w:line="274" w:lineRule="auto"/>
        <w:rPr>
          <w:sz w:val="20"/>
          <w:szCs w:val="20"/>
          <w:color w:val="auto"/>
        </w:rPr>
      </w:pPr>
      <w:r>
        <w:rPr>
          <w:rFonts w:ascii="Arial" w:cs="Arial" w:eastAsia="Arial" w:hAnsi="Arial"/>
          <w:sz w:val="21"/>
          <w:szCs w:val="21"/>
          <w:color w:val="auto"/>
        </w:rPr>
        <w:t>Directors need not be stockholders unless so required by the Certificate of Incorporation (including any Preferred Stock Designation) or these Bylaws, wherein other qualifications for directors may be prescribed.</w:t>
      </w:r>
    </w:p>
    <w:p>
      <w:pPr>
        <w:spacing w:after="0" w:line="15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3.3</w:t>
      </w:r>
      <w:r>
        <w:rPr>
          <w:sz w:val="20"/>
          <w:szCs w:val="20"/>
          <w:color w:val="auto"/>
        </w:rPr>
        <w:tab/>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35" w:lineRule="auto"/>
        <w:tabs>
          <w:tab w:leader="none" w:pos="2615"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Prior to the Triggering Event, subject to the rights of the holders of any outstanding series of Preferred Stock, and unless otherwise required by law, newly created directorships resulting from any increase in the authorized number of directors and any vacancies in the Board of Directors resulting from death, resignation, retirement, disqualification, removal from office or other cause may be filled by the affirmative vote of (a) a majority of the remaining directors then in office, even though less than a quorum, or by the sole remaining director or (b) at least a majority of the voting power of the stock outstanding and entitled to vote thereon,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8" w:name="page159"/>
    <w:bookmarkEnd w:id="158"/>
    <w:p>
      <w:pPr>
        <w:ind w:right="400"/>
        <w:spacing w:after="0" w:line="250" w:lineRule="auto"/>
        <w:rPr>
          <w:sz w:val="20"/>
          <w:szCs w:val="20"/>
          <w:color w:val="auto"/>
        </w:rPr>
      </w:pPr>
      <w:r>
        <w:rPr>
          <w:rFonts w:ascii="Arial" w:cs="Arial" w:eastAsia="Arial" w:hAnsi="Arial"/>
          <w:sz w:val="22"/>
          <w:szCs w:val="22"/>
          <w:color w:val="auto"/>
        </w:rPr>
        <w:t>any director so chosen shall hold office until the next election of the class for which such director shall have been chosen and until his or her successor shall have been duly elected and qualified.</w:t>
      </w:r>
    </w:p>
    <w:p>
      <w:pPr>
        <w:spacing w:after="0" w:line="175" w:lineRule="exact"/>
        <w:rPr>
          <w:sz w:val="20"/>
          <w:szCs w:val="20"/>
          <w:color w:val="auto"/>
        </w:rPr>
      </w:pPr>
    </w:p>
    <w:p>
      <w:pPr>
        <w:ind w:right="160" w:firstLine="1735"/>
        <w:spacing w:after="0" w:line="271" w:lineRule="auto"/>
        <w:tabs>
          <w:tab w:leader="none" w:pos="2627"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After the Triggering Event, subject to the rights of the holders of any outstanding series of Preferred Stock, and unless otherwise required by law, newly created directorships resulting from any increase in the authorized number of directors and any vacancies in the Board of Directors resulting from death, resignation, retirement, disqualification, removal from office or other cause shall be filled solely by the affirmative vote of a majority of the remaining directors then in</w:t>
      </w:r>
    </w:p>
    <w:p>
      <w:pPr>
        <w:spacing w:after="0" w:line="3"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office, even though less than a quorum, or by the sole remaining director, and any director so chosen shall hold office until the next election of the class for which such director shall have been chosen and until his or her successor shall have been duly elected and qualified.</w:t>
      </w:r>
    </w:p>
    <w:p>
      <w:pPr>
        <w:spacing w:after="0" w:line="187" w:lineRule="exact"/>
        <w:rPr>
          <w:sz w:val="20"/>
          <w:szCs w:val="20"/>
          <w:color w:val="auto"/>
        </w:rPr>
      </w:pPr>
    </w:p>
    <w:p>
      <w:pPr>
        <w:ind w:left="2620" w:hanging="885"/>
        <w:spacing w:after="0"/>
        <w:tabs>
          <w:tab w:leader="none" w:pos="2620"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No decrease in the authorized number of directors shall shorten the term of any incumbent director.</w:t>
      </w:r>
    </w:p>
    <w:p>
      <w:pPr>
        <w:spacing w:after="0" w:line="240"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010000"/>
        </w:rPr>
        <w:t>Section 3.4</w:t>
      </w:r>
      <w:r>
        <w:rPr>
          <w:rFonts w:ascii="Arial" w:cs="Arial" w:eastAsia="Arial" w:hAnsi="Arial"/>
          <w:sz w:val="19"/>
          <w:szCs w:val="19"/>
          <w:u w:val="single" w:color="auto"/>
          <w:color w:val="auto"/>
        </w:rPr>
        <w:t>Resignations and Removal</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36" w:lineRule="auto"/>
        <w:tabs>
          <w:tab w:leader="none" w:pos="2615"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Any director may resign at any time upon notice given in writing or by electronic transmission to the Board of Directors, the Chairman of the Board of Directors or the Secretary of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187" w:lineRule="exact"/>
        <w:rPr>
          <w:rFonts w:ascii="Arial" w:cs="Arial" w:eastAsia="Arial" w:hAnsi="Arial"/>
          <w:sz w:val="22"/>
          <w:szCs w:val="22"/>
          <w:color w:val="010000"/>
        </w:rPr>
      </w:pPr>
    </w:p>
    <w:p>
      <w:pPr>
        <w:ind w:right="80" w:firstLine="1735"/>
        <w:spacing w:after="0" w:line="235" w:lineRule="auto"/>
        <w:tabs>
          <w:tab w:leader="none" w:pos="2627"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 xml:space="preserve">Prior to the Triggering Event, any director, or the entire Board of Directors, may be removed, with or without cause, by the affirmative vote of at least a majority of the voting power of the stock outstanding and entitled to vote thereon;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whenever the holders of any class or series are entitled to elect one or more directors by the Certificate of Incorporation (including any Preferred Stock Designation), with respect to the removal without cause of a director or directors so elected, the vote of the holders of the outstanding shares of that class or series and not the vote of the outstanding shares as a whole shall apply.</w:t>
      </w:r>
    </w:p>
    <w:p>
      <w:pPr>
        <w:spacing w:after="0" w:line="187" w:lineRule="exact"/>
        <w:rPr>
          <w:rFonts w:ascii="Arial" w:cs="Arial" w:eastAsia="Arial" w:hAnsi="Arial"/>
          <w:sz w:val="22"/>
          <w:szCs w:val="22"/>
          <w:color w:val="010000"/>
        </w:rPr>
      </w:pPr>
    </w:p>
    <w:p>
      <w:pPr>
        <w:ind w:firstLine="1735"/>
        <w:spacing w:after="0" w:line="301" w:lineRule="auto"/>
        <w:tabs>
          <w:tab w:leader="none" w:pos="2615"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After the Triggering Event, except for such additional directors, if any, as are elected by the holders of any series of Preferred Stock as provided for or fixed pursuant to the Certificate of Incorporation (including any Preferred Stock Designation), any director, or the entire Board of Directors, may be removed from office at any time, but only for cause and only by the affirmative vote of at least 66⅔% of the voting power of the stock outstanding and entitled to vote thereon.</w:t>
      </w:r>
    </w:p>
    <w:p>
      <w:pPr>
        <w:spacing w:after="0" w:line="105" w:lineRule="exact"/>
        <w:rPr>
          <w:sz w:val="20"/>
          <w:szCs w:val="20"/>
          <w:color w:val="auto"/>
        </w:rPr>
      </w:pPr>
    </w:p>
    <w:p>
      <w:pPr>
        <w:ind w:right="80" w:firstLine="864"/>
        <w:spacing w:after="0" w:line="297" w:lineRule="auto"/>
        <w:rPr>
          <w:sz w:val="20"/>
          <w:szCs w:val="20"/>
          <w:color w:val="auto"/>
        </w:rPr>
      </w:pPr>
      <w:r>
        <w:rPr>
          <w:rFonts w:ascii="Arial" w:cs="Arial" w:eastAsia="Arial" w:hAnsi="Arial"/>
          <w:sz w:val="19"/>
          <w:szCs w:val="19"/>
          <w:color w:val="010000"/>
        </w:rPr>
        <w:t xml:space="preserve">Section 3.5 </w:t>
      </w:r>
      <w:r>
        <w:rPr>
          <w:rFonts w:ascii="Arial" w:cs="Arial" w:eastAsia="Arial" w:hAnsi="Arial"/>
          <w:sz w:val="19"/>
          <w:szCs w:val="19"/>
          <w:u w:val="single" w:color="auto"/>
          <w:color w:val="000000"/>
        </w:rPr>
        <w:t>Regular Meetings</w:t>
      </w:r>
      <w:r>
        <w:rPr>
          <w:rFonts w:ascii="Arial" w:cs="Arial" w:eastAsia="Arial" w:hAnsi="Arial"/>
          <w:sz w:val="19"/>
          <w:szCs w:val="19"/>
          <w:color w:val="000000"/>
        </w:rPr>
        <w:t>. Regular meetings of the Board of Directors shall be held at such place or places,</w:t>
      </w:r>
      <w:r>
        <w:rPr>
          <w:rFonts w:ascii="Arial" w:cs="Arial" w:eastAsia="Arial" w:hAnsi="Arial"/>
          <w:sz w:val="19"/>
          <w:szCs w:val="19"/>
          <w:color w:val="010000"/>
        </w:rPr>
        <w:t xml:space="preserve"> </w:t>
      </w:r>
      <w:r>
        <w:rPr>
          <w:rFonts w:ascii="Arial" w:cs="Arial" w:eastAsia="Arial" w:hAnsi="Arial"/>
          <w:sz w:val="19"/>
          <w:szCs w:val="19"/>
          <w:color w:val="000000"/>
        </w:rPr>
        <w:t>within or without the State of Delaware, on such date or dates and at such time or times, as shall have been established by the Board of Directors and publicized among all directors. A notice of each regular meeting shall not be required.</w:t>
      </w:r>
    </w:p>
    <w:p>
      <w:pPr>
        <w:spacing w:after="0" w:line="134"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010000"/>
        </w:rPr>
        <w:t xml:space="preserve">Section 3.6 </w:t>
      </w:r>
      <w:r>
        <w:rPr>
          <w:rFonts w:ascii="Arial" w:cs="Arial" w:eastAsia="Arial" w:hAnsi="Arial"/>
          <w:sz w:val="22"/>
          <w:szCs w:val="22"/>
          <w:u w:val="single" w:color="auto"/>
          <w:color w:val="000000"/>
        </w:rPr>
        <w:t>Special Meetings</w:t>
      </w:r>
      <w:r>
        <w:rPr>
          <w:rFonts w:ascii="Arial" w:cs="Arial" w:eastAsia="Arial" w:hAnsi="Arial"/>
          <w:sz w:val="22"/>
          <w:szCs w:val="22"/>
          <w:color w:val="000000"/>
        </w:rPr>
        <w:t>. Special meetings of the Board of Directors for any purpose or purposes may be</w:t>
      </w:r>
      <w:r>
        <w:rPr>
          <w:rFonts w:ascii="Arial" w:cs="Arial" w:eastAsia="Arial" w:hAnsi="Arial"/>
          <w:sz w:val="22"/>
          <w:szCs w:val="22"/>
          <w:color w:val="010000"/>
        </w:rPr>
        <w:t xml:space="preserve"> </w:t>
      </w:r>
      <w:r>
        <w:rPr>
          <w:rFonts w:ascii="Arial" w:cs="Arial" w:eastAsia="Arial" w:hAnsi="Arial"/>
          <w:sz w:val="22"/>
          <w:szCs w:val="22"/>
          <w:color w:val="000000"/>
        </w:rPr>
        <w:t>called at any time by the Chairman of the Board of Directors,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9" w:name="page160"/>
    <w:bookmarkEnd w:id="159"/>
    <w:p>
      <w:pPr>
        <w:spacing w:after="0" w:line="246" w:lineRule="auto"/>
        <w:rPr>
          <w:sz w:val="20"/>
          <w:szCs w:val="20"/>
          <w:color w:val="auto"/>
        </w:rPr>
      </w:pPr>
      <w:r>
        <w:rPr>
          <w:rFonts w:ascii="Arial" w:cs="Arial" w:eastAsia="Arial" w:hAnsi="Arial"/>
          <w:sz w:val="21"/>
          <w:szCs w:val="21"/>
          <w:color w:val="auto"/>
        </w:rPr>
        <w:t>Chief Executive Officer or a majority of the directors then in office. The person or persons authorized to call special meetings of the Board of Directors may fix the place, within or without the State of Delaware, date and time of such meetings. 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84" w:lineRule="exact"/>
        <w:rPr>
          <w:sz w:val="20"/>
          <w:szCs w:val="20"/>
          <w:color w:val="auto"/>
        </w:rPr>
      </w:pPr>
    </w:p>
    <w:p>
      <w:pPr>
        <w:ind w:right="200" w:firstLine="864"/>
        <w:spacing w:after="0" w:line="238" w:lineRule="auto"/>
        <w:rPr>
          <w:sz w:val="20"/>
          <w:szCs w:val="20"/>
          <w:color w:val="auto"/>
        </w:rPr>
      </w:pPr>
      <w:r>
        <w:rPr>
          <w:rFonts w:ascii="Arial" w:cs="Arial" w:eastAsia="Arial" w:hAnsi="Arial"/>
          <w:sz w:val="22"/>
          <w:szCs w:val="22"/>
          <w:color w:val="010000"/>
        </w:rPr>
        <w:t xml:space="preserve">Section 3.7 </w:t>
      </w:r>
      <w:r>
        <w:rPr>
          <w:rFonts w:ascii="Arial" w:cs="Arial" w:eastAsia="Arial" w:hAnsi="Arial"/>
          <w:sz w:val="22"/>
          <w:szCs w:val="22"/>
          <w:u w:val="single" w:color="auto"/>
          <w:color w:val="000000"/>
        </w:rPr>
        <w:t>Participation in Meetings by Conference Telephone</w:t>
      </w:r>
      <w:r>
        <w:rPr>
          <w:rFonts w:ascii="Arial" w:cs="Arial" w:eastAsia="Arial" w:hAnsi="Arial"/>
          <w:sz w:val="22"/>
          <w:szCs w:val="22"/>
          <w:color w:val="000000"/>
        </w:rPr>
        <w:t>. Members of the Board of Directors, or of any</w:t>
      </w:r>
      <w:r>
        <w:rPr>
          <w:rFonts w:ascii="Arial" w:cs="Arial" w:eastAsia="Arial" w:hAnsi="Arial"/>
          <w:sz w:val="22"/>
          <w:szCs w:val="22"/>
          <w:color w:val="010000"/>
        </w:rPr>
        <w:t xml:space="preserve"> </w:t>
      </w:r>
      <w:r>
        <w:rPr>
          <w:rFonts w:ascii="Arial" w:cs="Arial" w:eastAsia="Arial" w:hAnsi="Arial"/>
          <w:sz w:val="22"/>
          <w:szCs w:val="22"/>
          <w:color w:val="000000"/>
        </w:rPr>
        <w:t>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85" w:lineRule="exact"/>
        <w:rPr>
          <w:sz w:val="20"/>
          <w:szCs w:val="20"/>
          <w:color w:val="auto"/>
        </w:rPr>
      </w:pPr>
    </w:p>
    <w:p>
      <w:pPr>
        <w:ind w:firstLine="864"/>
        <w:spacing w:after="0" w:line="234" w:lineRule="auto"/>
        <w:rPr>
          <w:sz w:val="20"/>
          <w:szCs w:val="20"/>
          <w:color w:val="auto"/>
        </w:rPr>
      </w:pPr>
      <w:r>
        <w:rPr>
          <w:rFonts w:ascii="Arial" w:cs="Arial" w:eastAsia="Arial" w:hAnsi="Arial"/>
          <w:sz w:val="22"/>
          <w:szCs w:val="22"/>
          <w:color w:val="010000"/>
        </w:rPr>
        <w:t xml:space="preserve">Section 3.8 </w:t>
      </w:r>
      <w:r>
        <w:rPr>
          <w:rFonts w:ascii="Arial" w:cs="Arial" w:eastAsia="Arial" w:hAnsi="Arial"/>
          <w:sz w:val="22"/>
          <w:szCs w:val="22"/>
          <w:u w:val="single" w:color="auto"/>
          <w:color w:val="000000"/>
        </w:rPr>
        <w:t>Quorum and Voting</w:t>
      </w:r>
      <w:r>
        <w:rPr>
          <w:rFonts w:ascii="Arial" w:cs="Arial" w:eastAsia="Arial" w:hAnsi="Arial"/>
          <w:sz w:val="22"/>
          <w:szCs w:val="22"/>
          <w:color w:val="000000"/>
        </w:rPr>
        <w:t>. Except as otherwise required by law, the Certificate of Incorporation or these</w:t>
      </w:r>
      <w:r>
        <w:rPr>
          <w:rFonts w:ascii="Arial" w:cs="Arial" w:eastAsia="Arial" w:hAnsi="Arial"/>
          <w:sz w:val="22"/>
          <w:szCs w:val="22"/>
          <w:color w:val="010000"/>
        </w:rPr>
        <w:t xml:space="preserve"> </w:t>
      </w:r>
      <w:r>
        <w:rPr>
          <w:rFonts w:ascii="Arial" w:cs="Arial" w:eastAsia="Arial" w:hAnsi="Arial"/>
          <w:sz w:val="22"/>
          <w:szCs w:val="22"/>
          <w:color w:val="000000"/>
        </w:rPr>
        <w:t>Bylaws, a majority of the total number of directors then authorized (hereinafter referred to as the “</w:t>
      </w:r>
      <w:r>
        <w:rPr>
          <w:rFonts w:ascii="Arial" w:cs="Arial" w:eastAsia="Arial" w:hAnsi="Arial"/>
          <w:sz w:val="22"/>
          <w:szCs w:val="22"/>
          <w:u w:val="single" w:color="auto"/>
          <w:color w:val="000000"/>
        </w:rPr>
        <w:t>Whole Board</w:t>
      </w:r>
      <w:r>
        <w:rPr>
          <w:rFonts w:ascii="Arial" w:cs="Arial" w:eastAsia="Arial" w:hAnsi="Arial"/>
          <w:sz w:val="22"/>
          <w:szCs w:val="22"/>
          <w:color w:val="000000"/>
        </w:rPr>
        <w:t>”) shall constitute a quorum for the transaction of business at any meeting of the Board of Directors, and the vote of a majority of the directors present at a duly held meeting at which a quorum is present shall be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91" w:lineRule="exact"/>
        <w:rPr>
          <w:sz w:val="20"/>
          <w:szCs w:val="20"/>
          <w:color w:val="auto"/>
        </w:rPr>
      </w:pPr>
    </w:p>
    <w:p>
      <w:pPr>
        <w:ind w:right="160" w:firstLine="864"/>
        <w:spacing w:after="0" w:line="273" w:lineRule="auto"/>
        <w:rPr>
          <w:sz w:val="20"/>
          <w:szCs w:val="20"/>
          <w:color w:val="auto"/>
        </w:rPr>
      </w:pPr>
      <w:r>
        <w:rPr>
          <w:rFonts w:ascii="Arial" w:cs="Arial" w:eastAsia="Arial" w:hAnsi="Arial"/>
          <w:sz w:val="19"/>
          <w:szCs w:val="19"/>
          <w:color w:val="010000"/>
        </w:rPr>
        <w:t xml:space="preserve">Section 3.9 </w:t>
      </w:r>
      <w:r>
        <w:rPr>
          <w:rFonts w:ascii="Arial" w:cs="Arial" w:eastAsia="Arial" w:hAnsi="Arial"/>
          <w:sz w:val="19"/>
          <w:szCs w:val="19"/>
          <w:u w:val="single" w:color="auto"/>
          <w:color w:val="000000"/>
        </w:rPr>
        <w:t>Board of Directors Action by Written Consent Without a Meeting</w:t>
      </w:r>
      <w:r>
        <w:rPr>
          <w:rFonts w:ascii="Arial" w:cs="Arial" w:eastAsia="Arial" w:hAnsi="Arial"/>
          <w:sz w:val="19"/>
          <w:szCs w:val="19"/>
          <w:color w:val="000000"/>
        </w:rPr>
        <w:t>. Unless otherwise restricted by</w:t>
      </w:r>
      <w:r>
        <w:rPr>
          <w:rFonts w:ascii="Arial" w:cs="Arial" w:eastAsia="Arial" w:hAnsi="Arial"/>
          <w:sz w:val="19"/>
          <w:szCs w:val="19"/>
          <w:color w:val="010000"/>
        </w:rPr>
        <w:t xml:space="preserve"> </w:t>
      </w:r>
      <w:r>
        <w:rPr>
          <w:rFonts w:ascii="Arial" w:cs="Arial" w:eastAsia="Arial" w:hAnsi="Arial"/>
          <w:sz w:val="19"/>
          <w:szCs w:val="19"/>
          <w:color w:val="000000"/>
        </w:rPr>
        <w:t xml:space="preserve">the Certificate of Incorporation or these Bylaws, any action required or permitted to be taken at any meeting of the Board of Directors, or any committee thereof, may be taken without a meeting,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161" w:lineRule="exact"/>
        <w:rPr>
          <w:sz w:val="20"/>
          <w:szCs w:val="20"/>
          <w:color w:val="auto"/>
        </w:rPr>
      </w:pPr>
    </w:p>
    <w:p>
      <w:pPr>
        <w:ind w:right="260" w:firstLine="864"/>
        <w:spacing w:after="0" w:line="252" w:lineRule="auto"/>
        <w:rPr>
          <w:sz w:val="20"/>
          <w:szCs w:val="20"/>
          <w:color w:val="auto"/>
        </w:rPr>
      </w:pPr>
      <w:r>
        <w:rPr>
          <w:rFonts w:ascii="Arial" w:cs="Arial" w:eastAsia="Arial" w:hAnsi="Arial"/>
          <w:sz w:val="21"/>
          <w:szCs w:val="21"/>
          <w:color w:val="010000"/>
        </w:rPr>
        <w:t xml:space="preserve">Section 3.10 </w:t>
      </w:r>
      <w:r>
        <w:rPr>
          <w:rFonts w:ascii="Arial" w:cs="Arial" w:eastAsia="Arial" w:hAnsi="Arial"/>
          <w:sz w:val="21"/>
          <w:szCs w:val="21"/>
          <w:u w:val="single" w:color="auto"/>
          <w:color w:val="000000"/>
        </w:rPr>
        <w:t>Chairman of the Board</w:t>
      </w:r>
      <w:r>
        <w:rPr>
          <w:rFonts w:ascii="Arial" w:cs="Arial" w:eastAsia="Arial" w:hAnsi="Arial"/>
          <w:sz w:val="21"/>
          <w:szCs w:val="21"/>
          <w:color w:val="000000"/>
        </w:rPr>
        <w:t>. The Chairman of the Board shall preside at meetings of stockholders</w:t>
      </w:r>
      <w:r>
        <w:rPr>
          <w:rFonts w:ascii="Arial" w:cs="Arial" w:eastAsia="Arial" w:hAnsi="Arial"/>
          <w:sz w:val="21"/>
          <w:szCs w:val="21"/>
          <w:color w:val="010000"/>
        </w:rPr>
        <w:t xml:space="preserve"> </w:t>
      </w:r>
      <w:r>
        <w:rPr>
          <w:rFonts w:ascii="Arial" w:cs="Arial" w:eastAsia="Arial" w:hAnsi="Arial"/>
          <w:sz w:val="21"/>
          <w:szCs w:val="21"/>
          <w:color w:val="000000"/>
        </w:rPr>
        <w:t>(unless otherwise determined by the Board of Directors) and at meetings of directors and shall perform such other duties as the Board of Directors may from time to time determine. If the Chairman of the Board is not present at a meeting of the Board of Directors, another director chosen by the Board of Directors shall preside.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0" w:name="page161"/>
    <w:bookmarkEnd w:id="160"/>
    <w:p>
      <w:pPr>
        <w:ind w:right="600" w:firstLine="864"/>
        <w:spacing w:after="0"/>
        <w:rPr>
          <w:sz w:val="20"/>
          <w:szCs w:val="20"/>
          <w:color w:val="auto"/>
        </w:rPr>
      </w:pPr>
      <w:r>
        <w:rPr>
          <w:rFonts w:ascii="Arial" w:cs="Arial" w:eastAsia="Arial" w:hAnsi="Arial"/>
          <w:sz w:val="22"/>
          <w:szCs w:val="22"/>
          <w:color w:val="010000"/>
        </w:rPr>
        <w:t xml:space="preserve">Section 3.11 </w:t>
      </w:r>
      <w:r>
        <w:rPr>
          <w:rFonts w:ascii="Arial" w:cs="Arial" w:eastAsia="Arial" w:hAnsi="Arial"/>
          <w:sz w:val="22"/>
          <w:szCs w:val="22"/>
          <w:u w:val="single" w:color="auto"/>
          <w:color w:val="000000"/>
        </w:rPr>
        <w:t>Rules and Regulations</w:t>
      </w:r>
      <w:r>
        <w:rPr>
          <w:rFonts w:ascii="Arial" w:cs="Arial" w:eastAsia="Arial" w:hAnsi="Arial"/>
          <w:sz w:val="22"/>
          <w:szCs w:val="22"/>
          <w:color w:val="000000"/>
        </w:rPr>
        <w:t>. The Board of Directors shall adopt such rules and regulations not</w:t>
      </w:r>
      <w:r>
        <w:rPr>
          <w:rFonts w:ascii="Arial" w:cs="Arial" w:eastAsia="Arial" w:hAnsi="Arial"/>
          <w:sz w:val="22"/>
          <w:szCs w:val="22"/>
          <w:color w:val="010000"/>
        </w:rPr>
        <w:t xml:space="preserve"> </w:t>
      </w:r>
      <w:r>
        <w:rPr>
          <w:rFonts w:ascii="Arial" w:cs="Arial" w:eastAsia="Arial" w:hAnsi="Arial"/>
          <w:sz w:val="22"/>
          <w:szCs w:val="22"/>
          <w:color w:val="000000"/>
        </w:rPr>
        <w:t>inconsistent with the provisions of law, the Certificate of Incorporation or these Bylaws for the conduct of its meetings and management of the affairs of the Corporation as the Board of Directors shall deem proper.</w:t>
      </w:r>
    </w:p>
    <w:p>
      <w:pPr>
        <w:spacing w:after="0" w:line="186" w:lineRule="exact"/>
        <w:rPr>
          <w:sz w:val="20"/>
          <w:szCs w:val="20"/>
          <w:color w:val="auto"/>
        </w:rPr>
      </w:pPr>
    </w:p>
    <w:p>
      <w:pPr>
        <w:ind w:right="220" w:firstLine="864"/>
        <w:spacing w:after="0" w:line="297" w:lineRule="auto"/>
        <w:rPr>
          <w:sz w:val="20"/>
          <w:szCs w:val="20"/>
          <w:color w:val="auto"/>
        </w:rPr>
      </w:pPr>
      <w:r>
        <w:rPr>
          <w:rFonts w:ascii="Arial" w:cs="Arial" w:eastAsia="Arial" w:hAnsi="Arial"/>
          <w:sz w:val="19"/>
          <w:szCs w:val="19"/>
          <w:color w:val="010000"/>
        </w:rPr>
        <w:t xml:space="preserve">Section 3.12 </w:t>
      </w:r>
      <w:r>
        <w:rPr>
          <w:rFonts w:ascii="Arial" w:cs="Arial" w:eastAsia="Arial" w:hAnsi="Arial"/>
          <w:sz w:val="19"/>
          <w:szCs w:val="19"/>
          <w:u w:val="single" w:color="auto"/>
          <w:color w:val="000000"/>
        </w:rPr>
        <w:t>Fees and Compensation of Directors</w:t>
      </w:r>
      <w:r>
        <w:rPr>
          <w:rFonts w:ascii="Arial" w:cs="Arial" w:eastAsia="Arial" w:hAnsi="Arial"/>
          <w:sz w:val="19"/>
          <w:szCs w:val="19"/>
          <w:color w:val="000000"/>
        </w:rPr>
        <w:t>. Unless otherwise restricted by the Certificate of</w:t>
      </w:r>
      <w:r>
        <w:rPr>
          <w:rFonts w:ascii="Arial" w:cs="Arial" w:eastAsia="Arial" w:hAnsi="Arial"/>
          <w:sz w:val="19"/>
          <w:szCs w:val="19"/>
          <w:color w:val="010000"/>
        </w:rPr>
        <w:t xml:space="preserve"> </w:t>
      </w:r>
      <w:r>
        <w:rPr>
          <w:rFonts w:ascii="Arial" w:cs="Arial" w:eastAsia="Arial" w:hAnsi="Arial"/>
          <w:sz w:val="19"/>
          <w:szCs w:val="19"/>
          <w:color w:val="000000"/>
        </w:rPr>
        <w:t>Incorporation, directors may receive such compensation, if any, for their services on the Board of Directors and its committees, and such reimbursement of expenses, as may be fixed or determined by resolution of the Board of Directors.</w:t>
      </w:r>
    </w:p>
    <w:p>
      <w:pPr>
        <w:spacing w:after="0" w:line="134" w:lineRule="exact"/>
        <w:rPr>
          <w:sz w:val="20"/>
          <w:szCs w:val="20"/>
          <w:color w:val="auto"/>
        </w:rPr>
      </w:pPr>
    </w:p>
    <w:p>
      <w:pPr>
        <w:ind w:right="20" w:firstLine="864"/>
        <w:spacing w:after="0" w:line="274" w:lineRule="auto"/>
        <w:rPr>
          <w:sz w:val="20"/>
          <w:szCs w:val="20"/>
          <w:color w:val="auto"/>
        </w:rPr>
      </w:pPr>
      <w:r>
        <w:rPr>
          <w:rFonts w:ascii="Arial" w:cs="Arial" w:eastAsia="Arial" w:hAnsi="Arial"/>
          <w:sz w:val="19"/>
          <w:szCs w:val="19"/>
          <w:color w:val="010000"/>
        </w:rPr>
        <w:t xml:space="preserve">Section 3.13 </w:t>
      </w:r>
      <w:r>
        <w:rPr>
          <w:rFonts w:ascii="Arial" w:cs="Arial" w:eastAsia="Arial" w:hAnsi="Arial"/>
          <w:sz w:val="19"/>
          <w:szCs w:val="19"/>
          <w:u w:val="single" w:color="auto"/>
          <w:color w:val="000000"/>
        </w:rPr>
        <w:t>Emergency Bylaws</w:t>
      </w:r>
      <w:r>
        <w:rPr>
          <w:rFonts w:ascii="Arial" w:cs="Arial" w:eastAsia="Arial" w:hAnsi="Arial"/>
          <w:sz w:val="19"/>
          <w:szCs w:val="19"/>
          <w:color w:val="000000"/>
        </w:rPr>
        <w:t>. This Section 3.13 shall be operative during any emergency condition as</w:t>
      </w:r>
      <w:r>
        <w:rPr>
          <w:rFonts w:ascii="Arial" w:cs="Arial" w:eastAsia="Arial" w:hAnsi="Arial"/>
          <w:sz w:val="19"/>
          <w:szCs w:val="19"/>
          <w:color w:val="010000"/>
        </w:rPr>
        <w:t xml:space="preserve"> </w:t>
      </w:r>
      <w:r>
        <w:rPr>
          <w:rFonts w:ascii="Arial" w:cs="Arial" w:eastAsia="Arial" w:hAnsi="Arial"/>
          <w:sz w:val="19"/>
          <w:szCs w:val="19"/>
          <w:color w:val="000000"/>
        </w:rPr>
        <w:t>contemplated by Section 110 of the DGCL (an “</w:t>
      </w:r>
      <w:r>
        <w:rPr>
          <w:rFonts w:ascii="Arial" w:cs="Arial" w:eastAsia="Arial" w:hAnsi="Arial"/>
          <w:sz w:val="19"/>
          <w:szCs w:val="19"/>
          <w:u w:val="single" w:color="auto"/>
          <w:color w:val="000000"/>
        </w:rPr>
        <w:t>Emergency</w:t>
      </w:r>
      <w:r>
        <w:rPr>
          <w:rFonts w:ascii="Arial" w:cs="Arial" w:eastAsia="Arial" w:hAnsi="Arial"/>
          <w:sz w:val="19"/>
          <w:szCs w:val="19"/>
          <w:color w:val="000000"/>
        </w:rPr>
        <w:t>”), notwithstanding any different or conflicting provisions in these Bylaws, the Certificate of Incorporation or the DGCL. In the event of any Emergency, or other similar emergency condition, as a result of which a quorum of the Board of Directors or a standing committee of the Board of Directors cannot readily be convened for action,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committees of the Board of Directors as they shall deem necessary and appropriate. Except as the Board may otherwise determine, during any Emergency, the Corporation and its directors and officers, may exercise any authority and take any action or measure contemplated by Section 110 of the DGCL.</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COMMITTEES</w:t>
      </w:r>
    </w:p>
    <w:p>
      <w:pPr>
        <w:spacing w:after="0" w:line="188" w:lineRule="exact"/>
        <w:rPr>
          <w:sz w:val="20"/>
          <w:szCs w:val="20"/>
          <w:color w:val="auto"/>
        </w:rPr>
      </w:pPr>
    </w:p>
    <w:p>
      <w:pPr>
        <w:ind w:firstLine="864"/>
        <w:spacing w:after="0" w:line="271" w:lineRule="auto"/>
        <w:rPr>
          <w:sz w:val="20"/>
          <w:szCs w:val="20"/>
          <w:color w:val="auto"/>
        </w:rPr>
      </w:pPr>
      <w:r>
        <w:rPr>
          <w:rFonts w:ascii="Arial" w:cs="Arial" w:eastAsia="Arial" w:hAnsi="Arial"/>
          <w:sz w:val="19"/>
          <w:szCs w:val="19"/>
          <w:color w:val="010000"/>
        </w:rPr>
        <w:t xml:space="preserve">Section 4.1 </w:t>
      </w:r>
      <w:r>
        <w:rPr>
          <w:rFonts w:ascii="Arial" w:cs="Arial" w:eastAsia="Arial" w:hAnsi="Arial"/>
          <w:sz w:val="19"/>
          <w:szCs w:val="19"/>
          <w:u w:val="single" w:color="auto"/>
          <w:color w:val="000000"/>
        </w:rPr>
        <w:t>Committees of the Board of Directors</w:t>
      </w:r>
      <w:r>
        <w:rPr>
          <w:rFonts w:ascii="Arial" w:cs="Arial" w:eastAsia="Arial" w:hAnsi="Arial"/>
          <w:sz w:val="19"/>
          <w:szCs w:val="19"/>
          <w:color w:val="000000"/>
        </w:rPr>
        <w:t>. The Board of Directors may designate one or more</w:t>
      </w:r>
      <w:r>
        <w:rPr>
          <w:rFonts w:ascii="Arial" w:cs="Arial" w:eastAsia="Arial" w:hAnsi="Arial"/>
          <w:sz w:val="19"/>
          <w:szCs w:val="19"/>
          <w:color w:val="010000"/>
        </w:rPr>
        <w:t xml:space="preserve"> </w:t>
      </w:r>
      <w:r>
        <w:rPr>
          <w:rFonts w:ascii="Arial" w:cs="Arial" w:eastAsia="Arial" w:hAnsi="Arial"/>
          <w:sz w:val="19"/>
          <w:szCs w:val="19"/>
          <w:color w:val="000000"/>
        </w:rPr>
        <w:t>committees,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61" w:name="page162"/>
    <w:bookmarkEnd w:id="161"/>
    <w:p>
      <w:pPr>
        <w:ind w:firstLine="864"/>
        <w:spacing w:after="0" w:line="245" w:lineRule="auto"/>
        <w:rPr>
          <w:sz w:val="20"/>
          <w:szCs w:val="20"/>
          <w:color w:val="auto"/>
        </w:rPr>
      </w:pPr>
      <w:r>
        <w:rPr>
          <w:rFonts w:ascii="Arial" w:cs="Arial" w:eastAsia="Arial" w:hAnsi="Arial"/>
          <w:sz w:val="21"/>
          <w:szCs w:val="21"/>
          <w:color w:val="010000"/>
        </w:rPr>
        <w:t xml:space="preserve">Section 4.2 </w:t>
      </w:r>
      <w:r>
        <w:rPr>
          <w:rFonts w:ascii="Arial" w:cs="Arial" w:eastAsia="Arial" w:hAnsi="Arial"/>
          <w:sz w:val="21"/>
          <w:szCs w:val="21"/>
          <w:u w:val="single" w:color="auto"/>
          <w:color w:val="000000"/>
        </w:rPr>
        <w:t>Meetings and Action of Committees</w:t>
      </w:r>
      <w:r>
        <w:rPr>
          <w:rFonts w:ascii="Arial" w:cs="Arial" w:eastAsia="Arial" w:hAnsi="Arial"/>
          <w:sz w:val="21"/>
          <w:szCs w:val="21"/>
          <w:color w:val="000000"/>
        </w:rPr>
        <w:t>. Unless the Board of Directors provides otherwise by</w:t>
      </w:r>
      <w:r>
        <w:rPr>
          <w:rFonts w:ascii="Arial" w:cs="Arial" w:eastAsia="Arial" w:hAnsi="Arial"/>
          <w:sz w:val="21"/>
          <w:szCs w:val="21"/>
          <w:color w:val="010000"/>
        </w:rPr>
        <w:t xml:space="preserve"> </w:t>
      </w:r>
      <w:r>
        <w:rPr>
          <w:rFonts w:ascii="Arial" w:cs="Arial" w:eastAsia="Arial" w:hAnsi="Arial"/>
          <w:sz w:val="21"/>
          <w:szCs w:val="21"/>
          <w:color w:val="000000"/>
        </w:rPr>
        <w:t xml:space="preserve">resolution, any 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however</w:t>
      </w:r>
      <w:r>
        <w:rPr>
          <w:rFonts w:ascii="Arial" w:cs="Arial" w:eastAsia="Arial" w:hAnsi="Arial"/>
          <w:sz w:val="21"/>
          <w:szCs w:val="21"/>
          <w:color w:val="000000"/>
        </w:rPr>
        <w:t>, that in no case shall a quorum be less than one-third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ind w:right="20" w:firstLine="864"/>
        <w:spacing w:after="0" w:line="272" w:lineRule="auto"/>
        <w:rPr>
          <w:sz w:val="20"/>
          <w:szCs w:val="20"/>
          <w:color w:val="auto"/>
        </w:rPr>
      </w:pPr>
      <w:r>
        <w:rPr>
          <w:rFonts w:ascii="Arial" w:cs="Arial" w:eastAsia="Arial" w:hAnsi="Arial"/>
          <w:sz w:val="19"/>
          <w:szCs w:val="19"/>
          <w:color w:val="010000"/>
        </w:rPr>
        <w:t xml:space="preserve">Section 5.1 </w:t>
      </w:r>
      <w:r>
        <w:rPr>
          <w:rFonts w:ascii="Arial" w:cs="Arial" w:eastAsia="Arial" w:hAnsi="Arial"/>
          <w:sz w:val="19"/>
          <w:szCs w:val="19"/>
          <w:u w:val="single" w:color="auto"/>
          <w:color w:val="000000"/>
        </w:rPr>
        <w:t>Officers</w:t>
      </w:r>
      <w:r>
        <w:rPr>
          <w:rFonts w:ascii="Arial" w:cs="Arial" w:eastAsia="Arial" w:hAnsi="Arial"/>
          <w:sz w:val="19"/>
          <w:szCs w:val="19"/>
          <w:color w:val="000000"/>
        </w:rPr>
        <w:t>. The officers of the Corporation shall consist of a Chief Executive Officer, a Chief</w:t>
      </w:r>
      <w:r>
        <w:rPr>
          <w:rFonts w:ascii="Arial" w:cs="Arial" w:eastAsia="Arial" w:hAnsi="Arial"/>
          <w:sz w:val="19"/>
          <w:szCs w:val="19"/>
          <w:color w:val="010000"/>
        </w:rPr>
        <w:t xml:space="preserve"> </w:t>
      </w:r>
      <w:r>
        <w:rPr>
          <w:rFonts w:ascii="Arial" w:cs="Arial" w:eastAsia="Arial" w:hAnsi="Arial"/>
          <w:sz w:val="19"/>
          <w:szCs w:val="19"/>
          <w:color w:val="000000"/>
        </w:rPr>
        <w:t>Operating Officer, a Chief Financial Officer, a Secretary, a Treasurer, a Controller (the “</w:t>
      </w:r>
      <w:r>
        <w:rPr>
          <w:rFonts w:ascii="Arial" w:cs="Arial" w:eastAsia="Arial" w:hAnsi="Arial"/>
          <w:sz w:val="19"/>
          <w:szCs w:val="19"/>
          <w:u w:val="single" w:color="auto"/>
          <w:color w:val="000000"/>
        </w:rPr>
        <w:t>Designated Officers</w:t>
      </w:r>
      <w:r>
        <w:rPr>
          <w:rFonts w:ascii="Arial" w:cs="Arial" w:eastAsia="Arial" w:hAnsi="Arial"/>
          <w:sz w:val="19"/>
          <w:szCs w:val="19"/>
          <w:color w:val="000000"/>
        </w:rPr>
        <w:t xml:space="preserve">”) and may consist of a Chief Operating Officer and one or more Vice Presidents and such other officers as the Board of Directors may from time to time determine, each of whom shall be elected by the Board of Directors, each to have such authority, functions or duties as set forth in these Bylaws or as determined by the Board of Directors. Each Designated Officer and any Chief Operating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other officer may be elected by the Board or appointed by the Chief Executive Officer. Any number of offices may be held by the same person;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 officer shall execute, acknowledge or verify any instrument in more than one capacity if such instrument is required by law, the Certificate of Incorporation or these Bylaws to be executed, acknowledged or verified by two or more officers. The Board of Directors may require any officer, agent or employee to give security for the faithful performance of his or her duties.</w:t>
      </w:r>
    </w:p>
    <w:p>
      <w:pPr>
        <w:spacing w:after="0" w:line="200" w:lineRule="exact"/>
        <w:rPr>
          <w:sz w:val="20"/>
          <w:szCs w:val="20"/>
          <w:color w:val="auto"/>
        </w:rPr>
      </w:pPr>
    </w:p>
    <w:p>
      <w:pPr>
        <w:spacing w:after="0" w:line="208"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u w:val="single" w:color="auto"/>
          <w:color w:val="000000"/>
        </w:rPr>
        <w:t>Compensation</w:t>
      </w:r>
      <w:r>
        <w:rPr>
          <w:rFonts w:ascii="Arial" w:cs="Arial" w:eastAsia="Arial" w:hAnsi="Arial"/>
          <w:sz w:val="22"/>
          <w:szCs w:val="22"/>
          <w:color w:val="000000"/>
        </w:rPr>
        <w:t>. The salaries of the officers of the Corporation and the manner and time of the</w:t>
      </w:r>
      <w:r>
        <w:rPr>
          <w:rFonts w:ascii="Arial" w:cs="Arial" w:eastAsia="Arial" w:hAnsi="Arial"/>
          <w:sz w:val="22"/>
          <w:szCs w:val="22"/>
          <w:color w:val="010000"/>
        </w:rPr>
        <w:t xml:space="preserve"> </w:t>
      </w:r>
      <w:r>
        <w:rPr>
          <w:rFonts w:ascii="Arial" w:cs="Arial" w:eastAsia="Arial" w:hAnsi="Arial"/>
          <w:sz w:val="22"/>
          <w:szCs w:val="22"/>
          <w:color w:val="000000"/>
        </w:rPr>
        <w:t>payment of 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185"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010000"/>
        </w:rPr>
        <w:t xml:space="preserve">Section 5.3 </w:t>
      </w:r>
      <w:r>
        <w:rPr>
          <w:rFonts w:ascii="Arial" w:cs="Arial" w:eastAsia="Arial" w:hAnsi="Arial"/>
          <w:sz w:val="19"/>
          <w:szCs w:val="19"/>
          <w:u w:val="single" w:color="auto"/>
          <w:color w:val="000000"/>
        </w:rPr>
        <w:t>Removal, Resignation and Vacancies</w:t>
      </w:r>
      <w:r>
        <w:rPr>
          <w:rFonts w:ascii="Arial" w:cs="Arial" w:eastAsia="Arial" w:hAnsi="Arial"/>
          <w:sz w:val="19"/>
          <w:szCs w:val="19"/>
          <w:color w:val="000000"/>
        </w:rPr>
        <w:t>. Any officer of the Corporation elected by the Board may be</w:t>
      </w:r>
      <w:r>
        <w:rPr>
          <w:rFonts w:ascii="Arial" w:cs="Arial" w:eastAsia="Arial" w:hAnsi="Arial"/>
          <w:sz w:val="19"/>
          <w:szCs w:val="19"/>
          <w:color w:val="010000"/>
        </w:rPr>
        <w:t xml:space="preserve"> </w:t>
      </w:r>
      <w:r>
        <w:rPr>
          <w:rFonts w:ascii="Arial" w:cs="Arial" w:eastAsia="Arial" w:hAnsi="Arial"/>
          <w:sz w:val="19"/>
          <w:szCs w:val="19"/>
          <w:color w:val="000000"/>
        </w:rPr>
        <w:t>removed, with or without cause, by the Board of Directors, without prejudice to the rights, if any, of such officer under any contract to which it is a party. Any other officer of the Corporation may be removed, with or without cause, by the Board of Directors or by a duly authorized officer, without prejudice to the rights, if any, of such officer under any contract to which it is a party. Any officer may resign at any time upon notice given in writing or by electronic transmission to the Corporation, without prejudice to the rights, if any, of the Corporation under any contract to which such officer is a party. If any vacancy occurs in 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2" w:name="page163"/>
    <w:bookmarkEnd w:id="162"/>
    <w:p>
      <w:pPr>
        <w:ind w:right="320"/>
        <w:spacing w:after="0" w:line="250" w:lineRule="auto"/>
        <w:rPr>
          <w:sz w:val="20"/>
          <w:szCs w:val="20"/>
          <w:color w:val="auto"/>
        </w:rPr>
      </w:pPr>
      <w:r>
        <w:rPr>
          <w:rFonts w:ascii="Arial" w:cs="Arial" w:eastAsia="Arial" w:hAnsi="Arial"/>
          <w:sz w:val="22"/>
          <w:szCs w:val="22"/>
          <w:color w:val="auto"/>
        </w:rPr>
        <w:t>office of the Corporation, the Board of Directors may elect a successor to fill such vacancy for the remainder of the unexpired term and until a successor shall have been duly elected and qualified.</w:t>
      </w:r>
    </w:p>
    <w:p>
      <w:pPr>
        <w:spacing w:after="0" w:line="175" w:lineRule="exact"/>
        <w:rPr>
          <w:sz w:val="20"/>
          <w:szCs w:val="20"/>
          <w:color w:val="auto"/>
        </w:rPr>
      </w:pPr>
    </w:p>
    <w:p>
      <w:pPr>
        <w:ind w:right="80" w:firstLine="864"/>
        <w:spacing w:after="0" w:line="248" w:lineRule="auto"/>
        <w:rPr>
          <w:sz w:val="20"/>
          <w:szCs w:val="20"/>
          <w:color w:val="auto"/>
        </w:rPr>
      </w:pPr>
      <w:r>
        <w:rPr>
          <w:rFonts w:ascii="Arial" w:cs="Arial" w:eastAsia="Arial" w:hAnsi="Arial"/>
          <w:sz w:val="21"/>
          <w:szCs w:val="21"/>
          <w:color w:val="010000"/>
        </w:rPr>
        <w:t xml:space="preserve">Section 5.4 </w:t>
      </w:r>
      <w:r>
        <w:rPr>
          <w:rFonts w:ascii="Arial" w:cs="Arial" w:eastAsia="Arial" w:hAnsi="Arial"/>
          <w:sz w:val="21"/>
          <w:szCs w:val="21"/>
          <w:u w:val="single" w:color="auto"/>
          <w:color w:val="000000"/>
        </w:rPr>
        <w:t>Chief Executive Officer</w:t>
      </w:r>
      <w:r>
        <w:rPr>
          <w:rFonts w:ascii="Arial" w:cs="Arial" w:eastAsia="Arial" w:hAnsi="Arial"/>
          <w:sz w:val="21"/>
          <w:szCs w:val="21"/>
          <w:color w:val="000000"/>
        </w:rPr>
        <w:t>. The Chief Executive Officer shall have general supervision and direction</w:t>
      </w:r>
      <w:r>
        <w:rPr>
          <w:rFonts w:ascii="Arial" w:cs="Arial" w:eastAsia="Arial" w:hAnsi="Arial"/>
          <w:sz w:val="21"/>
          <w:szCs w:val="21"/>
          <w:color w:val="010000"/>
        </w:rPr>
        <w:t xml:space="preserve"> </w:t>
      </w:r>
      <w:r>
        <w:rPr>
          <w:rFonts w:ascii="Arial" w:cs="Arial" w:eastAsia="Arial" w:hAnsi="Arial"/>
          <w:sz w:val="21"/>
          <w:szCs w:val="21"/>
          <w:color w:val="000000"/>
        </w:rPr>
        <w:t>of the 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 The Chief Executive Officer, if not the Chairman of the Board of Directors, shall, if present and in the absence of the Chairman of the Board of Directors, preside at meetings of the stockholders.</w:t>
      </w:r>
    </w:p>
    <w:p>
      <w:pPr>
        <w:spacing w:after="0" w:line="177" w:lineRule="exact"/>
        <w:rPr>
          <w:sz w:val="20"/>
          <w:szCs w:val="20"/>
          <w:color w:val="auto"/>
        </w:rPr>
      </w:pPr>
    </w:p>
    <w:p>
      <w:pPr>
        <w:ind w:right="160" w:firstLine="864"/>
        <w:spacing w:after="0" w:line="238" w:lineRule="auto"/>
        <w:rPr>
          <w:sz w:val="20"/>
          <w:szCs w:val="20"/>
          <w:color w:val="auto"/>
        </w:rPr>
      </w:pPr>
      <w:r>
        <w:rPr>
          <w:rFonts w:ascii="Arial" w:cs="Arial" w:eastAsia="Arial" w:hAnsi="Arial"/>
          <w:sz w:val="22"/>
          <w:szCs w:val="22"/>
          <w:color w:val="010000"/>
        </w:rPr>
        <w:t xml:space="preserve">Section 5.5 </w:t>
      </w:r>
      <w:r>
        <w:rPr>
          <w:rFonts w:ascii="Arial" w:cs="Arial" w:eastAsia="Arial" w:hAnsi="Arial"/>
          <w:sz w:val="22"/>
          <w:szCs w:val="22"/>
          <w:u w:val="single" w:color="auto"/>
          <w:color w:val="000000"/>
        </w:rPr>
        <w:t>Chief Operating Officer</w:t>
      </w:r>
      <w:r>
        <w:rPr>
          <w:rFonts w:ascii="Arial" w:cs="Arial" w:eastAsia="Arial" w:hAnsi="Arial"/>
          <w:sz w:val="22"/>
          <w:szCs w:val="22"/>
          <w:color w:val="000000"/>
        </w:rPr>
        <w:t>. The Chief Operating Officer shall have general responsibility for the</w:t>
      </w:r>
      <w:r>
        <w:rPr>
          <w:rFonts w:ascii="Arial" w:cs="Arial" w:eastAsia="Arial" w:hAnsi="Arial"/>
          <w:sz w:val="22"/>
          <w:szCs w:val="22"/>
          <w:color w:val="010000"/>
        </w:rPr>
        <w:t xml:space="preserve"> </w:t>
      </w:r>
      <w:r>
        <w:rPr>
          <w:rFonts w:ascii="Arial" w:cs="Arial" w:eastAsia="Arial" w:hAnsi="Arial"/>
          <w:sz w:val="22"/>
          <w:szCs w:val="22"/>
          <w:color w:val="000000"/>
        </w:rPr>
        <w:t>management 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w:t>
      </w:r>
    </w:p>
    <w:p>
      <w:pPr>
        <w:spacing w:after="0" w:line="185" w:lineRule="exact"/>
        <w:rPr>
          <w:sz w:val="20"/>
          <w:szCs w:val="20"/>
          <w:color w:val="auto"/>
        </w:rPr>
      </w:pPr>
    </w:p>
    <w:p>
      <w:pPr>
        <w:ind w:right="220" w:firstLine="864"/>
        <w:spacing w:after="0" w:line="236" w:lineRule="auto"/>
        <w:rPr>
          <w:sz w:val="20"/>
          <w:szCs w:val="20"/>
          <w:color w:val="auto"/>
        </w:rPr>
      </w:pPr>
      <w:r>
        <w:rPr>
          <w:rFonts w:ascii="Arial" w:cs="Arial" w:eastAsia="Arial" w:hAnsi="Arial"/>
          <w:sz w:val="22"/>
          <w:szCs w:val="22"/>
          <w:color w:val="010000"/>
        </w:rPr>
        <w:t xml:space="preserve">Section 5.6 </w:t>
      </w:r>
      <w:r>
        <w:rPr>
          <w:rFonts w:ascii="Arial" w:cs="Arial" w:eastAsia="Arial" w:hAnsi="Arial"/>
          <w:sz w:val="22"/>
          <w:szCs w:val="22"/>
          <w:u w:val="single" w:color="auto"/>
          <w:color w:val="000000"/>
        </w:rPr>
        <w:t>Chief Financial Officer</w:t>
      </w:r>
      <w:r>
        <w:rPr>
          <w:rFonts w:ascii="Arial" w:cs="Arial" w:eastAsia="Arial" w:hAnsi="Arial"/>
          <w:sz w:val="22"/>
          <w:szCs w:val="22"/>
          <w:color w:val="000000"/>
        </w:rPr>
        <w:t>. The Chief Financial Officer shall exercise all the powers and perform the</w:t>
      </w:r>
      <w:r>
        <w:rPr>
          <w:rFonts w:ascii="Arial" w:cs="Arial" w:eastAsia="Arial" w:hAnsi="Arial"/>
          <w:sz w:val="22"/>
          <w:szCs w:val="22"/>
          <w:color w:val="010000"/>
        </w:rPr>
        <w:t xml:space="preserve"> </w:t>
      </w:r>
      <w:r>
        <w:rPr>
          <w:rFonts w:ascii="Arial" w:cs="Arial" w:eastAsia="Arial" w:hAnsi="Arial"/>
          <w:sz w:val="22"/>
          <w:szCs w:val="22"/>
          <w:color w:val="000000"/>
        </w:rPr>
        <w:t>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the Chief Executive Officer or the Chief Operating Officer may from time to time determine.</w:t>
      </w:r>
    </w:p>
    <w:p>
      <w:pPr>
        <w:spacing w:after="0" w:line="187"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010000"/>
        </w:rPr>
        <w:t xml:space="preserve">Section 5.7 </w:t>
      </w:r>
      <w:r>
        <w:rPr>
          <w:rFonts w:ascii="Arial" w:cs="Arial" w:eastAsia="Arial" w:hAnsi="Arial"/>
          <w:sz w:val="19"/>
          <w:szCs w:val="19"/>
          <w:u w:val="single" w:color="auto"/>
          <w:color w:val="000000"/>
        </w:rPr>
        <w:t>Vice Presidents</w:t>
      </w:r>
      <w:r>
        <w:rPr>
          <w:rFonts w:ascii="Arial" w:cs="Arial" w:eastAsia="Arial" w:hAnsi="Arial"/>
          <w:sz w:val="19"/>
          <w:szCs w:val="19"/>
          <w:color w:val="000000"/>
        </w:rPr>
        <w:t>. Each Vice President shall have such powers and duties as shall be prescribed by his</w:t>
      </w:r>
      <w:r>
        <w:rPr>
          <w:rFonts w:ascii="Arial" w:cs="Arial" w:eastAsia="Arial" w:hAnsi="Arial"/>
          <w:sz w:val="19"/>
          <w:szCs w:val="19"/>
          <w:color w:val="010000"/>
        </w:rPr>
        <w:t xml:space="preserve"> </w:t>
      </w:r>
      <w:r>
        <w:rPr>
          <w:rFonts w:ascii="Arial" w:cs="Arial" w:eastAsia="Arial" w:hAnsi="Arial"/>
          <w:sz w:val="19"/>
          <w:szCs w:val="19"/>
          <w:color w:val="000000"/>
        </w:rPr>
        <w:t>or her superior officer, the Chief Executive Officer or the Chief Operating Officer. A Vice President shall, when requested, counsel with and advise the other officers of the Corporation and shall perform such other duties as the Board of Directors, the Chief Executive Officer, the Chief Operating Officer or another duly authorized officer may from time to time determine.</w:t>
      </w:r>
    </w:p>
    <w:p>
      <w:pPr>
        <w:spacing w:after="0" w:line="143" w:lineRule="exact"/>
        <w:rPr>
          <w:sz w:val="20"/>
          <w:szCs w:val="20"/>
          <w:color w:val="auto"/>
        </w:rPr>
      </w:pPr>
    </w:p>
    <w:p>
      <w:pPr>
        <w:ind w:right="320" w:firstLine="864"/>
        <w:spacing w:after="0" w:line="277" w:lineRule="auto"/>
        <w:rPr>
          <w:sz w:val="20"/>
          <w:szCs w:val="20"/>
          <w:color w:val="auto"/>
        </w:rPr>
      </w:pPr>
      <w:r>
        <w:rPr>
          <w:rFonts w:ascii="Arial" w:cs="Arial" w:eastAsia="Arial" w:hAnsi="Arial"/>
          <w:sz w:val="19"/>
          <w:szCs w:val="19"/>
          <w:color w:val="010000"/>
        </w:rPr>
        <w:t xml:space="preserve">Section 5.8 </w:t>
      </w:r>
      <w:r>
        <w:rPr>
          <w:rFonts w:ascii="Arial" w:cs="Arial" w:eastAsia="Arial" w:hAnsi="Arial"/>
          <w:sz w:val="19"/>
          <w:szCs w:val="19"/>
          <w:u w:val="single" w:color="auto"/>
          <w:color w:val="000000"/>
        </w:rPr>
        <w:t>Treasurer</w:t>
      </w:r>
      <w:r>
        <w:rPr>
          <w:rFonts w:ascii="Arial" w:cs="Arial" w:eastAsia="Arial" w:hAnsi="Arial"/>
          <w:sz w:val="19"/>
          <w:szCs w:val="19"/>
          <w:color w:val="000000"/>
        </w:rPr>
        <w:t>. The Treasurer shall supervise and be responsible for all the funds and securities of the</w:t>
      </w:r>
      <w:r>
        <w:rPr>
          <w:rFonts w:ascii="Arial" w:cs="Arial" w:eastAsia="Arial" w:hAnsi="Arial"/>
          <w:sz w:val="19"/>
          <w:szCs w:val="19"/>
          <w:color w:val="010000"/>
        </w:rPr>
        <w:t xml:space="preserve"> </w:t>
      </w:r>
      <w:r>
        <w:rPr>
          <w:rFonts w:ascii="Arial" w:cs="Arial" w:eastAsia="Arial" w:hAnsi="Arial"/>
          <w:sz w:val="19"/>
          <w:szCs w:val="19"/>
          <w:color w:val="000000"/>
        </w:rPr>
        <w:t>Corporation, the deposit of all monies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the Chief Operating Officer or the Chief Financial Officer may from time to time determine.</w:t>
      </w:r>
    </w:p>
    <w:p>
      <w:pPr>
        <w:spacing w:after="0" w:line="152" w:lineRule="exact"/>
        <w:rPr>
          <w:sz w:val="20"/>
          <w:szCs w:val="20"/>
          <w:color w:val="auto"/>
        </w:rPr>
      </w:pPr>
    </w:p>
    <w:p>
      <w:pPr>
        <w:ind w:right="140" w:firstLine="864"/>
        <w:spacing w:after="0"/>
        <w:rPr>
          <w:sz w:val="20"/>
          <w:szCs w:val="20"/>
          <w:color w:val="auto"/>
        </w:rPr>
      </w:pPr>
      <w:r>
        <w:rPr>
          <w:rFonts w:ascii="Arial" w:cs="Arial" w:eastAsia="Arial" w:hAnsi="Arial"/>
          <w:sz w:val="22"/>
          <w:szCs w:val="22"/>
          <w:color w:val="010000"/>
        </w:rPr>
        <w:t xml:space="preserve">Section 5.9 </w:t>
      </w:r>
      <w:r>
        <w:rPr>
          <w:rFonts w:ascii="Arial" w:cs="Arial" w:eastAsia="Arial" w:hAnsi="Arial"/>
          <w:sz w:val="22"/>
          <w:szCs w:val="22"/>
          <w:u w:val="single" w:color="auto"/>
          <w:color w:val="000000"/>
        </w:rPr>
        <w:t>Controller</w:t>
      </w:r>
      <w:r>
        <w:rPr>
          <w:rFonts w:ascii="Arial" w:cs="Arial" w:eastAsia="Arial" w:hAnsi="Arial"/>
          <w:sz w:val="22"/>
          <w:szCs w:val="22"/>
          <w:color w:val="000000"/>
        </w:rPr>
        <w:t>. The Controller shall be the chief accounting officer of the Corporation. The Controller</w:t>
      </w:r>
      <w:r>
        <w:rPr>
          <w:rFonts w:ascii="Arial" w:cs="Arial" w:eastAsia="Arial" w:hAnsi="Arial"/>
          <w:sz w:val="22"/>
          <w:szCs w:val="22"/>
          <w:color w:val="010000"/>
        </w:rPr>
        <w:t xml:space="preserve"> </w:t>
      </w:r>
      <w:r>
        <w:rPr>
          <w:rFonts w:ascii="Arial" w:cs="Arial" w:eastAsia="Arial" w:hAnsi="Arial"/>
          <w:sz w:val="22"/>
          <w:szCs w:val="22"/>
          <w:color w:val="000000"/>
        </w:rPr>
        <w:t>shall, when requested, counsel with and advise the other officers of the Corporation and shall perform such other duties as the Board of Directors, the Chief</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Executive Officer, the Chief Operating Officer, the Chief Financial Officer or the Treasurer may from time to time determine.</w:t>
      </w:r>
    </w:p>
    <w:p>
      <w:pPr>
        <w:spacing w:after="0" w:line="241"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010000"/>
        </w:rPr>
        <w:t xml:space="preserve">Section 5.10 </w:t>
      </w:r>
      <w:r>
        <w:rPr>
          <w:rFonts w:ascii="Arial" w:cs="Arial" w:eastAsia="Arial" w:hAnsi="Arial"/>
          <w:sz w:val="19"/>
          <w:szCs w:val="19"/>
          <w:u w:val="single" w:color="auto"/>
          <w:color w:val="000000"/>
        </w:rPr>
        <w:t>Secretary</w:t>
      </w:r>
      <w:r>
        <w:rPr>
          <w:rFonts w:ascii="Arial" w:cs="Arial" w:eastAsia="Arial" w:hAnsi="Arial"/>
          <w:sz w:val="19"/>
          <w:szCs w:val="19"/>
          <w:color w:val="000000"/>
        </w:rPr>
        <w:t>. The powers and duties of the Secretary are: (i) to act as Secretary at all meetings of the</w:t>
      </w:r>
      <w:r>
        <w:rPr>
          <w:rFonts w:ascii="Arial" w:cs="Arial" w:eastAsia="Arial" w:hAnsi="Arial"/>
          <w:sz w:val="19"/>
          <w:szCs w:val="19"/>
          <w:color w:val="010000"/>
        </w:rPr>
        <w:t xml:space="preserve"> </w:t>
      </w:r>
      <w:r>
        <w:rPr>
          <w:rFonts w:ascii="Arial" w:cs="Arial" w:eastAsia="Arial" w:hAnsi="Arial"/>
          <w:sz w:val="19"/>
          <w:szCs w:val="19"/>
          <w:color w:val="000000"/>
        </w:rPr>
        <w:t>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the Chief Executive Officer or the Chief Operating Officer may from time to time determine.</w:t>
      </w:r>
    </w:p>
    <w:p>
      <w:pPr>
        <w:spacing w:after="0" w:line="161" w:lineRule="exact"/>
        <w:rPr>
          <w:sz w:val="20"/>
          <w:szCs w:val="20"/>
          <w:color w:val="auto"/>
        </w:rPr>
      </w:pPr>
    </w:p>
    <w:p>
      <w:pPr>
        <w:ind w:right="80" w:firstLine="864"/>
        <w:spacing w:after="0" w:line="236" w:lineRule="auto"/>
        <w:rPr>
          <w:sz w:val="20"/>
          <w:szCs w:val="20"/>
          <w:color w:val="auto"/>
        </w:rPr>
      </w:pPr>
      <w:r>
        <w:rPr>
          <w:rFonts w:ascii="Arial" w:cs="Arial" w:eastAsia="Arial" w:hAnsi="Arial"/>
          <w:sz w:val="22"/>
          <w:szCs w:val="22"/>
          <w:color w:val="010000"/>
        </w:rPr>
        <w:t xml:space="preserve">Section 5.11 </w:t>
      </w:r>
      <w:r>
        <w:rPr>
          <w:rFonts w:ascii="Arial" w:cs="Arial" w:eastAsia="Arial" w:hAnsi="Arial"/>
          <w:sz w:val="22"/>
          <w:szCs w:val="22"/>
          <w:u w:val="single" w:color="auto"/>
          <w:color w:val="000000"/>
        </w:rPr>
        <w:t>Additional Matters</w:t>
      </w:r>
      <w:r>
        <w:rPr>
          <w:rFonts w:ascii="Arial" w:cs="Arial" w:eastAsia="Arial" w:hAnsi="Arial"/>
          <w:sz w:val="22"/>
          <w:szCs w:val="22"/>
          <w:color w:val="000000"/>
        </w:rPr>
        <w:t>. The Chief Executive Officer and the Chief Financial Officer of the</w:t>
      </w:r>
      <w:r>
        <w:rPr>
          <w:rFonts w:ascii="Arial" w:cs="Arial" w:eastAsia="Arial" w:hAnsi="Arial"/>
          <w:sz w:val="22"/>
          <w:szCs w:val="22"/>
          <w:color w:val="010000"/>
        </w:rPr>
        <w:t xml:space="preserve"> </w:t>
      </w:r>
      <w:r>
        <w:rPr>
          <w:rFonts w:ascii="Arial" w:cs="Arial" w:eastAsia="Arial" w:hAnsi="Arial"/>
          <w:sz w:val="22"/>
          <w:szCs w:val="22"/>
          <w:color w:val="000000"/>
        </w:rPr>
        <w:t>Corporation shall 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87" w:lineRule="exact"/>
        <w:rPr>
          <w:sz w:val="20"/>
          <w:szCs w:val="20"/>
          <w:color w:val="auto"/>
        </w:rPr>
      </w:pPr>
    </w:p>
    <w:p>
      <w:pPr>
        <w:ind w:right="80" w:firstLine="864"/>
        <w:spacing w:after="0" w:line="236" w:lineRule="auto"/>
        <w:rPr>
          <w:sz w:val="20"/>
          <w:szCs w:val="20"/>
          <w:color w:val="auto"/>
        </w:rPr>
      </w:pPr>
      <w:r>
        <w:rPr>
          <w:rFonts w:ascii="Arial" w:cs="Arial" w:eastAsia="Arial" w:hAnsi="Arial"/>
          <w:sz w:val="22"/>
          <w:szCs w:val="22"/>
          <w:color w:val="010000"/>
        </w:rPr>
        <w:t xml:space="preserve">Section 5.12 </w:t>
      </w:r>
      <w:r>
        <w:rPr>
          <w:rFonts w:ascii="Arial" w:cs="Arial" w:eastAsia="Arial" w:hAnsi="Arial"/>
          <w:sz w:val="22"/>
          <w:szCs w:val="22"/>
          <w:u w:val="single" w:color="auto"/>
          <w:color w:val="000000"/>
        </w:rPr>
        <w:t>Checks; Drafts; Evidences of Indebtedness</w:t>
      </w:r>
      <w:r>
        <w:rPr>
          <w:rFonts w:ascii="Arial" w:cs="Arial" w:eastAsia="Arial" w:hAnsi="Arial"/>
          <w:sz w:val="22"/>
          <w:szCs w:val="22"/>
          <w:color w:val="000000"/>
        </w:rPr>
        <w:t>. From time to time, the Board of Directors shall</w:t>
      </w:r>
      <w:r>
        <w:rPr>
          <w:rFonts w:ascii="Arial" w:cs="Arial" w:eastAsia="Arial" w:hAnsi="Arial"/>
          <w:sz w:val="22"/>
          <w:szCs w:val="22"/>
          <w:color w:val="010000"/>
        </w:rPr>
        <w:t xml:space="preserve"> </w:t>
      </w:r>
      <w:r>
        <w:rPr>
          <w:rFonts w:ascii="Arial" w:cs="Arial" w:eastAsia="Arial" w:hAnsi="Arial"/>
          <w:sz w:val="22"/>
          <w:szCs w:val="22"/>
          <w:color w:val="000000"/>
        </w:rPr>
        <w:t>determine the 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187" w:lineRule="exact"/>
        <w:rPr>
          <w:sz w:val="20"/>
          <w:szCs w:val="20"/>
          <w:color w:val="auto"/>
        </w:rPr>
      </w:pPr>
    </w:p>
    <w:p>
      <w:pPr>
        <w:ind w:right="140" w:firstLine="864"/>
        <w:spacing w:after="0" w:line="279" w:lineRule="auto"/>
        <w:rPr>
          <w:sz w:val="20"/>
          <w:szCs w:val="20"/>
          <w:color w:val="auto"/>
        </w:rPr>
      </w:pPr>
      <w:r>
        <w:rPr>
          <w:rFonts w:ascii="Arial" w:cs="Arial" w:eastAsia="Arial" w:hAnsi="Arial"/>
          <w:sz w:val="19"/>
          <w:szCs w:val="19"/>
          <w:color w:val="010000"/>
        </w:rPr>
        <w:t xml:space="preserve">Section 5.13 </w:t>
      </w:r>
      <w:r>
        <w:rPr>
          <w:rFonts w:ascii="Arial" w:cs="Arial" w:eastAsia="Arial" w:hAnsi="Arial"/>
          <w:sz w:val="19"/>
          <w:szCs w:val="19"/>
          <w:u w:val="single" w:color="auto"/>
          <w:color w:val="000000"/>
        </w:rPr>
        <w:t>Corporate Contracts and Instruments; How Executed</w:t>
      </w:r>
      <w:r>
        <w:rPr>
          <w:rFonts w:ascii="Arial" w:cs="Arial" w:eastAsia="Arial" w:hAnsi="Arial"/>
          <w:sz w:val="19"/>
          <w:szCs w:val="19"/>
          <w:color w:val="000000"/>
        </w:rPr>
        <w:t>. Except as otherwise provided in these</w:t>
      </w:r>
      <w:r>
        <w:rPr>
          <w:rFonts w:ascii="Arial" w:cs="Arial" w:eastAsia="Arial" w:hAnsi="Arial"/>
          <w:sz w:val="19"/>
          <w:szCs w:val="19"/>
          <w:color w:val="010000"/>
        </w:rPr>
        <w:t xml:space="preserve"> </w:t>
      </w:r>
      <w:r>
        <w:rPr>
          <w:rFonts w:ascii="Arial" w:cs="Arial" w:eastAsia="Arial" w:hAnsi="Arial"/>
          <w:sz w:val="19"/>
          <w:szCs w:val="19"/>
          <w:color w:val="000000"/>
        </w:rPr>
        <w:t>Bylaws, the 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 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50"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010000"/>
        </w:rPr>
        <w:t xml:space="preserve">Section 5.14 </w:t>
      </w:r>
      <w:r>
        <w:rPr>
          <w:rFonts w:ascii="Arial" w:cs="Arial" w:eastAsia="Arial" w:hAnsi="Arial"/>
          <w:sz w:val="22"/>
          <w:szCs w:val="22"/>
          <w:u w:val="single" w:color="auto"/>
          <w:color w:val="000000"/>
        </w:rPr>
        <w:t>Signature Authority</w:t>
      </w:r>
      <w:r>
        <w:rPr>
          <w:rFonts w:ascii="Arial" w:cs="Arial" w:eastAsia="Arial" w:hAnsi="Arial"/>
          <w:sz w:val="22"/>
          <w:szCs w:val="22"/>
          <w:color w:val="000000"/>
        </w:rPr>
        <w:t>. Unless otherwise determined by the Board of Directors or otherwise provided</w:t>
      </w:r>
      <w:r>
        <w:rPr>
          <w:rFonts w:ascii="Arial" w:cs="Arial" w:eastAsia="Arial" w:hAnsi="Arial"/>
          <w:sz w:val="22"/>
          <w:szCs w:val="22"/>
          <w:color w:val="010000"/>
        </w:rPr>
        <w:t xml:space="preserve"> </w:t>
      </w:r>
      <w:r>
        <w:rPr>
          <w:rFonts w:ascii="Arial" w:cs="Arial" w:eastAsia="Arial" w:hAnsi="Arial"/>
          <w:sz w:val="22"/>
          <w:szCs w:val="22"/>
          <w:color w:val="000000"/>
        </w:rPr>
        <w:t>by law or these Bylaws, contracts, evidences of indebtedness and other instruments or documents of the Corporation may be executed, signed or endorsed: (i) by the Chief Executive Officer or the Chief Operating Officer; or (ii) by the Chief Financial Officer, any Vice President, Treasurer, Secretary or Controller, in each case only with regard to such instruments or documents that pertain to or relate to such person’s duties or business functions.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64" w:name="page165"/>
    <w:bookmarkEnd w:id="164"/>
    <w:p>
      <w:pPr>
        <w:ind w:right="120" w:firstLine="864"/>
        <w:spacing w:after="0" w:line="235" w:lineRule="auto"/>
        <w:rPr>
          <w:sz w:val="20"/>
          <w:szCs w:val="20"/>
          <w:color w:val="auto"/>
        </w:rPr>
      </w:pPr>
      <w:r>
        <w:rPr>
          <w:rFonts w:ascii="Arial" w:cs="Arial" w:eastAsia="Arial" w:hAnsi="Arial"/>
          <w:sz w:val="22"/>
          <w:szCs w:val="22"/>
          <w:color w:val="010000"/>
        </w:rPr>
        <w:t xml:space="preserve">Section 5.15 </w:t>
      </w:r>
      <w:r>
        <w:rPr>
          <w:rFonts w:ascii="Arial" w:cs="Arial" w:eastAsia="Arial" w:hAnsi="Arial"/>
          <w:sz w:val="22"/>
          <w:szCs w:val="22"/>
          <w:u w:val="single" w:color="auto"/>
          <w:color w:val="000000"/>
        </w:rPr>
        <w:t>Action with Respect to Securities of Other Corporations or Entities</w:t>
      </w:r>
      <w:r>
        <w:rPr>
          <w:rFonts w:ascii="Arial" w:cs="Arial" w:eastAsia="Arial" w:hAnsi="Arial"/>
          <w:sz w:val="22"/>
          <w:szCs w:val="22"/>
          <w:color w:val="000000"/>
        </w:rPr>
        <w:t>. The Chief Executive Officer</w:t>
      </w:r>
      <w:r>
        <w:rPr>
          <w:rFonts w:ascii="Arial" w:cs="Arial" w:eastAsia="Arial" w:hAnsi="Arial"/>
          <w:sz w:val="22"/>
          <w:szCs w:val="22"/>
          <w:color w:val="010000"/>
        </w:rPr>
        <w:t xml:space="preserve"> </w:t>
      </w:r>
      <w:r>
        <w:rPr>
          <w:rFonts w:ascii="Arial" w:cs="Arial" w:eastAsia="Arial" w:hAnsi="Arial"/>
          <w:sz w:val="22"/>
          <w:szCs w:val="22"/>
          <w:color w:val="000000"/>
        </w:rPr>
        <w:t>or any 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8"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010000"/>
        </w:rPr>
        <w:t xml:space="preserve">Section 5.16 </w:t>
      </w:r>
      <w:r>
        <w:rPr>
          <w:rFonts w:ascii="Arial" w:cs="Arial" w:eastAsia="Arial" w:hAnsi="Arial"/>
          <w:sz w:val="22"/>
          <w:szCs w:val="22"/>
          <w:u w:val="single" w:color="auto"/>
          <w:color w:val="000000"/>
        </w:rPr>
        <w:t>Delegation</w:t>
      </w:r>
      <w:r>
        <w:rPr>
          <w:rFonts w:ascii="Arial" w:cs="Arial" w:eastAsia="Arial" w:hAnsi="Arial"/>
          <w:sz w:val="22"/>
          <w:szCs w:val="22"/>
          <w:color w:val="000000"/>
        </w:rPr>
        <w:t>. The Board of Directors may from time to time delegate the powers or duties of any</w:t>
      </w:r>
      <w:r>
        <w:rPr>
          <w:rFonts w:ascii="Arial" w:cs="Arial" w:eastAsia="Arial" w:hAnsi="Arial"/>
          <w:sz w:val="22"/>
          <w:szCs w:val="22"/>
          <w:color w:val="010000"/>
        </w:rPr>
        <w:t xml:space="preserve"> </w:t>
      </w:r>
      <w:r>
        <w:rPr>
          <w:rFonts w:ascii="Arial" w:cs="Arial" w:eastAsia="Arial" w:hAnsi="Arial"/>
          <w:sz w:val="22"/>
          <w:szCs w:val="22"/>
          <w:color w:val="000000"/>
        </w:rPr>
        <w:t>officer to any other officers or agents, notwithstanding the foregoing provisions of this Article V.</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INDEMNIFICATION AND ADVANCEMENT OF EXPENSES</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6.1</w:t>
      </w:r>
      <w:r>
        <w:rPr>
          <w:sz w:val="20"/>
          <w:szCs w:val="20"/>
          <w:color w:val="auto"/>
        </w:rPr>
        <w:tab/>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70" w:lineRule="auto"/>
        <w:tabs>
          <w:tab w:leader="none" w:pos="2615"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or by reason of anything done or not done by him or her in any such capacity, shall be indemnified and held harmless by the Corporation to the fullest extent authorized by the DGCL,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required by law or provided in Section 6.4 with respect to suits to enforce rights under this Article VI, the Corporation shall indemnify any such indemnitee in connection with a proceeding, or part thereof, voluntarily initiated by such indemnitee (including claims and counterclaims, whether such counterclaims are asserted by: (i) such indemnitee; or (ii) the Corporation in a proceeding initiated by such indemnitee) only if such proceeding, or part thereof, was authorized or ratified by the Board of Directors or the Board of Directors otherwise determines that indemnification or advancement of expenses is appropriate.</w:t>
      </w:r>
    </w:p>
    <w:p>
      <w:pPr>
        <w:spacing w:after="0" w:line="200" w:lineRule="exact"/>
        <w:rPr>
          <w:rFonts w:ascii="Arial" w:cs="Arial" w:eastAsia="Arial" w:hAnsi="Arial"/>
          <w:sz w:val="19"/>
          <w:szCs w:val="19"/>
          <w:color w:val="010000"/>
        </w:rPr>
      </w:pPr>
    </w:p>
    <w:p>
      <w:pPr>
        <w:spacing w:after="0" w:line="211" w:lineRule="exact"/>
        <w:rPr>
          <w:rFonts w:ascii="Arial" w:cs="Arial" w:eastAsia="Arial" w:hAnsi="Arial"/>
          <w:sz w:val="19"/>
          <w:szCs w:val="19"/>
          <w:color w:val="010000"/>
        </w:rPr>
      </w:pPr>
    </w:p>
    <w:p>
      <w:pPr>
        <w:ind w:right="260" w:firstLine="1735"/>
        <w:spacing w:after="0" w:line="297" w:lineRule="auto"/>
        <w:tabs>
          <w:tab w:leader="none" w:pos="2627"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To receive indemnification under this Article VI,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65" w:name="page166"/>
    <w:bookmarkEnd w:id="165"/>
    <w:p>
      <w:pPr>
        <w:ind w:right="20"/>
        <w:spacing w:after="0" w:line="270" w:lineRule="auto"/>
        <w:rPr>
          <w:sz w:val="20"/>
          <w:szCs w:val="20"/>
          <w:color w:val="auto"/>
        </w:rPr>
      </w:pPr>
      <w:r>
        <w:rPr>
          <w:rFonts w:ascii="Arial" w:cs="Arial" w:eastAsia="Arial" w:hAnsi="Arial"/>
          <w:sz w:val="19"/>
          <w:szCs w:val="19"/>
          <w:color w:val="auto"/>
        </w:rPr>
        <w:t>Secretary of the Corporation of such a written request, unless indemnification is required by Section 6.3, the entitlement of the indemnitee to indemnification shall be determined by the following person or persons who shall be empowered to make such determination, as selected by the Board of Directors (except with respect to clause (v) of this Section 6.1(b)):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6.1(b), a “</w:t>
      </w:r>
      <w:r>
        <w:rPr>
          <w:rFonts w:ascii="Arial" w:cs="Arial" w:eastAsia="Arial" w:hAnsi="Arial"/>
          <w:sz w:val="19"/>
          <w:szCs w:val="19"/>
          <w:u w:val="single" w:color="auto"/>
          <w:color w:val="auto"/>
        </w:rPr>
        <w:t>change of control</w:t>
      </w:r>
      <w:r>
        <w:rPr>
          <w:rFonts w:ascii="Arial" w:cs="Arial" w:eastAsia="Arial" w:hAnsi="Arial"/>
          <w:sz w:val="19"/>
          <w:szCs w:val="19"/>
          <w:color w:val="auto"/>
        </w:rPr>
        <w:t>” will be deemed to have occurred if, with respect to any particular 24-month period, the individuals who, at the beginning of such 24-month period, constituted the Board of Directors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200" w:lineRule="exact"/>
        <w:rPr>
          <w:sz w:val="20"/>
          <w:szCs w:val="20"/>
          <w:color w:val="auto"/>
        </w:rPr>
      </w:pPr>
    </w:p>
    <w:p>
      <w:pPr>
        <w:spacing w:after="0" w:line="20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6.2</w:t>
      </w:r>
      <w:r>
        <w:rPr>
          <w:sz w:val="20"/>
          <w:szCs w:val="20"/>
          <w:color w:val="auto"/>
        </w:rPr>
        <w:tab/>
      </w: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w:t>
      </w:r>
    </w:p>
    <w:p>
      <w:pPr>
        <w:spacing w:after="0" w:line="206" w:lineRule="exact"/>
        <w:rPr>
          <w:sz w:val="20"/>
          <w:szCs w:val="20"/>
          <w:color w:val="auto"/>
        </w:rPr>
      </w:pPr>
    </w:p>
    <w:p>
      <w:pPr>
        <w:ind w:right="60" w:firstLine="1735"/>
        <w:spacing w:after="0" w:line="277" w:lineRule="auto"/>
        <w:tabs>
          <w:tab w:leader="none" w:pos="2615"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In addition to the right to indemnification conferred in Section 6.1, an indemnitee shall, to the fullest extent permitted by law, also have the right to be paid by the Corporation the expenses (including attorneys’ fees) incurred in defending any proceeding in advance of its final disposition (hereinafter an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advancement of expenses shall be made only upon delivery to the Corporation of an undertaking (hereinafter an “</w:t>
      </w:r>
      <w:r>
        <w:rPr>
          <w:rFonts w:ascii="Arial" w:cs="Arial" w:eastAsia="Arial" w:hAnsi="Arial"/>
          <w:sz w:val="19"/>
          <w:szCs w:val="19"/>
          <w:u w:val="single" w:color="auto"/>
          <w:color w:val="auto"/>
        </w:rPr>
        <w:t>undertaking</w:t>
      </w:r>
      <w:r>
        <w:rPr>
          <w:rFonts w:ascii="Arial" w:cs="Arial" w:eastAsia="Arial" w:hAnsi="Arial"/>
          <w:sz w:val="19"/>
          <w:szCs w:val="19"/>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Arial" w:cs="Arial" w:eastAsia="Arial" w:hAnsi="Arial"/>
          <w:sz w:val="19"/>
          <w:szCs w:val="19"/>
          <w:u w:val="single" w:color="auto"/>
          <w:color w:val="auto"/>
        </w:rPr>
        <w:t>final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adjudication</w:t>
      </w:r>
      <w:r>
        <w:rPr>
          <w:rFonts w:ascii="Arial" w:cs="Arial" w:eastAsia="Arial" w:hAnsi="Arial"/>
          <w:sz w:val="19"/>
          <w:szCs w:val="19"/>
          <w:color w:val="auto"/>
        </w:rPr>
        <w:t>”) that such indemnitee is not entitled to be indemnified for such expenses under this Article VI or otherwise.</w:t>
      </w:r>
    </w:p>
    <w:p>
      <w:pPr>
        <w:spacing w:after="0" w:line="151" w:lineRule="exact"/>
        <w:rPr>
          <w:rFonts w:ascii="Arial" w:cs="Arial" w:eastAsia="Arial" w:hAnsi="Arial"/>
          <w:sz w:val="19"/>
          <w:szCs w:val="19"/>
          <w:color w:val="010000"/>
        </w:rPr>
      </w:pPr>
    </w:p>
    <w:p>
      <w:pPr>
        <w:ind w:firstLine="1735"/>
        <w:spacing w:after="0" w:line="287" w:lineRule="auto"/>
        <w:tabs>
          <w:tab w:leader="none" w:pos="2627"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20 days after the receipt by the Secretary of the Corporation of a written request for advancement of expenses.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6" w:name="page167"/>
    <w:bookmarkEnd w:id="166"/>
    <w:p>
      <w:pPr>
        <w:ind w:right="80" w:firstLine="1735"/>
        <w:spacing w:after="0" w:line="273" w:lineRule="auto"/>
        <w:tabs>
          <w:tab w:leader="none" w:pos="2615"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Notwithstanding the foregoing Section 6.2(a), the Corporation shall not make or continue to make advancements of expenses to an indemnitee (except by reason of the fact that the indemnitee is or was a director of the Corporation, in which event this Section 6.2(c) shall not apply)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Corporation,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161" w:lineRule="exact"/>
        <w:rPr>
          <w:sz w:val="20"/>
          <w:szCs w:val="20"/>
          <w:color w:val="auto"/>
        </w:rPr>
      </w:pPr>
    </w:p>
    <w:p>
      <w:pPr>
        <w:ind w:firstLine="864"/>
        <w:spacing w:after="0" w:line="233" w:lineRule="auto"/>
        <w:rPr>
          <w:sz w:val="20"/>
          <w:szCs w:val="20"/>
          <w:color w:val="auto"/>
        </w:rPr>
      </w:pPr>
      <w:r>
        <w:rPr>
          <w:rFonts w:ascii="Arial" w:cs="Arial" w:eastAsia="Arial" w:hAnsi="Arial"/>
          <w:sz w:val="22"/>
          <w:szCs w:val="22"/>
          <w:color w:val="010000"/>
        </w:rPr>
        <w:t xml:space="preserve">Section 6.3 </w:t>
      </w:r>
      <w:r>
        <w:rPr>
          <w:rFonts w:ascii="Arial" w:cs="Arial" w:eastAsia="Arial" w:hAnsi="Arial"/>
          <w:sz w:val="22"/>
          <w:szCs w:val="22"/>
          <w:u w:val="single" w:color="auto"/>
          <w:color w:val="000000"/>
        </w:rPr>
        <w:t>Indemnification for Successful Defense</w:t>
      </w:r>
      <w:r>
        <w:rPr>
          <w:rFonts w:ascii="Arial" w:cs="Arial" w:eastAsia="Arial" w:hAnsi="Arial"/>
          <w:sz w:val="22"/>
          <w:szCs w:val="22"/>
          <w:color w:val="000000"/>
        </w:rPr>
        <w:t>. To the extent that an indemnitee has been successful on the</w:t>
      </w:r>
      <w:r>
        <w:rPr>
          <w:rFonts w:ascii="Arial" w:cs="Arial" w:eastAsia="Arial" w:hAnsi="Arial"/>
          <w:sz w:val="22"/>
          <w:szCs w:val="22"/>
          <w:color w:val="010000"/>
        </w:rPr>
        <w:t xml:space="preserve"> </w:t>
      </w:r>
      <w:r>
        <w:rPr>
          <w:rFonts w:ascii="Arial" w:cs="Arial" w:eastAsia="Arial" w:hAnsi="Arial"/>
          <w:sz w:val="22"/>
          <w:szCs w:val="22"/>
          <w:color w:val="000000"/>
        </w:rPr>
        <w:t xml:space="preserve">merits or otherwise in defense of any proceeding (or in defense of any claim, issue or matter therein), such indemnitee shall be indemnified under this Section 6.3 against expenses (including attorneys’ fees) actually and reasonably incurred in connection with such defense. Indemnification under this Section 6.3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any indemnitee who is not a current or former director or officer (as such term is defined in the final sentence of Section 145(c)(1) of the DGCL) shall be entitled to indemnification under Section 6.1 and this Section 6.3 only if such indemnitee has satisfied the standard of conduct required for indemnification under Section 145(a) or Section 145(b) of the DGCL.</w:t>
      </w:r>
    </w:p>
    <w:p>
      <w:pPr>
        <w:spacing w:after="0" w:line="190" w:lineRule="exact"/>
        <w:rPr>
          <w:sz w:val="20"/>
          <w:szCs w:val="20"/>
          <w:color w:val="auto"/>
        </w:rPr>
      </w:pPr>
    </w:p>
    <w:p>
      <w:pPr>
        <w:ind w:firstLine="864"/>
        <w:spacing w:after="0" w:line="271" w:lineRule="auto"/>
        <w:rPr>
          <w:sz w:val="20"/>
          <w:szCs w:val="20"/>
          <w:color w:val="auto"/>
        </w:rPr>
      </w:pPr>
      <w:r>
        <w:rPr>
          <w:rFonts w:ascii="Arial" w:cs="Arial" w:eastAsia="Arial" w:hAnsi="Arial"/>
          <w:sz w:val="19"/>
          <w:szCs w:val="19"/>
          <w:color w:val="010000"/>
        </w:rPr>
        <w:t xml:space="preserve">Section 6.4 </w:t>
      </w:r>
      <w:r>
        <w:rPr>
          <w:rFonts w:ascii="Arial" w:cs="Arial" w:eastAsia="Arial" w:hAnsi="Arial"/>
          <w:sz w:val="19"/>
          <w:szCs w:val="19"/>
          <w:u w:val="single" w:color="auto"/>
          <w:color w:val="000000"/>
        </w:rPr>
        <w:t>Right of Indemnitee to Bring Suit</w:t>
      </w:r>
      <w:r>
        <w:rPr>
          <w:rFonts w:ascii="Arial" w:cs="Arial" w:eastAsia="Arial" w:hAnsi="Arial"/>
          <w:sz w:val="19"/>
          <w:szCs w:val="19"/>
          <w:color w:val="000000"/>
        </w:rPr>
        <w:t>. In the event that a determination is made that the indemnitee is</w:t>
      </w:r>
      <w:r>
        <w:rPr>
          <w:rFonts w:ascii="Arial" w:cs="Arial" w:eastAsia="Arial" w:hAnsi="Arial"/>
          <w:sz w:val="19"/>
          <w:szCs w:val="19"/>
          <w:color w:val="010000"/>
        </w:rPr>
        <w:t xml:space="preserve"> </w:t>
      </w:r>
      <w:r>
        <w:rPr>
          <w:rFonts w:ascii="Arial" w:cs="Arial" w:eastAsia="Arial" w:hAnsi="Arial"/>
          <w:sz w:val="19"/>
          <w:szCs w:val="19"/>
          <w:color w:val="000000"/>
        </w:rPr>
        <w:t>not entitled to indemnification or if payment is not timely made following a determination of entitlement to indemnification pursuant to Section 6.1(b), if a request for indemnification under Section 6.3 is not paid in full by the Corporation within 60 days after a written request has been received by the Secretary of the Corporation,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Section 145(a) or Section 145(b) of the DGCL. Further, in any suit brought by the Corporation to recover an advancement of expenses pursuant to the terms of an undertaking, the Corporation shall be entitled to recover such expenses upon a final adjudication that the indemnitee has not met any applicable standard 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67" w:name="page168"/>
    <w:bookmarkEnd w:id="167"/>
    <w:p>
      <w:pPr>
        <w:ind w:right="140"/>
        <w:spacing w:after="0" w:line="273" w:lineRule="auto"/>
        <w:rPr>
          <w:sz w:val="20"/>
          <w:szCs w:val="20"/>
          <w:color w:val="auto"/>
        </w:rPr>
      </w:pPr>
      <w:r>
        <w:rPr>
          <w:rFonts w:ascii="Arial" w:cs="Arial" w:eastAsia="Arial" w:hAnsi="Arial"/>
          <w:sz w:val="19"/>
          <w:szCs w:val="19"/>
          <w:color w:val="auto"/>
        </w:rPr>
        <w:t>conduct for indemnification set forth in Section 145(a) or Section 145(b) of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such applicable standard of conduct,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w:t>
      </w:r>
    </w:p>
    <w:p>
      <w:pPr>
        <w:spacing w:after="0" w:line="155" w:lineRule="exact"/>
        <w:rPr>
          <w:sz w:val="20"/>
          <w:szCs w:val="20"/>
          <w:color w:val="auto"/>
        </w:rPr>
      </w:pPr>
    </w:p>
    <w:p>
      <w:pPr>
        <w:ind w:right="260" w:firstLine="864"/>
        <w:spacing w:after="0" w:line="238" w:lineRule="auto"/>
        <w:rPr>
          <w:sz w:val="20"/>
          <w:szCs w:val="20"/>
          <w:color w:val="auto"/>
        </w:rPr>
      </w:pPr>
      <w:r>
        <w:rPr>
          <w:rFonts w:ascii="Arial" w:cs="Arial" w:eastAsia="Arial" w:hAnsi="Arial"/>
          <w:sz w:val="22"/>
          <w:szCs w:val="22"/>
          <w:color w:val="010000"/>
        </w:rPr>
        <w:t xml:space="preserve">Section 6.5 </w:t>
      </w:r>
      <w:r>
        <w:rPr>
          <w:rFonts w:ascii="Arial" w:cs="Arial" w:eastAsia="Arial" w:hAnsi="Arial"/>
          <w:sz w:val="22"/>
          <w:szCs w:val="22"/>
          <w:u w:val="single" w:color="auto"/>
          <w:color w:val="000000"/>
        </w:rPr>
        <w:t>Non-Exclusivity of Rights</w:t>
      </w:r>
      <w:r>
        <w:rPr>
          <w:rFonts w:ascii="Arial" w:cs="Arial" w:eastAsia="Arial" w:hAnsi="Arial"/>
          <w:sz w:val="22"/>
          <w:szCs w:val="22"/>
          <w:color w:val="000000"/>
        </w:rPr>
        <w:t>. The rights to indemnification and to the advancement of expenses</w:t>
      </w:r>
      <w:r>
        <w:rPr>
          <w:rFonts w:ascii="Arial" w:cs="Arial" w:eastAsia="Arial" w:hAnsi="Arial"/>
          <w:sz w:val="22"/>
          <w:szCs w:val="22"/>
          <w:color w:val="010000"/>
        </w:rPr>
        <w:t xml:space="preserve"> </w:t>
      </w:r>
      <w:r>
        <w:rPr>
          <w:rFonts w:ascii="Arial" w:cs="Arial" w:eastAsia="Arial" w:hAnsi="Arial"/>
          <w:sz w:val="22"/>
          <w:szCs w:val="22"/>
          <w:color w:val="000000"/>
        </w:rPr>
        <w:t>conferred in this Article VI shall not be exclusive of any other right which any person may have or hereafter acquire under any law, agreement, vote of stockholders or disinterested directors, provisions of a certificate of incorporation or bylaws, or otherwise.</w:t>
      </w:r>
    </w:p>
    <w:p>
      <w:pPr>
        <w:spacing w:after="0" w:line="185"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010000"/>
        </w:rPr>
        <w:t xml:space="preserve">Section 6.6 </w:t>
      </w:r>
      <w:r>
        <w:rPr>
          <w:rFonts w:ascii="Arial" w:cs="Arial" w:eastAsia="Arial" w:hAnsi="Arial"/>
          <w:sz w:val="22"/>
          <w:szCs w:val="22"/>
          <w:u w:val="single" w:color="auto"/>
          <w:color w:val="000000"/>
        </w:rPr>
        <w:t>Insurance</w:t>
      </w:r>
      <w:r>
        <w:rPr>
          <w:rFonts w:ascii="Arial" w:cs="Arial" w:eastAsia="Arial" w:hAnsi="Arial"/>
          <w:sz w:val="22"/>
          <w:szCs w:val="22"/>
          <w:color w:val="000000"/>
        </w:rPr>
        <w:t>. The Corporation may maintain insurance, at its expense, to protect itself and any director,</w:t>
      </w:r>
      <w:r>
        <w:rPr>
          <w:rFonts w:ascii="Arial" w:cs="Arial" w:eastAsia="Arial" w:hAnsi="Arial"/>
          <w:sz w:val="22"/>
          <w:szCs w:val="22"/>
          <w:color w:val="010000"/>
        </w:rPr>
        <w:t xml:space="preserve"> </w:t>
      </w:r>
      <w:r>
        <w:rPr>
          <w:rFonts w:ascii="Arial" w:cs="Arial" w:eastAsia="Arial" w:hAnsi="Arial"/>
          <w:sz w:val="22"/>
          <w:szCs w:val="22"/>
          <w:color w:val="000000"/>
        </w:rPr>
        <w:t>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5" w:lineRule="exact"/>
        <w:rPr>
          <w:sz w:val="20"/>
          <w:szCs w:val="20"/>
          <w:color w:val="auto"/>
        </w:rPr>
      </w:pPr>
    </w:p>
    <w:p>
      <w:pPr>
        <w:ind w:right="240" w:firstLine="864"/>
        <w:spacing w:after="0"/>
        <w:rPr>
          <w:sz w:val="20"/>
          <w:szCs w:val="20"/>
          <w:color w:val="auto"/>
        </w:rPr>
      </w:pPr>
      <w:r>
        <w:rPr>
          <w:rFonts w:ascii="Arial" w:cs="Arial" w:eastAsia="Arial" w:hAnsi="Arial"/>
          <w:sz w:val="22"/>
          <w:szCs w:val="22"/>
          <w:color w:val="010000"/>
        </w:rPr>
        <w:t xml:space="preserve">Section 6.7 </w:t>
      </w:r>
      <w:r>
        <w:rPr>
          <w:rFonts w:ascii="Arial" w:cs="Arial" w:eastAsia="Arial" w:hAnsi="Arial"/>
          <w:sz w:val="22"/>
          <w:szCs w:val="22"/>
          <w:u w:val="single" w:color="auto"/>
          <w:color w:val="000000"/>
        </w:rPr>
        <w:t>Indemnification of Employees and Agents of the Corporation</w:t>
      </w:r>
      <w:r>
        <w:rPr>
          <w:rFonts w:ascii="Arial" w:cs="Arial" w:eastAsia="Arial" w:hAnsi="Arial"/>
          <w:sz w:val="22"/>
          <w:szCs w:val="22"/>
          <w:color w:val="000000"/>
        </w:rPr>
        <w:t>. The Corporation may, to the extent</w:t>
      </w:r>
      <w:r>
        <w:rPr>
          <w:rFonts w:ascii="Arial" w:cs="Arial" w:eastAsia="Arial" w:hAnsi="Arial"/>
          <w:sz w:val="22"/>
          <w:szCs w:val="22"/>
          <w:color w:val="010000"/>
        </w:rPr>
        <w:t xml:space="preserve"> </w:t>
      </w:r>
      <w:r>
        <w:rPr>
          <w:rFonts w:ascii="Arial" w:cs="Arial" w:eastAsia="Arial" w:hAnsi="Arial"/>
          <w:sz w:val="22"/>
          <w:szCs w:val="22"/>
          <w:color w:val="000000"/>
        </w:rPr>
        <w:t>and in the manner permitted by law, and to the extent authorized from time to time, grant rights to indemnification and to the advancement of expenses to any employee or agent of the Corporation.</w:t>
      </w:r>
    </w:p>
    <w:p>
      <w:pPr>
        <w:spacing w:after="0" w:line="186" w:lineRule="exact"/>
        <w:rPr>
          <w:sz w:val="20"/>
          <w:szCs w:val="20"/>
          <w:color w:val="auto"/>
        </w:rPr>
      </w:pPr>
    </w:p>
    <w:p>
      <w:pPr>
        <w:ind w:right="180" w:firstLine="864"/>
        <w:spacing w:after="0" w:line="235" w:lineRule="auto"/>
        <w:rPr>
          <w:sz w:val="20"/>
          <w:szCs w:val="20"/>
          <w:color w:val="auto"/>
        </w:rPr>
      </w:pPr>
      <w:r>
        <w:rPr>
          <w:rFonts w:ascii="Arial" w:cs="Arial" w:eastAsia="Arial" w:hAnsi="Arial"/>
          <w:sz w:val="22"/>
          <w:szCs w:val="22"/>
          <w:color w:val="010000"/>
        </w:rPr>
        <w:t xml:space="preserve">Section 6.8 </w:t>
      </w:r>
      <w:r>
        <w:rPr>
          <w:rFonts w:ascii="Arial" w:cs="Arial" w:eastAsia="Arial" w:hAnsi="Arial"/>
          <w:sz w:val="22"/>
          <w:szCs w:val="22"/>
          <w:u w:val="single" w:color="auto"/>
          <w:color w:val="000000"/>
        </w:rPr>
        <w:t>Nature of Rights</w:t>
      </w:r>
      <w:r>
        <w:rPr>
          <w:rFonts w:ascii="Arial" w:cs="Arial" w:eastAsia="Arial" w:hAnsi="Arial"/>
          <w:sz w:val="22"/>
          <w:szCs w:val="22"/>
          <w:color w:val="000000"/>
        </w:rPr>
        <w:t>. The rights conferred upon indemnitees in this Article VI shall be contract rights</w:t>
      </w:r>
      <w:r>
        <w:rPr>
          <w:rFonts w:ascii="Arial" w:cs="Arial" w:eastAsia="Arial" w:hAnsi="Arial"/>
          <w:sz w:val="22"/>
          <w:szCs w:val="22"/>
          <w:color w:val="010000"/>
        </w:rPr>
        <w:t xml:space="preserve"> </w:t>
      </w:r>
      <w:r>
        <w:rPr>
          <w:rFonts w:ascii="Arial" w:cs="Arial" w:eastAsia="Arial" w:hAnsi="Arial"/>
          <w:sz w:val="22"/>
          <w:szCs w:val="22"/>
          <w:color w:val="000000"/>
        </w:rPr>
        <w:t>and such 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8" w:lineRule="exact"/>
        <w:rPr>
          <w:sz w:val="20"/>
          <w:szCs w:val="20"/>
          <w:color w:val="auto"/>
        </w:rPr>
      </w:pPr>
    </w:p>
    <w:p>
      <w:pPr>
        <w:ind w:right="140" w:firstLine="864"/>
        <w:spacing w:after="0" w:line="257" w:lineRule="auto"/>
        <w:rPr>
          <w:sz w:val="20"/>
          <w:szCs w:val="20"/>
          <w:color w:val="auto"/>
        </w:rPr>
      </w:pPr>
      <w:r>
        <w:rPr>
          <w:rFonts w:ascii="Arial" w:cs="Arial" w:eastAsia="Arial" w:hAnsi="Arial"/>
          <w:sz w:val="21"/>
          <w:szCs w:val="21"/>
          <w:color w:val="010000"/>
        </w:rPr>
        <w:t xml:space="preserve">Section 6.9 </w:t>
      </w:r>
      <w:r>
        <w:rPr>
          <w:rFonts w:ascii="Arial" w:cs="Arial" w:eastAsia="Arial" w:hAnsi="Arial"/>
          <w:sz w:val="21"/>
          <w:szCs w:val="21"/>
          <w:u w:val="single" w:color="auto"/>
          <w:color w:val="000000"/>
        </w:rPr>
        <w:t>Settlement of Claims</w:t>
      </w:r>
      <w:r>
        <w:rPr>
          <w:rFonts w:ascii="Arial" w:cs="Arial" w:eastAsia="Arial" w:hAnsi="Arial"/>
          <w:sz w:val="21"/>
          <w:szCs w:val="21"/>
          <w:color w:val="000000"/>
        </w:rPr>
        <w:t>. Notwithstanding anything in this Article VI to the contrary, the Corporation</w:t>
      </w:r>
      <w:r>
        <w:rPr>
          <w:rFonts w:ascii="Arial" w:cs="Arial" w:eastAsia="Arial" w:hAnsi="Arial"/>
          <w:sz w:val="21"/>
          <w:szCs w:val="21"/>
          <w:color w:val="010000"/>
        </w:rPr>
        <w:t xml:space="preserve"> </w:t>
      </w:r>
      <w:r>
        <w:rPr>
          <w:rFonts w:ascii="Arial" w:cs="Arial" w:eastAsia="Arial" w:hAnsi="Arial"/>
          <w:sz w:val="21"/>
          <w:szCs w:val="21"/>
          <w:color w:val="000000"/>
        </w:rPr>
        <w:t>shall not be liable to indemnify any indemnitee under this Article VI for any amounts paid in settlement of any proceeding effected without the Corporation’s written consent, which consent shall not be unreasonably withheld.</w:t>
      </w:r>
    </w:p>
    <w:p>
      <w:pPr>
        <w:spacing w:after="0" w:line="169"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010000"/>
        </w:rPr>
        <w:t xml:space="preserve">Section 6.10 </w:t>
      </w:r>
      <w:r>
        <w:rPr>
          <w:rFonts w:ascii="Arial" w:cs="Arial" w:eastAsia="Arial" w:hAnsi="Arial"/>
          <w:sz w:val="22"/>
          <w:szCs w:val="22"/>
          <w:u w:val="single" w:color="auto"/>
          <w:color w:val="000000"/>
        </w:rPr>
        <w:t>Subrogation</w:t>
      </w:r>
      <w:r>
        <w:rPr>
          <w:rFonts w:ascii="Arial" w:cs="Arial" w:eastAsia="Arial" w:hAnsi="Arial"/>
          <w:sz w:val="22"/>
          <w:szCs w:val="22"/>
          <w:color w:val="000000"/>
        </w:rPr>
        <w:t>. In the event of payment under this Article VI, the Corporation shall be subrogated to</w:t>
      </w:r>
      <w:r>
        <w:rPr>
          <w:rFonts w:ascii="Arial" w:cs="Arial" w:eastAsia="Arial" w:hAnsi="Arial"/>
          <w:sz w:val="22"/>
          <w:szCs w:val="22"/>
          <w:color w:val="010000"/>
        </w:rPr>
        <w:t xml:space="preserve"> </w:t>
      </w:r>
      <w:r>
        <w:rPr>
          <w:rFonts w:ascii="Arial" w:cs="Arial" w:eastAsia="Arial" w:hAnsi="Arial"/>
          <w:sz w:val="22"/>
          <w:szCs w:val="22"/>
          <w:color w:val="000000"/>
        </w:rPr>
        <w:t>the extent of such payment to all of the rights of recovery of the indemnitee (excluding insurance obtained on the indemnitee’s own behalf), and the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68" w:name="page169"/>
    <w:bookmarkEnd w:id="168"/>
    <w:p>
      <w:pPr>
        <w:ind w:right="340"/>
        <w:spacing w:after="0" w:line="328" w:lineRule="auto"/>
        <w:rPr>
          <w:sz w:val="20"/>
          <w:szCs w:val="20"/>
          <w:color w:val="auto"/>
        </w:rPr>
      </w:pPr>
      <w:r>
        <w:rPr>
          <w:rFonts w:ascii="Arial" w:cs="Arial" w:eastAsia="Arial" w:hAnsi="Arial"/>
          <w:sz w:val="19"/>
          <w:szCs w:val="19"/>
          <w:color w:val="auto"/>
        </w:rPr>
        <w:t>indemnitee shall execute all papers required and shall do everything that may be necessary to secure such rights, including the execution of such documents necessary to enable the Corporation effectively to bring suit to enforce such rights.</w:t>
      </w:r>
    </w:p>
    <w:p>
      <w:pPr>
        <w:spacing w:after="0" w:line="105" w:lineRule="exact"/>
        <w:rPr>
          <w:sz w:val="20"/>
          <w:szCs w:val="20"/>
          <w:color w:val="auto"/>
        </w:rPr>
      </w:pPr>
    </w:p>
    <w:p>
      <w:pPr>
        <w:ind w:right="120" w:firstLine="864"/>
        <w:spacing w:after="0" w:line="274" w:lineRule="auto"/>
        <w:rPr>
          <w:sz w:val="20"/>
          <w:szCs w:val="20"/>
          <w:color w:val="auto"/>
        </w:rPr>
      </w:pPr>
      <w:r>
        <w:rPr>
          <w:rFonts w:ascii="Arial" w:cs="Arial" w:eastAsia="Arial" w:hAnsi="Arial"/>
          <w:sz w:val="19"/>
          <w:szCs w:val="19"/>
          <w:color w:val="010000"/>
        </w:rPr>
        <w:t xml:space="preserve">Section 6.11 </w:t>
      </w:r>
      <w:r>
        <w:rPr>
          <w:rFonts w:ascii="Arial" w:cs="Arial" w:eastAsia="Arial" w:hAnsi="Arial"/>
          <w:sz w:val="19"/>
          <w:szCs w:val="19"/>
          <w:u w:val="single" w:color="auto"/>
          <w:color w:val="000000"/>
        </w:rPr>
        <w:t>Severability</w:t>
      </w:r>
      <w:r>
        <w:rPr>
          <w:rFonts w:ascii="Arial" w:cs="Arial" w:eastAsia="Arial" w:hAnsi="Arial"/>
          <w:sz w:val="19"/>
          <w:szCs w:val="19"/>
          <w:color w:val="000000"/>
        </w:rPr>
        <w:t>. If any provision or provisions of this Article VI shall be held to be invalid, illegal or</w:t>
      </w:r>
      <w:r>
        <w:rPr>
          <w:rFonts w:ascii="Arial" w:cs="Arial" w:eastAsia="Arial" w:hAnsi="Arial"/>
          <w:sz w:val="19"/>
          <w:szCs w:val="19"/>
          <w:color w:val="010000"/>
        </w:rPr>
        <w:t xml:space="preserve"> </w:t>
      </w:r>
      <w:r>
        <w:rPr>
          <w:rFonts w:ascii="Arial" w:cs="Arial" w:eastAsia="Arial" w:hAnsi="Arial"/>
          <w:sz w:val="19"/>
          <w:szCs w:val="19"/>
          <w:color w:val="000000"/>
        </w:rPr>
        <w:t>unenforceable as applied to any person or entity or circumstance for any reason whatsoever, then, to the fullest extent permitted by law: (a) the validity, legality and enforceability of such provision in any other circumstance and of the remaining provisions of this Article VI (including, without limitation, all portions of any paragraph of this Article VI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Article VI.</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STOCK</w:t>
      </w:r>
    </w:p>
    <w:p>
      <w:pPr>
        <w:spacing w:after="0" w:line="188" w:lineRule="exact"/>
        <w:rPr>
          <w:sz w:val="20"/>
          <w:szCs w:val="20"/>
          <w:color w:val="auto"/>
        </w:rPr>
      </w:pPr>
    </w:p>
    <w:p>
      <w:pPr>
        <w:ind w:right="20" w:firstLine="864"/>
        <w:spacing w:after="0" w:line="244" w:lineRule="auto"/>
        <w:rPr>
          <w:sz w:val="20"/>
          <w:szCs w:val="20"/>
          <w:color w:val="auto"/>
        </w:rPr>
      </w:pPr>
      <w:r>
        <w:rPr>
          <w:rFonts w:ascii="Arial" w:cs="Arial" w:eastAsia="Arial" w:hAnsi="Arial"/>
          <w:sz w:val="21"/>
          <w:szCs w:val="21"/>
          <w:color w:val="010000"/>
        </w:rPr>
        <w:t xml:space="preserve">Section 7.1 </w:t>
      </w:r>
      <w:r>
        <w:rPr>
          <w:rFonts w:ascii="Arial" w:cs="Arial" w:eastAsia="Arial" w:hAnsi="Arial"/>
          <w:sz w:val="21"/>
          <w:szCs w:val="21"/>
          <w:u w:val="single" w:color="auto"/>
          <w:color w:val="000000"/>
        </w:rPr>
        <w:t>Certificates of Stock</w:t>
      </w:r>
      <w:r>
        <w:rPr>
          <w:rFonts w:ascii="Arial" w:cs="Arial" w:eastAsia="Arial" w:hAnsi="Arial"/>
          <w:sz w:val="21"/>
          <w:szCs w:val="21"/>
          <w:color w:val="000000"/>
        </w:rPr>
        <w:t>. The shares of the Corporation shall be represented by certificates;</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00"/>
        </w:rPr>
        <w:t>,</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however</w:t>
      </w:r>
      <w:r>
        <w:rPr>
          <w:rFonts w:ascii="Arial" w:cs="Arial" w:eastAsia="Arial" w:hAnsi="Arial"/>
          <w:sz w:val="21"/>
          <w:szCs w:val="21"/>
          <w:color w:val="000000"/>
        </w:rPr>
        <w:t>,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including, without limitation, the Chief Executive Officer, the Chief Operating Officer, the Chief Financial Officer, the Treasurer, the Controller, the Secretary, or an Assistant Treasurer or Assistant Secretary certifying the number of shares owned by such holder in the Corporation. Any or all such signatures may be facsimiles.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firstLine="864"/>
        <w:spacing w:after="0" w:line="271" w:lineRule="auto"/>
        <w:rPr>
          <w:sz w:val="20"/>
          <w:szCs w:val="20"/>
          <w:color w:val="auto"/>
        </w:rPr>
      </w:pPr>
      <w:r>
        <w:rPr>
          <w:rFonts w:ascii="Arial" w:cs="Arial" w:eastAsia="Arial" w:hAnsi="Arial"/>
          <w:sz w:val="19"/>
          <w:szCs w:val="19"/>
          <w:color w:val="010000"/>
        </w:rPr>
        <w:t xml:space="preserve">Section 7.2 </w:t>
      </w:r>
      <w:r>
        <w:rPr>
          <w:rFonts w:ascii="Arial" w:cs="Arial" w:eastAsia="Arial" w:hAnsi="Arial"/>
          <w:sz w:val="19"/>
          <w:szCs w:val="19"/>
          <w:u w:val="single" w:color="auto"/>
          <w:color w:val="000000"/>
        </w:rPr>
        <w:t>Special Designation on Certificates</w:t>
      </w:r>
      <w:r>
        <w:rPr>
          <w:rFonts w:ascii="Arial" w:cs="Arial" w:eastAsia="Arial" w:hAnsi="Arial"/>
          <w:sz w:val="19"/>
          <w:szCs w:val="19"/>
          <w:color w:val="000000"/>
        </w:rPr>
        <w:t>. If the Corporation is authorized to issue more than one class of</w:t>
      </w:r>
      <w:r>
        <w:rPr>
          <w:rFonts w:ascii="Arial" w:cs="Arial" w:eastAsia="Arial" w:hAnsi="Arial"/>
          <w:sz w:val="19"/>
          <w:szCs w:val="19"/>
          <w:color w:val="010000"/>
        </w:rPr>
        <w:t xml:space="preserve"> </w:t>
      </w:r>
      <w:r>
        <w:rPr>
          <w:rFonts w:ascii="Arial" w:cs="Arial" w:eastAsia="Arial" w:hAnsi="Arial"/>
          <w:sz w:val="19"/>
          <w:szCs w:val="19"/>
          <w:color w:val="000000"/>
        </w:rPr>
        <w:t xml:space="preserve">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7.2 or Section 151, 156, 202(a) or 218(a) of the DGCL or with respect to this Section 7.2 and Section 151 of the DGCL a statement that the Corporation will furnish without charge to each stockholder who so requests the powers, the designations, the preferences, and the relative, participating, optional or other special rights of each class of stock</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6" w:lineRule="exact"/>
        <w:rPr>
          <w:sz w:val="20"/>
          <w:szCs w:val="20"/>
          <w:color w:val="auto"/>
        </w:rPr>
      </w:pPr>
    </w:p>
    <w:p>
      <w:pPr>
        <w:ind w:right="140" w:firstLine="864"/>
        <w:spacing w:after="0" w:line="279" w:lineRule="auto"/>
        <w:rPr>
          <w:sz w:val="20"/>
          <w:szCs w:val="20"/>
          <w:color w:val="auto"/>
        </w:rPr>
      </w:pPr>
      <w:r>
        <w:rPr>
          <w:rFonts w:ascii="Arial" w:cs="Arial" w:eastAsia="Arial" w:hAnsi="Arial"/>
          <w:sz w:val="19"/>
          <w:szCs w:val="19"/>
          <w:color w:val="010000"/>
        </w:rPr>
        <w:t xml:space="preserve">Section 7.3 </w:t>
      </w:r>
      <w:r>
        <w:rPr>
          <w:rFonts w:ascii="Arial" w:cs="Arial" w:eastAsia="Arial" w:hAnsi="Arial"/>
          <w:sz w:val="19"/>
          <w:szCs w:val="19"/>
          <w:u w:val="single" w:color="auto"/>
          <w:color w:val="000000"/>
        </w:rPr>
        <w:t>Transfers of Stock</w:t>
      </w:r>
      <w:r>
        <w:rPr>
          <w:rFonts w:ascii="Arial" w:cs="Arial" w:eastAsia="Arial" w:hAnsi="Arial"/>
          <w:sz w:val="19"/>
          <w:szCs w:val="19"/>
          <w:color w:val="000000"/>
        </w:rPr>
        <w:t>. Transfers of shares of stock of the Corporation shall be made only on the books</w:t>
      </w:r>
      <w:r>
        <w:rPr>
          <w:rFonts w:ascii="Arial" w:cs="Arial" w:eastAsia="Arial" w:hAnsi="Arial"/>
          <w:sz w:val="19"/>
          <w:szCs w:val="19"/>
          <w:color w:val="010000"/>
        </w:rPr>
        <w:t xml:space="preserve"> </w:t>
      </w:r>
      <w:r>
        <w:rPr>
          <w:rFonts w:ascii="Arial" w:cs="Arial" w:eastAsia="Arial" w:hAnsi="Arial"/>
          <w:sz w:val="19"/>
          <w:szCs w:val="19"/>
          <w:color w:val="000000"/>
        </w:rPr>
        <w:t xml:space="preserve">of the 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the Corporation shall be entitled to recognize and enforce any lawful restriction on transfer.</w:t>
      </w:r>
    </w:p>
    <w:p>
      <w:pPr>
        <w:spacing w:after="0" w:line="150" w:lineRule="exact"/>
        <w:rPr>
          <w:sz w:val="20"/>
          <w:szCs w:val="20"/>
          <w:color w:val="auto"/>
        </w:rPr>
      </w:pPr>
    </w:p>
    <w:p>
      <w:pPr>
        <w:ind w:right="100" w:firstLine="864"/>
        <w:spacing w:after="0" w:line="246" w:lineRule="auto"/>
        <w:rPr>
          <w:sz w:val="20"/>
          <w:szCs w:val="20"/>
          <w:color w:val="auto"/>
        </w:rPr>
      </w:pPr>
      <w:r>
        <w:rPr>
          <w:rFonts w:ascii="Arial" w:cs="Arial" w:eastAsia="Arial" w:hAnsi="Arial"/>
          <w:sz w:val="21"/>
          <w:szCs w:val="21"/>
          <w:color w:val="010000"/>
        </w:rPr>
        <w:t xml:space="preserve">Section 7.4 </w:t>
      </w:r>
      <w:r>
        <w:rPr>
          <w:rFonts w:ascii="Arial" w:cs="Arial" w:eastAsia="Arial" w:hAnsi="Arial"/>
          <w:sz w:val="21"/>
          <w:szCs w:val="21"/>
          <w:u w:val="single" w:color="auto"/>
          <w:color w:val="000000"/>
        </w:rPr>
        <w:t>Lost Certificates</w:t>
      </w:r>
      <w:r>
        <w:rPr>
          <w:rFonts w:ascii="Arial" w:cs="Arial" w:eastAsia="Arial" w:hAnsi="Arial"/>
          <w:sz w:val="21"/>
          <w:szCs w:val="21"/>
          <w:color w:val="000000"/>
        </w:rPr>
        <w:t>. The Corporation may issue a new share certificate or uncertificated shares in the</w:t>
      </w:r>
      <w:r>
        <w:rPr>
          <w:rFonts w:ascii="Arial" w:cs="Arial" w:eastAsia="Arial" w:hAnsi="Arial"/>
          <w:sz w:val="21"/>
          <w:szCs w:val="21"/>
          <w:color w:val="010000"/>
        </w:rPr>
        <w:t xml:space="preserve"> </w:t>
      </w:r>
      <w:r>
        <w:rPr>
          <w:rFonts w:ascii="Arial" w:cs="Arial" w:eastAsia="Arial" w:hAnsi="Arial"/>
          <w:sz w:val="21"/>
          <w:szCs w:val="21"/>
          <w:color w:val="000000"/>
        </w:rPr>
        <w:t>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84"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010000"/>
        </w:rPr>
        <w:t xml:space="preserve">Section 7.5 </w:t>
      </w:r>
      <w:r>
        <w:rPr>
          <w:rFonts w:ascii="Arial" w:cs="Arial" w:eastAsia="Arial" w:hAnsi="Arial"/>
          <w:sz w:val="22"/>
          <w:szCs w:val="22"/>
          <w:u w:val="single" w:color="auto"/>
          <w:color w:val="000000"/>
        </w:rPr>
        <w:t>Registered Stockholders</w:t>
      </w:r>
      <w:r>
        <w:rPr>
          <w:rFonts w:ascii="Arial" w:cs="Arial" w:eastAsia="Arial" w:hAnsi="Arial"/>
          <w:sz w:val="22"/>
          <w:szCs w:val="22"/>
          <w:color w:val="000000"/>
        </w:rPr>
        <w:t>. The Corporation shall be entitled to recognize the exclusive right of a</w:t>
      </w:r>
      <w:r>
        <w:rPr>
          <w:rFonts w:ascii="Arial" w:cs="Arial" w:eastAsia="Arial" w:hAnsi="Arial"/>
          <w:sz w:val="22"/>
          <w:szCs w:val="22"/>
          <w:color w:val="010000"/>
        </w:rPr>
        <w:t xml:space="preserve"> </w:t>
      </w:r>
      <w:r>
        <w:rPr>
          <w:rFonts w:ascii="Arial" w:cs="Arial" w:eastAsia="Arial" w:hAnsi="Arial"/>
          <w:sz w:val="22"/>
          <w:szCs w:val="22"/>
          <w:color w:val="000000"/>
        </w:rPr>
        <w:t>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7.6</w:t>
      </w:r>
      <w:r>
        <w:rPr>
          <w:sz w:val="20"/>
          <w:szCs w:val="20"/>
          <w:color w:val="auto"/>
        </w:rPr>
        <w:tab/>
      </w:r>
      <w:r>
        <w:rPr>
          <w:rFonts w:ascii="Arial" w:cs="Arial" w:eastAsia="Arial" w:hAnsi="Arial"/>
          <w:sz w:val="19"/>
          <w:szCs w:val="19"/>
          <w:u w:val="single" w:color="auto"/>
          <w:color w:val="auto"/>
        </w:rPr>
        <w:t>Record Date for Determining Stockholders</w:t>
      </w:r>
      <w:r>
        <w:rPr>
          <w:rFonts w:ascii="Arial" w:cs="Arial" w:eastAsia="Arial" w:hAnsi="Arial"/>
          <w:sz w:val="19"/>
          <w:szCs w:val="19"/>
          <w:color w:val="auto"/>
        </w:rPr>
        <w:t>.</w:t>
      </w:r>
    </w:p>
    <w:p>
      <w:pPr>
        <w:spacing w:after="0" w:line="206" w:lineRule="exact"/>
        <w:rPr>
          <w:sz w:val="20"/>
          <w:szCs w:val="20"/>
          <w:color w:val="auto"/>
        </w:rPr>
      </w:pPr>
    </w:p>
    <w:p>
      <w:pPr>
        <w:ind w:right="40" w:firstLine="1735"/>
        <w:spacing w:after="0" w:line="235" w:lineRule="auto"/>
        <w:tabs>
          <w:tab w:leader="none" w:pos="2615"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0" w:name="page171"/>
    <w:bookmarkEnd w:id="170"/>
    <w:p>
      <w:pPr>
        <w:ind w:right="20"/>
        <w:spacing w:after="0" w:line="245" w:lineRule="auto"/>
        <w:rPr>
          <w:sz w:val="20"/>
          <w:szCs w:val="20"/>
          <w:color w:val="auto"/>
        </w:rPr>
      </w:pPr>
      <w:r>
        <w:rPr>
          <w:rFonts w:ascii="Arial" w:cs="Arial" w:eastAsia="Arial" w:hAnsi="Arial"/>
          <w:sz w:val="21"/>
          <w:szCs w:val="21"/>
          <w:color w:val="auto"/>
        </w:rPr>
        <w:t xml:space="preserve">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4" w:lineRule="exact"/>
        <w:rPr>
          <w:sz w:val="20"/>
          <w:szCs w:val="20"/>
          <w:color w:val="auto"/>
        </w:rPr>
      </w:pPr>
    </w:p>
    <w:p>
      <w:pPr>
        <w:ind w:firstLine="1735"/>
        <w:spacing w:after="0" w:line="234" w:lineRule="auto"/>
        <w:tabs>
          <w:tab w:leader="none" w:pos="2627"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90" w:lineRule="exact"/>
        <w:rPr>
          <w:rFonts w:ascii="Arial" w:cs="Arial" w:eastAsia="Arial" w:hAnsi="Arial"/>
          <w:sz w:val="22"/>
          <w:szCs w:val="22"/>
          <w:color w:val="010000"/>
        </w:rPr>
      </w:pPr>
    </w:p>
    <w:p>
      <w:pPr>
        <w:ind w:right="20" w:firstLine="1735"/>
        <w:spacing w:after="0" w:line="273" w:lineRule="auto"/>
        <w:tabs>
          <w:tab w:leader="none" w:pos="2615" w:val="left"/>
        </w:tabs>
        <w:numPr>
          <w:ilvl w:val="0"/>
          <w:numId w:val="88"/>
        </w:numPr>
        <w:rPr>
          <w:rFonts w:ascii="Arial" w:cs="Arial" w:eastAsia="Arial" w:hAnsi="Arial"/>
          <w:sz w:val="19"/>
          <w:szCs w:val="19"/>
          <w:color w:val="auto"/>
        </w:rPr>
      </w:pPr>
      <w:r>
        <w:rPr>
          <w:rFonts w:ascii="Arial" w:cs="Arial" w:eastAsia="Arial" w:hAnsi="Arial"/>
          <w:sz w:val="19"/>
          <w:szCs w:val="19"/>
          <w:color w:val="auto"/>
        </w:rPr>
        <w:t>Prior to the Triggering Event, unless otherwise restricted by the Certificate of Incorporation (including any Preferred Stock Designation),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express consent to corporate action without a meeting, when no prior action of the Board of Directors is required by law, shall be the first date on which a signed consent setting forth the action taken or proposed to be taken was delivered to the Corporation in accordance with Section 2.11. If no record date has been fixed by the Board of Directors, the record date for determining stockholders entitled to express consent to corporate action without a meeting, if prior action by the Board of Directors is required by law, shall be at the close of business on the day on which the Board of Directors adopts the resolution taking such prior action.</w:t>
      </w:r>
    </w:p>
    <w:p>
      <w:pPr>
        <w:spacing w:after="0" w:line="155" w:lineRule="exact"/>
        <w:rPr>
          <w:sz w:val="20"/>
          <w:szCs w:val="20"/>
          <w:color w:val="auto"/>
        </w:rPr>
      </w:pPr>
    </w:p>
    <w:p>
      <w:pPr>
        <w:ind w:right="140" w:firstLine="864"/>
        <w:spacing w:after="0"/>
        <w:rPr>
          <w:sz w:val="20"/>
          <w:szCs w:val="20"/>
          <w:color w:val="auto"/>
        </w:rPr>
      </w:pPr>
      <w:r>
        <w:rPr>
          <w:rFonts w:ascii="Arial" w:cs="Arial" w:eastAsia="Arial" w:hAnsi="Arial"/>
          <w:sz w:val="22"/>
          <w:szCs w:val="22"/>
          <w:color w:val="010000"/>
        </w:rPr>
        <w:t xml:space="preserve">Section 7.7 </w:t>
      </w:r>
      <w:r>
        <w:rPr>
          <w:rFonts w:ascii="Arial" w:cs="Arial" w:eastAsia="Arial" w:hAnsi="Arial"/>
          <w:sz w:val="22"/>
          <w:szCs w:val="22"/>
          <w:u w:val="single" w:color="auto"/>
          <w:color w:val="000000"/>
        </w:rPr>
        <w:t>Regulations</w:t>
      </w:r>
      <w:r>
        <w:rPr>
          <w:rFonts w:ascii="Arial" w:cs="Arial" w:eastAsia="Arial" w:hAnsi="Arial"/>
          <w:sz w:val="22"/>
          <w:szCs w:val="22"/>
          <w:color w:val="000000"/>
        </w:rPr>
        <w:t>. To the extent permitted by applicable law, the Board of Directors may make such</w:t>
      </w:r>
      <w:r>
        <w:rPr>
          <w:rFonts w:ascii="Arial" w:cs="Arial" w:eastAsia="Arial" w:hAnsi="Arial"/>
          <w:sz w:val="22"/>
          <w:szCs w:val="22"/>
          <w:color w:val="010000"/>
        </w:rPr>
        <w:t xml:space="preserve"> </w:t>
      </w:r>
      <w:r>
        <w:rPr>
          <w:rFonts w:ascii="Arial" w:cs="Arial" w:eastAsia="Arial" w:hAnsi="Arial"/>
          <w:sz w:val="22"/>
          <w:szCs w:val="22"/>
          <w:color w:val="000000"/>
        </w:rPr>
        <w:t>additional rules and regulations as it may deem expedient concerning the issue, transfer and registration of shares of stock of the Corporation.</w:t>
      </w:r>
    </w:p>
    <w:p>
      <w:pPr>
        <w:spacing w:after="0" w:line="186" w:lineRule="exact"/>
        <w:rPr>
          <w:sz w:val="20"/>
          <w:szCs w:val="20"/>
          <w:color w:val="auto"/>
        </w:rPr>
      </w:pPr>
    </w:p>
    <w:p>
      <w:pPr>
        <w:ind w:right="100" w:firstLine="864"/>
        <w:spacing w:after="0" w:line="252" w:lineRule="auto"/>
        <w:rPr>
          <w:sz w:val="20"/>
          <w:szCs w:val="20"/>
          <w:color w:val="auto"/>
        </w:rPr>
      </w:pPr>
      <w:r>
        <w:rPr>
          <w:rFonts w:ascii="Arial" w:cs="Arial" w:eastAsia="Arial" w:hAnsi="Arial"/>
          <w:sz w:val="21"/>
          <w:szCs w:val="21"/>
          <w:color w:val="010000"/>
        </w:rPr>
        <w:t xml:space="preserve">Section 7.8 </w:t>
      </w:r>
      <w:r>
        <w:rPr>
          <w:rFonts w:ascii="Arial" w:cs="Arial" w:eastAsia="Arial" w:hAnsi="Arial"/>
          <w:sz w:val="21"/>
          <w:szCs w:val="21"/>
          <w:u w:val="single" w:color="auto"/>
          <w:color w:val="000000"/>
        </w:rPr>
        <w:t>Waiver of Notice</w:t>
      </w:r>
      <w:r>
        <w:rPr>
          <w:rFonts w:ascii="Arial" w:cs="Arial" w:eastAsia="Arial" w:hAnsi="Arial"/>
          <w:sz w:val="21"/>
          <w:szCs w:val="21"/>
          <w:color w:val="000000"/>
        </w:rPr>
        <w:t>. Whenever notice is required to be given under any provision of the DGCL or the</w:t>
      </w:r>
      <w:r>
        <w:rPr>
          <w:rFonts w:ascii="Arial" w:cs="Arial" w:eastAsia="Arial" w:hAnsi="Arial"/>
          <w:sz w:val="21"/>
          <w:szCs w:val="21"/>
          <w:color w:val="010000"/>
        </w:rPr>
        <w:t xml:space="preserve"> </w:t>
      </w:r>
      <w:r>
        <w:rPr>
          <w:rFonts w:ascii="Arial" w:cs="Arial" w:eastAsia="Arial" w:hAnsi="Arial"/>
          <w:sz w:val="21"/>
          <w:szCs w:val="21"/>
          <w:color w:val="000000"/>
        </w:rPr>
        <w:t>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71" w:name="page172"/>
    <w:bookmarkEnd w:id="171"/>
    <w:p>
      <w:pPr>
        <w:ind w:right="120"/>
        <w:spacing w:after="0" w:line="236" w:lineRule="auto"/>
        <w:rPr>
          <w:sz w:val="20"/>
          <w:szCs w:val="20"/>
          <w:color w:val="auto"/>
        </w:rPr>
      </w:pPr>
      <w:r>
        <w:rPr>
          <w:rFonts w:ascii="Arial" w:cs="Arial" w:eastAsia="Arial" w:hAnsi="Arial"/>
          <w:sz w:val="22"/>
          <w:szCs w:val="22"/>
          <w:color w:val="auto"/>
        </w:rPr>
        <w:t>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MATTERS</w:t>
      </w:r>
    </w:p>
    <w:p>
      <w:pPr>
        <w:spacing w:after="0" w:line="188" w:lineRule="exact"/>
        <w:rPr>
          <w:sz w:val="20"/>
          <w:szCs w:val="20"/>
          <w:color w:val="auto"/>
        </w:rPr>
      </w:pPr>
    </w:p>
    <w:p>
      <w:pPr>
        <w:ind w:right="260" w:firstLine="864"/>
        <w:spacing w:after="0"/>
        <w:rPr>
          <w:sz w:val="20"/>
          <w:szCs w:val="20"/>
          <w:color w:val="auto"/>
        </w:rPr>
      </w:pPr>
      <w:r>
        <w:rPr>
          <w:rFonts w:ascii="Arial" w:cs="Arial" w:eastAsia="Arial" w:hAnsi="Arial"/>
          <w:sz w:val="22"/>
          <w:szCs w:val="22"/>
          <w:color w:val="010000"/>
        </w:rPr>
        <w:t xml:space="preserve">Section 8.1 </w:t>
      </w:r>
      <w:r>
        <w:rPr>
          <w:rFonts w:ascii="Arial" w:cs="Arial" w:eastAsia="Arial" w:hAnsi="Arial"/>
          <w:sz w:val="22"/>
          <w:szCs w:val="22"/>
          <w:u w:val="single" w:color="auto"/>
          <w:color w:val="000000"/>
        </w:rPr>
        <w:t>Fiscal Year</w:t>
      </w:r>
      <w:r>
        <w:rPr>
          <w:rFonts w:ascii="Arial" w:cs="Arial" w:eastAsia="Arial" w:hAnsi="Arial"/>
          <w:sz w:val="22"/>
          <w:szCs w:val="22"/>
          <w:color w:val="000000"/>
        </w:rPr>
        <w:t>. The fiscal year of the Corporation shall begin on the first day of January of each year</w:t>
      </w:r>
      <w:r>
        <w:rPr>
          <w:rFonts w:ascii="Arial" w:cs="Arial" w:eastAsia="Arial" w:hAnsi="Arial"/>
          <w:sz w:val="22"/>
          <w:szCs w:val="22"/>
          <w:color w:val="010000"/>
        </w:rPr>
        <w:t xml:space="preserve"> </w:t>
      </w:r>
      <w:r>
        <w:rPr>
          <w:rFonts w:ascii="Arial" w:cs="Arial" w:eastAsia="Arial" w:hAnsi="Arial"/>
          <w:sz w:val="22"/>
          <w:szCs w:val="22"/>
          <w:color w:val="000000"/>
        </w:rPr>
        <w:t>and end on the last day of December of the same year, or shall extend for such other 12 consecutive months as the Board of Directors may designate.</w:t>
      </w:r>
    </w:p>
    <w:p>
      <w:pPr>
        <w:spacing w:after="0" w:line="186" w:lineRule="exact"/>
        <w:rPr>
          <w:sz w:val="20"/>
          <w:szCs w:val="20"/>
          <w:color w:val="auto"/>
        </w:rPr>
      </w:pPr>
    </w:p>
    <w:p>
      <w:pPr>
        <w:ind w:right="380" w:firstLine="864"/>
        <w:spacing w:after="0" w:line="238" w:lineRule="auto"/>
        <w:rPr>
          <w:sz w:val="20"/>
          <w:szCs w:val="20"/>
          <w:color w:val="auto"/>
        </w:rPr>
      </w:pPr>
      <w:r>
        <w:rPr>
          <w:rFonts w:ascii="Arial" w:cs="Arial" w:eastAsia="Arial" w:hAnsi="Arial"/>
          <w:sz w:val="22"/>
          <w:szCs w:val="22"/>
          <w:color w:val="010000"/>
        </w:rPr>
        <w:t xml:space="preserve">Section 8.2 </w:t>
      </w:r>
      <w:r>
        <w:rPr>
          <w:rFonts w:ascii="Arial" w:cs="Arial" w:eastAsia="Arial" w:hAnsi="Arial"/>
          <w:sz w:val="22"/>
          <w:szCs w:val="22"/>
          <w:u w:val="single" w:color="auto"/>
          <w:color w:val="000000"/>
        </w:rPr>
        <w:t>Corporate Seal</w:t>
      </w:r>
      <w:r>
        <w:rPr>
          <w:rFonts w:ascii="Arial" w:cs="Arial" w:eastAsia="Arial" w:hAnsi="Arial"/>
          <w:sz w:val="22"/>
          <w:szCs w:val="22"/>
          <w:color w:val="000000"/>
        </w:rPr>
        <w:t>. The Board of Directors may provide a suitable seal, containing the name of the</w:t>
      </w:r>
      <w:r>
        <w:rPr>
          <w:rFonts w:ascii="Arial" w:cs="Arial" w:eastAsia="Arial" w:hAnsi="Arial"/>
          <w:sz w:val="22"/>
          <w:szCs w:val="22"/>
          <w:color w:val="010000"/>
        </w:rPr>
        <w:t xml:space="preserve"> </w:t>
      </w:r>
      <w:r>
        <w:rPr>
          <w:rFonts w:ascii="Arial" w:cs="Arial" w:eastAsia="Arial" w:hAnsi="Arial"/>
          <w:sz w:val="22"/>
          <w:szCs w:val="22"/>
          <w:color w:val="000000"/>
        </w:rPr>
        <w:t>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185"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010000"/>
        </w:rPr>
        <w:t xml:space="preserve">Section 8.3 </w:t>
      </w:r>
      <w:r>
        <w:rPr>
          <w:rFonts w:ascii="Arial" w:cs="Arial" w:eastAsia="Arial" w:hAnsi="Arial"/>
          <w:sz w:val="19"/>
          <w:szCs w:val="19"/>
          <w:u w:val="single" w:color="auto"/>
          <w:color w:val="000000"/>
        </w:rPr>
        <w:t>Reliance upon Books, Reports and Records</w:t>
      </w:r>
      <w:r>
        <w:rPr>
          <w:rFonts w:ascii="Arial" w:cs="Arial" w:eastAsia="Arial" w:hAnsi="Arial"/>
          <w:sz w:val="19"/>
          <w:szCs w:val="19"/>
          <w:color w:val="000000"/>
        </w:rPr>
        <w:t>. Each director and each member of any committee</w:t>
      </w:r>
      <w:r>
        <w:rPr>
          <w:rFonts w:ascii="Arial" w:cs="Arial" w:eastAsia="Arial" w:hAnsi="Arial"/>
          <w:sz w:val="19"/>
          <w:szCs w:val="19"/>
          <w:color w:val="010000"/>
        </w:rPr>
        <w:t xml:space="preserve"> </w:t>
      </w:r>
      <w:r>
        <w:rPr>
          <w:rFonts w:ascii="Arial" w:cs="Arial" w:eastAsia="Arial" w:hAnsi="Arial"/>
          <w:sz w:val="19"/>
          <w:szCs w:val="19"/>
          <w:color w:val="000000"/>
        </w:rPr>
        <w:t>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50" w:lineRule="exact"/>
        <w:rPr>
          <w:sz w:val="20"/>
          <w:szCs w:val="20"/>
          <w:color w:val="auto"/>
        </w:rPr>
      </w:pPr>
    </w:p>
    <w:p>
      <w:pPr>
        <w:ind w:right="60" w:firstLine="864"/>
        <w:spacing w:after="0"/>
        <w:rPr>
          <w:sz w:val="20"/>
          <w:szCs w:val="20"/>
          <w:color w:val="auto"/>
        </w:rPr>
      </w:pPr>
      <w:r>
        <w:rPr>
          <w:rFonts w:ascii="Arial" w:cs="Arial" w:eastAsia="Arial" w:hAnsi="Arial"/>
          <w:sz w:val="22"/>
          <w:szCs w:val="22"/>
          <w:color w:val="010000"/>
        </w:rPr>
        <w:t xml:space="preserve">Section 8.4 </w:t>
      </w:r>
      <w:r>
        <w:rPr>
          <w:rFonts w:ascii="Arial" w:cs="Arial" w:eastAsia="Arial" w:hAnsi="Arial"/>
          <w:sz w:val="22"/>
          <w:szCs w:val="22"/>
          <w:u w:val="single" w:color="auto"/>
          <w:color w:val="000000"/>
        </w:rPr>
        <w:t>Subject to Law and Certificate of Incorporation</w:t>
      </w:r>
      <w:r>
        <w:rPr>
          <w:rFonts w:ascii="Arial" w:cs="Arial" w:eastAsia="Arial" w:hAnsi="Arial"/>
          <w:sz w:val="22"/>
          <w:szCs w:val="22"/>
          <w:color w:val="000000"/>
        </w:rPr>
        <w:t>. All powers, duties and responsibilities provided for</w:t>
      </w:r>
      <w:r>
        <w:rPr>
          <w:rFonts w:ascii="Arial" w:cs="Arial" w:eastAsia="Arial" w:hAnsi="Arial"/>
          <w:sz w:val="22"/>
          <w:szCs w:val="22"/>
          <w:color w:val="010000"/>
        </w:rPr>
        <w:t xml:space="preserve"> </w:t>
      </w:r>
      <w:r>
        <w:rPr>
          <w:rFonts w:ascii="Arial" w:cs="Arial" w:eastAsia="Arial" w:hAnsi="Arial"/>
          <w:sz w:val="22"/>
          <w:szCs w:val="22"/>
          <w:color w:val="000000"/>
        </w:rPr>
        <w:t>in these Bylaws, whether or not explicitly so qualified, are qualified by the Certificate of Incorporation (including any Preferred Stock Designation) and applicable law.</w:t>
      </w:r>
    </w:p>
    <w:p>
      <w:pPr>
        <w:spacing w:after="0" w:line="18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010000"/>
        </w:rPr>
        <w:t>Section 8.5</w:t>
      </w:r>
      <w:r>
        <w:rPr>
          <w:sz w:val="20"/>
          <w:szCs w:val="20"/>
          <w:color w:val="auto"/>
        </w:rPr>
        <w:tab/>
      </w:r>
      <w:r>
        <w:rPr>
          <w:rFonts w:ascii="Arial" w:cs="Arial" w:eastAsia="Arial" w:hAnsi="Arial"/>
          <w:sz w:val="19"/>
          <w:szCs w:val="19"/>
          <w:u w:val="single" w:color="auto"/>
          <w:color w:val="auto"/>
        </w:rPr>
        <w:t>Electronic Signatures, etc</w:t>
      </w:r>
      <w:r>
        <w:rPr>
          <w:rFonts w:ascii="Arial" w:cs="Arial" w:eastAsia="Arial" w:hAnsi="Arial"/>
          <w:sz w:val="19"/>
          <w:szCs w:val="19"/>
          <w:color w:val="auto"/>
        </w:rPr>
        <w:t>. Except as otherwise required by the Certificate of Incorporation</w:t>
      </w:r>
    </w:p>
    <w:p>
      <w:pPr>
        <w:spacing w:after="0" w:line="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(including as otherwise required by any Preferred Stock Designation) or these Bylaws (including, without limitation, as otherwise required by Section 2.14), any document, including, without limitation, any consent, agreement, certificate or instrument, required by the DGCL, the Certificate of Incorporation (including any Preferred Stock Designation)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2" w:name="page173"/>
    <w:bookmarkEnd w:id="172"/>
    <w:p>
      <w:pPr>
        <w:jc w:val="center"/>
        <w:ind w:right="-79"/>
        <w:spacing w:after="0"/>
        <w:rPr>
          <w:sz w:val="20"/>
          <w:szCs w:val="20"/>
          <w:color w:val="auto"/>
        </w:rPr>
      </w:pPr>
      <w:r>
        <w:rPr>
          <w:rFonts w:ascii="Arial" w:cs="Arial" w:eastAsia="Arial" w:hAnsi="Arial"/>
          <w:sz w:val="22"/>
          <w:szCs w:val="22"/>
          <w:b w:val="1"/>
          <w:bCs w:val="1"/>
          <w:color w:val="010000"/>
        </w:rPr>
        <w:t>ARTICLE IX</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color w:val="010000"/>
        </w:rPr>
        <w:t xml:space="preserve">Section 9.1 </w:t>
      </w:r>
      <w:r>
        <w:rPr>
          <w:rFonts w:ascii="Arial" w:cs="Arial" w:eastAsia="Arial" w:hAnsi="Arial"/>
          <w:sz w:val="19"/>
          <w:szCs w:val="19"/>
          <w:u w:val="single" w:color="auto"/>
          <w:color w:val="000000"/>
        </w:rPr>
        <w:t>Amendments</w:t>
      </w:r>
      <w:r>
        <w:rPr>
          <w:rFonts w:ascii="Arial" w:cs="Arial" w:eastAsia="Arial" w:hAnsi="Arial"/>
          <w:sz w:val="19"/>
          <w:szCs w:val="19"/>
          <w:color w:val="000000"/>
        </w:rPr>
        <w:t>. In furtherance and not in limitation of the powers conferred by the laws of the State</w:t>
      </w:r>
      <w:r>
        <w:rPr>
          <w:rFonts w:ascii="Arial" w:cs="Arial" w:eastAsia="Arial" w:hAnsi="Arial"/>
          <w:sz w:val="19"/>
          <w:szCs w:val="19"/>
          <w:color w:val="010000"/>
        </w:rPr>
        <w:t xml:space="preserve"> </w:t>
      </w:r>
      <w:r>
        <w:rPr>
          <w:rFonts w:ascii="Arial" w:cs="Arial" w:eastAsia="Arial" w:hAnsi="Arial"/>
          <w:sz w:val="19"/>
          <w:szCs w:val="19"/>
          <w:color w:val="000000"/>
        </w:rPr>
        <w:t>of Delaware, the Board of Directors is expressly authorized to adopt, amend or repeal these Bylaws. Except as otherwise provided in the Certificate of Incorporation (including the terms of any Preferred Stock Designation that provides for a greater or lesser vote) or these Bylaws, and in addition to any other vote required by law, the affirmative vote of at least 66⅔% of the voting power of the stock outstanding and entitled to vote thereon, voting together as a single class, shall be required for the stockholders to adopt, amend or repeal, or adopt any provision inconsistent with, any provision of these Bylaws.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foregoing Bylaws were adopted by the Board of Directors effective February 9, 2021.</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160"/>
          </w:cols>
          <w:pgMar w:left="320" w:top="544" w:right="419" w:bottom="1440" w:gutter="0" w:footer="0" w:header="0"/>
        </w:sectPr>
      </w:pPr>
    </w:p>
    <w:bookmarkStart w:id="173" w:name="page174"/>
    <w:bookmarkEnd w:id="173"/>
    <w:p>
      <w:pPr>
        <w:ind w:left="10400"/>
        <w:spacing w:after="0"/>
        <w:rPr>
          <w:sz w:val="20"/>
          <w:szCs w:val="20"/>
          <w:color w:val="auto"/>
        </w:rPr>
      </w:pPr>
      <w:r>
        <w:rPr>
          <w:rFonts w:ascii="Arial" w:cs="Arial" w:eastAsia="Arial" w:hAnsi="Arial"/>
          <w:sz w:val="16"/>
          <w:szCs w:val="16"/>
          <w:b w:val="1"/>
          <w:bCs w:val="1"/>
          <w:color w:val="auto"/>
        </w:rPr>
        <w:t>Exhibit 4.1</w:t>
      </w:r>
    </w:p>
    <w:p>
      <w:pPr>
        <w:spacing w:after="0" w:line="289" w:lineRule="exact"/>
        <w:rPr>
          <w:sz w:val="20"/>
          <w:szCs w:val="20"/>
          <w:color w:val="auto"/>
        </w:rPr>
      </w:pPr>
    </w:p>
    <w:p>
      <w:pPr>
        <w:ind w:left="4540" w:right="320" w:hanging="3615"/>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The following is a brief description of the material provisions of the capital stock of Viant Technology Inc. (“we,” “us,” “our,” and the “Company”). As of December 31, 2020, our Class A common stock is the only class of our securities registered pursuant to Section 12 of the Securities Exchange Act of 1934, as amended (the “Exchange Act”). The following description of our capital stock does not purport to be complete and is subject to and qualified in its entirety by our amended and restated certificate of incorporation and our amended and restated bylaws, each of which are filed as exhibits the Annual Report on Form 10-K, of which this exhibit is a part, and the applicable provisions of Delaware law. We encourage you to read our amended and restated certificate of incorporation and our amended and restated bylaws and the applicable provisions of Delaware law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Our authorized capital stock consists of 450,000,000 shares of Class A common stock, $0.001 par value per share (“Class A common stock”), 150,000,000 shares of Class B common stock, $0.001 par value per share (“Class B common stock”), and 10,000,000 shares of “blank check”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have two classes of common stock: Class A and Class B, each of which has one vote per share. Holders of our Class A common stock and Class B common stock vote together as a single class on all matters presented to our stockholders for their vote or approval, except as provided in our amended and restated certificate of incorporation or as otherwise required by applicable law. Pursuant to our amended and restated certificate of incorporation, we may not amend, alter, repeal or waive the provisions of our amended and restated certificate of incorporation that relate to the terms of our capital stock without the approval of the holders of a majority of the then outstanding shares of our Class B common stock, voting as a class. Holders of the Class A common stock and Class B common stock, as the case may be, would also have a separate class vote if we subdivide, combine or reclassify shares of the other class without concurrently subdividing, combining or reclassifying shares of such class in a proportional manner. Pursuant to the Delaware General Corporation Law (“DGCL”), the holders of the outstanding shares of a class shall be entitled to vote as a class upon a proposed amendment, whether or not entitled to vote thereon by the certificate of incorporation, if the amendment would increase or decrease the par value of the shares of such class or alter or change the powers, preferences, or special rights of the shares of such class so as to affect them adversely.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900" w:firstLine="589"/>
        <w:spacing w:after="0" w:line="277"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our Class A common stock are entitled to one vote for each share held of record on all matters submitted to a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Stockholders do not have the ability to cumulate votes for the election of directors.</w:t>
      </w:r>
    </w:p>
    <w:p>
      <w:pPr>
        <w:spacing w:after="0" w:line="170" w:lineRule="exact"/>
        <w:rPr>
          <w:sz w:val="20"/>
          <w:szCs w:val="20"/>
          <w:color w:val="auto"/>
        </w:rPr>
      </w:pPr>
    </w:p>
    <w:p>
      <w:pPr>
        <w:ind w:right="420" w:firstLine="589"/>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our Class A common stock are entitled to receive dividends when and if declared by our board of directors out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i w:val="1"/>
          <w:iCs w:val="1"/>
          <w:color w:val="auto"/>
        </w:rPr>
        <w:t>Dissolution and Liquidation</w:t>
      </w:r>
      <w:r>
        <w:rPr>
          <w:rFonts w:ascii="Arial" w:cs="Arial" w:eastAsia="Arial" w:hAnsi="Arial"/>
          <w:sz w:val="18"/>
          <w:szCs w:val="18"/>
          <w:color w:val="auto"/>
        </w:rPr>
        <w:t>. Upon our dissolution or liquidation or the sale of all or substantially all of our assets, after payment in full of all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Holders of our Class A common stock do not have preemptive, subscription, redemption or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4" w:name="page175"/>
    <w:bookmarkEnd w:id="174"/>
    <w:p>
      <w:pPr>
        <w:ind w:right="100" w:firstLine="589"/>
        <w:spacing w:after="0" w:line="255" w:lineRule="auto"/>
        <w:rPr>
          <w:sz w:val="20"/>
          <w:szCs w:val="20"/>
          <w:color w:val="auto"/>
        </w:rPr>
      </w:pPr>
      <w:r>
        <w:rPr>
          <w:rFonts w:ascii="Arial" w:cs="Arial" w:eastAsia="Arial" w:hAnsi="Arial"/>
          <w:sz w:val="18"/>
          <w:szCs w:val="18"/>
          <w:i w:val="1"/>
          <w:iCs w:val="1"/>
          <w:color w:val="auto"/>
        </w:rPr>
        <w:t>Issuance of Additional Class A Common Stock</w:t>
      </w:r>
      <w:r>
        <w:rPr>
          <w:rFonts w:ascii="Arial" w:cs="Arial" w:eastAsia="Arial" w:hAnsi="Arial"/>
          <w:sz w:val="18"/>
          <w:szCs w:val="18"/>
          <w:color w:val="auto"/>
        </w:rPr>
        <w:t>. We may issue additional shares of Class A common stock from time to time, subject to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amended and restated certificate of incorporation, amended and restated bylaws and Delaware law. We are obligated to issue Class A common stock (subject to the transfer and exchange restrictions set forth in the Viant Technology LLC Agreement) to Class B unitholders who exchange their Class B units of Viant Technology LLC for shares of our Class A common stock on a one-for-one basis (unless we elect to satisfy such exchange for cash). When a Class B unit is exchanged for a share of our Class A common stock, the corresponding share of our Class B common stock will automatically be retired.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840" w:firstLine="589"/>
        <w:spacing w:after="0" w:line="277"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our Class B common stock are entitled to one vote for each share held of record on all matters submitted to a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Stockholders do not have the ability to cumulate votes for the election of directors.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our Class B common stock are not entitled to dividends in respect of their shares of Class B common stock.</w:t>
      </w:r>
    </w:p>
    <w:p>
      <w:pPr>
        <w:spacing w:after="0" w:line="225"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i w:val="1"/>
          <w:iCs w:val="1"/>
          <w:color w:val="auto"/>
        </w:rPr>
        <w:t>Dissolution and Liquidation</w:t>
      </w:r>
      <w:r>
        <w:rPr>
          <w:rFonts w:ascii="Arial" w:cs="Arial" w:eastAsia="Arial" w:hAnsi="Arial"/>
          <w:sz w:val="18"/>
          <w:szCs w:val="18"/>
          <w:color w:val="auto"/>
        </w:rPr>
        <w:t>. Upon our dissolution or liquidation or the sale of all or substantially all of our assets, the holders of our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not be entitled to receive any distributions.</w:t>
      </w:r>
    </w:p>
    <w:p>
      <w:pPr>
        <w:spacing w:after="0" w:line="170"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i w:val="1"/>
          <w:iCs w:val="1"/>
          <w:color w:val="auto"/>
        </w:rPr>
        <w:t>No Preemptive Rights</w:t>
      </w:r>
      <w:r>
        <w:rPr>
          <w:rFonts w:ascii="Arial" w:cs="Arial" w:eastAsia="Arial" w:hAnsi="Arial"/>
          <w:sz w:val="16"/>
          <w:szCs w:val="16"/>
          <w:color w:val="auto"/>
        </w:rPr>
        <w:t>. Holders of our Class B common stock do not have preemptive, subscription, redemption or conversion rights.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subject to automatic retirement upon an exchange of a Class B unit of Viant Technology LLC for a share of Class A common stock.</w:t>
      </w:r>
    </w:p>
    <w:p>
      <w:pPr>
        <w:spacing w:after="0" w:line="12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i w:val="1"/>
          <w:iCs w:val="1"/>
          <w:color w:val="auto"/>
        </w:rPr>
        <w:t>Issuance of Additional Class B Common Stock</w:t>
      </w:r>
      <w:r>
        <w:rPr>
          <w:rFonts w:ascii="Arial" w:cs="Arial" w:eastAsia="Arial" w:hAnsi="Arial"/>
          <w:sz w:val="17"/>
          <w:szCs w:val="17"/>
          <w:color w:val="auto"/>
        </w:rPr>
        <w:t>. No additional issuance of shares of Class B common stock will occur, except to holders of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units as necessary to maintain a one-to-one ratio between the number of Class B units and the number of shares of Class B common stock outstanding, including in connection with a stock split, stock dividend, reclassification or similar transaction. In connection with an exchange of a Class B unit for Class A common stock, the corresponding share of Class B common stock will automatically be retired.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has the authority, without further action by the stockholders, to issue up to 10,000,000 shares of preferred stock. Our board of directors is able to issue preferred stock in one or more series and determine the rights, preferences, privileges, qualifications and restrictions granted to or imposed upon our preferred stock, including dividend rights, conversion rights, voting rights, rights and terms of redemption, liquidation preferences and sinking fund terms, any or all of which may be greater than the rights of our common stock. Issuances of preferred stock could adversely affect the voting power of holders of our common stock and reduce the likelihood that holders of our common stock will receive dividend payments and payments upon liquidation. Any issuance of preferred stock could also have the effect of decreasing the market price of our common stock and could delay, deter or prevent a change in control of our company. Our board of directors does not presently have any plans to issue shares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w:t>
      </w:r>
    </w:p>
    <w:p>
      <w:pPr>
        <w:spacing w:after="0" w:line="229"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Our governing documents limit the liability of, and require us to indemnify, our directors to the fullest extent permitted by the DGCL. The DGCL permits a corporation to limit or eliminate a director’s personal liability to the corporation or the holders of its capital stock for breaches of directors’ fiduciary duties as directors. This limitation is generally unavailable for acts or omissions by a director which (i) were not in good faith, (ii) 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Our amended and restated certificate of incorporation and amended and restated bylaws include provisions that eliminate, to the extent allowable under the DGCL, the personal liability of directors or officers for monetary damages for actions taken as a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75" w:name="page176"/>
    <w:bookmarkEnd w:id="175"/>
    <w:p>
      <w:pPr>
        <w:ind w:right="220"/>
        <w:spacing w:after="0" w:line="279" w:lineRule="auto"/>
        <w:rPr>
          <w:sz w:val="20"/>
          <w:szCs w:val="20"/>
          <w:color w:val="auto"/>
        </w:rPr>
      </w:pPr>
      <w:r>
        <w:rPr>
          <w:rFonts w:ascii="Arial" w:cs="Arial" w:eastAsia="Arial" w:hAnsi="Arial"/>
          <w:sz w:val="17"/>
          <w:szCs w:val="17"/>
          <w:color w:val="auto"/>
        </w:rPr>
        <w:t>officer, as the case may be. Our amended and restated certificate of incorporation and amended and restated bylaws also provide that we must indemnify and advance reasonable expenses to our directors and officers to the fullest extent authorized by the DGCL. We are also expressly authorized to carry directors’ and officers’ insurance for our directors, officers and certain employees for certain liabilities. We maintain insurance that insures our directors and officers against certain losses and which insures us against our obligations to indemnify the directors and officers.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is currently no pending litigation or proceeding involving any of our directors, officers or employees for which indemnification is being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sought.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Clause</w:t>
      </w:r>
    </w:p>
    <w:p>
      <w:pPr>
        <w:spacing w:after="0" w:line="229"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we select or consent in writing to the selection of another forum, the Court of Chancery of the State of Delaware (or, if the Court of Chancery does not have jurisdiction, another state court or a federal court located within the State of Delaware) shall be the exclusive forum for any “internal corporate claims,” as defined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 In addition, our amended and restated certificate of incorporation provides that the federal district courts of the United States will be the exclusive forum for resolving any complaint asserting a cause of action arising under the Securities Act of 1933, as amended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provisions does not apply to claims brought to enforce a duty or liability created by the Exchange Act.</w:t>
      </w:r>
    </w:p>
    <w:p>
      <w:pPr>
        <w:spacing w:after="0" w:line="17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is deemed to have notice of and consented to the foregoing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Takeover Statute</w:t>
      </w:r>
    </w:p>
    <w:p>
      <w:pPr>
        <w:spacing w:after="0" w:line="229"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prohibits a publicly 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 held by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to be Adopted and Delaware Law That May Have an Anti-Takeover Effect</w:t>
      </w:r>
    </w:p>
    <w:p>
      <w:pPr>
        <w:spacing w:after="0" w:line="229"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Provisions of the DGCL and our amended and restated certificate of incorporation and amended and restated bylaws could make it more difficult to acquire our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our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of directors to maximize stockholder value. However, these provisions may delay, deter or prevent a merger or acquisition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6" w:name="page177"/>
    <w:bookmarkEnd w:id="176"/>
    <w:p>
      <w:pPr>
        <w:ind w:right="420"/>
        <w:spacing w:after="0" w:line="277" w:lineRule="auto"/>
        <w:rPr>
          <w:sz w:val="20"/>
          <w:szCs w:val="20"/>
          <w:color w:val="auto"/>
        </w:rPr>
      </w:pPr>
      <w:r>
        <w:rPr>
          <w:rFonts w:ascii="Arial" w:cs="Arial" w:eastAsia="Arial" w:hAnsi="Arial"/>
          <w:sz w:val="18"/>
          <w:szCs w:val="18"/>
          <w:color w:val="auto"/>
        </w:rPr>
        <w:t>that a stockholder might consider is in its best interest, including those attempts that might result in a premium over the prevailing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of directors, with the classes as nearly equal in number as possible, designated Class I, Class II and Class III. Class I directors initially serve until the first annual meeting of stockholders following the effectiveness of our amended and restated certificate of incorporation; Class II directors initially serve until the second annual meeting of stockholders following the effectiveness of our amended and restated certificate of incorporation; and Class III directors shall initially serve until the third annual meeting of stockholders following the effectiveness of our amended and restated certificate of incorporation. Commencing with the first annual meeting of stockholders following the effectiveness of our amended and restated certificate of incorporation and ending with the third annual meeting of stockholders thereafter, directors of each class the term of which shall then expire shall be elected to hold office for a three-year term. The classification of directors has the effect of making it more difficult for stockholders to change the composition of our board of directors. Our amended and restated certificate of incorporation provides that the number of directors will be fixed from time to time exclusively pursuant to a resolution adopted by the board of directors, but must consist of not less than three nor more than eleven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25"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amended and restated certificate of incorporation and amended and restated bylaws provides that until Tim Vanderhook, Chris Vanderhook and Four Brothers 2 LLC cease to beneficially own a majority of the combined voting power of our common stock (the “Triggering Event”), any director may be removed with or without cause by the affirmative vote of a majority of our outstanding shares of common stock. Our amended and restated certificate of incorporation and amended and restated bylaws provides that after a Triggering Event, any director may only be removed for cause by the affirmative vote of at least 66 2/3% of the voting power of our outstanding shares of common stock. 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or our stockholders, provided that, after a Triggering Event, vacancies on our board of directors, whether resulting from an increase in the number of directors or the death, removal or resignation of a director, will be filled only by our board of directors and not by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DGCL provides that a stockholder’s right to vote cumulatively in the election of directors does not exist unless the certificate of incorporation specifically provides otherwise. Our amended and restated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 Nominations and Proposals</w:t>
      </w:r>
    </w:p>
    <w:p>
      <w:pPr>
        <w:spacing w:after="0" w:line="22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Our amended and restated bylaws provides that special meetings of the stockholders may be called only by or at the direction of the board of directors, the chairperson of our board or the chief executive officer with the concurrence of a majority of the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7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Our amended and restated bylaws allow the chairman of the meeting of stockholders to adopt rules and regulations for the conduct of meetings which may have the effect of precluding the conduct of certain business at a meeting if such rules and regulations are not followed. These provisions may also defer, delay or discourage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7" w:name="page178"/>
    <w:bookmarkEnd w:id="177"/>
    <w:p>
      <w:pPr>
        <w:ind w:right="440"/>
        <w:spacing w:after="0" w:line="277" w:lineRule="auto"/>
        <w:rPr>
          <w:sz w:val="20"/>
          <w:szCs w:val="20"/>
          <w:color w:val="auto"/>
        </w:rPr>
      </w:pPr>
      <w:r>
        <w:rPr>
          <w:rFonts w:ascii="Arial" w:cs="Arial" w:eastAsia="Arial" w:hAnsi="Arial"/>
          <w:sz w:val="18"/>
          <w:szCs w:val="18"/>
          <w:color w:val="auto"/>
        </w:rPr>
        <w:t>potential acquirer from conducting a solicitation of proxies to elect the acquirer’s own slate of directors or otherwise attempting to influence or obtain control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 for Amendments to Our Governing Documents</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Any amendment to our amended and restated certificate of incorporation will require the affirmative vote of at least 66 2/3% of the voting power of all shares of our common stock then outstanding. Our amended and restated certificate of incorporation and amended and restated bylaws provide that the board of directors is expressly authorized to adopt, amend or repeal our bylaws and that our stockholders may amend our bylaws only with the approval of at least 66 2/3% of the voting power of all shares of our common stock then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DGCL permits any action required to be taken at any annual or special meeting of the stockholders to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amended and restated certificate of incorporation and amended and restated bylaws precludes stockholder action by written consent after the date of the Triggering Event.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160" w:firstLine="589"/>
        <w:spacing w:after="0" w:line="271"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 without stockholder approval. The DGCL does not require stockholder approval for any issuance of authorized shares. However, the applicable stock exchange listing requirements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our company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stockholder investment may be adversely affected to the extent we pay the settlement costs and damage awards against directors and officers pursuant to these indemnification provisions.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Class A common stock is listed on Nasdaq under the symbol “DSP.”</w:t>
      </w:r>
    </w:p>
    <w:p>
      <w:pPr>
        <w:sectPr>
          <w:pgSz w:w="11900" w:h="16838" w:orient="portrait"/>
          <w:cols w:equalWidth="0" w:num="1">
            <w:col w:w="11220"/>
          </w:cols>
          <w:pgMar w:left="320" w:top="557" w:right="35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SECOND AMENDED AND RESTATED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LIMITED LIABILITY COMPANY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VIANT TECHNOLOGY LLC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 Delaware limited liability company</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315595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1049020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74"/>
        </w:trPr>
        <w:tc>
          <w:tcPr>
            <w:tcW w:w="10080" w:type="dxa"/>
            <w:vAlign w:val="bottom"/>
            <w:gridSpan w:val="2"/>
          </w:tcPr>
          <w:p>
            <w:pPr>
              <w:spacing w:after="0"/>
              <w:rPr>
                <w:sz w:val="20"/>
                <w:szCs w:val="20"/>
                <w:color w:val="auto"/>
              </w:rPr>
            </w:pPr>
            <w:r>
              <w:rPr>
                <w:rFonts w:ascii="Arial" w:cs="Arial" w:eastAsia="Arial" w:hAnsi="Arial"/>
                <w:sz w:val="22"/>
                <w:szCs w:val="22"/>
                <w:color w:val="auto"/>
              </w:rPr>
              <w:t>ARTICLE I GENERAL PROVISIONS</w:t>
            </w: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3"/>
        </w:trPr>
        <w:tc>
          <w:tcPr>
            <w:tcW w:w="2260" w:type="dxa"/>
            <w:vAlign w:val="bottom"/>
          </w:tcPr>
          <w:p>
            <w:pPr>
              <w:ind w:left="660"/>
              <w:spacing w:after="0"/>
              <w:rPr>
                <w:sz w:val="20"/>
                <w:szCs w:val="20"/>
                <w:color w:val="auto"/>
              </w:rPr>
            </w:pPr>
            <w:r>
              <w:rPr>
                <w:rFonts w:ascii="Arial" w:cs="Arial" w:eastAsia="Arial" w:hAnsi="Arial"/>
                <w:sz w:val="22"/>
                <w:szCs w:val="22"/>
                <w:color w:val="auto"/>
              </w:rPr>
              <w:t>Section 1.1</w:t>
            </w:r>
          </w:p>
        </w:tc>
        <w:tc>
          <w:tcPr>
            <w:tcW w:w="7820" w:type="dxa"/>
            <w:vAlign w:val="bottom"/>
          </w:tcPr>
          <w:p>
            <w:pPr>
              <w:ind w:left="520"/>
              <w:spacing w:after="0"/>
              <w:rPr>
                <w:sz w:val="20"/>
                <w:szCs w:val="20"/>
                <w:color w:val="auto"/>
              </w:rPr>
            </w:pPr>
            <w:r>
              <w:rPr>
                <w:rFonts w:ascii="Arial" w:cs="Arial" w:eastAsia="Arial" w:hAnsi="Arial"/>
                <w:sz w:val="22"/>
                <w:szCs w:val="22"/>
                <w:color w:val="auto"/>
              </w:rPr>
              <w:t>Formation and Continuation</w:t>
            </w: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1.2</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Name</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1.3</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Principal Place of Business; Other Places of Business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1.4</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Designated Agent for Service of Process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1.5</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Term</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1.6</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No State Law Partnership</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1.7</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Business Purpose</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1.8</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Powers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1.9</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Certificates; Filings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74"/>
        </w:trPr>
        <w:tc>
          <w:tcPr>
            <w:tcW w:w="2260" w:type="dxa"/>
            <w:vAlign w:val="bottom"/>
          </w:tcPr>
          <w:p>
            <w:pPr>
              <w:ind w:left="660"/>
              <w:spacing w:after="0"/>
              <w:rPr>
                <w:sz w:val="20"/>
                <w:szCs w:val="20"/>
                <w:color w:val="auto"/>
              </w:rPr>
            </w:pPr>
            <w:r>
              <w:rPr>
                <w:rFonts w:ascii="Arial" w:cs="Arial" w:eastAsia="Arial" w:hAnsi="Arial"/>
                <w:sz w:val="22"/>
                <w:szCs w:val="22"/>
                <w:color w:val="auto"/>
              </w:rPr>
              <w:t>Section 1.10</w:t>
            </w:r>
          </w:p>
        </w:tc>
        <w:tc>
          <w:tcPr>
            <w:tcW w:w="7820" w:type="dxa"/>
            <w:vAlign w:val="bottom"/>
          </w:tcPr>
          <w:p>
            <w:pPr>
              <w:ind w:left="520"/>
              <w:spacing w:after="0"/>
              <w:rPr>
                <w:sz w:val="20"/>
                <w:szCs w:val="20"/>
                <w:color w:val="auto"/>
              </w:rPr>
            </w:pPr>
            <w:r>
              <w:rPr>
                <w:rFonts w:ascii="Arial" w:cs="Arial" w:eastAsia="Arial" w:hAnsi="Arial"/>
                <w:sz w:val="22"/>
                <w:szCs w:val="22"/>
                <w:color w:val="auto"/>
              </w:rPr>
              <w:t>Representations and Warranties by the Members</w:t>
            </w:r>
          </w:p>
        </w:tc>
        <w:tc>
          <w:tcPr>
            <w:tcW w:w="11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auto"/>
              </w:rPr>
              <w:t>ARTICLE II UNITS; CAPITAL CONTRIBUTIONS</w:t>
            </w:r>
          </w:p>
        </w:tc>
        <w:tc>
          <w:tcPr>
            <w:tcW w:w="11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3"/>
        </w:trPr>
        <w:tc>
          <w:tcPr>
            <w:tcW w:w="2260" w:type="dxa"/>
            <w:vAlign w:val="bottom"/>
          </w:tcPr>
          <w:p>
            <w:pPr>
              <w:ind w:left="660"/>
              <w:spacing w:after="0"/>
              <w:rPr>
                <w:sz w:val="20"/>
                <w:szCs w:val="20"/>
                <w:color w:val="auto"/>
              </w:rPr>
            </w:pPr>
            <w:r>
              <w:rPr>
                <w:rFonts w:ascii="Arial" w:cs="Arial" w:eastAsia="Arial" w:hAnsi="Arial"/>
                <w:sz w:val="22"/>
                <w:szCs w:val="22"/>
                <w:color w:val="auto"/>
              </w:rPr>
              <w:t>Section 2.1</w:t>
            </w:r>
          </w:p>
        </w:tc>
        <w:tc>
          <w:tcPr>
            <w:tcW w:w="7820" w:type="dxa"/>
            <w:vAlign w:val="bottom"/>
          </w:tcPr>
          <w:p>
            <w:pPr>
              <w:ind w:left="520"/>
              <w:spacing w:after="0"/>
              <w:rPr>
                <w:sz w:val="20"/>
                <w:szCs w:val="20"/>
                <w:color w:val="auto"/>
              </w:rPr>
            </w:pPr>
            <w:r>
              <w:rPr>
                <w:rFonts w:ascii="Arial" w:cs="Arial" w:eastAsia="Arial" w:hAnsi="Arial"/>
                <w:sz w:val="22"/>
                <w:szCs w:val="22"/>
                <w:color w:val="auto"/>
              </w:rPr>
              <w:t>Units</w:t>
            </w:r>
          </w:p>
        </w:tc>
        <w:tc>
          <w:tcPr>
            <w:tcW w:w="11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2.2</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Capital Contributions of the Members; No Deficit Restoration Obligation</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2.3</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No Interest; No Return</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2.4</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Issuances of Additional Units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4"/>
        </w:trPr>
        <w:tc>
          <w:tcPr>
            <w:tcW w:w="2260" w:type="dxa"/>
            <w:vAlign w:val="bottom"/>
          </w:tcPr>
          <w:p>
            <w:pPr>
              <w:ind w:left="660"/>
              <w:spacing w:after="0"/>
              <w:rPr>
                <w:sz w:val="20"/>
                <w:szCs w:val="20"/>
                <w:color w:val="auto"/>
              </w:rPr>
            </w:pPr>
            <w:r>
              <w:rPr>
                <w:rFonts w:ascii="Arial" w:cs="Arial" w:eastAsia="Arial" w:hAnsi="Arial"/>
                <w:sz w:val="22"/>
                <w:szCs w:val="22"/>
                <w:color w:val="auto"/>
              </w:rPr>
              <w:t>Section 2.5</w:t>
            </w:r>
          </w:p>
        </w:tc>
        <w:tc>
          <w:tcPr>
            <w:tcW w:w="7820" w:type="dxa"/>
            <w:vAlign w:val="bottom"/>
          </w:tcPr>
          <w:p>
            <w:pPr>
              <w:ind w:left="520"/>
              <w:spacing w:after="0"/>
              <w:rPr>
                <w:sz w:val="20"/>
                <w:szCs w:val="20"/>
                <w:color w:val="auto"/>
              </w:rPr>
            </w:pPr>
            <w:r>
              <w:rPr>
                <w:rFonts w:ascii="Arial" w:cs="Arial" w:eastAsia="Arial" w:hAnsi="Arial"/>
                <w:sz w:val="22"/>
                <w:szCs w:val="22"/>
                <w:color w:val="auto"/>
              </w:rPr>
              <w:t>Additional Funds and Additional Capital Contributions</w:t>
            </w: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auto"/>
              </w:rPr>
              <w:t>ARTICLE III DISTRIBUTIONS</w:t>
            </w:r>
          </w:p>
        </w:tc>
        <w:tc>
          <w:tcPr>
            <w:tcW w:w="11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3"/>
        </w:trPr>
        <w:tc>
          <w:tcPr>
            <w:tcW w:w="2260" w:type="dxa"/>
            <w:vAlign w:val="bottom"/>
          </w:tcPr>
          <w:p>
            <w:pPr>
              <w:ind w:left="660"/>
              <w:spacing w:after="0"/>
              <w:rPr>
                <w:sz w:val="20"/>
                <w:szCs w:val="20"/>
                <w:color w:val="auto"/>
              </w:rPr>
            </w:pPr>
            <w:r>
              <w:rPr>
                <w:rFonts w:ascii="Arial" w:cs="Arial" w:eastAsia="Arial" w:hAnsi="Arial"/>
                <w:sz w:val="22"/>
                <w:szCs w:val="22"/>
                <w:color w:val="auto"/>
              </w:rPr>
              <w:t>Section 3.1</w:t>
            </w:r>
          </w:p>
        </w:tc>
        <w:tc>
          <w:tcPr>
            <w:tcW w:w="7820" w:type="dxa"/>
            <w:vAlign w:val="bottom"/>
          </w:tcPr>
          <w:p>
            <w:pPr>
              <w:ind w:left="520"/>
              <w:spacing w:after="0"/>
              <w:rPr>
                <w:sz w:val="20"/>
                <w:szCs w:val="20"/>
                <w:color w:val="auto"/>
              </w:rPr>
            </w:pPr>
            <w:r>
              <w:rPr>
                <w:rFonts w:ascii="Arial" w:cs="Arial" w:eastAsia="Arial" w:hAnsi="Arial"/>
                <w:sz w:val="22"/>
                <w:szCs w:val="22"/>
                <w:color w:val="auto"/>
              </w:rPr>
              <w:t>General Distributions</w:t>
            </w:r>
          </w:p>
        </w:tc>
        <w:tc>
          <w:tcPr>
            <w:tcW w:w="11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3.2</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Tax Distributions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3.3</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Distributions in Kind</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3.4</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Amounts Withheld</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3.5</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Distributions to Reflect Additional Units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74"/>
        </w:trPr>
        <w:tc>
          <w:tcPr>
            <w:tcW w:w="2260" w:type="dxa"/>
            <w:vAlign w:val="bottom"/>
          </w:tcPr>
          <w:p>
            <w:pPr>
              <w:ind w:left="660"/>
              <w:spacing w:after="0"/>
              <w:rPr>
                <w:sz w:val="20"/>
                <w:szCs w:val="20"/>
                <w:color w:val="auto"/>
              </w:rPr>
            </w:pPr>
            <w:r>
              <w:rPr>
                <w:rFonts w:ascii="Arial" w:cs="Arial" w:eastAsia="Arial" w:hAnsi="Arial"/>
                <w:sz w:val="22"/>
                <w:szCs w:val="22"/>
                <w:color w:val="auto"/>
              </w:rPr>
              <w:t>Section 3.6</w:t>
            </w:r>
          </w:p>
        </w:tc>
        <w:tc>
          <w:tcPr>
            <w:tcW w:w="7820" w:type="dxa"/>
            <w:vAlign w:val="bottom"/>
          </w:tcPr>
          <w:p>
            <w:pPr>
              <w:ind w:left="520"/>
              <w:spacing w:after="0"/>
              <w:rPr>
                <w:sz w:val="20"/>
                <w:szCs w:val="20"/>
                <w:color w:val="auto"/>
              </w:rPr>
            </w:pPr>
            <w:r>
              <w:rPr>
                <w:rFonts w:ascii="Arial" w:cs="Arial" w:eastAsia="Arial" w:hAnsi="Arial"/>
                <w:sz w:val="22"/>
                <w:szCs w:val="22"/>
                <w:color w:val="auto"/>
              </w:rPr>
              <w:t>Other Distribution Rules</w:t>
            </w:r>
          </w:p>
        </w:tc>
        <w:tc>
          <w:tcPr>
            <w:tcW w:w="11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auto"/>
              </w:rPr>
              <w:t>ARTICLE IV MANAGEMENT AND OPERATIONS</w:t>
            </w:r>
          </w:p>
        </w:tc>
        <w:tc>
          <w:tcPr>
            <w:tcW w:w="11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3"/>
        </w:trPr>
        <w:tc>
          <w:tcPr>
            <w:tcW w:w="2260" w:type="dxa"/>
            <w:vAlign w:val="bottom"/>
          </w:tcPr>
          <w:p>
            <w:pPr>
              <w:ind w:left="660"/>
              <w:spacing w:after="0"/>
              <w:rPr>
                <w:sz w:val="20"/>
                <w:szCs w:val="20"/>
                <w:color w:val="auto"/>
              </w:rPr>
            </w:pPr>
            <w:r>
              <w:rPr>
                <w:rFonts w:ascii="Arial" w:cs="Arial" w:eastAsia="Arial" w:hAnsi="Arial"/>
                <w:sz w:val="22"/>
                <w:szCs w:val="22"/>
                <w:color w:val="auto"/>
              </w:rPr>
              <w:t>Section 4.1</w:t>
            </w:r>
          </w:p>
        </w:tc>
        <w:tc>
          <w:tcPr>
            <w:tcW w:w="7820" w:type="dxa"/>
            <w:vAlign w:val="bottom"/>
          </w:tcPr>
          <w:p>
            <w:pPr>
              <w:ind w:left="520"/>
              <w:spacing w:after="0"/>
              <w:rPr>
                <w:sz w:val="20"/>
                <w:szCs w:val="20"/>
                <w:color w:val="auto"/>
              </w:rPr>
            </w:pPr>
            <w:r>
              <w:rPr>
                <w:rFonts w:ascii="Arial" w:cs="Arial" w:eastAsia="Arial" w:hAnsi="Arial"/>
                <w:sz w:val="22"/>
                <w:szCs w:val="22"/>
                <w:color w:val="auto"/>
              </w:rPr>
              <w:t>Management</w:t>
            </w:r>
          </w:p>
        </w:tc>
        <w:tc>
          <w:tcPr>
            <w:tcW w:w="118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4.2</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Tax Actions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4.3</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Compensation and Reimbursement of Managing Member</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4.4</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Outside Activities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4.5</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Transactions with Affiliates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4.6</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Limitation on Liability</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4"/>
        </w:trPr>
        <w:tc>
          <w:tcPr>
            <w:tcW w:w="2260" w:type="dxa"/>
            <w:vAlign w:val="bottom"/>
          </w:tcPr>
          <w:p>
            <w:pPr>
              <w:ind w:left="660"/>
              <w:spacing w:after="0"/>
              <w:rPr>
                <w:sz w:val="20"/>
                <w:szCs w:val="20"/>
                <w:color w:val="auto"/>
              </w:rPr>
            </w:pPr>
            <w:r>
              <w:rPr>
                <w:rFonts w:ascii="Arial" w:cs="Arial" w:eastAsia="Arial" w:hAnsi="Arial"/>
                <w:sz w:val="22"/>
                <w:szCs w:val="22"/>
                <w:color w:val="auto"/>
              </w:rPr>
              <w:t>Section 4.7</w:t>
            </w:r>
          </w:p>
        </w:tc>
        <w:tc>
          <w:tcPr>
            <w:tcW w:w="7820" w:type="dxa"/>
            <w:vAlign w:val="bottom"/>
          </w:tcPr>
          <w:p>
            <w:pPr>
              <w:ind w:left="520"/>
              <w:spacing w:after="0"/>
              <w:rPr>
                <w:sz w:val="20"/>
                <w:szCs w:val="20"/>
                <w:color w:val="auto"/>
              </w:rPr>
            </w:pPr>
            <w:r>
              <w:rPr>
                <w:rFonts w:ascii="Arial" w:cs="Arial" w:eastAsia="Arial" w:hAnsi="Arial"/>
                <w:sz w:val="22"/>
                <w:szCs w:val="22"/>
                <w:color w:val="auto"/>
              </w:rPr>
              <w:t>Indemnification</w:t>
            </w:r>
          </w:p>
        </w:tc>
        <w:tc>
          <w:tcPr>
            <w:tcW w:w="1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auto"/>
              </w:rPr>
              <w:t>ARTICLE V BOOKS AND RECORDS</w:t>
            </w:r>
          </w:p>
        </w:tc>
        <w:tc>
          <w:tcPr>
            <w:tcW w:w="1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3"/>
        </w:trPr>
        <w:tc>
          <w:tcPr>
            <w:tcW w:w="2260" w:type="dxa"/>
            <w:vAlign w:val="bottom"/>
          </w:tcPr>
          <w:p>
            <w:pPr>
              <w:ind w:left="660"/>
              <w:spacing w:after="0"/>
              <w:rPr>
                <w:sz w:val="20"/>
                <w:szCs w:val="20"/>
                <w:color w:val="auto"/>
              </w:rPr>
            </w:pPr>
            <w:r>
              <w:rPr>
                <w:rFonts w:ascii="Arial" w:cs="Arial" w:eastAsia="Arial" w:hAnsi="Arial"/>
                <w:sz w:val="22"/>
                <w:szCs w:val="22"/>
                <w:color w:val="auto"/>
              </w:rPr>
              <w:t>Section 5.1</w:t>
            </w:r>
          </w:p>
        </w:tc>
        <w:tc>
          <w:tcPr>
            <w:tcW w:w="7820" w:type="dxa"/>
            <w:vAlign w:val="bottom"/>
          </w:tcPr>
          <w:p>
            <w:pPr>
              <w:ind w:left="520"/>
              <w:spacing w:after="0"/>
              <w:rPr>
                <w:sz w:val="20"/>
                <w:szCs w:val="20"/>
                <w:color w:val="auto"/>
              </w:rPr>
            </w:pPr>
            <w:r>
              <w:rPr>
                <w:rFonts w:ascii="Arial" w:cs="Arial" w:eastAsia="Arial" w:hAnsi="Arial"/>
                <w:sz w:val="22"/>
                <w:szCs w:val="22"/>
                <w:color w:val="auto"/>
              </w:rPr>
              <w:t>Books and Records</w:t>
            </w:r>
          </w:p>
        </w:tc>
        <w:tc>
          <w:tcPr>
            <w:tcW w:w="1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5.2</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Financial Accounts</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2260" w:type="dxa"/>
            <w:vAlign w:val="bottom"/>
          </w:tcPr>
          <w:p>
            <w:pPr>
              <w:ind w:left="660"/>
              <w:spacing w:after="0" w:line="243" w:lineRule="exact"/>
              <w:rPr>
                <w:sz w:val="20"/>
                <w:szCs w:val="20"/>
                <w:color w:val="auto"/>
              </w:rPr>
            </w:pPr>
            <w:r>
              <w:rPr>
                <w:rFonts w:ascii="Arial" w:cs="Arial" w:eastAsia="Arial" w:hAnsi="Arial"/>
                <w:sz w:val="22"/>
                <w:szCs w:val="22"/>
                <w:color w:val="auto"/>
              </w:rPr>
              <w:t>Section 5.3</w:t>
            </w:r>
          </w:p>
        </w:tc>
        <w:tc>
          <w:tcPr>
            <w:tcW w:w="7820" w:type="dxa"/>
            <w:vAlign w:val="bottom"/>
          </w:tcPr>
          <w:p>
            <w:pPr>
              <w:ind w:left="520"/>
              <w:spacing w:after="0" w:line="243" w:lineRule="exact"/>
              <w:rPr>
                <w:sz w:val="20"/>
                <w:szCs w:val="20"/>
                <w:color w:val="auto"/>
              </w:rPr>
            </w:pPr>
            <w:r>
              <w:rPr>
                <w:rFonts w:ascii="Arial" w:cs="Arial" w:eastAsia="Arial" w:hAnsi="Arial"/>
                <w:sz w:val="22"/>
                <w:szCs w:val="22"/>
                <w:color w:val="auto"/>
              </w:rPr>
              <w:t>Inspection; Confidentiality</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4"/>
        </w:trPr>
        <w:tc>
          <w:tcPr>
            <w:tcW w:w="2260" w:type="dxa"/>
            <w:vAlign w:val="bottom"/>
          </w:tcPr>
          <w:p>
            <w:pPr>
              <w:ind w:left="660"/>
              <w:spacing w:after="0"/>
              <w:rPr>
                <w:sz w:val="20"/>
                <w:szCs w:val="20"/>
                <w:color w:val="auto"/>
              </w:rPr>
            </w:pPr>
            <w:r>
              <w:rPr>
                <w:rFonts w:ascii="Arial" w:cs="Arial" w:eastAsia="Arial" w:hAnsi="Arial"/>
                <w:sz w:val="22"/>
                <w:szCs w:val="22"/>
                <w:color w:val="auto"/>
              </w:rPr>
              <w:t>Section 5.4</w:t>
            </w:r>
          </w:p>
        </w:tc>
        <w:tc>
          <w:tcPr>
            <w:tcW w:w="7820" w:type="dxa"/>
            <w:vAlign w:val="bottom"/>
          </w:tcPr>
          <w:p>
            <w:pPr>
              <w:ind w:left="520"/>
              <w:spacing w:after="0"/>
              <w:rPr>
                <w:sz w:val="20"/>
                <w:szCs w:val="20"/>
                <w:color w:val="auto"/>
              </w:rPr>
            </w:pPr>
            <w:r>
              <w:rPr>
                <w:rFonts w:ascii="Arial" w:cs="Arial" w:eastAsia="Arial" w:hAnsi="Arial"/>
                <w:sz w:val="22"/>
                <w:szCs w:val="22"/>
                <w:color w:val="auto"/>
              </w:rPr>
              <w:t>Information to be Provided by Managing Member to Members</w:t>
            </w:r>
          </w:p>
        </w:tc>
        <w:tc>
          <w:tcPr>
            <w:tcW w:w="1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702"/>
        </w:trPr>
        <w:tc>
          <w:tcPr>
            <w:tcW w:w="2260" w:type="dxa"/>
            <w:vAlign w:val="bottom"/>
          </w:tcPr>
          <w:p>
            <w:pPr>
              <w:spacing w:after="0"/>
              <w:rPr>
                <w:sz w:val="24"/>
                <w:szCs w:val="24"/>
                <w:color w:val="auto"/>
              </w:rPr>
            </w:pPr>
          </w:p>
        </w:tc>
        <w:tc>
          <w:tcPr>
            <w:tcW w:w="7820" w:type="dxa"/>
            <w:vAlign w:val="bottom"/>
          </w:tcPr>
          <w:p>
            <w:pPr>
              <w:ind w:left="3320"/>
              <w:spacing w:after="0"/>
              <w:rPr>
                <w:sz w:val="20"/>
                <w:szCs w:val="20"/>
                <w:color w:val="auto"/>
              </w:rPr>
            </w:pPr>
            <w:r>
              <w:rPr>
                <w:rFonts w:ascii="Arial" w:cs="Arial" w:eastAsia="Arial" w:hAnsi="Arial"/>
                <w:sz w:val="22"/>
                <w:szCs w:val="22"/>
                <w:color w:val="auto"/>
              </w:rPr>
              <w:t>1</w:t>
            </w:r>
          </w:p>
        </w:tc>
        <w:tc>
          <w:tcPr>
            <w:tcW w:w="1180" w:type="dxa"/>
            <w:vAlign w:val="bottom"/>
          </w:tcPr>
          <w:p>
            <w:pPr>
              <w:spacing w:after="0"/>
              <w:rPr>
                <w:sz w:val="24"/>
                <w:szCs w:val="24"/>
                <w:color w:val="auto"/>
              </w:rPr>
            </w:pPr>
          </w:p>
        </w:tc>
      </w:tr>
      <w:tr>
        <w:trPr>
          <w:trHeight w:val="105"/>
        </w:trPr>
        <w:tc>
          <w:tcPr>
            <w:tcW w:w="226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47" w:right="3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w w:val="97"/>
              </w:rPr>
              <w:t>ARTICLE VI ALLOCATIONS</w:t>
            </w:r>
          </w:p>
        </w:tc>
        <w:tc>
          <w:tcPr>
            <w:tcW w:w="628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33"/>
        </w:trPr>
        <w:tc>
          <w:tcPr>
            <w:tcW w:w="2760" w:type="dxa"/>
            <w:vAlign w:val="bottom"/>
          </w:tcPr>
          <w:p>
            <w:pPr>
              <w:ind w:left="660"/>
              <w:spacing w:after="0"/>
              <w:rPr>
                <w:sz w:val="20"/>
                <w:szCs w:val="20"/>
                <w:color w:val="auto"/>
              </w:rPr>
            </w:pPr>
            <w:r>
              <w:rPr>
                <w:rFonts w:ascii="Arial" w:cs="Arial" w:eastAsia="Arial" w:hAnsi="Arial"/>
                <w:sz w:val="22"/>
                <w:szCs w:val="22"/>
                <w:color w:val="auto"/>
              </w:rPr>
              <w:t>Section 6.1</w:t>
            </w:r>
          </w:p>
        </w:tc>
        <w:tc>
          <w:tcPr>
            <w:tcW w:w="6280" w:type="dxa"/>
            <w:vAlign w:val="bottom"/>
          </w:tcPr>
          <w:p>
            <w:pPr>
              <w:ind w:left="20"/>
              <w:spacing w:after="0"/>
              <w:rPr>
                <w:sz w:val="20"/>
                <w:szCs w:val="20"/>
                <w:color w:val="auto"/>
              </w:rPr>
            </w:pPr>
            <w:r>
              <w:rPr>
                <w:rFonts w:ascii="Arial" w:cs="Arial" w:eastAsia="Arial" w:hAnsi="Arial"/>
                <w:sz w:val="22"/>
                <w:szCs w:val="22"/>
                <w:color w:val="auto"/>
              </w:rPr>
              <w:t>Allocations Generally.</w:t>
            </w:r>
          </w:p>
        </w:tc>
        <w:tc>
          <w:tcPr>
            <w:tcW w:w="22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6.2</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Priority Allocations.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auto"/>
              </w:rPr>
              <w:t>Section 6.3</w:t>
            </w:r>
          </w:p>
        </w:tc>
        <w:tc>
          <w:tcPr>
            <w:tcW w:w="6280" w:type="dxa"/>
            <w:vAlign w:val="bottom"/>
          </w:tcPr>
          <w:p>
            <w:pPr>
              <w:ind w:left="20"/>
              <w:spacing w:after="0"/>
              <w:rPr>
                <w:sz w:val="20"/>
                <w:szCs w:val="20"/>
                <w:color w:val="auto"/>
              </w:rPr>
            </w:pPr>
            <w:r>
              <w:rPr>
                <w:rFonts w:ascii="Arial" w:cs="Arial" w:eastAsia="Arial" w:hAnsi="Arial"/>
                <w:sz w:val="22"/>
                <w:szCs w:val="22"/>
                <w:color w:val="auto"/>
              </w:rPr>
              <w:t>Other Allocation Rules.</w:t>
            </w:r>
          </w:p>
        </w:tc>
        <w:tc>
          <w:tcPr>
            <w:tcW w:w="22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040" w:type="dxa"/>
            <w:vAlign w:val="bottom"/>
            <w:gridSpan w:val="2"/>
          </w:tcPr>
          <w:p>
            <w:pPr>
              <w:spacing w:after="0"/>
              <w:rPr>
                <w:sz w:val="20"/>
                <w:szCs w:val="20"/>
                <w:color w:val="auto"/>
              </w:rPr>
            </w:pPr>
            <w:r>
              <w:rPr>
                <w:rFonts w:ascii="Arial" w:cs="Arial" w:eastAsia="Arial" w:hAnsi="Arial"/>
                <w:sz w:val="22"/>
                <w:szCs w:val="22"/>
                <w:color w:val="auto"/>
              </w:rPr>
              <w:t>ARTICLE VII TAX MATTERS</w:t>
            </w:r>
          </w:p>
        </w:tc>
        <w:tc>
          <w:tcPr>
            <w:tcW w:w="22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33"/>
        </w:trPr>
        <w:tc>
          <w:tcPr>
            <w:tcW w:w="2760" w:type="dxa"/>
            <w:vAlign w:val="bottom"/>
          </w:tcPr>
          <w:p>
            <w:pPr>
              <w:ind w:left="660"/>
              <w:spacing w:after="0"/>
              <w:rPr>
                <w:sz w:val="20"/>
                <w:szCs w:val="20"/>
                <w:color w:val="auto"/>
              </w:rPr>
            </w:pPr>
            <w:r>
              <w:rPr>
                <w:rFonts w:ascii="Arial" w:cs="Arial" w:eastAsia="Arial" w:hAnsi="Arial"/>
                <w:sz w:val="22"/>
                <w:szCs w:val="22"/>
                <w:color w:val="auto"/>
              </w:rPr>
              <w:t>Section 7.1</w:t>
            </w:r>
          </w:p>
        </w:tc>
        <w:tc>
          <w:tcPr>
            <w:tcW w:w="6280" w:type="dxa"/>
            <w:vAlign w:val="bottom"/>
          </w:tcPr>
          <w:p>
            <w:pPr>
              <w:ind w:left="20"/>
              <w:spacing w:after="0"/>
              <w:rPr>
                <w:sz w:val="20"/>
                <w:szCs w:val="20"/>
                <w:color w:val="auto"/>
              </w:rPr>
            </w:pPr>
            <w:r>
              <w:rPr>
                <w:rFonts w:ascii="Arial" w:cs="Arial" w:eastAsia="Arial" w:hAnsi="Arial"/>
                <w:sz w:val="22"/>
                <w:szCs w:val="22"/>
                <w:color w:val="auto"/>
              </w:rPr>
              <w:t>Provision of Information</w:t>
            </w:r>
          </w:p>
        </w:tc>
        <w:tc>
          <w:tcPr>
            <w:tcW w:w="22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7.2</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Tax Elections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7.3</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Company Tax Returns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7.4</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Tax Representative</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7.5</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Tax Audits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7.6</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No Independent Actions or Inconsistent Positions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7.7</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United States Person</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7.8</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State, Local, and Non-U.S. Tax Law</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7.9</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Survival of Obligations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7.10</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Taxes Other Than U.S. Federal Income Taxes.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7.11</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Tax Classification</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7.12</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Accounting and Fiscal Year</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auto"/>
              </w:rPr>
              <w:t>Section 7.13</w:t>
            </w:r>
          </w:p>
        </w:tc>
        <w:tc>
          <w:tcPr>
            <w:tcW w:w="6280" w:type="dxa"/>
            <w:vAlign w:val="bottom"/>
          </w:tcPr>
          <w:p>
            <w:pPr>
              <w:ind w:left="20"/>
              <w:spacing w:after="0"/>
              <w:rPr>
                <w:sz w:val="20"/>
                <w:szCs w:val="20"/>
                <w:color w:val="auto"/>
              </w:rPr>
            </w:pPr>
            <w:r>
              <w:rPr>
                <w:rFonts w:ascii="Arial" w:cs="Arial" w:eastAsia="Arial" w:hAnsi="Arial"/>
                <w:sz w:val="22"/>
                <w:szCs w:val="22"/>
                <w:color w:val="auto"/>
              </w:rPr>
              <w:t>Capital Accounts</w:t>
            </w:r>
          </w:p>
        </w:tc>
        <w:tc>
          <w:tcPr>
            <w:tcW w:w="22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9040" w:type="dxa"/>
            <w:vAlign w:val="bottom"/>
            <w:gridSpan w:val="2"/>
          </w:tcPr>
          <w:p>
            <w:pPr>
              <w:spacing w:after="0"/>
              <w:rPr>
                <w:sz w:val="20"/>
                <w:szCs w:val="20"/>
                <w:color w:val="auto"/>
              </w:rPr>
            </w:pPr>
            <w:r>
              <w:rPr>
                <w:rFonts w:ascii="Arial" w:cs="Arial" w:eastAsia="Arial" w:hAnsi="Arial"/>
                <w:sz w:val="22"/>
                <w:szCs w:val="22"/>
                <w:color w:val="auto"/>
              </w:rPr>
              <w:t>ARTICLE VIII UNIT TRANSFERS AND MEMBER WITHDRAWALS</w:t>
            </w:r>
          </w:p>
        </w:tc>
        <w:tc>
          <w:tcPr>
            <w:tcW w:w="22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33"/>
        </w:trPr>
        <w:tc>
          <w:tcPr>
            <w:tcW w:w="2760" w:type="dxa"/>
            <w:vAlign w:val="bottom"/>
          </w:tcPr>
          <w:p>
            <w:pPr>
              <w:ind w:left="660"/>
              <w:spacing w:after="0"/>
              <w:rPr>
                <w:sz w:val="20"/>
                <w:szCs w:val="20"/>
                <w:color w:val="auto"/>
              </w:rPr>
            </w:pPr>
            <w:r>
              <w:rPr>
                <w:rFonts w:ascii="Arial" w:cs="Arial" w:eastAsia="Arial" w:hAnsi="Arial"/>
                <w:sz w:val="22"/>
                <w:szCs w:val="22"/>
                <w:color w:val="auto"/>
              </w:rPr>
              <w:t>Section 8.1</w:t>
            </w:r>
          </w:p>
        </w:tc>
        <w:tc>
          <w:tcPr>
            <w:tcW w:w="6280" w:type="dxa"/>
            <w:vAlign w:val="bottom"/>
          </w:tcPr>
          <w:p>
            <w:pPr>
              <w:ind w:left="20"/>
              <w:spacing w:after="0"/>
              <w:rPr>
                <w:sz w:val="20"/>
                <w:szCs w:val="20"/>
                <w:color w:val="auto"/>
              </w:rPr>
            </w:pPr>
            <w:r>
              <w:rPr>
                <w:rFonts w:ascii="Arial" w:cs="Arial" w:eastAsia="Arial" w:hAnsi="Arial"/>
                <w:sz w:val="22"/>
                <w:szCs w:val="22"/>
                <w:color w:val="auto"/>
              </w:rPr>
              <w:t>Transfer Generally Prohibited</w:t>
            </w:r>
          </w:p>
        </w:tc>
        <w:tc>
          <w:tcPr>
            <w:tcW w:w="22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8.2</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Conditions Generally Applicable to All Transfers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8.3</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Drag-Along Rights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8.4</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Substituted Members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8.5</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Company Right to Call Membership Interests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8.6</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Withdrawal</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8.7</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Restrictions on Termination Transactions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8.8</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Incapacity</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auto"/>
              </w:rPr>
              <w:t>Section 8.9</w:t>
            </w:r>
          </w:p>
        </w:tc>
        <w:tc>
          <w:tcPr>
            <w:tcW w:w="6280" w:type="dxa"/>
            <w:vAlign w:val="bottom"/>
          </w:tcPr>
          <w:p>
            <w:pPr>
              <w:ind w:left="20"/>
              <w:spacing w:after="0"/>
              <w:rPr>
                <w:sz w:val="20"/>
                <w:szCs w:val="20"/>
                <w:color w:val="auto"/>
              </w:rPr>
            </w:pPr>
            <w:r>
              <w:rPr>
                <w:rFonts w:ascii="Arial" w:cs="Arial" w:eastAsia="Arial" w:hAnsi="Arial"/>
                <w:sz w:val="22"/>
                <w:szCs w:val="22"/>
                <w:color w:val="auto"/>
              </w:rPr>
              <w:t>Withholding With Respect to a Transfer of Units</w:t>
            </w:r>
          </w:p>
        </w:tc>
        <w:tc>
          <w:tcPr>
            <w:tcW w:w="22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9040" w:type="dxa"/>
            <w:vAlign w:val="bottom"/>
            <w:gridSpan w:val="2"/>
          </w:tcPr>
          <w:p>
            <w:pPr>
              <w:spacing w:after="0"/>
              <w:rPr>
                <w:sz w:val="20"/>
                <w:szCs w:val="20"/>
                <w:color w:val="auto"/>
              </w:rPr>
            </w:pPr>
            <w:r>
              <w:rPr>
                <w:rFonts w:ascii="Arial" w:cs="Arial" w:eastAsia="Arial" w:hAnsi="Arial"/>
                <w:sz w:val="22"/>
                <w:szCs w:val="22"/>
                <w:color w:val="auto"/>
              </w:rPr>
              <w:t>ARTICLE IX ADMISSION OF MEMBERS</w:t>
            </w:r>
          </w:p>
        </w:tc>
        <w:tc>
          <w:tcPr>
            <w:tcW w:w="22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33"/>
        </w:trPr>
        <w:tc>
          <w:tcPr>
            <w:tcW w:w="2760" w:type="dxa"/>
            <w:vAlign w:val="bottom"/>
          </w:tcPr>
          <w:p>
            <w:pPr>
              <w:ind w:left="660"/>
              <w:spacing w:after="0"/>
              <w:rPr>
                <w:sz w:val="20"/>
                <w:szCs w:val="20"/>
                <w:color w:val="auto"/>
              </w:rPr>
            </w:pPr>
            <w:r>
              <w:rPr>
                <w:rFonts w:ascii="Arial" w:cs="Arial" w:eastAsia="Arial" w:hAnsi="Arial"/>
                <w:sz w:val="22"/>
                <w:szCs w:val="22"/>
                <w:color w:val="auto"/>
              </w:rPr>
              <w:t>Section 9.1</w:t>
            </w:r>
          </w:p>
        </w:tc>
        <w:tc>
          <w:tcPr>
            <w:tcW w:w="6280" w:type="dxa"/>
            <w:vAlign w:val="bottom"/>
          </w:tcPr>
          <w:p>
            <w:pPr>
              <w:ind w:left="20"/>
              <w:spacing w:after="0"/>
              <w:rPr>
                <w:sz w:val="20"/>
                <w:szCs w:val="20"/>
                <w:color w:val="auto"/>
              </w:rPr>
            </w:pPr>
            <w:r>
              <w:rPr>
                <w:rFonts w:ascii="Arial" w:cs="Arial" w:eastAsia="Arial" w:hAnsi="Arial"/>
                <w:sz w:val="22"/>
                <w:szCs w:val="22"/>
                <w:color w:val="auto"/>
              </w:rPr>
              <w:t>Members; Admission of Additional Members</w:t>
            </w:r>
          </w:p>
        </w:tc>
        <w:tc>
          <w:tcPr>
            <w:tcW w:w="22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auto"/>
              </w:rPr>
              <w:t>Section 9.2</w:t>
            </w:r>
          </w:p>
        </w:tc>
        <w:tc>
          <w:tcPr>
            <w:tcW w:w="6280" w:type="dxa"/>
            <w:vAlign w:val="bottom"/>
          </w:tcPr>
          <w:p>
            <w:pPr>
              <w:ind w:left="20"/>
              <w:spacing w:after="0"/>
              <w:rPr>
                <w:sz w:val="20"/>
                <w:szCs w:val="20"/>
                <w:color w:val="auto"/>
              </w:rPr>
            </w:pPr>
            <w:r>
              <w:rPr>
                <w:rFonts w:ascii="Arial" w:cs="Arial" w:eastAsia="Arial" w:hAnsi="Arial"/>
                <w:sz w:val="22"/>
                <w:szCs w:val="22"/>
                <w:color w:val="auto"/>
              </w:rPr>
              <w:t>Limit on Number of Members</w:t>
            </w:r>
          </w:p>
        </w:tc>
        <w:tc>
          <w:tcPr>
            <w:tcW w:w="22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9040" w:type="dxa"/>
            <w:vAlign w:val="bottom"/>
            <w:gridSpan w:val="2"/>
          </w:tcPr>
          <w:p>
            <w:pPr>
              <w:spacing w:after="0"/>
              <w:rPr>
                <w:sz w:val="20"/>
                <w:szCs w:val="20"/>
                <w:color w:val="auto"/>
              </w:rPr>
            </w:pPr>
            <w:r>
              <w:rPr>
                <w:rFonts w:ascii="Arial" w:cs="Arial" w:eastAsia="Arial" w:hAnsi="Arial"/>
                <w:sz w:val="22"/>
                <w:szCs w:val="22"/>
                <w:color w:val="auto"/>
              </w:rPr>
              <w:t>ARTICLE X DISSOLUTION, LIQUIDATION AND TERMINATION</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3"/>
        </w:trPr>
        <w:tc>
          <w:tcPr>
            <w:tcW w:w="2760" w:type="dxa"/>
            <w:vAlign w:val="bottom"/>
          </w:tcPr>
          <w:p>
            <w:pPr>
              <w:ind w:left="660"/>
              <w:spacing w:after="0"/>
              <w:rPr>
                <w:sz w:val="20"/>
                <w:szCs w:val="20"/>
                <w:color w:val="auto"/>
              </w:rPr>
            </w:pPr>
            <w:r>
              <w:rPr>
                <w:rFonts w:ascii="Arial" w:cs="Arial" w:eastAsia="Arial" w:hAnsi="Arial"/>
                <w:sz w:val="22"/>
                <w:szCs w:val="22"/>
                <w:color w:val="auto"/>
              </w:rPr>
              <w:t>Section 10.1</w:t>
            </w:r>
          </w:p>
        </w:tc>
        <w:tc>
          <w:tcPr>
            <w:tcW w:w="6280" w:type="dxa"/>
            <w:vAlign w:val="bottom"/>
          </w:tcPr>
          <w:p>
            <w:pPr>
              <w:ind w:left="20"/>
              <w:spacing w:after="0"/>
              <w:rPr>
                <w:sz w:val="20"/>
                <w:szCs w:val="20"/>
                <w:color w:val="auto"/>
              </w:rPr>
            </w:pPr>
            <w:r>
              <w:rPr>
                <w:rFonts w:ascii="Arial" w:cs="Arial" w:eastAsia="Arial" w:hAnsi="Arial"/>
                <w:sz w:val="22"/>
                <w:szCs w:val="22"/>
                <w:color w:val="auto"/>
              </w:rPr>
              <w:t>Dissolution Generally</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10.2</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Events Causing Dissolution</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10.3</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Distribution upon Dissolution</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760" w:type="dxa"/>
            <w:vAlign w:val="bottom"/>
          </w:tcPr>
          <w:p>
            <w:pPr>
              <w:ind w:left="660"/>
              <w:spacing w:after="0" w:line="243" w:lineRule="exact"/>
              <w:rPr>
                <w:sz w:val="20"/>
                <w:szCs w:val="20"/>
                <w:color w:val="auto"/>
              </w:rPr>
            </w:pPr>
            <w:r>
              <w:rPr>
                <w:rFonts w:ascii="Arial" w:cs="Arial" w:eastAsia="Arial" w:hAnsi="Arial"/>
                <w:sz w:val="22"/>
                <w:szCs w:val="22"/>
                <w:color w:val="auto"/>
              </w:rPr>
              <w:t>Section 10.4</w:t>
            </w:r>
          </w:p>
        </w:tc>
        <w:tc>
          <w:tcPr>
            <w:tcW w:w="6280" w:type="dxa"/>
            <w:vAlign w:val="bottom"/>
          </w:tcPr>
          <w:p>
            <w:pPr>
              <w:ind w:left="20"/>
              <w:spacing w:after="0" w:line="243" w:lineRule="exact"/>
              <w:rPr>
                <w:sz w:val="20"/>
                <w:szCs w:val="20"/>
                <w:color w:val="auto"/>
              </w:rPr>
            </w:pPr>
            <w:r>
              <w:rPr>
                <w:rFonts w:ascii="Arial" w:cs="Arial" w:eastAsia="Arial" w:hAnsi="Arial"/>
                <w:sz w:val="22"/>
                <w:szCs w:val="22"/>
                <w:color w:val="auto"/>
              </w:rPr>
              <w:t>Rights of Members</w:t>
            </w:r>
          </w:p>
        </w:tc>
        <w:tc>
          <w:tcPr>
            <w:tcW w:w="22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4"/>
        </w:trPr>
        <w:tc>
          <w:tcPr>
            <w:tcW w:w="2760" w:type="dxa"/>
            <w:vAlign w:val="bottom"/>
          </w:tcPr>
          <w:p>
            <w:pPr>
              <w:ind w:left="660"/>
              <w:spacing w:after="0"/>
              <w:rPr>
                <w:sz w:val="20"/>
                <w:szCs w:val="20"/>
                <w:color w:val="auto"/>
              </w:rPr>
            </w:pPr>
            <w:r>
              <w:rPr>
                <w:rFonts w:ascii="Arial" w:cs="Arial" w:eastAsia="Arial" w:hAnsi="Arial"/>
                <w:sz w:val="22"/>
                <w:szCs w:val="22"/>
                <w:color w:val="auto"/>
              </w:rPr>
              <w:t>Section 10.5</w:t>
            </w:r>
          </w:p>
        </w:tc>
        <w:tc>
          <w:tcPr>
            <w:tcW w:w="6280" w:type="dxa"/>
            <w:vAlign w:val="bottom"/>
          </w:tcPr>
          <w:p>
            <w:pPr>
              <w:ind w:left="20"/>
              <w:spacing w:after="0"/>
              <w:rPr>
                <w:sz w:val="20"/>
                <w:szCs w:val="20"/>
                <w:color w:val="auto"/>
              </w:rPr>
            </w:pPr>
            <w:r>
              <w:rPr>
                <w:rFonts w:ascii="Arial" w:cs="Arial" w:eastAsia="Arial" w:hAnsi="Arial"/>
                <w:sz w:val="22"/>
                <w:szCs w:val="22"/>
                <w:color w:val="auto"/>
              </w:rPr>
              <w:t>Termination</w:t>
            </w:r>
          </w:p>
        </w:tc>
        <w:tc>
          <w:tcPr>
            <w:tcW w:w="22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702"/>
        </w:trPr>
        <w:tc>
          <w:tcPr>
            <w:tcW w:w="2760" w:type="dxa"/>
            <w:vAlign w:val="bottom"/>
          </w:tcPr>
          <w:p>
            <w:pPr>
              <w:spacing w:after="0"/>
              <w:rPr>
                <w:sz w:val="24"/>
                <w:szCs w:val="24"/>
                <w:color w:val="auto"/>
              </w:rPr>
            </w:pPr>
          </w:p>
        </w:tc>
        <w:tc>
          <w:tcPr>
            <w:tcW w:w="6280" w:type="dxa"/>
            <w:vAlign w:val="bottom"/>
          </w:tcPr>
          <w:p>
            <w:pPr>
              <w:ind w:left="2820"/>
              <w:spacing w:after="0"/>
              <w:rPr>
                <w:sz w:val="20"/>
                <w:szCs w:val="20"/>
                <w:color w:val="auto"/>
              </w:rPr>
            </w:pPr>
            <w:r>
              <w:rPr>
                <w:rFonts w:ascii="Arial" w:cs="Arial" w:eastAsia="Arial" w:hAnsi="Arial"/>
                <w:sz w:val="22"/>
                <w:szCs w:val="22"/>
                <w:color w:val="auto"/>
              </w:rPr>
              <w:t>2</w:t>
            </w:r>
          </w:p>
        </w:tc>
        <w:tc>
          <w:tcPr>
            <w:tcW w:w="2220" w:type="dxa"/>
            <w:vAlign w:val="bottom"/>
          </w:tcPr>
          <w:p>
            <w:pPr>
              <w:spacing w:after="0"/>
              <w:rPr>
                <w:sz w:val="24"/>
                <w:szCs w:val="24"/>
                <w:color w:val="auto"/>
              </w:rPr>
            </w:pPr>
          </w:p>
        </w:tc>
      </w:tr>
      <w:tr>
        <w:trPr>
          <w:trHeight w:val="105"/>
        </w:trPr>
        <w:tc>
          <w:tcPr>
            <w:tcW w:w="2760" w:type="dxa"/>
            <w:vAlign w:val="bottom"/>
            <w:tcBorders>
              <w:bottom w:val="single" w:sz="8" w:color="9A9A9A"/>
            </w:tcBorders>
          </w:tcPr>
          <w:p>
            <w:pPr>
              <w:spacing w:after="0"/>
              <w:rPr>
                <w:sz w:val="9"/>
                <w:szCs w:val="9"/>
                <w:color w:val="auto"/>
              </w:rPr>
            </w:pPr>
          </w:p>
        </w:tc>
        <w:tc>
          <w:tcPr>
            <w:tcW w:w="62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74"/>
        </w:trPr>
        <w:tc>
          <w:tcPr>
            <w:tcW w:w="10560" w:type="dxa"/>
            <w:vAlign w:val="bottom"/>
            <w:gridSpan w:val="2"/>
          </w:tcPr>
          <w:p>
            <w:pPr>
              <w:spacing w:after="0"/>
              <w:rPr>
                <w:sz w:val="20"/>
                <w:szCs w:val="20"/>
                <w:color w:val="auto"/>
              </w:rPr>
            </w:pPr>
            <w:r>
              <w:rPr>
                <w:rFonts w:ascii="Arial" w:cs="Arial" w:eastAsia="Arial" w:hAnsi="Arial"/>
                <w:sz w:val="22"/>
                <w:szCs w:val="22"/>
                <w:color w:val="auto"/>
                <w:w w:val="98"/>
              </w:rPr>
              <w:t>ARTICLE XI PROCEDURES FOR ACTIONS AND CONSENTS OF MEMBERS; AMENDMENTS; MEETINGS</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33"/>
        </w:trPr>
        <w:tc>
          <w:tcPr>
            <w:tcW w:w="2300" w:type="dxa"/>
            <w:vAlign w:val="bottom"/>
          </w:tcPr>
          <w:p>
            <w:pPr>
              <w:ind w:left="660"/>
              <w:spacing w:after="0"/>
              <w:rPr>
                <w:sz w:val="20"/>
                <w:szCs w:val="20"/>
                <w:color w:val="auto"/>
              </w:rPr>
            </w:pPr>
            <w:r>
              <w:rPr>
                <w:rFonts w:ascii="Arial" w:cs="Arial" w:eastAsia="Arial" w:hAnsi="Arial"/>
                <w:sz w:val="22"/>
                <w:szCs w:val="22"/>
                <w:color w:val="auto"/>
              </w:rPr>
              <w:t>Section 11.1</w:t>
            </w:r>
          </w:p>
        </w:tc>
        <w:tc>
          <w:tcPr>
            <w:tcW w:w="8260" w:type="dxa"/>
            <w:vAlign w:val="bottom"/>
          </w:tcPr>
          <w:p>
            <w:pPr>
              <w:ind w:left="480"/>
              <w:spacing w:after="0"/>
              <w:rPr>
                <w:sz w:val="20"/>
                <w:szCs w:val="20"/>
                <w:color w:val="auto"/>
              </w:rPr>
            </w:pPr>
            <w:r>
              <w:rPr>
                <w:rFonts w:ascii="Arial" w:cs="Arial" w:eastAsia="Arial" w:hAnsi="Arial"/>
                <w:sz w:val="22"/>
                <w:szCs w:val="22"/>
                <w:color w:val="auto"/>
              </w:rPr>
              <w:t>Actions and Consents of Members</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11.2</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Amendments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4"/>
        </w:trPr>
        <w:tc>
          <w:tcPr>
            <w:tcW w:w="2300" w:type="dxa"/>
            <w:vAlign w:val="bottom"/>
          </w:tcPr>
          <w:p>
            <w:pPr>
              <w:ind w:left="660"/>
              <w:spacing w:after="0"/>
              <w:rPr>
                <w:sz w:val="20"/>
                <w:szCs w:val="20"/>
                <w:color w:val="auto"/>
              </w:rPr>
            </w:pPr>
            <w:r>
              <w:rPr>
                <w:rFonts w:ascii="Arial" w:cs="Arial" w:eastAsia="Arial" w:hAnsi="Arial"/>
                <w:sz w:val="22"/>
                <w:szCs w:val="22"/>
                <w:color w:val="auto"/>
              </w:rPr>
              <w:t>Section 11.3</w:t>
            </w:r>
          </w:p>
        </w:tc>
        <w:tc>
          <w:tcPr>
            <w:tcW w:w="8260" w:type="dxa"/>
            <w:vAlign w:val="bottom"/>
          </w:tcPr>
          <w:p>
            <w:pPr>
              <w:ind w:left="480"/>
              <w:spacing w:after="0"/>
              <w:rPr>
                <w:sz w:val="20"/>
                <w:szCs w:val="20"/>
                <w:color w:val="auto"/>
              </w:rPr>
            </w:pPr>
            <w:r>
              <w:rPr>
                <w:rFonts w:ascii="Arial" w:cs="Arial" w:eastAsia="Arial" w:hAnsi="Arial"/>
                <w:sz w:val="22"/>
                <w:szCs w:val="22"/>
                <w:color w:val="auto"/>
              </w:rPr>
              <w:t>Procedures for Meetings and Actions of the Members</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10560" w:type="dxa"/>
            <w:vAlign w:val="bottom"/>
            <w:gridSpan w:val="2"/>
          </w:tcPr>
          <w:p>
            <w:pPr>
              <w:spacing w:after="0"/>
              <w:rPr>
                <w:sz w:val="20"/>
                <w:szCs w:val="20"/>
                <w:color w:val="auto"/>
              </w:rPr>
            </w:pPr>
            <w:r>
              <w:rPr>
                <w:rFonts w:ascii="Arial" w:cs="Arial" w:eastAsia="Arial" w:hAnsi="Arial"/>
                <w:sz w:val="22"/>
                <w:szCs w:val="22"/>
                <w:color w:val="auto"/>
              </w:rPr>
              <w:t>ARTICLE XII EXCHANGE RIGHTS</w:t>
            </w:r>
          </w:p>
        </w:tc>
        <w:tc>
          <w:tcPr>
            <w:tcW w:w="7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33"/>
        </w:trPr>
        <w:tc>
          <w:tcPr>
            <w:tcW w:w="2300" w:type="dxa"/>
            <w:vAlign w:val="bottom"/>
          </w:tcPr>
          <w:p>
            <w:pPr>
              <w:ind w:left="660"/>
              <w:spacing w:after="0"/>
              <w:rPr>
                <w:sz w:val="20"/>
                <w:szCs w:val="20"/>
                <w:color w:val="auto"/>
              </w:rPr>
            </w:pPr>
            <w:r>
              <w:rPr>
                <w:rFonts w:ascii="Arial" w:cs="Arial" w:eastAsia="Arial" w:hAnsi="Arial"/>
                <w:sz w:val="22"/>
                <w:szCs w:val="22"/>
                <w:color w:val="auto"/>
              </w:rPr>
              <w:t>Section 12.1</w:t>
            </w:r>
          </w:p>
        </w:tc>
        <w:tc>
          <w:tcPr>
            <w:tcW w:w="8260" w:type="dxa"/>
            <w:vAlign w:val="bottom"/>
          </w:tcPr>
          <w:p>
            <w:pPr>
              <w:ind w:left="480"/>
              <w:spacing w:after="0"/>
              <w:rPr>
                <w:sz w:val="20"/>
                <w:szCs w:val="20"/>
                <w:color w:val="auto"/>
              </w:rPr>
            </w:pPr>
            <w:r>
              <w:rPr>
                <w:rFonts w:ascii="Arial" w:cs="Arial" w:eastAsia="Arial" w:hAnsi="Arial"/>
                <w:sz w:val="22"/>
                <w:szCs w:val="22"/>
                <w:color w:val="auto"/>
              </w:rPr>
              <w:t>Elective and Mandatory Exchanges</w:t>
            </w:r>
          </w:p>
        </w:tc>
        <w:tc>
          <w:tcPr>
            <w:tcW w:w="7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12.2</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Additional Terms Applying to Exchanges.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12.3</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Exchange Consideration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12.4</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Adjustment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12.5</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Class A Common Stock to be Issued</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12.6</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Withholding</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12.7</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Tax Treatment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12.8</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Contribution of the Managing Member</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4"/>
        </w:trPr>
        <w:tc>
          <w:tcPr>
            <w:tcW w:w="2300" w:type="dxa"/>
            <w:vAlign w:val="bottom"/>
          </w:tcPr>
          <w:p>
            <w:pPr>
              <w:ind w:left="660"/>
              <w:spacing w:after="0"/>
              <w:rPr>
                <w:sz w:val="20"/>
                <w:szCs w:val="20"/>
                <w:color w:val="auto"/>
              </w:rPr>
            </w:pPr>
            <w:r>
              <w:rPr>
                <w:rFonts w:ascii="Arial" w:cs="Arial" w:eastAsia="Arial" w:hAnsi="Arial"/>
                <w:sz w:val="22"/>
                <w:szCs w:val="22"/>
                <w:color w:val="auto"/>
              </w:rPr>
              <w:t>Section 12.9</w:t>
            </w:r>
          </w:p>
        </w:tc>
        <w:tc>
          <w:tcPr>
            <w:tcW w:w="8260" w:type="dxa"/>
            <w:vAlign w:val="bottom"/>
          </w:tcPr>
          <w:p>
            <w:pPr>
              <w:ind w:left="480"/>
              <w:spacing w:after="0"/>
              <w:rPr>
                <w:sz w:val="20"/>
                <w:szCs w:val="20"/>
                <w:color w:val="auto"/>
              </w:rPr>
            </w:pPr>
            <w:r>
              <w:rPr>
                <w:rFonts w:ascii="Arial" w:cs="Arial" w:eastAsia="Arial" w:hAnsi="Arial"/>
                <w:sz w:val="22"/>
                <w:szCs w:val="22"/>
                <w:color w:val="auto"/>
              </w:rPr>
              <w:t>Apportionment of Distributions</w:t>
            </w:r>
          </w:p>
        </w:tc>
        <w:tc>
          <w:tcPr>
            <w:tcW w:w="7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86"/>
        </w:trPr>
        <w:tc>
          <w:tcPr>
            <w:tcW w:w="10560" w:type="dxa"/>
            <w:vAlign w:val="bottom"/>
            <w:gridSpan w:val="2"/>
          </w:tcPr>
          <w:p>
            <w:pPr>
              <w:spacing w:after="0"/>
              <w:rPr>
                <w:sz w:val="20"/>
                <w:szCs w:val="20"/>
                <w:color w:val="auto"/>
              </w:rPr>
            </w:pPr>
            <w:r>
              <w:rPr>
                <w:rFonts w:ascii="Arial" w:cs="Arial" w:eastAsia="Arial" w:hAnsi="Arial"/>
                <w:sz w:val="22"/>
                <w:szCs w:val="22"/>
                <w:color w:val="auto"/>
              </w:rPr>
              <w:t>ARTICLE XIII MISCELLANEOUS</w:t>
            </w:r>
          </w:p>
        </w:tc>
        <w:tc>
          <w:tcPr>
            <w:tcW w:w="7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33"/>
        </w:trPr>
        <w:tc>
          <w:tcPr>
            <w:tcW w:w="2300" w:type="dxa"/>
            <w:vAlign w:val="bottom"/>
          </w:tcPr>
          <w:p>
            <w:pPr>
              <w:ind w:left="660"/>
              <w:spacing w:after="0"/>
              <w:rPr>
                <w:sz w:val="20"/>
                <w:szCs w:val="20"/>
                <w:color w:val="auto"/>
              </w:rPr>
            </w:pPr>
            <w:r>
              <w:rPr>
                <w:rFonts w:ascii="Arial" w:cs="Arial" w:eastAsia="Arial" w:hAnsi="Arial"/>
                <w:sz w:val="22"/>
                <w:szCs w:val="22"/>
                <w:color w:val="auto"/>
              </w:rPr>
              <w:t>Section 13.1</w:t>
            </w:r>
          </w:p>
        </w:tc>
        <w:tc>
          <w:tcPr>
            <w:tcW w:w="8260" w:type="dxa"/>
            <w:vAlign w:val="bottom"/>
          </w:tcPr>
          <w:p>
            <w:pPr>
              <w:ind w:left="480"/>
              <w:spacing w:after="0"/>
              <w:rPr>
                <w:sz w:val="20"/>
                <w:szCs w:val="20"/>
                <w:color w:val="auto"/>
              </w:rPr>
            </w:pPr>
            <w:r>
              <w:rPr>
                <w:rFonts w:ascii="Arial" w:cs="Arial" w:eastAsia="Arial" w:hAnsi="Arial"/>
                <w:sz w:val="22"/>
                <w:szCs w:val="22"/>
                <w:color w:val="auto"/>
              </w:rPr>
              <w:t>Conclusive Nature of Determinations</w:t>
            </w:r>
          </w:p>
        </w:tc>
        <w:tc>
          <w:tcPr>
            <w:tcW w:w="7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13.2</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Company Counsel</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13.3</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Appointment of Managing Member as Attorney-in-Fact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13.4</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Entire Agreement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13.5</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Further Assurances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13.6</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Notices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13.7</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Governing Law</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13.8</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Jurisdiction and Venue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13.9</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Equitable Remedies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13.10</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Construction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13.11</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Counterparts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13.12</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Third Party Beneficiaries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13.13</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Binding Effect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300" w:type="dxa"/>
            <w:vAlign w:val="bottom"/>
          </w:tcPr>
          <w:p>
            <w:pPr>
              <w:ind w:left="660"/>
              <w:spacing w:after="0" w:line="243" w:lineRule="exact"/>
              <w:rPr>
                <w:sz w:val="20"/>
                <w:szCs w:val="20"/>
                <w:color w:val="auto"/>
              </w:rPr>
            </w:pPr>
            <w:r>
              <w:rPr>
                <w:rFonts w:ascii="Arial" w:cs="Arial" w:eastAsia="Arial" w:hAnsi="Arial"/>
                <w:sz w:val="22"/>
                <w:szCs w:val="22"/>
                <w:color w:val="auto"/>
              </w:rPr>
              <w:t>Section 13.14</w:t>
            </w:r>
          </w:p>
        </w:tc>
        <w:tc>
          <w:tcPr>
            <w:tcW w:w="8260" w:type="dxa"/>
            <w:vAlign w:val="bottom"/>
          </w:tcPr>
          <w:p>
            <w:pPr>
              <w:ind w:left="480"/>
              <w:spacing w:after="0" w:line="243" w:lineRule="exact"/>
              <w:rPr>
                <w:sz w:val="20"/>
                <w:szCs w:val="20"/>
                <w:color w:val="auto"/>
              </w:rPr>
            </w:pPr>
            <w:r>
              <w:rPr>
                <w:rFonts w:ascii="Arial" w:cs="Arial" w:eastAsia="Arial" w:hAnsi="Arial"/>
                <w:sz w:val="22"/>
                <w:szCs w:val="22"/>
                <w:color w:val="auto"/>
              </w:rPr>
              <w:t>Severability</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4"/>
        </w:trPr>
        <w:tc>
          <w:tcPr>
            <w:tcW w:w="2300" w:type="dxa"/>
            <w:vAlign w:val="bottom"/>
          </w:tcPr>
          <w:p>
            <w:pPr>
              <w:ind w:left="660"/>
              <w:spacing w:after="0"/>
              <w:rPr>
                <w:sz w:val="20"/>
                <w:szCs w:val="20"/>
                <w:color w:val="auto"/>
              </w:rPr>
            </w:pPr>
            <w:r>
              <w:rPr>
                <w:rFonts w:ascii="Arial" w:cs="Arial" w:eastAsia="Arial" w:hAnsi="Arial"/>
                <w:sz w:val="22"/>
                <w:szCs w:val="22"/>
                <w:color w:val="auto"/>
              </w:rPr>
              <w:t>Section 13.15</w:t>
            </w:r>
          </w:p>
        </w:tc>
        <w:tc>
          <w:tcPr>
            <w:tcW w:w="8260" w:type="dxa"/>
            <w:vAlign w:val="bottom"/>
          </w:tcPr>
          <w:p>
            <w:pPr>
              <w:ind w:left="480"/>
              <w:spacing w:after="0"/>
              <w:rPr>
                <w:sz w:val="20"/>
                <w:szCs w:val="20"/>
                <w:color w:val="auto"/>
              </w:rPr>
            </w:pPr>
            <w:r>
              <w:rPr>
                <w:rFonts w:ascii="Arial" w:cs="Arial" w:eastAsia="Arial" w:hAnsi="Arial"/>
                <w:sz w:val="22"/>
                <w:szCs w:val="22"/>
                <w:color w:val="auto"/>
              </w:rPr>
              <w:t>Survival</w:t>
            </w:r>
          </w:p>
        </w:tc>
        <w:tc>
          <w:tcPr>
            <w:tcW w:w="7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86"/>
        </w:trPr>
        <w:tc>
          <w:tcPr>
            <w:tcW w:w="10560" w:type="dxa"/>
            <w:vAlign w:val="bottom"/>
            <w:gridSpan w:val="2"/>
          </w:tcPr>
          <w:p>
            <w:pPr>
              <w:spacing w:after="0"/>
              <w:rPr>
                <w:sz w:val="20"/>
                <w:szCs w:val="20"/>
                <w:color w:val="auto"/>
              </w:rPr>
            </w:pPr>
            <w:r>
              <w:rPr>
                <w:rFonts w:ascii="Arial" w:cs="Arial" w:eastAsia="Arial" w:hAnsi="Arial"/>
                <w:sz w:val="22"/>
                <w:szCs w:val="22"/>
                <w:color w:val="auto"/>
              </w:rPr>
              <w:t>ARTICLE XIV DEFINED TERMS</w:t>
            </w:r>
          </w:p>
        </w:tc>
        <w:tc>
          <w:tcPr>
            <w:tcW w:w="7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33"/>
        </w:trPr>
        <w:tc>
          <w:tcPr>
            <w:tcW w:w="2300" w:type="dxa"/>
            <w:vAlign w:val="bottom"/>
          </w:tcPr>
          <w:p>
            <w:pPr>
              <w:ind w:left="660"/>
              <w:spacing w:after="0"/>
              <w:rPr>
                <w:sz w:val="20"/>
                <w:szCs w:val="20"/>
                <w:color w:val="auto"/>
              </w:rPr>
            </w:pPr>
            <w:r>
              <w:rPr>
                <w:rFonts w:ascii="Arial" w:cs="Arial" w:eastAsia="Arial" w:hAnsi="Arial"/>
                <w:sz w:val="22"/>
                <w:szCs w:val="22"/>
                <w:color w:val="auto"/>
              </w:rPr>
              <w:t>Section 14.1</w:t>
            </w:r>
          </w:p>
        </w:tc>
        <w:tc>
          <w:tcPr>
            <w:tcW w:w="8260" w:type="dxa"/>
            <w:vAlign w:val="bottom"/>
          </w:tcPr>
          <w:p>
            <w:pPr>
              <w:ind w:left="480"/>
              <w:spacing w:after="0"/>
              <w:rPr>
                <w:sz w:val="20"/>
                <w:szCs w:val="20"/>
                <w:color w:val="auto"/>
              </w:rPr>
            </w:pPr>
            <w:r>
              <w:rPr>
                <w:rFonts w:ascii="Arial" w:cs="Arial" w:eastAsia="Arial" w:hAnsi="Arial"/>
                <w:sz w:val="22"/>
                <w:szCs w:val="22"/>
                <w:color w:val="auto"/>
              </w:rPr>
              <w:t>Definitions</w:t>
            </w:r>
          </w:p>
        </w:tc>
        <w:tc>
          <w:tcPr>
            <w:tcW w:w="7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4"/>
        </w:trPr>
        <w:tc>
          <w:tcPr>
            <w:tcW w:w="2300" w:type="dxa"/>
            <w:vAlign w:val="bottom"/>
          </w:tcPr>
          <w:p>
            <w:pPr>
              <w:ind w:left="660"/>
              <w:spacing w:after="0"/>
              <w:rPr>
                <w:sz w:val="20"/>
                <w:szCs w:val="20"/>
                <w:color w:val="auto"/>
              </w:rPr>
            </w:pPr>
            <w:r>
              <w:rPr>
                <w:rFonts w:ascii="Arial" w:cs="Arial" w:eastAsia="Arial" w:hAnsi="Arial"/>
                <w:sz w:val="22"/>
                <w:szCs w:val="22"/>
                <w:color w:val="auto"/>
              </w:rPr>
              <w:t>Section 14.2</w:t>
            </w:r>
          </w:p>
        </w:tc>
        <w:tc>
          <w:tcPr>
            <w:tcW w:w="8260" w:type="dxa"/>
            <w:vAlign w:val="bottom"/>
          </w:tcPr>
          <w:p>
            <w:pPr>
              <w:ind w:left="480"/>
              <w:spacing w:after="0"/>
              <w:rPr>
                <w:sz w:val="20"/>
                <w:szCs w:val="20"/>
                <w:color w:val="auto"/>
              </w:rPr>
            </w:pPr>
            <w:r>
              <w:rPr>
                <w:rFonts w:ascii="Arial" w:cs="Arial" w:eastAsia="Arial" w:hAnsi="Arial"/>
                <w:sz w:val="22"/>
                <w:szCs w:val="22"/>
                <w:color w:val="auto"/>
              </w:rPr>
              <w:t>Interpretation</w:t>
            </w:r>
          </w:p>
        </w:tc>
        <w:tc>
          <w:tcPr>
            <w:tcW w:w="7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945"/>
        </w:trPr>
        <w:tc>
          <w:tcPr>
            <w:tcW w:w="2300" w:type="dxa"/>
            <w:vAlign w:val="bottom"/>
          </w:tcPr>
          <w:p>
            <w:pPr>
              <w:spacing w:after="0"/>
              <w:rPr>
                <w:sz w:val="24"/>
                <w:szCs w:val="24"/>
                <w:color w:val="auto"/>
              </w:rPr>
            </w:pPr>
          </w:p>
        </w:tc>
        <w:tc>
          <w:tcPr>
            <w:tcW w:w="8260" w:type="dxa"/>
            <w:vAlign w:val="bottom"/>
          </w:tcPr>
          <w:p>
            <w:pPr>
              <w:ind w:left="3280"/>
              <w:spacing w:after="0"/>
              <w:rPr>
                <w:sz w:val="20"/>
                <w:szCs w:val="20"/>
                <w:color w:val="auto"/>
              </w:rPr>
            </w:pPr>
            <w:r>
              <w:rPr>
                <w:rFonts w:ascii="Arial" w:cs="Arial" w:eastAsia="Arial" w:hAnsi="Arial"/>
                <w:sz w:val="22"/>
                <w:szCs w:val="22"/>
                <w:color w:val="auto"/>
              </w:rPr>
              <w:t>3</w:t>
            </w:r>
          </w:p>
        </w:tc>
        <w:tc>
          <w:tcPr>
            <w:tcW w:w="700" w:type="dxa"/>
            <w:vAlign w:val="bottom"/>
          </w:tcPr>
          <w:p>
            <w:pPr>
              <w:spacing w:after="0"/>
              <w:rPr>
                <w:sz w:val="24"/>
                <w:szCs w:val="24"/>
                <w:color w:val="auto"/>
              </w:rPr>
            </w:pPr>
          </w:p>
        </w:tc>
      </w:tr>
      <w:tr>
        <w:trPr>
          <w:trHeight w:val="105"/>
        </w:trPr>
        <w:tc>
          <w:tcPr>
            <w:tcW w:w="230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VIANT TECHNOLOGY LLC</w:t>
      </w:r>
    </w:p>
    <w:p>
      <w:pPr>
        <w:spacing w:after="0" w:line="212"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THIS SECOND AMENDED AND RESTATED LIMITED LIABILITY COMPANY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of VIANT TECHNOLOGY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dated as of February 9, 2021, is entered into by and among Tim Vanderhook, Chris Vanderhook, Four Brothers 2 LLC, and Viant Technology Equity Plan LLC (the “</w:t>
      </w:r>
      <w:r>
        <w:rPr>
          <w:rFonts w:ascii="Arial" w:cs="Arial" w:eastAsia="Arial" w:hAnsi="Arial"/>
          <w:sz w:val="21"/>
          <w:szCs w:val="21"/>
          <w:u w:val="single" w:color="auto"/>
          <w:color w:val="auto"/>
        </w:rPr>
        <w:t>Initial Members</w:t>
      </w:r>
      <w:r>
        <w:rPr>
          <w:rFonts w:ascii="Arial" w:cs="Arial" w:eastAsia="Arial" w:hAnsi="Arial"/>
          <w:sz w:val="21"/>
          <w:szCs w:val="21"/>
          <w:color w:val="auto"/>
        </w:rPr>
        <w:t>”), and Viant Technology Inc., a Delaware corporation (the “</w:t>
      </w:r>
      <w:r>
        <w:rPr>
          <w:rFonts w:ascii="Arial" w:cs="Arial" w:eastAsia="Arial" w:hAnsi="Arial"/>
          <w:sz w:val="21"/>
          <w:szCs w:val="21"/>
          <w:u w:val="single" w:color="auto"/>
          <w:color w:val="auto"/>
        </w:rPr>
        <w:t>Managing Member</w:t>
      </w:r>
      <w:r>
        <w:rPr>
          <w:rFonts w:ascii="Arial" w:cs="Arial" w:eastAsia="Arial" w:hAnsi="Arial"/>
          <w:sz w:val="21"/>
          <w:szCs w:val="21"/>
          <w:color w:val="auto"/>
        </w:rPr>
        <w:t>”).</w:t>
      </w:r>
    </w:p>
    <w:p>
      <w:pPr>
        <w:spacing w:after="0" w:line="17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WHEREAS, the Company was formed as a limited liability company pursuant to the Delaware Limited Liability Company Act, 6 Del. C. §§ 18-101, et seq. (as it may be amended from time to time, and any successor to such statute, the “</w:t>
      </w:r>
      <w:r>
        <w:rPr>
          <w:rFonts w:ascii="Arial" w:cs="Arial" w:eastAsia="Arial" w:hAnsi="Arial"/>
          <w:sz w:val="21"/>
          <w:szCs w:val="21"/>
          <w:u w:val="single" w:color="auto"/>
          <w:color w:val="auto"/>
        </w:rPr>
        <w:t>Act</w:t>
      </w:r>
      <w:r>
        <w:rPr>
          <w:rFonts w:ascii="Arial" w:cs="Arial" w:eastAsia="Arial" w:hAnsi="Arial"/>
          <w:sz w:val="21"/>
          <w:szCs w:val="21"/>
          <w:color w:val="auto"/>
        </w:rPr>
        <w:t>”), under the name “TI Newco LLC” by the filing of a Certificate of Formation (the “</w:t>
      </w:r>
      <w:r>
        <w:rPr>
          <w:rFonts w:ascii="Arial" w:cs="Arial" w:eastAsia="Arial" w:hAnsi="Arial"/>
          <w:sz w:val="21"/>
          <w:szCs w:val="21"/>
          <w:u w:val="single" w:color="auto"/>
          <w:color w:val="auto"/>
        </w:rPr>
        <w:t>Initial Certificate of Formation</w:t>
      </w:r>
      <w:r>
        <w:rPr>
          <w:rFonts w:ascii="Arial" w:cs="Arial" w:eastAsia="Arial" w:hAnsi="Arial"/>
          <w:sz w:val="21"/>
          <w:szCs w:val="21"/>
          <w:color w:val="auto"/>
        </w:rPr>
        <w:t>”) of the Company in the office of the Secretary of State of the State of Delaware on March 2, 2016 (the “</w:t>
      </w:r>
      <w:r>
        <w:rPr>
          <w:rFonts w:ascii="Arial" w:cs="Arial" w:eastAsia="Arial" w:hAnsi="Arial"/>
          <w:sz w:val="21"/>
          <w:szCs w:val="21"/>
          <w:u w:val="single" w:color="auto"/>
          <w:color w:val="auto"/>
        </w:rPr>
        <w:t>Formation Date</w:t>
      </w:r>
      <w:r>
        <w:rPr>
          <w:rFonts w:ascii="Arial" w:cs="Arial" w:eastAsia="Arial" w:hAnsi="Arial"/>
          <w:sz w:val="21"/>
          <w:szCs w:val="21"/>
          <w:color w:val="auto"/>
        </w:rPr>
        <w:t>”);</w:t>
      </w:r>
    </w:p>
    <w:p>
      <w:pPr>
        <w:spacing w:after="0" w:line="17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an amendment to the Initial Certificate of Formation (together with any further amendments, the “</w:t>
      </w:r>
      <w:r>
        <w:rPr>
          <w:rFonts w:ascii="Arial" w:cs="Arial" w:eastAsia="Arial" w:hAnsi="Arial"/>
          <w:sz w:val="22"/>
          <w:szCs w:val="22"/>
          <w:u w:val="single" w:color="auto"/>
          <w:color w:val="auto"/>
        </w:rPr>
        <w:t>Certificate of Formation</w:t>
      </w:r>
      <w:r>
        <w:rPr>
          <w:rFonts w:ascii="Arial" w:cs="Arial" w:eastAsia="Arial" w:hAnsi="Arial"/>
          <w:sz w:val="22"/>
          <w:szCs w:val="22"/>
          <w:color w:val="auto"/>
        </w:rPr>
        <w:t>”) changing the Company’s name to Viant Technology LLC was filed with the Secretary of State of the State of Delaware on March 2, 2016;</w:t>
      </w:r>
    </w:p>
    <w:p>
      <w:pPr>
        <w:spacing w:after="0" w:line="18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WHEREAS, Tim Vanderhook, Chris Vanderhook, Viant Technology Equity Plan LLC, and Viant Technology Holding Inc. entered into a limited liability agreement of the Company on October 4, 2016 (the “</w:t>
      </w:r>
      <w:r>
        <w:rPr>
          <w:rFonts w:ascii="Arial" w:cs="Arial" w:eastAsia="Arial" w:hAnsi="Arial"/>
          <w:sz w:val="21"/>
          <w:szCs w:val="21"/>
          <w:u w:val="single" w:color="auto"/>
          <w:color w:val="auto"/>
        </w:rPr>
        <w:t>Initial Agreement</w:t>
      </w:r>
      <w:r>
        <w:rPr>
          <w:rFonts w:ascii="Arial" w:cs="Arial" w:eastAsia="Arial" w:hAnsi="Arial"/>
          <w:sz w:val="21"/>
          <w:szCs w:val="21"/>
          <w:color w:val="auto"/>
        </w:rPr>
        <w:t>”);</w:t>
      </w:r>
    </w:p>
    <w:p>
      <w:pPr>
        <w:spacing w:after="0" w:line="151" w:lineRule="exact"/>
        <w:rPr>
          <w:sz w:val="20"/>
          <w:szCs w:val="20"/>
          <w:color w:val="auto"/>
        </w:rPr>
      </w:pPr>
    </w:p>
    <w:p>
      <w:pPr>
        <w:jc w:val="both"/>
        <w:ind w:right="20" w:firstLine="864"/>
        <w:spacing w:after="0" w:line="297" w:lineRule="auto"/>
        <w:rPr>
          <w:sz w:val="20"/>
          <w:szCs w:val="20"/>
          <w:color w:val="auto"/>
        </w:rPr>
      </w:pPr>
      <w:r>
        <w:rPr>
          <w:rFonts w:ascii="Arial" w:cs="Arial" w:eastAsia="Arial" w:hAnsi="Arial"/>
          <w:sz w:val="19"/>
          <w:szCs w:val="19"/>
          <w:color w:val="auto"/>
        </w:rPr>
        <w:t>WHEREAS, pursuant to a Unit Repurchase Agreement, dated September 15, 2019, by and among the Company, Viant Technology Holding Inc., Tim Vanderhook, and Chris Vanderhook, the Company redeemed all of the Preferred Units held by Viant Technology Holding Inc., terminating Viant Technology Holding Inc.’s Membership Interest in the Company;</w:t>
      </w:r>
    </w:p>
    <w:p>
      <w:pPr>
        <w:spacing w:after="0" w:line="13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upon the withdrawal of Viant Technology Holding Inc., the Company and the Initial Members amended and restated the Initial Agreement on October 31, 2019 (the “</w:t>
      </w:r>
      <w:r>
        <w:rPr>
          <w:rFonts w:ascii="Arial" w:cs="Arial" w:eastAsia="Arial" w:hAnsi="Arial"/>
          <w:sz w:val="22"/>
          <w:szCs w:val="22"/>
          <w:u w:val="single" w:color="auto"/>
          <w:color w:val="auto"/>
        </w:rPr>
        <w:t>First Amended and Restated Agreement</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on February 9, 2021, the Managing Member issued shares of its Class B Common Stock to the Initial Members in connection with its initial public offering of shares of its Class A Common Stock (the “</w:t>
      </w:r>
      <w:r>
        <w:rPr>
          <w:rFonts w:ascii="Arial" w:cs="Arial" w:eastAsia="Arial" w:hAnsi="Arial"/>
          <w:sz w:val="22"/>
          <w:szCs w:val="22"/>
          <w:u w:val="single" w:color="auto"/>
          <w:color w:val="auto"/>
        </w:rPr>
        <w:t>IPO</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WHEREAS, the Managing Member will contribute the net proceeds of the IPO to the Company in exchange for Class A Common Units, and the Managing Member will be admitted to the Company as Managing Member;</w:t>
      </w:r>
    </w:p>
    <w:p>
      <w:pPr>
        <w:spacing w:after="0" w:line="151"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WHEREAS, the Managing Member and the Company will engage or have engaged in certain other transactions described in the registration statement on Form S-1 filed in connection with the IPO (collectively, the “</w:t>
      </w:r>
      <w:r>
        <w:rPr>
          <w:rFonts w:ascii="Arial" w:cs="Arial" w:eastAsia="Arial" w:hAnsi="Arial"/>
          <w:sz w:val="19"/>
          <w:szCs w:val="19"/>
          <w:u w:val="single" w:color="auto"/>
          <w:color w:val="auto"/>
        </w:rPr>
        <w:t>IPO Reorganization</w:t>
      </w:r>
      <w:r>
        <w:rPr>
          <w:rFonts w:ascii="Arial" w:cs="Arial" w:eastAsia="Arial" w:hAnsi="Arial"/>
          <w:sz w:val="19"/>
          <w:szCs w:val="19"/>
          <w:color w:val="auto"/>
        </w:rPr>
        <w:t>”);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3" w:name="page184"/>
    <w:bookmarkEnd w:id="183"/>
    <w:p>
      <w:pPr>
        <w:jc w:val="both"/>
        <w:ind w:firstLine="864"/>
        <w:spacing w:after="0" w:line="328" w:lineRule="auto"/>
        <w:rPr>
          <w:sz w:val="20"/>
          <w:szCs w:val="20"/>
          <w:color w:val="auto"/>
        </w:rPr>
      </w:pPr>
      <w:r>
        <w:rPr>
          <w:rFonts w:ascii="Arial" w:cs="Arial" w:eastAsia="Arial" w:hAnsi="Arial"/>
          <w:sz w:val="19"/>
          <w:szCs w:val="19"/>
          <w:color w:val="auto"/>
        </w:rPr>
        <w:t>WHEREAS, the Initial Members now desire to approve and document the actions described in these recitals and to amend and restate the First Amended and Restated Agreement to read in its entirety as set forth in this Agreement.</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mutual covenants and agreements contained herein and for other good and valuable consideration, the receipt and sufficiency of which are hereby acknowledged, the parties to this Agreement, intending to be legally bound,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Formation and Continuation</w:t>
      </w:r>
      <w:r>
        <w:rPr>
          <w:rFonts w:ascii="Arial" w:cs="Arial" w:eastAsia="Arial" w:hAnsi="Arial"/>
          <w:sz w:val="22"/>
          <w:szCs w:val="22"/>
          <w:color w:val="auto"/>
        </w:rPr>
        <w:t>. The Company is a limited liability company previously formed and continued pursuant to the provisions of the Act and upon the terms and subject to the conditions set forth in this Agreement. Except as expressly provided in this Agreement to the contrary, the rights and obligations of the Members and the administration and termination of the Company shall be governed by the Act. The Certificate of Formation and all actions taken or to be taken by any employee of Gibson, Dunn &amp; Crutcher LLP and any other person who executed and filed or who executes and files, after the date of this Agreement, the Certificate of Formation are hereby adopted and ratified, or authorized, as the case may be.</w:t>
      </w:r>
    </w:p>
    <w:p>
      <w:pPr>
        <w:spacing w:after="0" w:line="19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Name</w:t>
      </w:r>
      <w:r>
        <w:rPr>
          <w:rFonts w:ascii="Arial" w:cs="Arial" w:eastAsia="Arial" w:hAnsi="Arial"/>
          <w:sz w:val="22"/>
          <w:szCs w:val="22"/>
          <w:color w:val="auto"/>
        </w:rPr>
        <w:t>. The name of the Company is “Viant Technology LLC.” The Company may also conduct business at the same time under one or more fictitious names if the Managing Member determines that such is in the best interests of the Company. The Company may change its name, from time to time, in accordance with Law.</w:t>
      </w:r>
    </w:p>
    <w:p>
      <w:pPr>
        <w:spacing w:after="0" w:line="18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Principal Place of Business; Other Places of Business</w:t>
      </w:r>
      <w:r>
        <w:rPr>
          <w:rFonts w:ascii="Arial" w:cs="Arial" w:eastAsia="Arial" w:hAnsi="Arial"/>
          <w:sz w:val="19"/>
          <w:szCs w:val="19"/>
          <w:color w:val="auto"/>
        </w:rPr>
        <w:t>. The principal business office of the Company is located at 2722 Michelson Drive, Suite 100, Irvine, California 92612, or such other place within or outside the State of Delaware as the Managing Member may from time to time designate. The Company may maintain offices and places of business at such other place or places within or outside the State of Delaware as the Managing Member deems advisable.</w:t>
      </w:r>
    </w:p>
    <w:p>
      <w:pPr>
        <w:spacing w:after="0" w:line="14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Designated Agent for Service of Process</w:t>
      </w:r>
      <w:r>
        <w:rPr>
          <w:rFonts w:ascii="Arial" w:cs="Arial" w:eastAsia="Arial" w:hAnsi="Arial"/>
          <w:sz w:val="22"/>
          <w:szCs w:val="22"/>
          <w:color w:val="auto"/>
        </w:rPr>
        <w:t>. So long as required by the Act, the Company shall continuously maintain a registered office and a designated and duly qualified agent for service of process on the Company in the State of Delaware. The address of the registered office of the Company in the State of Delaware shall be as set forth in the Certificate of Formation. The Company’s registered agent for service of process at such address shall also be as set forth in the Certificate of Formation.</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Term</w:t>
      </w:r>
      <w:r>
        <w:rPr>
          <w:rFonts w:ascii="Arial" w:cs="Arial" w:eastAsia="Arial" w:hAnsi="Arial"/>
          <w:sz w:val="19"/>
          <w:szCs w:val="19"/>
          <w:color w:val="auto"/>
        </w:rPr>
        <w:t>. The term of the Company commenced on the Formation Date and shall continue until the Company is dissolved in accordance with the Act or this Agreement. Notwithstanding the dissolution of the Company, the existence of the Company shall continue until its termination pursuant to this Agreement or as otherwise provided in the Act.</w:t>
      </w:r>
    </w:p>
    <w:p>
      <w:pPr>
        <w:spacing w:after="0" w:line="13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No State Law Partnership</w:t>
      </w:r>
      <w:r>
        <w:rPr>
          <w:rFonts w:ascii="Arial" w:cs="Arial" w:eastAsia="Arial" w:hAnsi="Arial"/>
          <w:sz w:val="22"/>
          <w:szCs w:val="22"/>
          <w:color w:val="auto"/>
        </w:rPr>
        <w:t>. The Members intend that the Company shall not be a partnership (including a limited partnership) or joint venture, and that no Member shall be 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4" w:name="page185"/>
    <w:bookmarkEnd w:id="184"/>
    <w:p>
      <w:pPr>
        <w:jc w:val="both"/>
        <w:spacing w:after="0" w:line="275" w:lineRule="auto"/>
        <w:rPr>
          <w:sz w:val="20"/>
          <w:szCs w:val="20"/>
          <w:color w:val="auto"/>
        </w:rPr>
      </w:pPr>
      <w:r>
        <w:rPr>
          <w:rFonts w:ascii="Arial" w:cs="Arial" w:eastAsia="Arial" w:hAnsi="Arial"/>
          <w:sz w:val="19"/>
          <w:szCs w:val="19"/>
          <w:color w:val="auto"/>
        </w:rPr>
        <w:t>agent, partner or joint venturer of any other Member, for any purposes other than for U.S. federal, state, and local tax purposes, and this Agreement shall not be construed to suggest otherwise. Each Member hereby acknowledges and agrees that, except as expressly provided herein, in performing its obligations or exercising its rights under this Agreement, it is acting independently and is not acting in concert with, on behalf of, as agent for, or as joint venturer of, any other Member. Other than in respect of the Company, nothing contained in this Agreement shall be construed as creating a corporation, association, joint stock company, business trust, or organized group of Persons, whether incorporated or not, among or involving any Member or its Affiliates, and nothing in this Agreement shall be construed as creating or requiring any continuing relationship or commitment as between such parties other than as specifically set forth in this Agreement.</w:t>
      </w:r>
    </w:p>
    <w:p>
      <w:pPr>
        <w:spacing w:after="0" w:line="15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Business Purpose</w:t>
      </w:r>
      <w:r>
        <w:rPr>
          <w:rFonts w:ascii="Arial" w:cs="Arial" w:eastAsia="Arial" w:hAnsi="Arial"/>
          <w:sz w:val="22"/>
          <w:szCs w:val="22"/>
          <w:color w:val="auto"/>
        </w:rPr>
        <w:t>. The Company may carry on any Lawful business, purpose or activity in which a limited liability company may be engaged under Law.</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Powers</w:t>
      </w:r>
      <w:r>
        <w:rPr>
          <w:rFonts w:ascii="Arial" w:cs="Arial" w:eastAsia="Arial" w:hAnsi="Arial"/>
          <w:sz w:val="22"/>
          <w:szCs w:val="22"/>
          <w:color w:val="auto"/>
        </w:rPr>
        <w:t xml:space="preserve">. Subject to the limitations set forth in this Agreement, the Company will possess and may exercise all of the powers and privileges granted to it by the Act, by any other Law, or by this Agreement, together with all powers incidental thereto, so far as such powers are necessary or convenient to the conduct, promotion or attainment of the purposes of the Company set forth in </w:t>
      </w:r>
      <w:r>
        <w:rPr>
          <w:rFonts w:ascii="Arial" w:cs="Arial" w:eastAsia="Arial" w:hAnsi="Arial"/>
          <w:sz w:val="22"/>
          <w:szCs w:val="22"/>
          <w:u w:val="single" w:color="auto"/>
          <w:color w:val="auto"/>
        </w:rPr>
        <w:t>Section 1.7</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Certificates; Filings</w:t>
      </w:r>
      <w:r>
        <w:rPr>
          <w:rFonts w:ascii="Arial" w:cs="Arial" w:eastAsia="Arial" w:hAnsi="Arial"/>
          <w:sz w:val="21"/>
          <w:szCs w:val="21"/>
          <w:color w:val="auto"/>
        </w:rPr>
        <w:t>. The Certificate of Formation was previously filed on behalf of the Company in the office of the Secretary of State of the State of Delaware as required by the Act. The Managing Member may execute and file any duly authorized amendments to the Certificate of Formation from time to time in a form prescribed by the Act. The Managing Member shall also cause to be made, on behalf of the Company, such additional filings and recordings as the Managing Member shall deem necessary or advisable.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deems it advisable, the operation of the Company as a limited liability company, in all jurisdictions in which the Company proposes to operate, and (c) all other filings required (or determined by the Managing Member to be necessary or appropriate) to be made by the Company.</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Representations and Warranties by the Members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9" w:lineRule="auto"/>
        <w:tabs>
          <w:tab w:leader="none" w:pos="2615"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 Conflict</w:t>
      </w:r>
      <w:r>
        <w:rPr>
          <w:rFonts w:ascii="Arial" w:cs="Arial" w:eastAsia="Arial" w:hAnsi="Arial"/>
          <w:sz w:val="19"/>
          <w:szCs w:val="19"/>
          <w:color w:val="auto"/>
        </w:rPr>
        <w:t>. Each Member that is an individual (including each Additional Member or Substituted Member as a condition to becoming an Additional Member or a Substituted Member) represents and warrants to, and covenants with, each other Member that (i) the execution of this Agreement and the consummation of the transactions contemplated by this Agreement to be performed by such Member will not result in a breach or violation of, or a default under, any material agreement by which such Member or any of such Member’s property is bound, or any statute, regulation, order or other Law to which such Member is subject and (ii) this Agreement is binding upon, and enforceable against, such Member in accordance with its terms.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5" w:name="page186"/>
    <w:bookmarkEnd w:id="185"/>
    <w:p>
      <w:pPr>
        <w:jc w:val="both"/>
        <w:ind w:firstLine="1735"/>
        <w:spacing w:after="0" w:line="268" w:lineRule="auto"/>
        <w:tabs>
          <w:tab w:leader="none" w:pos="2627"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Organization and Qualification; Authority</w:t>
      </w:r>
      <w:r>
        <w:rPr>
          <w:rFonts w:ascii="Arial" w:cs="Arial" w:eastAsia="Arial" w:hAnsi="Arial"/>
          <w:sz w:val="19"/>
          <w:szCs w:val="19"/>
          <w:color w:val="auto"/>
        </w:rPr>
        <w:t>. Each Member that is not an individual (including each Additional Member or Substituted Member as a condition to becoming an Additional Member or a Substituted Member) represents and warrants to, and covenants with, each other Member that (i) the execution of this Agreement and all transactions contemplated by this Agreement to be performed by it have been duly authorized by all necessary action, including that of its general partner(s), managing member(s), committee(s), trustee(s), beneficiaries, directors and/or stockholder(s) (as the case may be) as required, (ii) the execution of this Agreement and consummation of such transactions will not result in a breach or violation of, or a default under, its partnership or operating agreement, trust agreement, charter or bylaws (as the case may be), any material agreement by which such Member or any of such Member’s properties or any of its partners, members, beneficiaries, trustees or stockholders (as the case may be) is or are bound, or any statute, regulation, order or other Law to which such Member or any of its partners, members, trustees, beneficiaries or stockholders (as the case may be) is or are subject, and</w:t>
      </w:r>
    </w:p>
    <w:p>
      <w:pPr>
        <w:spacing w:after="0" w:line="8" w:lineRule="exact"/>
        <w:rPr>
          <w:rFonts w:ascii="Arial" w:cs="Arial" w:eastAsia="Arial" w:hAnsi="Arial"/>
          <w:sz w:val="19"/>
          <w:szCs w:val="19"/>
          <w:color w:val="auto"/>
        </w:rPr>
      </w:pPr>
    </w:p>
    <w:p>
      <w:pPr>
        <w:ind w:left="380" w:hanging="372"/>
        <w:spacing w:after="0"/>
        <w:tabs>
          <w:tab w:leader="none" w:pos="3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this Agreement is binding upon, and enforceable against, such Member in accordance with its terms.</w:t>
      </w:r>
    </w:p>
    <w:p>
      <w:pPr>
        <w:spacing w:after="0" w:line="188" w:lineRule="exact"/>
        <w:rPr>
          <w:rFonts w:ascii="Arial" w:cs="Arial" w:eastAsia="Arial" w:hAnsi="Arial"/>
          <w:sz w:val="22"/>
          <w:szCs w:val="22"/>
          <w:color w:val="auto"/>
        </w:rPr>
      </w:pPr>
    </w:p>
    <w:p>
      <w:pPr>
        <w:jc w:val="both"/>
        <w:ind w:firstLine="1735"/>
        <w:spacing w:after="0" w:line="274" w:lineRule="auto"/>
        <w:tabs>
          <w:tab w:leader="none" w:pos="2615"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Each Member (including each Additional Member or Substituted Member as a condition to becoming an Additional Member or Substituted Member) represents and warrants that it is an “accredited investor” as defined in Rule 501 promulgated under the Securities Act and represents, warrants, and agrees that it has acquired and continues to hold its interest in the Company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Member further represents and warrants that it is a sophisticated investor, able and accustomed to handling sophisticated financial matters for itself, and that it has a sufficiently high net worth that it does not anticipate a need for the funds that it has invested in the Company in what it understands to be a speculative and illiquid investment.</w:t>
      </w:r>
    </w:p>
    <w:p>
      <w:pPr>
        <w:spacing w:after="0" w:line="158" w:lineRule="exact"/>
        <w:rPr>
          <w:rFonts w:ascii="Arial" w:cs="Arial" w:eastAsia="Arial" w:hAnsi="Arial"/>
          <w:sz w:val="19"/>
          <w:szCs w:val="19"/>
          <w:color w:val="auto"/>
        </w:rPr>
      </w:pPr>
    </w:p>
    <w:p>
      <w:pPr>
        <w:jc w:val="both"/>
        <w:ind w:firstLine="1735"/>
        <w:spacing w:after="0" w:line="252" w:lineRule="auto"/>
        <w:tabs>
          <w:tab w:leader="none" w:pos="2627"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xml:space="preserve">. The representations and warranties contained in </w:t>
      </w:r>
      <w:r>
        <w:rPr>
          <w:rFonts w:ascii="Arial" w:cs="Arial" w:eastAsia="Arial" w:hAnsi="Arial"/>
          <w:sz w:val="21"/>
          <w:szCs w:val="21"/>
          <w:u w:val="single" w:color="auto"/>
          <w:color w:val="auto"/>
        </w:rPr>
        <w:t>Sections 1.10(a</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1.10(c)</w:t>
      </w:r>
      <w:r>
        <w:rPr>
          <w:rFonts w:ascii="Arial" w:cs="Arial" w:eastAsia="Arial" w:hAnsi="Arial"/>
          <w:sz w:val="21"/>
          <w:szCs w:val="21"/>
          <w:color w:val="auto"/>
        </w:rPr>
        <w:t xml:space="preserve"> shall survive the execution and delivery of this Agreement by each Member (and, in the case of an Additional Member or a Substituted Member, the admission of such Additional Member or Substituted Member as a Member in the Company), and the dissolution, liquidation, and termination of the Company.</w:t>
      </w:r>
    </w:p>
    <w:p>
      <w:pPr>
        <w:spacing w:after="0" w:line="173" w:lineRule="exact"/>
        <w:rPr>
          <w:rFonts w:ascii="Arial" w:cs="Arial" w:eastAsia="Arial" w:hAnsi="Arial"/>
          <w:sz w:val="21"/>
          <w:szCs w:val="21"/>
          <w:color w:val="auto"/>
        </w:rPr>
      </w:pPr>
    </w:p>
    <w:p>
      <w:pPr>
        <w:jc w:val="both"/>
        <w:ind w:firstLine="1735"/>
        <w:spacing w:after="0" w:line="234" w:lineRule="auto"/>
        <w:tabs>
          <w:tab w:leader="none" w:pos="2615"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No Representations as to Performance</w:t>
      </w:r>
      <w:r>
        <w:rPr>
          <w:rFonts w:ascii="Arial" w:cs="Arial" w:eastAsia="Arial" w:hAnsi="Arial"/>
          <w:sz w:val="22"/>
          <w:szCs w:val="22"/>
          <w:color w:val="auto"/>
        </w:rPr>
        <w:t>. Each Member (including each Additional Member or Substituted Member as a condition to becoming an Additional Member or Substituted Member) hereby acknowledges that no representations as to potential profit, cash flows, funds from operations or yield, if any, in respect of the Company or the Managing Member have been made by any Member or any employee or representative or Affiliate of any Member, and that projections and any other information, including financial and descriptive information and documentation, that may have been in any manner submitted to such Member shall not constitute any representation or warranty of any kind or nature, express or implied.</w:t>
      </w:r>
    </w:p>
    <w:p>
      <w:pPr>
        <w:spacing w:after="0" w:line="190" w:lineRule="exact"/>
        <w:rPr>
          <w:rFonts w:ascii="Arial" w:cs="Arial" w:eastAsia="Arial" w:hAnsi="Arial"/>
          <w:sz w:val="22"/>
          <w:szCs w:val="22"/>
          <w:color w:val="auto"/>
        </w:rPr>
      </w:pPr>
    </w:p>
    <w:p>
      <w:pPr>
        <w:jc w:val="both"/>
        <w:ind w:firstLine="1735"/>
        <w:spacing w:after="0" w:line="236" w:lineRule="auto"/>
        <w:tabs>
          <w:tab w:leader="none" w:pos="2591"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Modification of Representations and Warranties</w:t>
      </w:r>
      <w:r>
        <w:rPr>
          <w:rFonts w:ascii="Arial" w:cs="Arial" w:eastAsia="Arial" w:hAnsi="Arial"/>
          <w:sz w:val="22"/>
          <w:szCs w:val="22"/>
          <w:color w:val="auto"/>
        </w:rPr>
        <w:t xml:space="preserve">. The Managing Member may permit the modification of any of the representations and warranties contained in </w:t>
      </w:r>
      <w:r>
        <w:rPr>
          <w:rFonts w:ascii="Arial" w:cs="Arial" w:eastAsia="Arial" w:hAnsi="Arial"/>
          <w:sz w:val="22"/>
          <w:szCs w:val="22"/>
          <w:u w:val="single" w:color="auto"/>
          <w:color w:val="auto"/>
        </w:rPr>
        <w:t>Sections 1.10(a)</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1.10(c</w:t>
      </w:r>
      <w:r>
        <w:rPr>
          <w:rFonts w:ascii="Arial" w:cs="Arial" w:eastAsia="Arial" w:hAnsi="Arial"/>
          <w:sz w:val="22"/>
          <w:szCs w:val="22"/>
          <w:color w:val="auto"/>
        </w:rPr>
        <w:t xml:space="preserve">), as applicable, to any Member (including any Additional Member or Substituted Member or any transferee of either) </w:t>
      </w:r>
      <w:r>
        <w:rPr>
          <w:rFonts w:ascii="Arial" w:cs="Arial" w:eastAsia="Arial" w:hAnsi="Arial"/>
          <w:sz w:val="22"/>
          <w:szCs w:val="22"/>
          <w:i w:val="1"/>
          <w:iCs w:val="1"/>
          <w:color w:val="auto"/>
        </w:rPr>
        <w:t>provided</w:t>
      </w:r>
      <w:r>
        <w:rPr>
          <w:rFonts w:ascii="Arial" w:cs="Arial" w:eastAsia="Arial" w:hAnsi="Arial"/>
          <w:sz w:val="22"/>
          <w:szCs w:val="22"/>
          <w:color w:val="auto"/>
        </w:rPr>
        <w:t>, that such representations and warranties, as modified, shall be set forth in either (i) a Unit Designation applicable to the Units held by such Member or (ii) a separate writing addressed to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UNITS; CAPITAL CONTRIBUTIONS</w:t>
      </w:r>
    </w:p>
    <w:p>
      <w:pPr>
        <w:spacing w:after="0" w:line="21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Units</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The interests of the Members in the Company are divided into, and represented by, the Units, each having the rights and obligations specified in this Agreement.</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Classes</w:t>
      </w:r>
      <w:r>
        <w:rPr>
          <w:rFonts w:ascii="Arial" w:cs="Arial" w:eastAsia="Arial" w:hAnsi="Arial"/>
          <w:sz w:val="22"/>
          <w:szCs w:val="22"/>
          <w:color w:val="auto"/>
        </w:rPr>
        <w:t>. The Units are initially divided into:</w:t>
      </w:r>
    </w:p>
    <w:p>
      <w:pPr>
        <w:spacing w:after="0" w:line="206" w:lineRule="exact"/>
        <w:rPr>
          <w:rFonts w:ascii="Arial" w:cs="Arial" w:eastAsia="Arial" w:hAnsi="Arial"/>
          <w:sz w:val="22"/>
          <w:szCs w:val="22"/>
          <w:color w:val="auto"/>
        </w:rPr>
      </w:pPr>
    </w:p>
    <w:p>
      <w:pPr>
        <w:ind w:firstLine="2600"/>
        <w:spacing w:after="0" w:line="250" w:lineRule="auto"/>
        <w:tabs>
          <w:tab w:leader="none" w:pos="3444" w:val="left"/>
        </w:tabs>
        <w:numPr>
          <w:ilvl w:val="1"/>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Units</w:t>
      </w:r>
      <w:r>
        <w:rPr>
          <w:rFonts w:ascii="Arial" w:cs="Arial" w:eastAsia="Arial" w:hAnsi="Arial"/>
          <w:sz w:val="22"/>
          <w:szCs w:val="22"/>
          <w:color w:val="auto"/>
        </w:rPr>
        <w:t>,” which are issuable to the Managing Member and such other persons as the Managing Member shall determine; and</w:t>
      </w:r>
    </w:p>
    <w:p>
      <w:pPr>
        <w:spacing w:after="0" w:line="174" w:lineRule="exact"/>
        <w:rPr>
          <w:rFonts w:ascii="Arial" w:cs="Arial" w:eastAsia="Arial" w:hAnsi="Arial"/>
          <w:sz w:val="22"/>
          <w:szCs w:val="22"/>
          <w:color w:val="auto"/>
        </w:rPr>
      </w:pPr>
    </w:p>
    <w:p>
      <w:pPr>
        <w:jc w:val="both"/>
        <w:ind w:firstLine="2600"/>
        <w:spacing w:after="0" w:line="257" w:lineRule="auto"/>
        <w:tabs>
          <w:tab w:leader="none" w:pos="3504" w:val="left"/>
        </w:tabs>
        <w:numPr>
          <w:ilvl w:val="1"/>
          <w:numId w:val="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B Common Units,</w:t>
      </w:r>
      <w:r>
        <w:rPr>
          <w:rFonts w:ascii="Arial" w:cs="Arial" w:eastAsia="Arial" w:hAnsi="Arial"/>
          <w:sz w:val="21"/>
          <w:szCs w:val="21"/>
          <w:color w:val="auto"/>
        </w:rPr>
        <w:t>” which are issuable to the Members (other than the Managing Member) in the IPO Reorganization and as otherwise provided in this Agreement. Each Class B Common Unit shall be associated with a share of Class B Common Stock issued to the holder of the Class B Common Unit.</w:t>
      </w:r>
    </w:p>
    <w:p>
      <w:pPr>
        <w:spacing w:after="0" w:line="169" w:lineRule="exact"/>
        <w:rPr>
          <w:rFonts w:ascii="Arial" w:cs="Arial" w:eastAsia="Arial" w:hAnsi="Arial"/>
          <w:sz w:val="21"/>
          <w:szCs w:val="21"/>
          <w:color w:val="auto"/>
        </w:rPr>
      </w:pPr>
    </w:p>
    <w:p>
      <w:pPr>
        <w:ind w:firstLine="2600"/>
        <w:spacing w:after="0" w:line="250" w:lineRule="auto"/>
        <w:tabs>
          <w:tab w:leader="none" w:pos="3564"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Other Classes of Units</w:t>
      </w:r>
      <w:r>
        <w:rPr>
          <w:rFonts w:ascii="Arial" w:cs="Arial" w:eastAsia="Arial" w:hAnsi="Arial"/>
          <w:sz w:val="22"/>
          <w:szCs w:val="22"/>
          <w:color w:val="auto"/>
        </w:rPr>
        <w:t>. The Company may issue additional Units or create additional classes, series, sub-classes, or sub-series of Units in accordance with this Agreement.</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Capital Contributions of the Members; No Deficit Restoration Obligation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7" w:lineRule="auto"/>
        <w:tabs>
          <w:tab w:leader="none" w:pos="261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Capital Contributions</w:t>
      </w:r>
      <w:r>
        <w:rPr>
          <w:rFonts w:ascii="Arial" w:cs="Arial" w:eastAsia="Arial" w:hAnsi="Arial"/>
          <w:sz w:val="19"/>
          <w:szCs w:val="19"/>
          <w:color w:val="auto"/>
        </w:rPr>
        <w:t>. The Members made, shall be treated as having made, or have agreed to make, Capital Contributions to the Company and were issued the Common Units indicated on Annex A. Except as provided by Law or in this Agreement, the Members shall have no obligation or, except as otherwise provided in this Agreement or with the prior written consent of the Managing Member, right to make any other Capital Contributions or any loans to the Company.</w:t>
      </w:r>
    </w:p>
    <w:p>
      <w:pPr>
        <w:spacing w:after="0" w:line="142" w:lineRule="exact"/>
        <w:rPr>
          <w:rFonts w:ascii="Arial" w:cs="Arial" w:eastAsia="Arial" w:hAnsi="Arial"/>
          <w:sz w:val="19"/>
          <w:szCs w:val="19"/>
          <w:color w:val="auto"/>
        </w:rPr>
      </w:pPr>
    </w:p>
    <w:p>
      <w:pPr>
        <w:jc w:val="both"/>
        <w:ind w:firstLine="1735"/>
        <w:spacing w:after="0"/>
        <w:tabs>
          <w:tab w:leader="none" w:pos="2627"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No Deficit Restoration Obligation</w:t>
      </w:r>
      <w:r>
        <w:rPr>
          <w:rFonts w:ascii="Arial" w:cs="Arial" w:eastAsia="Arial" w:hAnsi="Arial"/>
          <w:sz w:val="22"/>
          <w:szCs w:val="22"/>
          <w:color w:val="auto"/>
        </w:rPr>
        <w:t>. No Member shall have an obligation to make any contribution to the capital of the Company as the result of a deficit balance in its Capital Account, and any such deficit shall not be considered a Debt owed to the Company or to any other Person for any purpose whatsoever.</w:t>
      </w:r>
    </w:p>
    <w:p>
      <w:pPr>
        <w:spacing w:after="0" w:line="18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No Interest; No Return</w:t>
      </w:r>
      <w:r>
        <w:rPr>
          <w:rFonts w:ascii="Arial" w:cs="Arial" w:eastAsia="Arial" w:hAnsi="Arial"/>
          <w:sz w:val="21"/>
          <w:szCs w:val="21"/>
          <w:color w:val="auto"/>
        </w:rPr>
        <w:t>. No Member shall be entitled to interest on its Capital Contribution or on such Member’s Capital Account balance. Except as provided by this Agreement, any Unit Designation, or by Law, no Member shall have any right to demand or receive a withdrawal or the return of its Capital Contribution from the Company. Except to the extent provided in this Agreement or in any Unit Designation, no Member shall have priority over any other Member as to distributions, the return of Capital Contributions, or the allocation of Net Profits and Net Losses.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7" w:name="page188"/>
    <w:bookmarkEnd w:id="187"/>
    <w:p>
      <w:pPr>
        <w:ind w:left="880"/>
        <w:spacing w:after="0"/>
        <w:tabs>
          <w:tab w:leader="none" w:pos="24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Issuances of Additional Units</w:t>
      </w:r>
      <w:r>
        <w:rPr>
          <w:rFonts w:ascii="Arial" w:cs="Arial" w:eastAsia="Arial" w:hAnsi="Arial"/>
          <w:sz w:val="19"/>
          <w:szCs w:val="19"/>
          <w:color w:val="auto"/>
        </w:rPr>
        <w:t>. Subject to the rights of any Member set forth in a Unit Designation:</w:t>
      </w:r>
    </w:p>
    <w:p>
      <w:pPr>
        <w:spacing w:after="0" w:line="206" w:lineRule="exact"/>
        <w:rPr>
          <w:sz w:val="20"/>
          <w:szCs w:val="20"/>
          <w:color w:val="auto"/>
        </w:rPr>
      </w:pPr>
    </w:p>
    <w:p>
      <w:pPr>
        <w:jc w:val="both"/>
        <w:ind w:firstLine="1735"/>
        <w:spacing w:after="0" w:line="273" w:lineRule="auto"/>
        <w:tabs>
          <w:tab w:leader="none" w:pos="2615"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Company may issue additional Units, for any Company purpose, at any time or from time to time, to the Members (including the Managing Member) or to any other Person, and may admit any such Person as an Additional Member for such consideration and on such terms and conditions as shall be established by the Company. Any additional Units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Units) as shall be determined by the Company and set forth in a written document attached to and made an exhibit to this Agreement, which exhibit shall be an amendment to this Agreement and shall be incorporated into this Agreement by reference (each, a “</w:t>
      </w:r>
      <w:r>
        <w:rPr>
          <w:rFonts w:ascii="Arial" w:cs="Arial" w:eastAsia="Arial" w:hAnsi="Arial"/>
          <w:sz w:val="19"/>
          <w:szCs w:val="19"/>
          <w:u w:val="single" w:color="auto"/>
          <w:color w:val="auto"/>
        </w:rPr>
        <w:t>Unit Designation</w:t>
      </w:r>
      <w:r>
        <w:rPr>
          <w:rFonts w:ascii="Arial" w:cs="Arial" w:eastAsia="Arial" w:hAnsi="Arial"/>
          <w:sz w:val="19"/>
          <w:szCs w:val="19"/>
          <w:color w:val="auto"/>
        </w:rPr>
        <w:t>”). Upon the issuance of any additional Unit, the Managing Member shall amend the Register and the books and records of the Company as appropriate to reflect such issuance. Except to the extent specifically set forth in any Unit Designation, a Unit of any class or series other than a Common Unit shall not entitle the holder thereof to vote on, or consent to, any matter.</w:t>
      </w:r>
    </w:p>
    <w:p>
      <w:pPr>
        <w:spacing w:after="0" w:line="155" w:lineRule="exact"/>
        <w:rPr>
          <w:rFonts w:ascii="Arial" w:cs="Arial" w:eastAsia="Arial" w:hAnsi="Arial"/>
          <w:sz w:val="19"/>
          <w:szCs w:val="19"/>
          <w:color w:val="auto"/>
        </w:rPr>
      </w:pPr>
    </w:p>
    <w:p>
      <w:pPr>
        <w:ind w:left="2640" w:hanging="905"/>
        <w:spacing w:after="0"/>
        <w:tabs>
          <w:tab w:leader="none" w:pos="264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Issuances to the Managing Member</w:t>
      </w:r>
      <w:r>
        <w:rPr>
          <w:rFonts w:ascii="Arial" w:cs="Arial" w:eastAsia="Arial" w:hAnsi="Arial"/>
          <w:sz w:val="19"/>
          <w:szCs w:val="19"/>
          <w:color w:val="auto"/>
        </w:rPr>
        <w:t>. No additional Units shall be issued to the Managing Member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unless:</w:t>
      </w:r>
    </w:p>
    <w:p>
      <w:pPr>
        <w:spacing w:after="0" w:line="188" w:lineRule="exact"/>
        <w:rPr>
          <w:rFonts w:ascii="Arial" w:cs="Arial" w:eastAsia="Arial" w:hAnsi="Arial"/>
          <w:sz w:val="19"/>
          <w:szCs w:val="19"/>
          <w:color w:val="auto"/>
        </w:rPr>
      </w:pPr>
    </w:p>
    <w:p>
      <w:pPr>
        <w:ind w:firstLine="2600"/>
        <w:spacing w:after="0" w:line="250" w:lineRule="auto"/>
        <w:tabs>
          <w:tab w:leader="none" w:pos="3444"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The additional Units are issued to all Members holding Common Units in proportion to their respective Percentage Interests in the Common Units;</w:t>
      </w:r>
    </w:p>
    <w:p>
      <w:pPr>
        <w:spacing w:after="0" w:line="174" w:lineRule="exact"/>
        <w:rPr>
          <w:rFonts w:ascii="Arial" w:cs="Arial" w:eastAsia="Arial" w:hAnsi="Arial"/>
          <w:sz w:val="22"/>
          <w:szCs w:val="22"/>
          <w:color w:val="auto"/>
        </w:rPr>
      </w:pPr>
    </w:p>
    <w:p>
      <w:pPr>
        <w:jc w:val="both"/>
        <w:ind w:firstLine="2600"/>
        <w:spacing w:after="0" w:line="234" w:lineRule="auto"/>
        <w:tabs>
          <w:tab w:leader="none" w:pos="3504" w:val="left"/>
        </w:tabs>
        <w:numPr>
          <w:ilvl w:val="2"/>
          <w:numId w:val="94"/>
        </w:numPr>
        <w:rPr>
          <w:rFonts w:ascii="Arial" w:cs="Arial" w:eastAsia="Arial" w:hAnsi="Arial"/>
          <w:sz w:val="22"/>
          <w:szCs w:val="22"/>
          <w:color w:val="auto"/>
        </w:rPr>
      </w:pPr>
      <w:r>
        <w:rPr>
          <w:rFonts w:ascii="Arial" w:cs="Arial" w:eastAsia="Arial" w:hAnsi="Arial"/>
          <w:sz w:val="22"/>
          <w:szCs w:val="22"/>
          <w:color w:val="auto"/>
        </w:rPr>
        <w:t xml:space="preserve">The additional Units are (x) Class A Common Units issued in connection with an issuance of Class A Common Stock or issued with appropriate adjustments to the Exchange Rate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12.4</w:t>
      </w:r>
      <w:r>
        <w:rPr>
          <w:rFonts w:ascii="Arial" w:cs="Arial" w:eastAsia="Arial" w:hAnsi="Arial"/>
          <w:sz w:val="22"/>
          <w:szCs w:val="22"/>
          <w:color w:val="auto"/>
        </w:rPr>
        <w:t>, (y) Class B Common Units issued in connection with an issuance of Class B Common Stock, or (z) Equivalent Units (other than Common Units) issued in connection with an issuance of Preferred Stock, New Securities, or other interests in the Managing Member (other than Common Stock), and, in each case, the Managing Member contributes to the Company the net proceeds received in connection with the issuance of such Common Stock, Preferred Stock, New Securities, or other interests in the Managing Member;</w:t>
      </w:r>
    </w:p>
    <w:p>
      <w:pPr>
        <w:spacing w:after="0" w:line="190" w:lineRule="exact"/>
        <w:rPr>
          <w:rFonts w:ascii="Arial" w:cs="Arial" w:eastAsia="Arial" w:hAnsi="Arial"/>
          <w:sz w:val="22"/>
          <w:szCs w:val="22"/>
          <w:color w:val="auto"/>
        </w:rPr>
      </w:pPr>
    </w:p>
    <w:p>
      <w:pPr>
        <w:ind w:left="3580" w:hanging="980"/>
        <w:spacing w:after="0"/>
        <w:tabs>
          <w:tab w:leader="none" w:pos="3580"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There is a recapitalization of the stock of the Managing Member;</w:t>
      </w:r>
    </w:p>
    <w:p>
      <w:pPr>
        <w:spacing w:after="0" w:line="206" w:lineRule="exact"/>
        <w:rPr>
          <w:rFonts w:ascii="Arial" w:cs="Arial" w:eastAsia="Arial" w:hAnsi="Arial"/>
          <w:sz w:val="22"/>
          <w:szCs w:val="22"/>
          <w:color w:val="auto"/>
        </w:rPr>
      </w:pPr>
    </w:p>
    <w:p>
      <w:pPr>
        <w:ind w:firstLine="2600"/>
        <w:spacing w:after="0" w:line="250" w:lineRule="auto"/>
        <w:tabs>
          <w:tab w:leader="none" w:pos="3552"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The additional Units are issued upon the conversion, redemption or exchange of Debt, Units or other securities issued by the Company; or</w:t>
      </w:r>
    </w:p>
    <w:p>
      <w:pPr>
        <w:spacing w:after="0" w:line="174" w:lineRule="exact"/>
        <w:rPr>
          <w:rFonts w:ascii="Arial" w:cs="Arial" w:eastAsia="Arial" w:hAnsi="Arial"/>
          <w:sz w:val="22"/>
          <w:szCs w:val="22"/>
          <w:color w:val="auto"/>
        </w:rPr>
      </w:pPr>
    </w:p>
    <w:p>
      <w:pPr>
        <w:ind w:left="3500" w:hanging="900"/>
        <w:spacing w:after="0"/>
        <w:tabs>
          <w:tab w:leader="none" w:pos="3500" w:val="left"/>
        </w:tabs>
        <w:numPr>
          <w:ilvl w:val="2"/>
          <w:numId w:val="94"/>
        </w:numPr>
        <w:rPr>
          <w:rFonts w:ascii="Arial" w:cs="Arial" w:eastAsia="Arial" w:hAnsi="Arial"/>
          <w:sz w:val="21"/>
          <w:szCs w:val="21"/>
          <w:color w:val="auto"/>
        </w:rPr>
      </w:pPr>
      <w:r>
        <w:rPr>
          <w:rFonts w:ascii="Arial" w:cs="Arial" w:eastAsia="Arial" w:hAnsi="Arial"/>
          <w:sz w:val="21"/>
          <w:szCs w:val="21"/>
          <w:color w:val="auto"/>
        </w:rPr>
        <w:t>The additional Units are issued in accordance with the express terms of the other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88" w:lineRule="exact"/>
        <w:rPr>
          <w:rFonts w:ascii="Arial" w:cs="Arial" w:eastAsia="Arial" w:hAnsi="Arial"/>
          <w:sz w:val="21"/>
          <w:szCs w:val="21"/>
          <w:color w:val="auto"/>
        </w:rPr>
      </w:pPr>
    </w:p>
    <w:p>
      <w:pPr>
        <w:ind w:left="2620" w:hanging="885"/>
        <w:spacing w:after="0"/>
        <w:tabs>
          <w:tab w:leader="none" w:pos="262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Issuances of Class B Common Units</w:t>
      </w:r>
      <w:r>
        <w:rPr>
          <w:rFonts w:ascii="Arial" w:cs="Arial" w:eastAsia="Arial" w:hAnsi="Arial"/>
          <w:sz w:val="19"/>
          <w:szCs w:val="19"/>
          <w:color w:val="auto"/>
        </w:rPr>
        <w:t>. No additional Class B Common Units shall be issued except</w:t>
      </w:r>
    </w:p>
    <w:p>
      <w:pPr>
        <w:spacing w:after="0" w:line="42" w:lineRule="exact"/>
        <w:rPr>
          <w:rFonts w:ascii="Arial" w:cs="Arial" w:eastAsia="Arial" w:hAnsi="Arial"/>
          <w:sz w:val="19"/>
          <w:szCs w:val="19"/>
          <w:color w:val="auto"/>
        </w:rPr>
      </w:pPr>
    </w:p>
    <w:p>
      <w:pPr>
        <w:jc w:val="both"/>
        <w:ind w:firstLine="8"/>
        <w:spacing w:after="0" w:line="234" w:lineRule="auto"/>
        <w:tabs>
          <w:tab w:leader="none" w:pos="2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event of a recapitalization of the Capital Stock of the Managing Member, including any stock split, stock dividend, reclassification or similar transaction, or (ii) if a corresponding number of shares of Class B Common Stock is also issued by the Managing Member to the holder of such Class B Common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8" w:name="page189"/>
    <w:bookmarkEnd w:id="188"/>
    <w:p>
      <w:pPr>
        <w:jc w:val="both"/>
        <w:ind w:firstLine="1735"/>
        <w:spacing w:after="0"/>
        <w:tabs>
          <w:tab w:leader="none" w:pos="2627"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Preemptive Rights</w:t>
      </w:r>
      <w:r>
        <w:rPr>
          <w:rFonts w:ascii="Arial" w:cs="Arial" w:eastAsia="Arial" w:hAnsi="Arial"/>
          <w:sz w:val="22"/>
          <w:szCs w:val="22"/>
          <w:color w:val="auto"/>
        </w:rPr>
        <w:t>. Except as expressly provided in this Agreement or in any Unit Designation, no Person shall have any preemptive, preferential, participation or similar right or rights to subscribe for or acquire any Membership Interest.</w:t>
      </w:r>
    </w:p>
    <w:p>
      <w:pPr>
        <w:spacing w:after="0" w:line="18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Additional Funds and Additional Capital Contributions</w:t>
      </w:r>
    </w:p>
    <w:p>
      <w:pPr>
        <w:spacing w:after="0" w:line="206" w:lineRule="exact"/>
        <w:rPr>
          <w:sz w:val="20"/>
          <w:szCs w:val="20"/>
          <w:color w:val="auto"/>
        </w:rPr>
      </w:pPr>
    </w:p>
    <w:p>
      <w:pPr>
        <w:jc w:val="both"/>
        <w:ind w:firstLine="1735"/>
        <w:spacing w:after="0" w:line="287" w:lineRule="auto"/>
        <w:tabs>
          <w:tab w:leader="none" w:pos="261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Company may, at any time and from time to time, determine that it requires additional funds (“</w:t>
      </w:r>
      <w:r>
        <w:rPr>
          <w:rFonts w:ascii="Arial" w:cs="Arial" w:eastAsia="Arial" w:hAnsi="Arial"/>
          <w:sz w:val="19"/>
          <w:szCs w:val="19"/>
          <w:u w:val="single" w:color="auto"/>
          <w:color w:val="auto"/>
        </w:rPr>
        <w:t>Additional Funds</w:t>
      </w:r>
      <w:r>
        <w:rPr>
          <w:rFonts w:ascii="Arial" w:cs="Arial" w:eastAsia="Arial" w:hAnsi="Arial"/>
          <w:sz w:val="19"/>
          <w:szCs w:val="19"/>
          <w:color w:val="auto"/>
        </w:rPr>
        <w:t xml:space="preserve">”) for the acquisition or development of additional Assets, for the redemption of Units, or for such other purposes as the Company may determine. Additional Funds may be obtained by the Company in any manner provided in, and in accordance with, the terms of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without the approval of any Member or any other Person.</w:t>
      </w:r>
    </w:p>
    <w:p>
      <w:pPr>
        <w:spacing w:after="0" w:line="142" w:lineRule="exact"/>
        <w:rPr>
          <w:rFonts w:ascii="Arial" w:cs="Arial" w:eastAsia="Arial" w:hAnsi="Arial"/>
          <w:sz w:val="19"/>
          <w:szCs w:val="19"/>
          <w:color w:val="auto"/>
        </w:rPr>
      </w:pPr>
    </w:p>
    <w:p>
      <w:pPr>
        <w:jc w:val="both"/>
        <w:ind w:firstLine="1735"/>
        <w:spacing w:after="0" w:line="236" w:lineRule="auto"/>
        <w:tabs>
          <w:tab w:leader="none" w:pos="2627"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Additional Capital Contributions</w:t>
      </w:r>
      <w:r>
        <w:rPr>
          <w:rFonts w:ascii="Arial" w:cs="Arial" w:eastAsia="Arial" w:hAnsi="Arial"/>
          <w:sz w:val="22"/>
          <w:szCs w:val="22"/>
          <w:color w:val="auto"/>
        </w:rPr>
        <w:t xml:space="preserve">. The Company may obtain any Additional Funds by accepting Capital Contributions from any Members or other Persons. In connection with any such Capital Contribution, the Company is hereby authorized from time to time to issue additional Units (as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above) in consideration for such Capital Contribution, and, if appropriate, the Percentage Interests of the Members shall be adjusted to reflect the issuance of such additional Units.</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1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Loans by Third Parties</w:t>
      </w:r>
      <w:r>
        <w:rPr>
          <w:rFonts w:ascii="Arial" w:cs="Arial" w:eastAsia="Arial" w:hAnsi="Arial"/>
          <w:sz w:val="22"/>
          <w:szCs w:val="22"/>
          <w:color w:val="auto"/>
        </w:rPr>
        <w:t xml:space="preserve">. The Company may obtain any Additional Funds by incurring Debt payable to any Person (other than, except as contemplated in </w:t>
      </w:r>
      <w:r>
        <w:rPr>
          <w:rFonts w:ascii="Arial" w:cs="Arial" w:eastAsia="Arial" w:hAnsi="Arial"/>
          <w:sz w:val="22"/>
          <w:szCs w:val="22"/>
          <w:u w:val="single" w:color="auto"/>
          <w:color w:val="auto"/>
        </w:rPr>
        <w:t>Section 2.5(d)</w:t>
      </w:r>
      <w:r>
        <w:rPr>
          <w:rFonts w:ascii="Arial" w:cs="Arial" w:eastAsia="Arial" w:hAnsi="Arial"/>
          <w:sz w:val="22"/>
          <w:szCs w:val="22"/>
          <w:color w:val="auto"/>
        </w:rPr>
        <w:t xml:space="preserve">, the Managing Member) upon such terms as the Company determines appropriate, including making such Debt convertible, redeemable, or exchangeable for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Company shall not incur any such Debt if any Member would be personally liable for the repayment of all or</w:t>
      </w:r>
      <w:r>
        <w:rPr>
          <w:rFonts w:ascii="Arial" w:cs="Arial" w:eastAsia="Arial" w:hAnsi="Arial"/>
          <w:sz w:val="22"/>
          <w:szCs w:val="22"/>
          <w:i w:val="1"/>
          <w:iCs w:val="1"/>
          <w:color w:val="auto"/>
        </w:rPr>
        <w:t xml:space="preserve"> </w:t>
      </w:r>
      <w:r>
        <w:rPr>
          <w:rFonts w:ascii="Arial" w:cs="Arial" w:eastAsia="Arial" w:hAnsi="Arial"/>
          <w:sz w:val="22"/>
          <w:szCs w:val="22"/>
          <w:color w:val="auto"/>
        </w:rPr>
        <w:t>any portion of such Debt (unless that Member agrees otherwise).</w:t>
      </w:r>
    </w:p>
    <w:p>
      <w:pPr>
        <w:spacing w:after="0" w:line="187" w:lineRule="exact"/>
        <w:rPr>
          <w:rFonts w:ascii="Arial" w:cs="Arial" w:eastAsia="Arial" w:hAnsi="Arial"/>
          <w:sz w:val="22"/>
          <w:szCs w:val="22"/>
          <w:color w:val="auto"/>
        </w:rPr>
      </w:pPr>
    </w:p>
    <w:p>
      <w:pPr>
        <w:jc w:val="both"/>
        <w:ind w:firstLine="1735"/>
        <w:spacing w:after="0" w:line="279" w:lineRule="auto"/>
        <w:tabs>
          <w:tab w:leader="none" w:pos="2627"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Loans by Managing Member</w:t>
      </w:r>
      <w:r>
        <w:rPr>
          <w:rFonts w:ascii="Arial" w:cs="Arial" w:eastAsia="Arial" w:hAnsi="Arial"/>
          <w:sz w:val="19"/>
          <w:szCs w:val="19"/>
          <w:color w:val="auto"/>
        </w:rPr>
        <w:t>. The Managing Member, on behalf of the Company, may obtain any Additional Funds by causing the Company to incur Debt payable to the Managing Member if (i) the Debt is, to the extent permitted by Law, on substantially the same terms and conditions (including interest rate, repayment schedule, and conversion, redemption, repurchase and exchange rights) as any Debt incurred by or on behalf of the Managing Member for the purpose of providing funds to the Company, the net proceeds of which are lent to the Company to provide such Additional Funds, or (ii) the Debt is on terms and conditions no less favorable to the Company than would be available to the Company from any third party.</w:t>
      </w:r>
    </w:p>
    <w:p>
      <w:pPr>
        <w:spacing w:after="0" w:line="150" w:lineRule="exact"/>
        <w:rPr>
          <w:rFonts w:ascii="Arial" w:cs="Arial" w:eastAsia="Arial" w:hAnsi="Arial"/>
          <w:sz w:val="19"/>
          <w:szCs w:val="19"/>
          <w:color w:val="auto"/>
        </w:rPr>
      </w:pPr>
    </w:p>
    <w:p>
      <w:pPr>
        <w:ind w:left="2620" w:hanging="885"/>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Issuance of Securities by the Managing Member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7" w:lineRule="auto"/>
        <w:tabs>
          <w:tab w:leader="none" w:pos="3444" w:val="left"/>
        </w:tabs>
        <w:numPr>
          <w:ilvl w:val="1"/>
          <w:numId w:val="97"/>
        </w:numPr>
        <w:rPr>
          <w:rFonts w:ascii="Arial" w:cs="Arial" w:eastAsia="Arial" w:hAnsi="Arial"/>
          <w:sz w:val="19"/>
          <w:szCs w:val="19"/>
          <w:color w:val="auto"/>
        </w:rPr>
      </w:pPr>
      <w:r>
        <w:rPr>
          <w:rFonts w:ascii="Arial" w:cs="Arial" w:eastAsia="Arial" w:hAnsi="Arial"/>
          <w:sz w:val="19"/>
          <w:szCs w:val="19"/>
          <w:color w:val="auto"/>
        </w:rPr>
        <w:t>Unless otherwise agreed to by the Members, after the completion of the IPO and the initial issuance of the Class B Common Stock by the Managing Member, except in the case of a Liquidity Offering for purposes of a Cash Settlement, the Managing Member shall not issue any additional Capital Stock or New Securities unless the Managing Member contributes the net proceeds received from the issuance of such additional Capital Stock or New Securities (as the case may be) and from the exercise of the rights contained in any such additional Capital Stock or New Securities to the Company in exchange for (i) in the case of an issuance of Class A Common Stock, Class A Common Units, (ii) in the case of an issuance of Class B Common Stock, Class B Common Units, or (iii) in the case of an issuance of Preferred Stock or New Securities,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9" w:name="page190"/>
    <w:bookmarkEnd w:id="189"/>
    <w:p>
      <w:pPr>
        <w:jc w:val="both"/>
        <w:spacing w:after="0" w:line="277" w:lineRule="auto"/>
        <w:rPr>
          <w:sz w:val="20"/>
          <w:szCs w:val="20"/>
          <w:color w:val="auto"/>
        </w:rPr>
      </w:pPr>
      <w:r>
        <w:rPr>
          <w:rFonts w:ascii="Arial" w:cs="Arial" w:eastAsia="Arial" w:hAnsi="Arial"/>
          <w:sz w:val="19"/>
          <w:szCs w:val="19"/>
          <w:color w:val="auto"/>
        </w:rPr>
        <w:t xml:space="preserve">Equivalent Units. If at any time any Preferred Stock or New Securities are issued that are convertible into or exercisable for Class A Common Stock or another security of the Managing Member, then upon any such conversion or exercise, the corresponding Equivalent Unit shall be similarly exercised or otherwise converted, as applicable, and an equivalent number of Class A Common Units or other Equivalent Units of the Company. It is the intent of the parties that the Managing Member will always own Units equivalent to its outstanding Capital Stock, except as provided pursuant to </w:t>
      </w:r>
      <w:r>
        <w:rPr>
          <w:rFonts w:ascii="Arial" w:cs="Arial" w:eastAsia="Arial" w:hAnsi="Arial"/>
          <w:sz w:val="19"/>
          <w:szCs w:val="19"/>
          <w:u w:val="single" w:color="auto"/>
          <w:color w:val="auto"/>
        </w:rPr>
        <w:t>Section 12.4</w:t>
      </w:r>
      <w:r>
        <w:rPr>
          <w:rFonts w:ascii="Arial" w:cs="Arial" w:eastAsia="Arial" w:hAnsi="Arial"/>
          <w:sz w:val="19"/>
          <w:szCs w:val="19"/>
          <w:color w:val="auto"/>
        </w:rPr>
        <w:t>, and the parties hereby acknowledge that the Managing Member may make reasonable adjustments to its own capitalization, subject to applicable Law and the terms of any such outstanding Capital Stock, in order to effect such parity.</w:t>
      </w:r>
    </w:p>
    <w:p>
      <w:pPr>
        <w:spacing w:after="0" w:line="152" w:lineRule="exact"/>
        <w:rPr>
          <w:sz w:val="20"/>
          <w:szCs w:val="20"/>
          <w:color w:val="auto"/>
        </w:rPr>
      </w:pPr>
    </w:p>
    <w:p>
      <w:pPr>
        <w:jc w:val="both"/>
        <w:ind w:firstLine="2600"/>
        <w:spacing w:after="0" w:line="246" w:lineRule="auto"/>
        <w:tabs>
          <w:tab w:leader="none" w:pos="3504" w:val="left"/>
        </w:tabs>
        <w:numPr>
          <w:ilvl w:val="1"/>
          <w:numId w:val="98"/>
        </w:numPr>
        <w:rPr>
          <w:rFonts w:ascii="Arial" w:cs="Arial" w:eastAsia="Arial" w:hAnsi="Arial"/>
          <w:sz w:val="21"/>
          <w:szCs w:val="21"/>
          <w:color w:val="auto"/>
        </w:rPr>
      </w:pPr>
      <w:r>
        <w:rPr>
          <w:rFonts w:ascii="Arial" w:cs="Arial" w:eastAsia="Arial" w:hAnsi="Arial"/>
          <w:sz w:val="21"/>
          <w:szCs w:val="21"/>
          <w:color w:val="auto"/>
        </w:rPr>
        <w:t>If the Managing Member issues any additional Capital Stock or New Securities and contributes the net proceeds, if any, received from such issuance to the Company, the Company is authorized to issue a number of Common Units or Equivalent Units to the Managing Member equal to the number of shares of Capital Stock or New Securities so issued, in accordance with this Section 2.5(e) without any further act, approval or vote of any Member or any other Person. For the avoidance of doubt, New Securities that are derivative securities issued under any Incentive Compensation Plan of the Managing Member shall not require issuance of Equivalent Units by the Company until such time as such derivative securities are exercised and subsequently issued.</w:t>
      </w:r>
    </w:p>
    <w:p>
      <w:pPr>
        <w:spacing w:after="0" w:line="184" w:lineRule="exact"/>
        <w:rPr>
          <w:rFonts w:ascii="Arial" w:cs="Arial" w:eastAsia="Arial" w:hAnsi="Arial"/>
          <w:sz w:val="21"/>
          <w:szCs w:val="21"/>
          <w:color w:val="auto"/>
        </w:rPr>
      </w:pPr>
    </w:p>
    <w:p>
      <w:pPr>
        <w:jc w:val="both"/>
        <w:ind w:firstLine="1735"/>
        <w:spacing w:after="0" w:line="238" w:lineRule="auto"/>
        <w:tabs>
          <w:tab w:leader="none" w:pos="2591"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Reimbursement of Issuance Expenses</w:t>
      </w:r>
      <w:r>
        <w:rPr>
          <w:rFonts w:ascii="Arial" w:cs="Arial" w:eastAsia="Arial" w:hAnsi="Arial"/>
          <w:sz w:val="22"/>
          <w:szCs w:val="22"/>
          <w:color w:val="auto"/>
        </w:rPr>
        <w:t>. If the Managing Member issues additional Capital Stock or New Securities and subsequently contributes the net proceeds received from such issuance to the Company, then the Company shall reimburse or assume (on an after-tax basis) the Managing Member’s expenses associated with such issuance, including any underwriting discounts or commissions.</w:t>
      </w:r>
    </w:p>
    <w:p>
      <w:pPr>
        <w:spacing w:after="0" w:line="184" w:lineRule="exact"/>
        <w:rPr>
          <w:rFonts w:ascii="Arial" w:cs="Arial" w:eastAsia="Arial" w:hAnsi="Arial"/>
          <w:sz w:val="22"/>
          <w:szCs w:val="22"/>
          <w:color w:val="auto"/>
        </w:rPr>
      </w:pPr>
    </w:p>
    <w:p>
      <w:pPr>
        <w:jc w:val="both"/>
        <w:ind w:firstLine="1735"/>
        <w:spacing w:after="0" w:line="246" w:lineRule="auto"/>
        <w:tabs>
          <w:tab w:leader="none" w:pos="2627"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Repurchase or Redemption of Capital Stock</w:t>
      </w:r>
      <w:r>
        <w:rPr>
          <w:rFonts w:ascii="Arial" w:cs="Arial" w:eastAsia="Arial" w:hAnsi="Arial"/>
          <w:sz w:val="21"/>
          <w:szCs w:val="21"/>
          <w:color w:val="auto"/>
        </w:rPr>
        <w:t>. If, at any time, any shares of Capital Stock or New Securities are repurchased, redeemed or otherwise retired (whether by exercise of a put or call, automatically or by means of another arrangement) by the Managing Member, then the Managing Member shall cause the Company, immediately prior to such repurchase, redemption or retirement of such Capital Stock or New Securities, to redeem, repurchase or otherwise retire a corresponding number of Class A Units, Class B Units or Equivalent Units held by the Managing Member, upon the same terms and for the same consideration as the Capital Stock or New Securities to be repurchased, redeemed or retired. Notwithstanding any provision to the contrary in this Agreement, the Company shall not make any repurchase or redemption if such repurchase or redemption would violate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-2623185</wp:posOffset>
            </wp:positionV>
            <wp:extent cx="7950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General Distributions</w:t>
      </w:r>
      <w:r>
        <w:rPr>
          <w:rFonts w:ascii="Arial" w:cs="Arial" w:eastAsia="Arial" w:hAnsi="Arial"/>
          <w:sz w:val="22"/>
          <w:szCs w:val="22"/>
          <w:color w:val="auto"/>
        </w:rPr>
        <w:t xml:space="preserve">. Subject to the terms of any Unit Designation, the Company shall distribute an amount of Available Cash when, as, and if determined by the Managing Member to the Members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Common Units.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0" w:name="page191"/>
    <w:bookmarkEnd w:id="190"/>
    <w:p>
      <w:pPr>
        <w:ind w:left="880"/>
        <w:spacing w:after="0"/>
        <w:tabs>
          <w:tab w:leader="none" w:pos="24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Tax Distributions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xml:space="preserve">. If the amount distributed to a Member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in respect of a Fiscal Year is less than that Member’s Assumed Tax Liability, the Company shall distribute an amount of Available Cash to the Members such that each Member receives distributions of Available Cash in respect of each Fiscal Year in an amount at least equal to the Member’s Assumed Tax Liability for such Fiscal Year (each such distribution, a “</w:t>
      </w:r>
      <w:r>
        <w:rPr>
          <w:rFonts w:ascii="Arial" w:cs="Arial" w:eastAsia="Arial" w:hAnsi="Arial"/>
          <w:sz w:val="22"/>
          <w:szCs w:val="22"/>
          <w:u w:val="single" w:color="auto"/>
          <w:color w:val="auto"/>
        </w:rPr>
        <w:t>Tax Distribution</w:t>
      </w:r>
      <w:r>
        <w:rPr>
          <w:rFonts w:ascii="Arial" w:cs="Arial" w:eastAsia="Arial" w:hAnsi="Arial"/>
          <w:sz w:val="22"/>
          <w:szCs w:val="22"/>
          <w:color w:val="auto"/>
        </w:rPr>
        <w:t xml:space="preserve">”). Any Tax Distribution made to a Member under this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shall be treated as an advance against, and shall reduce, future amounts otherwise distributable to such Member under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3.2(d)</w:t>
      </w:r>
      <w:r>
        <w:rPr>
          <w:rFonts w:ascii="Arial" w:cs="Arial" w:eastAsia="Arial" w:hAnsi="Arial"/>
          <w:sz w:val="22"/>
          <w:szCs w:val="22"/>
          <w:color w:val="auto"/>
        </w:rPr>
        <w:t xml:space="preserve">, all Tax Distributions shall be made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Units.</w:t>
      </w:r>
    </w:p>
    <w:p>
      <w:pPr>
        <w:spacing w:after="0" w:line="190" w:lineRule="exact"/>
        <w:rPr>
          <w:rFonts w:ascii="Arial" w:cs="Arial" w:eastAsia="Arial" w:hAnsi="Arial"/>
          <w:sz w:val="22"/>
          <w:szCs w:val="22"/>
          <w:color w:val="auto"/>
        </w:rPr>
      </w:pPr>
    </w:p>
    <w:p>
      <w:pPr>
        <w:ind w:firstLine="1735"/>
        <w:spacing w:after="0" w:line="328" w:lineRule="auto"/>
        <w:tabs>
          <w:tab w:leader="none" w:pos="2627"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Calculation of Assumed Tax Liability</w:t>
      </w:r>
      <w:r>
        <w:rPr>
          <w:rFonts w:ascii="Arial" w:cs="Arial" w:eastAsia="Arial" w:hAnsi="Arial"/>
          <w:sz w:val="19"/>
          <w:szCs w:val="19"/>
          <w:color w:val="auto"/>
        </w:rPr>
        <w:t xml:space="preserve">. For purposes of calculating the amount of each Member’s Tax Distributions under </w:t>
      </w:r>
      <w:r>
        <w:rPr>
          <w:rFonts w:ascii="Arial" w:cs="Arial" w:eastAsia="Arial" w:hAnsi="Arial"/>
          <w:sz w:val="19"/>
          <w:szCs w:val="19"/>
          <w:u w:val="single" w:color="auto"/>
          <w:color w:val="auto"/>
        </w:rPr>
        <w:t>Section 3.2(a)</w:t>
      </w:r>
      <w:r>
        <w:rPr>
          <w:rFonts w:ascii="Arial" w:cs="Arial" w:eastAsia="Arial" w:hAnsi="Arial"/>
          <w:sz w:val="19"/>
          <w:szCs w:val="19"/>
          <w:color w:val="auto"/>
        </w:rPr>
        <w:t>, a Member’s “</w:t>
      </w:r>
      <w:r>
        <w:rPr>
          <w:rFonts w:ascii="Arial" w:cs="Arial" w:eastAsia="Arial" w:hAnsi="Arial"/>
          <w:sz w:val="19"/>
          <w:szCs w:val="19"/>
          <w:u w:val="single" w:color="auto"/>
          <w:color w:val="auto"/>
        </w:rPr>
        <w:t>Assumed Tax Liability</w:t>
      </w:r>
      <w:r>
        <w:rPr>
          <w:rFonts w:ascii="Arial" w:cs="Arial" w:eastAsia="Arial" w:hAnsi="Arial"/>
          <w:sz w:val="19"/>
          <w:szCs w:val="19"/>
          <w:color w:val="auto"/>
        </w:rPr>
        <w:t>” means an amount equal to the product of:</w:t>
      </w:r>
    </w:p>
    <w:p>
      <w:pPr>
        <w:spacing w:after="0" w:line="104" w:lineRule="exact"/>
        <w:rPr>
          <w:rFonts w:ascii="Arial" w:cs="Arial" w:eastAsia="Arial" w:hAnsi="Arial"/>
          <w:sz w:val="19"/>
          <w:szCs w:val="19"/>
          <w:color w:val="auto"/>
        </w:rPr>
      </w:pPr>
    </w:p>
    <w:p>
      <w:pPr>
        <w:jc w:val="both"/>
        <w:ind w:firstLine="2600"/>
        <w:spacing w:after="0" w:line="287" w:lineRule="auto"/>
        <w:tabs>
          <w:tab w:leader="none" w:pos="344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the sum of (A) the net taxable income and gain allocated to that Member for U.S. federal income tax purposes in the Fiscal Year and (B) to the extent (x) determined by the Company in its sole discretion and (y) attributable to the Company, the amount the Member is required to include in income by reason of Code sections 707(c) (but not including guaranteed payments for services within the meaning of Code section 707(c)), 951(a), and 951A(a); </w:t>
      </w:r>
      <w:r>
        <w:rPr>
          <w:rFonts w:ascii="Arial" w:cs="Arial" w:eastAsia="Arial" w:hAnsi="Arial"/>
          <w:sz w:val="19"/>
          <w:szCs w:val="19"/>
          <w:i w:val="1"/>
          <w:iCs w:val="1"/>
          <w:color w:val="auto"/>
        </w:rPr>
        <w:t>multiplied by</w:t>
      </w:r>
    </w:p>
    <w:p>
      <w:pPr>
        <w:spacing w:after="0" w:line="142" w:lineRule="exact"/>
        <w:rPr>
          <w:rFonts w:ascii="Arial" w:cs="Arial" w:eastAsia="Arial" w:hAnsi="Arial"/>
          <w:sz w:val="19"/>
          <w:szCs w:val="19"/>
          <w:color w:val="auto"/>
        </w:rPr>
      </w:pPr>
    </w:p>
    <w:p>
      <w:pPr>
        <w:jc w:val="both"/>
        <w:ind w:firstLine="2600"/>
        <w:spacing w:after="0"/>
        <w:tabs>
          <w:tab w:leader="none" w:pos="350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highest combined effective U.S. federal, state, and local marginal rate of tax applicable to an individual resident in Los Angeles, California (unless otherwise determined by the Company) for the Fiscal Year (such tax rate, the “</w:t>
      </w:r>
      <w:r>
        <w:rPr>
          <w:rFonts w:ascii="Arial" w:cs="Arial" w:eastAsia="Arial" w:hAnsi="Arial"/>
          <w:sz w:val="22"/>
          <w:szCs w:val="22"/>
          <w:u w:val="single" w:color="auto"/>
          <w:color w:val="auto"/>
        </w:rPr>
        <w:t>Assumed Tax Rate</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calculation required by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shall be made (i) taking into account (w) the character of the income or gain and</w:t>
      </w:r>
    </w:p>
    <w:p>
      <w:pPr>
        <w:spacing w:after="0" w:line="43" w:lineRule="exact"/>
        <w:rPr>
          <w:sz w:val="20"/>
          <w:szCs w:val="20"/>
          <w:color w:val="auto"/>
        </w:rPr>
      </w:pPr>
    </w:p>
    <w:p>
      <w:pPr>
        <w:jc w:val="both"/>
        <w:ind w:firstLine="8"/>
        <w:spacing w:after="0" w:line="234" w:lineRule="auto"/>
        <w:tabs>
          <w:tab w:leader="none" w:pos="32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limitations on, or the availability of, deductions and net operating losses, and disregarding (y) the effect of any special basis adjustments under Code section 743(b) and (z) the effect of the allocations required under Code section 704(c)(1)(A) (and the principles thereof).</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15"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Timing of Tax Distributions</w:t>
      </w:r>
      <w:r>
        <w:rPr>
          <w:rFonts w:ascii="Arial" w:cs="Arial" w:eastAsia="Arial" w:hAnsi="Arial"/>
          <w:sz w:val="22"/>
          <w:szCs w:val="22"/>
          <w:color w:val="auto"/>
        </w:rPr>
        <w:t xml:space="preserve">. If reasonably practicable, the Company shall make distributions of the estimated Tax Distributions in respect of a Fiscal Year on a quarterly basis to facilitate the payment of quarterly estimated income taxes, taking into account amounts previously distributed by reason of this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Not later than sixty (60) Business Days after the end of the Fiscal Year, the Company shall make a final Tax Distribution in an amount sufficient to fulfill the Company’s obligations under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735"/>
        <w:spacing w:after="0" w:line="249" w:lineRule="auto"/>
        <w:tabs>
          <w:tab w:leader="none" w:pos="2627"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Impact of Insufficient Available Cash</w:t>
      </w:r>
      <w:r>
        <w:rPr>
          <w:rFonts w:ascii="Arial" w:cs="Arial" w:eastAsia="Arial" w:hAnsi="Arial"/>
          <w:sz w:val="21"/>
          <w:szCs w:val="21"/>
          <w:color w:val="auto"/>
        </w:rPr>
        <w:t>. If the amount of Tax Distributions to be made exceeds the amount of the Available Cash, the Tax Distribution to which each Member is entitled shall be reduced in accordance with the provisions of this Section 3.2(d) (each Member’s share of that reduction, the “</w:t>
      </w:r>
      <w:r>
        <w:rPr>
          <w:rFonts w:ascii="Arial" w:cs="Arial" w:eastAsia="Arial" w:hAnsi="Arial"/>
          <w:sz w:val="21"/>
          <w:szCs w:val="21"/>
          <w:u w:val="single" w:color="auto"/>
          <w:color w:val="auto"/>
        </w:rPr>
        <w:t>Tax Distribution Shortfall Amount</w:t>
      </w:r>
      <w:r>
        <w:rPr>
          <w:rFonts w:ascii="Arial" w:cs="Arial" w:eastAsia="Arial" w:hAnsi="Arial"/>
          <w:sz w:val="21"/>
          <w:szCs w:val="21"/>
          <w:color w:val="auto"/>
        </w:rPr>
        <w:t>”). Cash available for distribution as a Tax Distribution shall first be distributed to the Managing Member in an amount equal to the full amount of its Tax Distribution (calculated by substituting the words “a corporation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-344170</wp:posOffset>
            </wp:positionV>
            <wp:extent cx="7569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1" w:name="page192"/>
    <w:bookmarkEnd w:id="191"/>
    <w:p>
      <w:pPr>
        <w:ind w:right="20"/>
        <w:spacing w:after="0" w:line="250" w:lineRule="auto"/>
        <w:rPr>
          <w:sz w:val="20"/>
          <w:szCs w:val="20"/>
          <w:color w:val="auto"/>
        </w:rPr>
      </w:pPr>
      <w:r>
        <w:rPr>
          <w:rFonts w:ascii="Arial" w:cs="Arial" w:eastAsia="Arial" w:hAnsi="Arial"/>
          <w:sz w:val="22"/>
          <w:szCs w:val="22"/>
          <w:color w:val="auto"/>
        </w:rPr>
        <w:t>business” for “an individual resident” in the definition of “</w:t>
      </w:r>
      <w:r>
        <w:rPr>
          <w:rFonts w:ascii="Arial" w:cs="Arial" w:eastAsia="Arial" w:hAnsi="Arial"/>
          <w:sz w:val="22"/>
          <w:szCs w:val="22"/>
          <w:u w:val="single" w:color="auto"/>
          <w:color w:val="auto"/>
        </w:rPr>
        <w:t>Assumed Tax Rate</w:t>
      </w:r>
      <w:r>
        <w:rPr>
          <w:rFonts w:ascii="Arial" w:cs="Arial" w:eastAsia="Arial" w:hAnsi="Arial"/>
          <w:sz w:val="22"/>
          <w:szCs w:val="22"/>
          <w:color w:val="auto"/>
        </w:rPr>
        <w:t>”). The balance, if any, of cash available for distribution as a Tax Distribution shall be distributed:</w:t>
      </w:r>
    </w:p>
    <w:p>
      <w:pPr>
        <w:spacing w:after="0" w:line="175" w:lineRule="exact"/>
        <w:rPr>
          <w:sz w:val="20"/>
          <w:szCs w:val="20"/>
          <w:color w:val="auto"/>
        </w:rPr>
      </w:pPr>
    </w:p>
    <w:p>
      <w:pPr>
        <w:jc w:val="both"/>
        <w:ind w:firstLine="2600"/>
        <w:spacing w:after="0" w:line="238" w:lineRule="auto"/>
        <w:tabs>
          <w:tab w:leader="none" w:pos="34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First, to the Members (other than the Managing Member)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Units in an amount such that each such Member has received distributions pursuant to this </w:t>
      </w:r>
      <w:r>
        <w:rPr>
          <w:rFonts w:ascii="Arial" w:cs="Arial" w:eastAsia="Arial" w:hAnsi="Arial"/>
          <w:sz w:val="22"/>
          <w:szCs w:val="22"/>
          <w:u w:val="single" w:color="auto"/>
          <w:color w:val="auto"/>
        </w:rPr>
        <w:t>Section 3.2(b)</w:t>
      </w:r>
      <w:r>
        <w:rPr>
          <w:rFonts w:ascii="Arial" w:cs="Arial" w:eastAsia="Arial" w:hAnsi="Arial"/>
          <w:sz w:val="22"/>
          <w:szCs w:val="22"/>
          <w:color w:val="auto"/>
        </w:rPr>
        <w:t xml:space="preserve"> not less than their Assumed Tax Liability (calculated by substituting the words “a corporation doing business” for “an individual resident” in the definition of “Assumed Tax Rate”); and</w:t>
      </w:r>
    </w:p>
    <w:p>
      <w:pPr>
        <w:sectPr>
          <w:pgSz w:w="11900" w:h="16838" w:orient="portrait"/>
          <w:cols w:equalWidth="0" w:num="1">
            <w:col w:w="11240"/>
          </w:cols>
          <w:pgMar w:left="320" w:top="577" w:right="339" w:bottom="1440" w:gutter="0" w:footer="0" w:header="0"/>
        </w:sectPr>
      </w:pPr>
    </w:p>
    <w:p>
      <w:pPr>
        <w:spacing w:after="0" w:line="18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rata </w:t>
      </w:r>
      <w:r>
        <w:rPr>
          <w:rFonts w:ascii="Arial" w:cs="Arial" w:eastAsia="Arial" w:hAnsi="Arial"/>
          <w:sz w:val="21"/>
          <w:szCs w:val="21"/>
          <w:color w:val="auto"/>
        </w:rPr>
        <w:t>in accordance with their Units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firstLine="147"/>
        <w:spacing w:after="0" w:line="328" w:lineRule="auto"/>
        <w:rPr>
          <w:sz w:val="20"/>
          <w:szCs w:val="20"/>
          <w:color w:val="auto"/>
        </w:rPr>
      </w:pPr>
      <w:r>
        <w:rPr>
          <w:rFonts w:ascii="Arial" w:cs="Arial" w:eastAsia="Arial" w:hAnsi="Arial"/>
          <w:sz w:val="19"/>
          <w:szCs w:val="19"/>
          <w:color w:val="auto"/>
        </w:rPr>
        <w:t xml:space="preserve">Thereafter, the balance, if any, to the Members (including the Managing Member) </w:t>
      </w:r>
      <w:r>
        <w:rPr>
          <w:rFonts w:ascii="Arial" w:cs="Arial" w:eastAsia="Arial" w:hAnsi="Arial"/>
          <w:sz w:val="19"/>
          <w:szCs w:val="19"/>
          <w:i w:val="1"/>
          <w:iCs w:val="1"/>
          <w:color w:val="auto"/>
        </w:rPr>
        <w:t>pro</w:t>
      </w:r>
      <w:r>
        <w:rPr>
          <w:rFonts w:ascii="Arial" w:cs="Arial" w:eastAsia="Arial" w:hAnsi="Arial"/>
          <w:sz w:val="19"/>
          <w:szCs w:val="19"/>
          <w:color w:val="auto"/>
        </w:rPr>
        <w:t xml:space="preserve"> until each Member has received the full amount of its Tax Distribution calculated in</w:t>
      </w:r>
    </w:p>
    <w:p>
      <w:pPr>
        <w:spacing w:after="0" w:line="347" w:lineRule="exact"/>
        <w:rPr>
          <w:sz w:val="20"/>
          <w:szCs w:val="20"/>
          <w:color w:val="auto"/>
        </w:rPr>
      </w:pPr>
    </w:p>
    <w:p>
      <w:pPr>
        <w:sectPr>
          <w:pgSz w:w="11900" w:h="16838" w:orient="portrait"/>
          <w:cols w:equalWidth="0" w:num="2">
            <w:col w:w="3260" w:space="100"/>
            <w:col w:w="7880"/>
          </w:cols>
          <w:pgMar w:left="320" w:top="577" w:right="339" w:bottom="1440" w:gutter="0" w:footer="0" w:header="0"/>
          <w:type w:val="continuous"/>
        </w:sectPr>
      </w:pPr>
    </w:p>
    <w:p>
      <w:pPr>
        <w:jc w:val="both"/>
        <w:spacing w:after="0" w:line="297" w:lineRule="auto"/>
        <w:rPr>
          <w:sz w:val="20"/>
          <w:szCs w:val="20"/>
          <w:color w:val="auto"/>
        </w:rPr>
      </w:pPr>
      <w:r>
        <w:rPr>
          <w:rFonts w:ascii="Arial" w:cs="Arial" w:eastAsia="Arial" w:hAnsi="Arial"/>
          <w:sz w:val="19"/>
          <w:szCs w:val="19"/>
          <w:color w:val="auto"/>
        </w:rPr>
        <w:t xml:space="preserve">Any Tax Distribution Shortfall Amounts will be carried forward to subsequent Fiscal Years and will be distributed when and to the extent that the Company has sufficient Available Cash, and distribution of any Tax Distribution Shortfall Amounts shall for all purposes of this Agreement be treated as having been made and reduce future amounts due to each Member under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34" w:lineRule="exact"/>
        <w:rPr>
          <w:sz w:val="20"/>
          <w:szCs w:val="20"/>
          <w:color w:val="auto"/>
        </w:rPr>
      </w:pPr>
    </w:p>
    <w:p>
      <w:pPr>
        <w:ind w:firstLine="1735"/>
        <w:spacing w:after="0" w:line="250" w:lineRule="auto"/>
        <w:tabs>
          <w:tab w:leader="none" w:pos="2615"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Tax Distributions on Liquidation</w:t>
      </w:r>
      <w:r>
        <w:rPr>
          <w:rFonts w:ascii="Arial" w:cs="Arial" w:eastAsia="Arial" w:hAnsi="Arial"/>
          <w:sz w:val="22"/>
          <w:szCs w:val="22"/>
          <w:color w:val="auto"/>
        </w:rPr>
        <w:t>. No Tax Distributions shall be made in connection with the liquidation of the Company or a Member’s Interest in the Company.</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Distributions in Kind</w:t>
      </w:r>
      <w:r>
        <w:rPr>
          <w:rFonts w:ascii="Arial" w:cs="Arial" w:eastAsia="Arial" w:hAnsi="Arial"/>
          <w:sz w:val="22"/>
          <w:szCs w:val="22"/>
          <w:color w:val="auto"/>
        </w:rPr>
        <w:t>. No Member may demand to receive property other than cash as provided in this Agreement. The Company may make a distribution in kind of Assets to the Members, and if a distribution is made both in cash and in kind, such distribution shall be made so that, to the fullest extent practical, the percentage of the cash and any other Assets distributed to each Member entitled to such distribution is identical.</w:t>
      </w:r>
    </w:p>
    <w:p>
      <w:pPr>
        <w:spacing w:after="0" w:line="18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Amounts Withheld</w:t>
      </w:r>
      <w:r>
        <w:rPr>
          <w:rFonts w:ascii="Arial" w:cs="Arial" w:eastAsia="Arial" w:hAnsi="Arial"/>
          <w:sz w:val="21"/>
          <w:szCs w:val="21"/>
          <w:color w:val="auto"/>
        </w:rPr>
        <w:t xml:space="preserve">. Each Member acknowledges and agrees that the Company may be required by Law to deduct and withhold taxes or to fulfill other similar obligations of such Member on any amount paid, distributed, disbursed, or allocated by the Company to that Member, including upon liquidation, and any transferee of a Member’s interest or a Substituted Member shall, by reason of such Transfer or substitution, acknowledge, and agree to any such withholding by the Company, including withholding to discharge obligations of the Company with respect to prior distributions, allocations, or an Imputed Underpayment Share (to the extent not otherwise borne by the transferor Member pursuant to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All amounts withheld pursuant to this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shall, except as otherwise determined by the Company pursuant to </w:t>
      </w:r>
      <w:r>
        <w:rPr>
          <w:rFonts w:ascii="Arial" w:cs="Arial" w:eastAsia="Arial" w:hAnsi="Arial"/>
          <w:sz w:val="21"/>
          <w:szCs w:val="21"/>
          <w:u w:val="single" w:color="auto"/>
          <w:color w:val="auto"/>
        </w:rPr>
        <w:t>Section 7.5(c)(ii</w:t>
      </w:r>
      <w:r>
        <w:rPr>
          <w:rFonts w:ascii="Arial" w:cs="Arial" w:eastAsia="Arial" w:hAnsi="Arial"/>
          <w:sz w:val="21"/>
          <w:szCs w:val="21"/>
          <w:color w:val="auto"/>
        </w:rPr>
        <w:t>), be treated as amounts distributed to such Person pursuant to the provision of this Agreement that would have applied if such amount had actually been distributed.</w:t>
      </w:r>
    </w:p>
    <w:p>
      <w:pPr>
        <w:spacing w:after="0" w:line="18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Distributions to Reflect Additional Units</w:t>
      </w:r>
      <w:r>
        <w:rPr>
          <w:rFonts w:ascii="Arial" w:cs="Arial" w:eastAsia="Arial" w:hAnsi="Arial"/>
          <w:sz w:val="22"/>
          <w:szCs w:val="22"/>
          <w:color w:val="auto"/>
        </w:rPr>
        <w:t xml:space="preserve">. If the Company issues additional Units pursuant to the provisions of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subject to the provisions of any a Unit Designation, the Managing Member is authorized to make such revisions to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as it determines are reasonably necessary or desirable to reflect the issuance of such additional Units, including making preferential distributions to certain classes of Units.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92" w:name="page193"/>
    <w:bookmarkEnd w:id="192"/>
    <w:p>
      <w:pPr>
        <w:ind w:left="880"/>
        <w:spacing w:after="0"/>
        <w:tabs>
          <w:tab w:leader="none" w:pos="248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Other Distribution Rules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Transfers</w:t>
      </w:r>
      <w:r>
        <w:rPr>
          <w:rFonts w:ascii="Arial" w:cs="Arial" w:eastAsia="Arial" w:hAnsi="Arial"/>
          <w:sz w:val="22"/>
          <w:szCs w:val="22"/>
          <w:color w:val="auto"/>
        </w:rPr>
        <w:t>. From and after the Transfer of a Unit, distributions (including Tax Distributions) made to the transferor Member, along with any withholding or deduction in respect of any such distribution, shall be treated as having been made to the transferee unless otherwise determined by the Company.</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Record Date for Distributions</w:t>
      </w:r>
      <w:r>
        <w:rPr>
          <w:rFonts w:ascii="Arial" w:cs="Arial" w:eastAsia="Arial" w:hAnsi="Arial"/>
          <w:sz w:val="22"/>
          <w:szCs w:val="22"/>
          <w:color w:val="auto"/>
        </w:rPr>
        <w:t>. The Company may designate a Record Date for purposes of calculating and giving effect to distributions. All distributions shall be made to the holders of record as of the applicable Record Date.</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15"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Over-Distributions</w:t>
      </w:r>
      <w:r>
        <w:rPr>
          <w:rFonts w:ascii="Arial" w:cs="Arial" w:eastAsia="Arial" w:hAnsi="Arial"/>
          <w:sz w:val="21"/>
          <w:szCs w:val="21"/>
          <w:color w:val="auto"/>
        </w:rPr>
        <w:t xml:space="preserve">. If the Company distributes to a Member more than the amount to which the Member in entitled (e.g., by reason of an accounting error), the Member shall, upon written notice of the over-distribution delivered to the Member within one year of the over-distribution, promptly return the over-distribution to the Company. For the avoidance of doubt, this </w:t>
      </w:r>
      <w:r>
        <w:rPr>
          <w:rFonts w:ascii="Arial" w:cs="Arial" w:eastAsia="Arial" w:hAnsi="Arial"/>
          <w:sz w:val="21"/>
          <w:szCs w:val="21"/>
          <w:u w:val="single" w:color="auto"/>
          <w:color w:val="auto"/>
        </w:rPr>
        <w:t>Section 3.6(c)</w:t>
      </w:r>
      <w:r>
        <w:rPr>
          <w:rFonts w:ascii="Arial" w:cs="Arial" w:eastAsia="Arial" w:hAnsi="Arial"/>
          <w:sz w:val="21"/>
          <w:szCs w:val="21"/>
          <w:color w:val="auto"/>
        </w:rPr>
        <w:t xml:space="preserve"> applies to any distribution made under this Agreement.</w:t>
      </w:r>
    </w:p>
    <w:p>
      <w:pPr>
        <w:spacing w:after="0" w:line="173" w:lineRule="exact"/>
        <w:rPr>
          <w:rFonts w:ascii="Arial" w:cs="Arial" w:eastAsia="Arial" w:hAnsi="Arial"/>
          <w:sz w:val="21"/>
          <w:szCs w:val="21"/>
          <w:color w:val="auto"/>
        </w:rPr>
      </w:pPr>
    </w:p>
    <w:p>
      <w:pPr>
        <w:jc w:val="both"/>
        <w:ind w:firstLine="1735"/>
        <w:spacing w:after="0" w:line="287" w:lineRule="auto"/>
        <w:tabs>
          <w:tab w:leader="none" w:pos="2627"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Reimbursements of Preformation Capital Expenditures</w:t>
      </w:r>
      <w:r>
        <w:rPr>
          <w:rFonts w:ascii="Arial" w:cs="Arial" w:eastAsia="Arial" w:hAnsi="Arial"/>
          <w:sz w:val="19"/>
          <w:szCs w:val="19"/>
          <w:color w:val="auto"/>
        </w:rPr>
        <w:t>. To the extent a distribution (or deemed distribution resulting from a reduction in a Member’s share of Company liabilities for federal tax purposes) would otherwise be treated as proceeds in a sale under Code section 707(a)(2)(B), the Members intend such actual or deemed distribution to reimburse preformation capital expenditures under Treas. Reg. § 1.707-4(d) to the maximum extent permitted by Law.</w:t>
      </w:r>
    </w:p>
    <w:p>
      <w:pPr>
        <w:spacing w:after="0" w:line="142"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Limitation on Distributions</w:t>
      </w:r>
      <w:r>
        <w:rPr>
          <w:rFonts w:ascii="Arial" w:cs="Arial" w:eastAsia="Arial" w:hAnsi="Arial"/>
          <w:sz w:val="22"/>
          <w:szCs w:val="22"/>
          <w:color w:val="auto"/>
        </w:rPr>
        <w:t>. Notwithstanding any provision to the contrary contained in this Agreement, neither the Company nor the Managing Member on behalf of the Company shall make a distribution to any Member if such distribution would violate the Act or other Law, or to the extent such distribution would result in the Company or any of its Subsidiaries being in default under any material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AND OPERATIONS</w:t>
      </w:r>
    </w:p>
    <w:p>
      <w:pPr>
        <w:spacing w:after="0" w:line="21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Management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15"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Authority of Managing Member</w:t>
      </w:r>
      <w:r>
        <w:rPr>
          <w:rFonts w:ascii="Arial" w:cs="Arial" w:eastAsia="Arial" w:hAnsi="Arial"/>
          <w:sz w:val="21"/>
          <w:szCs w:val="21"/>
          <w:color w:val="auto"/>
        </w:rPr>
        <w:t>. Except as otherwise provided in this Agreement, the Managing Member shall have full, exclusive, and complete discretion to manage and control the business and affairs of the Company, to make all decisions affecting the business and affairs of the Company, and to do or cause to be done any and all acts, at the expense of the Company, as the Managing Member deems necessary or appropriate to accomplish the purposes and direct the affairs of the Company. The Managing Member shall have the exclusive power and authority to bind the Company, except and to the extent that such power is expressly delegated in writing to any other Person by the Managing Member, and such delegation shall not cause the Managing Member to cease to be a Member or the Managing Member of the Company. The Managing Member shall be an agent of the Company’s business, and the actions of the Managing Member taken in such capacity and in accordance with this Agreement shall bind the Company. The Managing Member shall at all times be a Member of the Company. The Managing Member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3" w:name="page194"/>
    <w:bookmarkEnd w:id="193"/>
    <w:p>
      <w:pPr>
        <w:jc w:val="both"/>
        <w:spacing w:after="0"/>
        <w:rPr>
          <w:sz w:val="20"/>
          <w:szCs w:val="20"/>
          <w:color w:val="auto"/>
        </w:rPr>
      </w:pPr>
      <w:r>
        <w:rPr>
          <w:rFonts w:ascii="Arial" w:cs="Arial" w:eastAsia="Arial" w:hAnsi="Arial"/>
          <w:sz w:val="22"/>
          <w:szCs w:val="22"/>
          <w:color w:val="auto"/>
        </w:rPr>
        <w:t xml:space="preserve">may not be removed by the Members, with or without cause, except with the consent of the Managing Member. Any determinations to be made by the Company pursuant to this Agreement shall be made by the Managing Member, subject to the rights of any Member set forth in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186" w:lineRule="exact"/>
        <w:rPr>
          <w:sz w:val="20"/>
          <w:szCs w:val="20"/>
          <w:color w:val="auto"/>
        </w:rPr>
      </w:pPr>
    </w:p>
    <w:p>
      <w:pPr>
        <w:jc w:val="both"/>
        <w:ind w:firstLine="1735"/>
        <w:spacing w:after="0"/>
        <w:tabs>
          <w:tab w:leader="none" w:pos="262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Determinations to be Made by Managing Member</w:t>
      </w:r>
      <w:r>
        <w:rPr>
          <w:rFonts w:ascii="Arial" w:cs="Arial" w:eastAsia="Arial" w:hAnsi="Arial"/>
          <w:sz w:val="22"/>
          <w:szCs w:val="22"/>
          <w:color w:val="auto"/>
        </w:rPr>
        <w:t>. The determination as to any of the following matters, made by or at the direction of the Managing Member consistent with the Act and this Agreement, shall be final and conclusive and shall be binding upon the Company and every Member:</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Assets available for distribution or the redemption of Units at any time;</w:t>
      </w:r>
    </w:p>
    <w:p>
      <w:pPr>
        <w:spacing w:after="0" w:line="206" w:lineRule="exact"/>
        <w:rPr>
          <w:rFonts w:ascii="Arial" w:cs="Arial" w:eastAsia="Arial" w:hAnsi="Arial"/>
          <w:sz w:val="22"/>
          <w:szCs w:val="22"/>
          <w:color w:val="auto"/>
        </w:rPr>
      </w:pPr>
    </w:p>
    <w:p>
      <w:pPr>
        <w:ind w:left="3520" w:hanging="920"/>
        <w:spacing w:after="0"/>
        <w:tabs>
          <w:tab w:leader="none" w:pos="35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amount and timing of any distribution;</w:t>
      </w:r>
    </w:p>
    <w:p>
      <w:pPr>
        <w:spacing w:after="0" w:line="206" w:lineRule="exact"/>
        <w:rPr>
          <w:rFonts w:ascii="Arial" w:cs="Arial" w:eastAsia="Arial" w:hAnsi="Arial"/>
          <w:sz w:val="22"/>
          <w:szCs w:val="22"/>
          <w:color w:val="auto"/>
        </w:rPr>
      </w:pPr>
    </w:p>
    <w:p>
      <w:pPr>
        <w:ind w:firstLine="2600"/>
        <w:spacing w:after="0" w:line="250" w:lineRule="auto"/>
        <w:tabs>
          <w:tab w:leader="none" w:pos="356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amount, purpose, time of creation, increase or decrease, alteration, or cancellation of any reserves or charges and the propriety thereof;</w:t>
      </w:r>
    </w:p>
    <w:p>
      <w:pPr>
        <w:spacing w:after="0" w:line="174" w:lineRule="exact"/>
        <w:rPr>
          <w:rFonts w:ascii="Arial" w:cs="Arial" w:eastAsia="Arial" w:hAnsi="Arial"/>
          <w:sz w:val="22"/>
          <w:szCs w:val="22"/>
          <w:color w:val="auto"/>
        </w:rPr>
      </w:pPr>
    </w:p>
    <w:p>
      <w:pPr>
        <w:ind w:left="3560" w:hanging="960"/>
        <w:spacing w:after="0"/>
        <w:tabs>
          <w:tab w:leader="none" w:pos="35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Fair Market Value, or any sale, bid or asked price to be applied in determining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Fair Market Value, of any Asset;</w:t>
      </w:r>
    </w:p>
    <w:p>
      <w:pPr>
        <w:spacing w:after="0" w:line="188" w:lineRule="exact"/>
        <w:rPr>
          <w:rFonts w:ascii="Arial" w:cs="Arial" w:eastAsia="Arial" w:hAnsi="Arial"/>
          <w:sz w:val="19"/>
          <w:szCs w:val="19"/>
          <w:color w:val="auto"/>
        </w:rPr>
      </w:pPr>
    </w:p>
    <w:p>
      <w:pPr>
        <w:ind w:left="3500" w:hanging="900"/>
        <w:spacing w:after="0"/>
        <w:tabs>
          <w:tab w:leader="none" w:pos="350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matter relating to the acquisition, holding, and disposition of any Asset; or</w:t>
      </w:r>
    </w:p>
    <w:p>
      <w:pPr>
        <w:spacing w:after="0" w:line="206" w:lineRule="exact"/>
        <w:rPr>
          <w:rFonts w:ascii="Arial" w:cs="Arial" w:eastAsia="Arial" w:hAnsi="Arial"/>
          <w:sz w:val="22"/>
          <w:szCs w:val="22"/>
          <w:color w:val="auto"/>
        </w:rPr>
      </w:pPr>
    </w:p>
    <w:p>
      <w:pPr>
        <w:ind w:left="3560" w:hanging="960"/>
        <w:spacing w:after="0"/>
        <w:tabs>
          <w:tab w:leader="none" w:pos="35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other matter relating to the business and affairs of the Company as required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by Law, this Agreement, or otherwise to be determined by the Managing Member.</w:t>
      </w:r>
    </w:p>
    <w:p>
      <w:pPr>
        <w:spacing w:after="0" w:line="188" w:lineRule="exact"/>
        <w:rPr>
          <w:rFonts w:ascii="Arial" w:cs="Arial" w:eastAsia="Arial" w:hAnsi="Arial"/>
          <w:sz w:val="19"/>
          <w:szCs w:val="19"/>
          <w:color w:val="auto"/>
        </w:rPr>
      </w:pPr>
    </w:p>
    <w:p>
      <w:pPr>
        <w:jc w:val="both"/>
        <w:ind w:firstLine="1735"/>
        <w:spacing w:after="0" w:line="236" w:lineRule="auto"/>
        <w:tabs>
          <w:tab w:leader="none" w:pos="261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Appointment of Officers</w:t>
      </w:r>
      <w:r>
        <w:rPr>
          <w:rFonts w:ascii="Arial" w:cs="Arial" w:eastAsia="Arial" w:hAnsi="Arial"/>
          <w:sz w:val="22"/>
          <w:szCs w:val="22"/>
          <w:color w:val="auto"/>
        </w:rPr>
        <w:t>. The Managing Member may, from time to time, appoint such officers and establish such management and/or advisory boards or committees of the Company as the Managing Member deems necessary or advisable, each of which shall have such powers, authority, and responsibilities as are delegated in writing by the Managing Member from time to time. Each such officer and/or board or committee member shall serve at the pleasure of the Managing Member.</w:t>
      </w:r>
    </w:p>
    <w:p>
      <w:pPr>
        <w:spacing w:after="0" w:line="187" w:lineRule="exact"/>
        <w:rPr>
          <w:rFonts w:ascii="Arial" w:cs="Arial" w:eastAsia="Arial" w:hAnsi="Arial"/>
          <w:sz w:val="22"/>
          <w:szCs w:val="22"/>
          <w:color w:val="auto"/>
        </w:rPr>
      </w:pPr>
    </w:p>
    <w:p>
      <w:pPr>
        <w:jc w:val="both"/>
        <w:ind w:firstLine="1735"/>
        <w:spacing w:after="0" w:line="273" w:lineRule="auto"/>
        <w:tabs>
          <w:tab w:leader="none" w:pos="262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Major Transactions</w:t>
      </w:r>
      <w:r>
        <w:rPr>
          <w:rFonts w:ascii="Arial" w:cs="Arial" w:eastAsia="Arial" w:hAnsi="Arial"/>
          <w:sz w:val="19"/>
          <w:szCs w:val="19"/>
          <w:color w:val="auto"/>
        </w:rPr>
        <w:t>. Except as otherwise expressly provided in this Agreement or required by any non-waivable provision of the Act or other Law, no Member (acting in such capacity) other than the Managing Member shall (x) have any right to vote on or consent to any other matter, act, decision or document involving the Company or its business or any other matter, or (y) take part in the day-to-day management, or the operation or control, of the business and affairs of the Company. Without limiting the generality of the foregoing, the Managing Member may cause the Company, without the consent or approval of any other Member, to enter into any of the following in one or a series of related transactions: (i) any merger, (ii) any acquisition, (iii) any consolidation, (iv) any sale, lease or other transfer or conveyance of Assets, (v) any recapitalization or reorganization of outstanding securities, (vi) any merger, sale, lease, spin-off, exchange, transfer or other disposition of a Subsidiary, division or other business, (vii) any issuance of Debt or equity securities (subject to any limitations expressly provided for herein) or (viii) any incurrence of Debt. Except to the extent expressly delegated in writing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4" w:name="page195"/>
    <w:bookmarkEnd w:id="194"/>
    <w:p>
      <w:pPr>
        <w:spacing w:after="0" w:line="328" w:lineRule="auto"/>
        <w:rPr>
          <w:sz w:val="20"/>
          <w:szCs w:val="20"/>
          <w:color w:val="auto"/>
        </w:rPr>
      </w:pPr>
      <w:r>
        <w:rPr>
          <w:rFonts w:ascii="Arial" w:cs="Arial" w:eastAsia="Arial" w:hAnsi="Arial"/>
          <w:sz w:val="19"/>
          <w:szCs w:val="19"/>
          <w:color w:val="auto"/>
        </w:rPr>
        <w:t>Managing Member, no Member or Person other than the Managing Member shall be an agent for the Company or have any right, power or authority to transact any business in the name of the Company or to act for or on behalf of or to bind the Company.</w:t>
      </w:r>
    </w:p>
    <w:p>
      <w:pPr>
        <w:spacing w:after="0" w:line="105" w:lineRule="exact"/>
        <w:rPr>
          <w:sz w:val="20"/>
          <w:szCs w:val="20"/>
          <w:color w:val="auto"/>
        </w:rPr>
      </w:pPr>
    </w:p>
    <w:p>
      <w:pPr>
        <w:jc w:val="both"/>
        <w:ind w:firstLine="1735"/>
        <w:spacing w:after="0" w:line="236" w:lineRule="auto"/>
        <w:tabs>
          <w:tab w:leader="none" w:pos="261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Bankruptcy</w:t>
      </w:r>
      <w:r>
        <w:rPr>
          <w:rFonts w:ascii="Arial" w:cs="Arial" w:eastAsia="Arial" w:hAnsi="Arial"/>
          <w:sz w:val="22"/>
          <w:szCs w:val="22"/>
          <w:color w:val="auto"/>
        </w:rPr>
        <w:t>. Only the Managing Member may commence a voluntary case on behalf of, or an involuntary case against, the Company under a chapter of Title 11 U.S.C. by the filing of a “petition” (as defined in 11 U.S.C. 101(42)) with the United States Bankruptcy Court. Any such petition filed by any other Member, to the fullest extent permitted by Law, shall be deemed an unauthorized and bad faith filing and all parties to this Agreement shall use their best efforts to cause such petition to be dismissed.</w:t>
      </w:r>
    </w:p>
    <w:p>
      <w:pPr>
        <w:spacing w:after="0" w:line="187" w:lineRule="exact"/>
        <w:rPr>
          <w:rFonts w:ascii="Arial" w:cs="Arial" w:eastAsia="Arial" w:hAnsi="Arial"/>
          <w:sz w:val="22"/>
          <w:szCs w:val="22"/>
          <w:color w:val="auto"/>
        </w:rPr>
      </w:pPr>
    </w:p>
    <w:p>
      <w:pPr>
        <w:jc w:val="both"/>
        <w:ind w:firstLine="1735"/>
        <w:spacing w:after="0" w:line="238" w:lineRule="auto"/>
        <w:tabs>
          <w:tab w:leader="none" w:pos="259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Amendment of Agreement</w:t>
      </w:r>
      <w:r>
        <w:rPr>
          <w:rFonts w:ascii="Arial" w:cs="Arial" w:eastAsia="Arial" w:hAnsi="Arial"/>
          <w:sz w:val="22"/>
          <w:szCs w:val="22"/>
          <w:color w:val="auto"/>
        </w:rPr>
        <w:t>. Subject to the rights of any Member set forth in a Unit Designation and Section 4.1(g), the Managing Member shall have the power, without the Consent of a Majority-in-Interest of the Members or the consent or approval of any Member, to amend this Agreement as may be required to facilitate or implement any of the following purposes:</w:t>
      </w:r>
    </w:p>
    <w:p>
      <w:pPr>
        <w:spacing w:after="0" w:line="184" w:lineRule="exact"/>
        <w:rPr>
          <w:rFonts w:ascii="Arial" w:cs="Arial" w:eastAsia="Arial" w:hAnsi="Arial"/>
          <w:sz w:val="22"/>
          <w:szCs w:val="22"/>
          <w:color w:val="auto"/>
        </w:rPr>
      </w:pPr>
    </w:p>
    <w:p>
      <w:pPr>
        <w:ind w:left="3460" w:hanging="860"/>
        <w:spacing w:after="0"/>
        <w:tabs>
          <w:tab w:leader="none" w:pos="346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To add to the obligations of the Managing Member or surrender any right or power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granted to the Managing Member or any Affiliate of the Managing Member for the benefit of the Members;</w:t>
      </w:r>
    </w:p>
    <w:p>
      <w:pPr>
        <w:spacing w:after="0" w:line="188" w:lineRule="exact"/>
        <w:rPr>
          <w:rFonts w:ascii="Arial" w:cs="Arial" w:eastAsia="Arial" w:hAnsi="Arial"/>
          <w:sz w:val="21"/>
          <w:szCs w:val="21"/>
          <w:color w:val="auto"/>
        </w:rPr>
      </w:pPr>
    </w:p>
    <w:p>
      <w:pPr>
        <w:jc w:val="both"/>
        <w:ind w:firstLine="2600"/>
        <w:spacing w:after="0" w:line="238" w:lineRule="auto"/>
        <w:tabs>
          <w:tab w:leader="none" w:pos="350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reflect a change that is of an inconsequential nature or does not adversely affect the Members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spacing w:after="0" w:line="184" w:lineRule="exact"/>
        <w:rPr>
          <w:rFonts w:ascii="Arial" w:cs="Arial" w:eastAsia="Arial" w:hAnsi="Arial"/>
          <w:sz w:val="22"/>
          <w:szCs w:val="22"/>
          <w:color w:val="auto"/>
        </w:rPr>
      </w:pPr>
    </w:p>
    <w:p>
      <w:pPr>
        <w:ind w:left="3580" w:hanging="980"/>
        <w:spacing w:after="0"/>
        <w:tabs>
          <w:tab w:leader="none" w:pos="358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To satisfy any requirements, conditions, or guidelines contained in any order, directive,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opinion, ruling or regulation of a federal or state agency or contained in federal or state Law;</w:t>
      </w:r>
    </w:p>
    <w:p>
      <w:pPr>
        <w:spacing w:after="0" w:line="188" w:lineRule="exact"/>
        <w:rPr>
          <w:rFonts w:ascii="Arial" w:cs="Arial" w:eastAsia="Arial" w:hAnsi="Arial"/>
          <w:sz w:val="19"/>
          <w:szCs w:val="19"/>
          <w:color w:val="auto"/>
        </w:rPr>
      </w:pPr>
    </w:p>
    <w:p>
      <w:pPr>
        <w:jc w:val="both"/>
        <w:ind w:firstLine="2600"/>
        <w:spacing w:after="0"/>
        <w:tabs>
          <w:tab w:leader="none" w:pos="355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reflect the admission, substitution, or withdrawal of Members, the Transfer of any Membership Interest, this issuance of additional Units, or the termination of the Company in accordance with this Agreement, and to amend the Register in connection with such admission, substitution, withdrawal, or Transfer;</w:t>
      </w:r>
    </w:p>
    <w:p>
      <w:pPr>
        <w:spacing w:after="0" w:line="186" w:lineRule="exact"/>
        <w:rPr>
          <w:rFonts w:ascii="Arial" w:cs="Arial" w:eastAsia="Arial" w:hAnsi="Arial"/>
          <w:sz w:val="22"/>
          <w:szCs w:val="22"/>
          <w:color w:val="auto"/>
        </w:rPr>
      </w:pPr>
    </w:p>
    <w:p>
      <w:pPr>
        <w:jc w:val="both"/>
        <w:ind w:firstLine="2600"/>
        <w:spacing w:after="0"/>
        <w:tabs>
          <w:tab w:leader="none" w:pos="349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To set forth or amend the designations, preferences, conversion or other rights, voting powers, restrictions, limitations as to distributions, qualifications or terms or conditions of redemption of any additional Units issued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right="20" w:firstLine="2600"/>
        <w:spacing w:after="0"/>
        <w:tabs>
          <w:tab w:leader="none" w:pos="355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If the Company is the Surviving Company in any Termination Transaction, to modify Section 12.1 or any related definitions to provide the holders of interests in such Surviving Company rights that are consistent with </w:t>
      </w:r>
      <w:r>
        <w:rPr>
          <w:rFonts w:ascii="Arial" w:cs="Arial" w:eastAsia="Arial" w:hAnsi="Arial"/>
          <w:sz w:val="22"/>
          <w:szCs w:val="22"/>
          <w:u w:val="single" w:color="auto"/>
          <w:color w:val="auto"/>
        </w:rPr>
        <w:t>Section 8.7(b)(iii)</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firstLine="2600"/>
        <w:spacing w:after="0" w:line="328" w:lineRule="auto"/>
        <w:tabs>
          <w:tab w:leader="none" w:pos="361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To reflect any other modification to this Agreement as is reasonably necessary or appropriate for the business or operations of the Company or the Managing Member and that does not violate </w:t>
      </w:r>
      <w:r>
        <w:rPr>
          <w:rFonts w:ascii="Arial" w:cs="Arial" w:eastAsia="Arial" w:hAnsi="Arial"/>
          <w:sz w:val="19"/>
          <w:szCs w:val="19"/>
          <w:u w:val="single" w:color="auto"/>
          <w:color w:val="auto"/>
        </w:rPr>
        <w:t>Section 4.1(g</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-4282440</wp:posOffset>
            </wp:positionV>
            <wp:extent cx="7315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31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-681990</wp:posOffset>
            </wp:positionV>
            <wp:extent cx="6940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5" w:name="page196"/>
    <w:bookmarkEnd w:id="195"/>
    <w:p>
      <w:pPr>
        <w:jc w:val="both"/>
        <w:ind w:firstLine="1735"/>
        <w:spacing w:after="0"/>
        <w:tabs>
          <w:tab w:leader="none" w:pos="2627"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Certain Actions Requiring Member Consent</w:t>
      </w:r>
      <w:r>
        <w:rPr>
          <w:rFonts w:ascii="Arial" w:cs="Arial" w:eastAsia="Arial" w:hAnsi="Arial"/>
          <w:sz w:val="22"/>
          <w:szCs w:val="22"/>
          <w:color w:val="auto"/>
        </w:rPr>
        <w:t xml:space="preserve">. Notwithstanding anything in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to the contrary, this Agreement shall not be amended, and no action may be taken by the Managing Member, without the consent of each Member adversely affected thereby, if any, if such amendment or action would:</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Modify the limited liability of a Member or increase the obligation of a Member to make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Capital Contribution to the Company;</w:t>
      </w:r>
    </w:p>
    <w:p>
      <w:pPr>
        <w:spacing w:after="0" w:line="188" w:lineRule="exact"/>
        <w:rPr>
          <w:rFonts w:ascii="Arial" w:cs="Arial" w:eastAsia="Arial" w:hAnsi="Arial"/>
          <w:sz w:val="19"/>
          <w:szCs w:val="19"/>
          <w:color w:val="auto"/>
        </w:rPr>
      </w:pPr>
    </w:p>
    <w:p>
      <w:pPr>
        <w:ind w:firstLine="2600"/>
        <w:spacing w:after="0" w:line="250" w:lineRule="auto"/>
        <w:tabs>
          <w:tab w:leader="none" w:pos="350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Adversely alter the rights of any Member to receive the distributions to which such Member is entitled pursuant to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10.3(a)(iii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580" w:hanging="980"/>
        <w:spacing w:after="0"/>
        <w:tabs>
          <w:tab w:leader="none" w:pos="35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Convert the Company into a corporation or would cause the Company to be classified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corporation for federal income tax purposes (other than in connection with a Termination Transaction); or</w:t>
      </w:r>
    </w:p>
    <w:p>
      <w:pPr>
        <w:spacing w:after="0" w:line="188" w:lineRule="exact"/>
        <w:rPr>
          <w:rFonts w:ascii="Arial" w:cs="Arial" w:eastAsia="Arial" w:hAnsi="Arial"/>
          <w:sz w:val="19"/>
          <w:szCs w:val="19"/>
          <w:color w:val="auto"/>
        </w:rPr>
      </w:pPr>
    </w:p>
    <w:p>
      <w:pPr>
        <w:ind w:left="3560" w:hanging="960"/>
        <w:spacing w:after="0"/>
        <w:tabs>
          <w:tab w:leader="none" w:pos="356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Amend this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with respect to clauses (ii), (iii), and (iv), the consent of any Member adversely affected shall not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required for any amendment or action that affects all Members holding the same class or series of Units on a uniform or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if approved by a Majority-in-Interest of the Members of such class or series. If some, but not all, of the Members consent to an action or amendment, the Company may, in its discretion, make such amendment or action effective only as to the Members that consented to it, to the extent it is practicable to do so.</w:t>
      </w:r>
    </w:p>
    <w:p>
      <w:pPr>
        <w:spacing w:after="0" w:line="17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Tax Actions</w:t>
      </w:r>
      <w:r>
        <w:rPr>
          <w:rFonts w:ascii="Arial" w:cs="Arial" w:eastAsia="Arial" w:hAnsi="Arial"/>
          <w:sz w:val="22"/>
          <w:szCs w:val="22"/>
          <w:color w:val="auto"/>
        </w:rPr>
        <w:t>. All Tax Actions not expressly reserved for the Members shall be made, taken, or determined by the Managing Member.</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Compensation and Reimbursement of Managing Member</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Managing Member shall not receive any fees from the Company for its services in administering the Company, except as otherwise provided in this Agreement.</w:t>
      </w:r>
    </w:p>
    <w:p>
      <w:pPr>
        <w:spacing w:after="0" w:line="174" w:lineRule="exact"/>
        <w:rPr>
          <w:rFonts w:ascii="Arial" w:cs="Arial" w:eastAsia="Arial" w:hAnsi="Arial"/>
          <w:sz w:val="22"/>
          <w:szCs w:val="22"/>
          <w:color w:val="auto"/>
        </w:rPr>
      </w:pPr>
    </w:p>
    <w:p>
      <w:pPr>
        <w:ind w:firstLine="1735"/>
        <w:spacing w:after="0" w:line="274" w:lineRule="auto"/>
        <w:tabs>
          <w:tab w:leader="none" w:pos="2627"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Reimbursement of Managing Member</w:t>
      </w:r>
      <w:r>
        <w:rPr>
          <w:rFonts w:ascii="Arial" w:cs="Arial" w:eastAsia="Arial" w:hAnsi="Arial"/>
          <w:sz w:val="21"/>
          <w:szCs w:val="21"/>
          <w:color w:val="auto"/>
        </w:rPr>
        <w:t>. The Company shall be liable for, and shall reimburse the Managing Member on an after-tax basis at such intervals as the Managing Member may determine, for all</w:t>
      </w:r>
    </w:p>
    <w:p>
      <w:pPr>
        <w:spacing w:after="0" w:line="150" w:lineRule="exact"/>
        <w:rPr>
          <w:rFonts w:ascii="Arial" w:cs="Arial" w:eastAsia="Arial" w:hAnsi="Arial"/>
          <w:sz w:val="21"/>
          <w:szCs w:val="21"/>
          <w:color w:val="auto"/>
        </w:rPr>
      </w:pPr>
    </w:p>
    <w:p>
      <w:pPr>
        <w:ind w:right="20" w:firstLine="2600"/>
        <w:spacing w:after="0" w:line="250" w:lineRule="auto"/>
        <w:tabs>
          <w:tab w:leader="none" w:pos="344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overhead, administrative expenses, insurance and reasonable legal, accounting and other professional fees and expenses of the Managing Member;</w:t>
      </w:r>
    </w:p>
    <w:p>
      <w:pPr>
        <w:spacing w:after="0" w:line="174" w:lineRule="exact"/>
        <w:rPr>
          <w:rFonts w:ascii="Arial" w:cs="Arial" w:eastAsia="Arial" w:hAnsi="Arial"/>
          <w:sz w:val="22"/>
          <w:szCs w:val="22"/>
          <w:color w:val="auto"/>
        </w:rPr>
      </w:pPr>
    </w:p>
    <w:p>
      <w:pPr>
        <w:ind w:left="3520" w:hanging="920"/>
        <w:spacing w:after="0"/>
        <w:tabs>
          <w:tab w:leader="none" w:pos="352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expenses of the Managing Member incidental to being a public reporting company;</w:t>
      </w:r>
    </w:p>
    <w:p>
      <w:pPr>
        <w:spacing w:after="0" w:line="217" w:lineRule="exact"/>
        <w:rPr>
          <w:rFonts w:ascii="Arial" w:cs="Arial" w:eastAsia="Arial" w:hAnsi="Arial"/>
          <w:sz w:val="21"/>
          <w:szCs w:val="21"/>
          <w:color w:val="auto"/>
        </w:rPr>
      </w:pPr>
    </w:p>
    <w:p>
      <w:pPr>
        <w:jc w:val="both"/>
        <w:ind w:firstLine="2600"/>
        <w:spacing w:after="0"/>
        <w:tabs>
          <w:tab w:leader="none" w:pos="356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reasonable fees and expenses related to the IPO or any subsequent public offering of equity securities of the Managing Member (without duplicating any provisions of </w:t>
      </w:r>
      <w:r>
        <w:rPr>
          <w:rFonts w:ascii="Arial" w:cs="Arial" w:eastAsia="Arial" w:hAnsi="Arial"/>
          <w:sz w:val="22"/>
          <w:szCs w:val="22"/>
          <w:u w:val="single" w:color="auto"/>
          <w:color w:val="auto"/>
        </w:rPr>
        <w:t>Section 2.5(f)</w:t>
      </w:r>
      <w:r>
        <w:rPr>
          <w:rFonts w:ascii="Arial" w:cs="Arial" w:eastAsia="Arial" w:hAnsi="Arial"/>
          <w:sz w:val="22"/>
          <w:szCs w:val="22"/>
          <w:color w:val="auto"/>
        </w:rPr>
        <w:t>) or private placement of equity securities of the Managing Member, whether or not consummated;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6" w:name="page197"/>
    <w:bookmarkEnd w:id="196"/>
    <w:p>
      <w:pPr>
        <w:ind w:right="20" w:firstLine="2600"/>
        <w:spacing w:after="0" w:line="250" w:lineRule="auto"/>
        <w:tabs>
          <w:tab w:leader="none" w:pos="355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franchise and similar taxes of the Managing Member and other fees and expenses in connection with the maintenance of the existence of the Managing Member;</w:t>
      </w:r>
    </w:p>
    <w:p>
      <w:pPr>
        <w:spacing w:after="0" w:line="174" w:lineRule="exact"/>
        <w:rPr>
          <w:rFonts w:ascii="Arial" w:cs="Arial" w:eastAsia="Arial" w:hAnsi="Arial"/>
          <w:sz w:val="22"/>
          <w:szCs w:val="22"/>
          <w:color w:val="auto"/>
        </w:rPr>
      </w:pPr>
    </w:p>
    <w:p>
      <w:pPr>
        <w:jc w:val="both"/>
        <w:ind w:firstLine="2600"/>
        <w:spacing w:after="0"/>
        <w:tabs>
          <w:tab w:leader="none" w:pos="349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customary compensation and benefits payable by the Managing Member, and indemnities provided by the Managing Member on behalf of, the officers, directors, and employees of the Managing Member; and</w:t>
      </w:r>
    </w:p>
    <w:p>
      <w:pPr>
        <w:spacing w:after="0" w:line="186" w:lineRule="exact"/>
        <w:rPr>
          <w:rFonts w:ascii="Arial" w:cs="Arial" w:eastAsia="Arial" w:hAnsi="Arial"/>
          <w:sz w:val="22"/>
          <w:szCs w:val="22"/>
          <w:color w:val="auto"/>
        </w:rPr>
      </w:pPr>
    </w:p>
    <w:p>
      <w:pPr>
        <w:jc w:val="both"/>
        <w:ind w:firstLine="2600"/>
        <w:spacing w:after="0" w:line="236" w:lineRule="auto"/>
        <w:tabs>
          <w:tab w:leader="none" w:pos="355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reasonable expenses paid by Managing Member on behalf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amount of any reimbursement shall be reduced by any interest earned by the Managing Member with respect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bank accounts or other instruments or accounts held by it on behalf of the Company as permitted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 Such reimbursements shall be in addition to any reimbursement of the Managing Member as a result of indemnification pursuant to Section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172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Outside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Limitation on Outside Activities of Managing Member</w:t>
      </w:r>
      <w:r>
        <w:rPr>
          <w:rFonts w:ascii="Arial" w:cs="Arial" w:eastAsia="Arial" w:hAnsi="Arial"/>
          <w:sz w:val="19"/>
          <w:szCs w:val="19"/>
          <w:color w:val="auto"/>
        </w:rPr>
        <w:t xml:space="preserve">. Without the consent of a Majority-in-Interest of the Members, the Managing Member shall not directly or indirectly enter into or conduct any business, other than in connection with, (i) the ownership, acquisition and disposition of Membership Interests, (ii) the management of the business of the Company and its Subsidiaries, (iii) its operation as a reporting company with a class (or classes) of securities registered under the Exchange Act, (iv) the offering, sale, syndication, private placement or public offering of stock, bonds, securities or other interests, (v) financing or refinancing of any type related to the Company or its Assets or activities, and (vi) such activities as are incidental thereto. Without the consent of a Majority-in-Interest of the Members, the Managing Member is not permitted to own any assets other than (x) Units in the Company (ii) assets necessary to its activities referred to in the preceding sentence or (iii) cash and cash equivalents and other assets that are incidental to its operations as a holding company and compliance with applicable law, rules and regulation. Nothing contained in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be construed to prohibit the Managing Member from executing guarantees or other credit support of Company Debt. For the avoidance of doubt,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shall restrict only the Managing Member and its Subsidiaries (other than the Company and its Subsidiaries) and shall not restrict the other Members or any Affiliate of the other Members (other than the Managing Member). The Managing Member and any Affiliates of the Managing Member may acquire Membership Interests and shall be entitled to exercise all rights of a Member relating to such Membership Interests.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735"/>
        <w:spacing w:after="0" w:line="275" w:lineRule="auto"/>
        <w:tabs>
          <w:tab w:leader="none" w:pos="262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Outside Activities of Members</w:t>
      </w:r>
      <w:r>
        <w:rPr>
          <w:rFonts w:ascii="Arial" w:cs="Arial" w:eastAsia="Arial" w:hAnsi="Arial"/>
          <w:sz w:val="19"/>
          <w:szCs w:val="19"/>
          <w:color w:val="auto"/>
        </w:rPr>
        <w:t xml:space="preserve">. Subject to any agreements entered into pursuant 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any other agreements entered into by a Member or any of its Affiliates with the Managing Member, the Company or a Subsidiary (including any employment agreement), any Member, or any officer, director, employee, agent, trustee, Affiliate, member or stockholder of any Member, shall be entitled to and may have business interests and engage in business activities in addition to those relating to the Company, including business interests and activities that are in direct or indirect competition with the Company or that are enhanced by the activities of the Company. None of the Members, the Company or any Person shall have any rights by virtue of this Agreement or the relationship established hereby in any business ventures of any other Member or Person, and such Person shall have no obligation pursuant to this Agreement, subject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7" w:name="page198"/>
    <w:bookmarkEnd w:id="197"/>
    <w:p>
      <w:pPr>
        <w:spacing w:after="0" w:line="328"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any other agreements entered into by a Member or its Affiliates with the Managing Member, the Company or a Subsidiary, to offer any interest in any such business ventures to the Company, any Member, or any such other Person.</w:t>
      </w:r>
    </w:p>
    <w:p>
      <w:pPr>
        <w:spacing w:after="0" w:line="10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35"/>
        <w:spacing w:after="0"/>
        <w:tabs>
          <w:tab w:leader="none" w:pos="2615"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Lending and Borrowing</w:t>
      </w:r>
      <w:r>
        <w:rPr>
          <w:rFonts w:ascii="Arial" w:cs="Arial" w:eastAsia="Arial" w:hAnsi="Arial"/>
          <w:sz w:val="22"/>
          <w:szCs w:val="22"/>
          <w:color w:val="auto"/>
        </w:rPr>
        <w:t>. The Company may lend funds to the Managing Member, or to Subsidiaries of the Company or other Persons in which the Company has an equity investment, and such Persons may borrow funds from the Company, on terms and conditions determined by the Managing Member.</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Company Transfers to Affiliated Entities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4.4</w:t>
      </w:r>
      <w:r>
        <w:rPr>
          <w:rFonts w:ascii="Arial" w:cs="Arial" w:eastAsia="Arial" w:hAnsi="Arial"/>
          <w:sz w:val="22"/>
          <w:szCs w:val="22"/>
          <w:color w:val="auto"/>
        </w:rPr>
        <w:t>, the Company may transfer Assets to joint ventures, limited liability companies, partnerships, corporations, business trusts or other business entities in which it is or thereby becomes a participant upon such terms and subject to such conditions consistent with this Agreement and Law.</w:t>
      </w:r>
    </w:p>
    <w:p>
      <w:pPr>
        <w:spacing w:after="0" w:line="184" w:lineRule="exact"/>
        <w:rPr>
          <w:rFonts w:ascii="Arial" w:cs="Arial" w:eastAsia="Arial" w:hAnsi="Arial"/>
          <w:sz w:val="22"/>
          <w:szCs w:val="22"/>
          <w:color w:val="auto"/>
        </w:rPr>
      </w:pPr>
    </w:p>
    <w:p>
      <w:pPr>
        <w:jc w:val="both"/>
        <w:ind w:firstLine="1735"/>
        <w:spacing w:after="0" w:line="297" w:lineRule="auto"/>
        <w:tabs>
          <w:tab w:leader="none" w:pos="2615"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Transfers from the Managing Member to the Company</w:t>
      </w:r>
      <w:r>
        <w:rPr>
          <w:rFonts w:ascii="Arial" w:cs="Arial" w:eastAsia="Arial" w:hAnsi="Arial"/>
          <w:sz w:val="19"/>
          <w:szCs w:val="19"/>
          <w:color w:val="auto"/>
        </w:rPr>
        <w:t>. The Managing Member and its Affiliates may sell, transfer or convey any property to the Company, directly or indirectly, on terms and conditions no less favorable to the Company in the aggregate than would be available from unaffiliated third parties as determined by the Managing Member.</w:t>
      </w:r>
    </w:p>
    <w:p>
      <w:pPr>
        <w:spacing w:after="0" w:line="133" w:lineRule="exact"/>
        <w:rPr>
          <w:rFonts w:ascii="Arial" w:cs="Arial" w:eastAsia="Arial" w:hAnsi="Arial"/>
          <w:sz w:val="19"/>
          <w:szCs w:val="19"/>
          <w:color w:val="auto"/>
        </w:rPr>
      </w:pPr>
    </w:p>
    <w:p>
      <w:pPr>
        <w:jc w:val="both"/>
        <w:ind w:firstLine="1735"/>
        <w:spacing w:after="0" w:line="238" w:lineRule="auto"/>
        <w:tabs>
          <w:tab w:leader="none" w:pos="2627"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Employee Benefit Plans</w:t>
      </w:r>
      <w:r>
        <w:rPr>
          <w:rFonts w:ascii="Arial" w:cs="Arial" w:eastAsia="Arial" w:hAnsi="Arial"/>
          <w:sz w:val="22"/>
          <w:szCs w:val="22"/>
          <w:color w:val="auto"/>
        </w:rPr>
        <w:t>. The Managing Member may propose and adopt on behalf of the Employee benefit plans funded by the Company for the benefit of employees of the Managing Member, the Company, Subsidiaries of the Company or any Affiliate of any of them in respect of services performed, directly or indirectly, for the benefit of the Managing Member, the Company or any of the Company’s Subsidiaries.</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w:t>
      </w:r>
    </w:p>
    <w:p>
      <w:pPr>
        <w:spacing w:after="0" w:line="206" w:lineRule="exact"/>
        <w:rPr>
          <w:sz w:val="20"/>
          <w:szCs w:val="20"/>
          <w:color w:val="auto"/>
        </w:rPr>
      </w:pPr>
    </w:p>
    <w:p>
      <w:pPr>
        <w:jc w:val="both"/>
        <w:ind w:firstLine="1735"/>
        <w:spacing w:after="0" w:line="279" w:lineRule="auto"/>
        <w:tabs>
          <w:tab w:leader="none" w:pos="2615"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To the fullest extent permitted by Law, no Indemnitee, in such capacity, shall be liable to the Company, any Member or any of their respective Affiliates, for any losses sustained or liabilities incurred as a result of any act or omission of such Person if (i) either (A) the Indemnitee, at the time of such action or inaction, determined in good faith that its, his or her course of conduct was in, or not opposed to, the best interests of the Company or (B) in the case of inaction by the Indemnitee, the Indemnitee did not intend its, his or her inaction to be harmful or opposed to the best interests of the Company and (ii) the action or inaction did not constitute fraud or willful misconduct by the Indemnitee.</w:t>
      </w:r>
    </w:p>
    <w:p>
      <w:pPr>
        <w:spacing w:after="0" w:line="150" w:lineRule="exact"/>
        <w:rPr>
          <w:rFonts w:ascii="Arial" w:cs="Arial" w:eastAsia="Arial" w:hAnsi="Arial"/>
          <w:sz w:val="19"/>
          <w:szCs w:val="19"/>
          <w:color w:val="auto"/>
        </w:rPr>
      </w:pPr>
    </w:p>
    <w:p>
      <w:pPr>
        <w:jc w:val="both"/>
        <w:ind w:firstLine="1735"/>
        <w:spacing w:after="0" w:line="277" w:lineRule="auto"/>
        <w:tabs>
          <w:tab w:leader="none" w:pos="262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Action in Good Faith</w:t>
      </w:r>
      <w:r>
        <w:rPr>
          <w:rFonts w:ascii="Arial" w:cs="Arial" w:eastAsia="Arial" w:hAnsi="Arial"/>
          <w:sz w:val="19"/>
          <w:szCs w:val="19"/>
          <w:color w:val="auto"/>
        </w:rPr>
        <w:t>. An indemnified Person acting under this Agreement shall not be liable to the Company for its, his or her good faith reliance on the provisions of this Agreement. The provisions of this Agreement, to the extent that they expand, restrict, or eliminate the duties and liabilities of such Persons otherwise existing at Law or in equity, are agreed by the Members to replace fully and completely such other duties and liabilities of such Persons. Whenever in this Agreement the Managing Member or any officer or director of the Managing Member is permitted or required to make a decision or take an action (i) in its “sole discretion” or “discretion” or under a similar grant of authority or latitude, in making such decisions, such Person shall be entitled to take into account its own interests as well as the interests of the Members as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8" w:name="page199"/>
    <w:bookmarkEnd w:id="198"/>
    <w:p>
      <w:pPr>
        <w:ind w:right="20"/>
        <w:spacing w:after="0" w:line="250" w:lineRule="auto"/>
        <w:rPr>
          <w:sz w:val="20"/>
          <w:szCs w:val="20"/>
          <w:color w:val="auto"/>
        </w:rPr>
      </w:pPr>
      <w:r>
        <w:rPr>
          <w:rFonts w:ascii="Arial" w:cs="Arial" w:eastAsia="Arial" w:hAnsi="Arial"/>
          <w:sz w:val="22"/>
          <w:szCs w:val="22"/>
          <w:color w:val="auto"/>
        </w:rPr>
        <w:t>whole or (ii) in its “good faith” or under another expressed standard, such Person shall act under such express standard and shall not be subject to any other or different standards.</w:t>
      </w:r>
    </w:p>
    <w:p>
      <w:pPr>
        <w:spacing w:after="0" w:line="175" w:lineRule="exact"/>
        <w:rPr>
          <w:sz w:val="20"/>
          <w:szCs w:val="20"/>
          <w:color w:val="auto"/>
        </w:rPr>
      </w:pPr>
    </w:p>
    <w:p>
      <w:pPr>
        <w:jc w:val="both"/>
        <w:ind w:firstLine="1735"/>
        <w:spacing w:after="0" w:line="235" w:lineRule="auto"/>
        <w:tabs>
          <w:tab w:leader="none" w:pos="2615"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Outside Counsel</w:t>
      </w:r>
      <w:r>
        <w:rPr>
          <w:rFonts w:ascii="Arial" w:cs="Arial" w:eastAsia="Arial" w:hAnsi="Arial"/>
          <w:sz w:val="22"/>
          <w:szCs w:val="22"/>
          <w:color w:val="auto"/>
        </w:rPr>
        <w:t>.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The Company shall indemnify and hold harmless each Indemnitee (and such Person’s heirs, successors, assigns, executors or administrators) to the full extent permitted by Law in accordance with the provisions of Article VI of the Amended and Restated Bylaws of the Managing Member as if such provisions were set forth herein,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xml:space="preserve">. The rights to indemnification and to the advancement of expenses conferred in this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shall not be exclusive of any other right which any person may have or hereafter acquire under any law, agreement, vote of stockholders or disinterested directors, provisions of a certificate of incorporation or bylaws, or otherwise.</w:t>
      </w:r>
    </w:p>
    <w:p>
      <w:pPr>
        <w:spacing w:after="0" w:line="184" w:lineRule="exact"/>
        <w:rPr>
          <w:rFonts w:ascii="Arial" w:cs="Arial" w:eastAsia="Arial" w:hAnsi="Arial"/>
          <w:sz w:val="22"/>
          <w:szCs w:val="22"/>
          <w:color w:val="auto"/>
        </w:rPr>
      </w:pPr>
    </w:p>
    <w:p>
      <w:pPr>
        <w:jc w:val="both"/>
        <w:ind w:firstLine="1735"/>
        <w:spacing w:after="0" w:line="277" w:lineRule="auto"/>
        <w:tabs>
          <w:tab w:leader="none" w:pos="2615"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Nature of Rights</w:t>
      </w:r>
      <w:r>
        <w:rPr>
          <w:rFonts w:ascii="Arial" w:cs="Arial" w:eastAsia="Arial" w:hAnsi="Arial"/>
          <w:sz w:val="19"/>
          <w:szCs w:val="19"/>
          <w:color w:val="auto"/>
        </w:rPr>
        <w:t xml:space="preserve">. The rights conferred upon Indemnitees in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shall be contract rights and such rights shall continue as to an Indemnitee who has ceased to be the Managing Member, an Affiliate of the Managing Member, the Tax Representative, the Designated Individual or an officer or director of the Managing Member, the Company or their respective Affiliates. Any amendment, alteration or repeal of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or of Article VI of the Amended and Restated Bylaws of the Managing Member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BOOKS AND RECORDS</w:t>
      </w:r>
    </w:p>
    <w:p>
      <w:pPr>
        <w:spacing w:after="0" w:line="21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Books and Records</w:t>
      </w:r>
      <w:r>
        <w:rPr>
          <w:rFonts w:ascii="Arial" w:cs="Arial" w:eastAsia="Arial" w:hAnsi="Arial"/>
          <w:sz w:val="19"/>
          <w:szCs w:val="19"/>
          <w:color w:val="auto"/>
        </w:rPr>
        <w:t>.</w:t>
      </w:r>
    </w:p>
    <w:p>
      <w:pPr>
        <w:spacing w:after="0" w:line="206" w:lineRule="exact"/>
        <w:rPr>
          <w:sz w:val="20"/>
          <w:szCs w:val="20"/>
          <w:color w:val="auto"/>
        </w:rPr>
      </w:pPr>
    </w:p>
    <w:p>
      <w:pPr>
        <w:ind w:right="20" w:firstLine="1735"/>
        <w:spacing w:after="0" w:line="250" w:lineRule="auto"/>
        <w:tabs>
          <w:tab w:leader="none" w:pos="2615"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maintain in its principal business office, or any other place as may be determined by the Company, the books and records of the Company.</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Specific Records</w:t>
      </w:r>
      <w:r>
        <w:rPr>
          <w:rFonts w:ascii="Arial" w:cs="Arial" w:eastAsia="Arial" w:hAnsi="Arial"/>
          <w:sz w:val="22"/>
          <w:szCs w:val="22"/>
          <w:color w:val="auto"/>
        </w:rPr>
        <w:t>. In particular, the Company shall maintain:</w:t>
      </w:r>
    </w:p>
    <w:p>
      <w:pPr>
        <w:spacing w:after="0" w:line="206" w:lineRule="exact"/>
        <w:rPr>
          <w:sz w:val="20"/>
          <w:szCs w:val="20"/>
          <w:color w:val="auto"/>
        </w:rPr>
      </w:pPr>
    </w:p>
    <w:p>
      <w:pPr>
        <w:jc w:val="both"/>
        <w:ind w:firstLine="2600"/>
        <w:spacing w:after="0" w:line="238" w:lineRule="auto"/>
        <w:tabs>
          <w:tab w:leader="none" w:pos="344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register containing the name, address, and number and class of Units (including Equivalent Units) of each Member, and such other information as the Managing Member may deem necessary or desirable (as may be amended or updated from time to time, the “</w:t>
      </w:r>
      <w:r>
        <w:rPr>
          <w:rFonts w:ascii="Arial" w:cs="Arial" w:eastAsia="Arial" w:hAnsi="Arial"/>
          <w:sz w:val="22"/>
          <w:szCs w:val="22"/>
          <w:u w:val="single" w:color="auto"/>
          <w:color w:val="auto"/>
        </w:rPr>
        <w:t>Register</w:t>
      </w:r>
      <w:r>
        <w:rPr>
          <w:rFonts w:ascii="Arial" w:cs="Arial" w:eastAsia="Arial" w:hAnsi="Arial"/>
          <w:sz w:val="22"/>
          <w:szCs w:val="22"/>
          <w:color w:val="auto"/>
        </w:rPr>
        <w:t>”). The Register shall not be deemed part of this Agreement. The Managing Member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9" w:name="page200"/>
    <w:bookmarkEnd w:id="199"/>
    <w:p>
      <w:pPr>
        <w:jc w:val="both"/>
        <w:spacing w:after="0" w:line="297" w:lineRule="auto"/>
        <w:rPr>
          <w:sz w:val="20"/>
          <w:szCs w:val="20"/>
          <w:color w:val="auto"/>
        </w:rPr>
      </w:pPr>
      <w:r>
        <w:rPr>
          <w:rFonts w:ascii="Arial" w:cs="Arial" w:eastAsia="Arial" w:hAnsi="Arial"/>
          <w:sz w:val="19"/>
          <w:szCs w:val="19"/>
          <w:color w:val="auto"/>
        </w:rPr>
        <w:t>shall from time to time update the Register as necessary to ensure the Register is accurate, including as a result of any sales, exchanges, or other Transfers, or any redemptions, issuances, or similar events involving Units. Except as required by Law, no Member shall be entitled to receive a copy of the information set forth in the Register relating to any Member other than itself.</w:t>
      </w:r>
    </w:p>
    <w:p>
      <w:pPr>
        <w:spacing w:after="0" w:line="134" w:lineRule="exact"/>
        <w:rPr>
          <w:sz w:val="20"/>
          <w:szCs w:val="20"/>
          <w:color w:val="auto"/>
        </w:rPr>
      </w:pPr>
    </w:p>
    <w:p>
      <w:pPr>
        <w:ind w:left="3520" w:hanging="920"/>
        <w:spacing w:after="0"/>
        <w:tabs>
          <w:tab w:leader="none" w:pos="352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copy of the Certificate of Formation and this Agreement and all amendments thereto.</w:t>
      </w:r>
    </w:p>
    <w:p>
      <w:pPr>
        <w:spacing w:after="0" w:line="24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Financial Accounts</w:t>
      </w:r>
      <w:r>
        <w:rPr>
          <w:rFonts w:ascii="Arial" w:cs="Arial" w:eastAsia="Arial" w:hAnsi="Arial"/>
          <w:sz w:val="22"/>
          <w:szCs w:val="22"/>
          <w:color w:val="auto"/>
        </w:rPr>
        <w:t>. At all times during the continuance of the Company, the Company shall prepare and maintain separate books of account for the Company for financial reporting purposes, on an accrual basis, in accordance with United States generally accepted accounting principles, consistently applied.</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Inspection; Confidentiality</w:t>
      </w:r>
      <w:r>
        <w:rPr>
          <w:rFonts w:ascii="Arial" w:cs="Arial" w:eastAsia="Arial" w:hAnsi="Arial"/>
          <w:sz w:val="21"/>
          <w:szCs w:val="21"/>
          <w:color w:val="auto"/>
        </w:rPr>
        <w:t>. The Managing Member may keep confidential from the Members (or any of them) for such period of time as the Managing Member determines to be reasonable, any information (a) that the Managing Member believes to be in the nature of trade secrets, (b) the disclosure of which the Managing Member in good faith believes is not in the best interests of the Company or the Managing Member, or (c) that the Company or the Managing Member is required by Law, agreement, or customary commercial practice to keep confidential. Subject to the provisions of the previous sentence, the Members (personally or through an authorized representative) may, for purposes reasonably related to their respective interests in the Company, examine and copy (at their own cost and expense) the books and records of the Company at all reasonable business hours upon reasonable prior notice.</w:t>
      </w:r>
    </w:p>
    <w:p>
      <w:pPr>
        <w:spacing w:after="0" w:line="180"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Information to be Provided by Managing Member to Members</w:t>
      </w:r>
      <w:r>
        <w:rPr>
          <w:rFonts w:ascii="Arial" w:cs="Arial" w:eastAsia="Arial" w:hAnsi="Arial"/>
          <w:sz w:val="22"/>
          <w:szCs w:val="22"/>
          <w:color w:val="auto"/>
        </w:rPr>
        <w:t>. The Company shall deliver (or otherwise make accessible) to each Member a copy of any information mailed or delivered electronically to all of the common stockholders of the Managing Member as soon as practicable after such mailing.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ALLOCATIONS</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Allocations Generally</w:t>
      </w:r>
      <w:r>
        <w:rPr>
          <w:rFonts w:ascii="Arial" w:cs="Arial" w:eastAsia="Arial" w:hAnsi="Arial"/>
          <w:sz w:val="19"/>
          <w:szCs w:val="19"/>
          <w:color w:val="auto"/>
        </w:rPr>
        <w:t xml:space="preserve">. Each Fiscal Year, after adjusting each Member’s Capital Account for all contributions and distributions with respect to such Fiscal Year and after giving effect to the allocations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for the Fiscal Year, Net Profits and Net Losses shall be allocated among the Members in a manner such that, after such allocations have been made, each Member’s Capital Account balance (which may be a positive, negative, or zero balance) will equal (proportionately) (a) the amount that would be distributed to each such Member, determined as if the Company were to (i) sell all of its Assets for their Asset Values, (ii) satisfy all of its liabilities in accordance with their terms with the proceeds from such sale (limited, with respect to Nonrecourse Liabilities, to the Asset Values of the Assets securing such liabilities), and (iii) distribute the remaining proceeds pursuant to the applicable provision of this Agreement, minus (b) the sum of (x) such Member’s share of the Company Minimum Gain and Member Nonrecourse Debt Minimum Gain and (y) the amount, if any (without duplication of any amount included under clause (x)), that such Member is obligated (or is deemed for U.S. tax purposes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be obligated) to contribute, in its capacity as a Member, to the capital of the Company as of the last day of such Fiscal Year.</w:t>
      </w:r>
    </w:p>
    <w:p>
      <w:pPr>
        <w:spacing w:after="0" w:line="24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Priority Allocations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Minimum Gain Chargeback, Qualified Income Offset, and Stop Loss Provisions</w:t>
      </w:r>
      <w:r>
        <w:rPr>
          <w:rFonts w:ascii="Arial" w:cs="Arial" w:eastAsia="Arial" w:hAnsi="Arial"/>
          <w:sz w:val="21"/>
          <w:szCs w:val="21"/>
          <w:color w:val="auto"/>
        </w:rPr>
        <w:t>. Each of (i) the “minimum gain chargeback” provision of Treas. Reg. § 1.704-2(f), (ii) the “chargeback of partner nonrecourse debt minimum gain” provision of Treas. Reg. § 1.704-2(i)(4), (iii) the “qualified income offset” provision in Treas. Reg. § 1.704-1(b)(2)(ii)(d), and (iv) the requirement in Treas. Reg. § 1.704-1(b)(2)(ii)(d)(3) that an allocation “not cause or increase a deficit balance” in a Member’s Capital Account is hereby incorporated by reference as a part of this Agreement. The Company shall make such allocations as are necessary to comply with those provisions and shall make any determinations with respect to such allocations (to the extent consistent with clauses (i) – (iv) of the preceding sentence).</w:t>
      </w:r>
    </w:p>
    <w:p>
      <w:pPr>
        <w:spacing w:after="0" w:line="184" w:lineRule="exact"/>
        <w:rPr>
          <w:rFonts w:ascii="Arial" w:cs="Arial" w:eastAsia="Arial" w:hAnsi="Arial"/>
          <w:sz w:val="21"/>
          <w:szCs w:val="21"/>
          <w:color w:val="auto"/>
        </w:rPr>
      </w:pPr>
    </w:p>
    <w:p>
      <w:pPr>
        <w:ind w:firstLine="1735"/>
        <w:spacing w:after="0" w:line="250" w:lineRule="auto"/>
        <w:tabs>
          <w:tab w:leader="none" w:pos="262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Nonrecourse Deductions</w:t>
      </w:r>
      <w:r>
        <w:rPr>
          <w:rFonts w:ascii="Arial" w:cs="Arial" w:eastAsia="Arial" w:hAnsi="Arial"/>
          <w:sz w:val="22"/>
          <w:szCs w:val="22"/>
          <w:color w:val="auto"/>
        </w:rPr>
        <w:t>. Nonrecourse Deductions for any Fiscal Year shall be allocated to the Members in accordance with their Units, unless otherwise determined by the Company.</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Member Nonrecourse Deductions</w:t>
      </w:r>
      <w:r>
        <w:rPr>
          <w:rFonts w:ascii="Arial" w:cs="Arial" w:eastAsia="Arial" w:hAnsi="Arial"/>
          <w:sz w:val="22"/>
          <w:szCs w:val="22"/>
          <w:color w:val="auto"/>
        </w:rPr>
        <w:t>. Any Member Nonrecourse Deductions for any Fiscal Year shall be specially allocated to the Member who bears the economic risk of loss (within the meaning of Treas. Reg. § 1.752-2) with respect to the Member Nonrecourse Debt to which such Member Nonrecourse Deductions are attributable in accordance with Treas. Reg. § 1.704-2(i)(l).</w:t>
      </w:r>
    </w:p>
    <w:p>
      <w:pPr>
        <w:spacing w:after="0" w:line="184" w:lineRule="exact"/>
        <w:rPr>
          <w:rFonts w:ascii="Arial" w:cs="Arial" w:eastAsia="Arial" w:hAnsi="Arial"/>
          <w:sz w:val="22"/>
          <w:szCs w:val="22"/>
          <w:color w:val="auto"/>
        </w:rPr>
      </w:pPr>
    </w:p>
    <w:p>
      <w:pPr>
        <w:jc w:val="both"/>
        <w:ind w:firstLine="1735"/>
        <w:spacing w:after="0" w:line="246" w:lineRule="auto"/>
        <w:tabs>
          <w:tab w:leader="none" w:pos="2627"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Special Basis Adjustments</w:t>
      </w:r>
      <w:r>
        <w:rPr>
          <w:rFonts w:ascii="Arial" w:cs="Arial" w:eastAsia="Arial" w:hAnsi="Arial"/>
          <w:sz w:val="21"/>
          <w:szCs w:val="21"/>
          <w:color w:val="auto"/>
        </w:rPr>
        <w:t>. To the extent an adjustment to the adjusted tax basis of any Company Asset, pursuant to Code section 734(b) or Code section 743(b) is required, pursuant to Treas. Reg. §§ 1.704-1(b)(2)(iv)(m)(2) or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 Reg. § 1.704-1(b)(2)(iv)(m)(2) applies, or to the Member to whom such distribution was made in the event Treas. Reg. § 1.704-1(b)(2)(iv)(m)(4) applies.</w:t>
      </w:r>
    </w:p>
    <w:p>
      <w:pPr>
        <w:spacing w:after="0" w:line="179" w:lineRule="exact"/>
        <w:rPr>
          <w:rFonts w:ascii="Arial" w:cs="Arial" w:eastAsia="Arial" w:hAnsi="Arial"/>
          <w:sz w:val="21"/>
          <w:szCs w:val="21"/>
          <w:color w:val="auto"/>
        </w:rPr>
      </w:pPr>
    </w:p>
    <w:p>
      <w:pPr>
        <w:jc w:val="both"/>
        <w:ind w:firstLine="1735"/>
        <w:spacing w:after="0" w:line="249" w:lineRule="auto"/>
        <w:tabs>
          <w:tab w:leader="none" w:pos="2615"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Ameliorative Allocations</w:t>
      </w:r>
      <w:r>
        <w:rPr>
          <w:rFonts w:ascii="Arial" w:cs="Arial" w:eastAsia="Arial" w:hAnsi="Arial"/>
          <w:sz w:val="21"/>
          <w:szCs w:val="21"/>
          <w:color w:val="auto"/>
        </w:rPr>
        <w:t xml:space="preserve">. Any allocations made (as well as anticipated reversing or offsetting regulatory allocations to be made) pursuant to </w:t>
      </w:r>
      <w:r>
        <w:rPr>
          <w:rFonts w:ascii="Arial" w:cs="Arial" w:eastAsia="Arial" w:hAnsi="Arial"/>
          <w:sz w:val="21"/>
          <w:szCs w:val="21"/>
          <w:u w:val="single" w:color="auto"/>
          <w:color w:val="auto"/>
        </w:rPr>
        <w:t>Section 6.2(a)-(d)</w:t>
      </w:r>
      <w:r>
        <w:rPr>
          <w:rFonts w:ascii="Arial" w:cs="Arial" w:eastAsia="Arial" w:hAnsi="Arial"/>
          <w:sz w:val="21"/>
          <w:szCs w:val="21"/>
          <w:color w:val="auto"/>
        </w:rPr>
        <w:t xml:space="preserve"> shall be taken into account in computing subsequent allocations pursuant to this Agreement, so that the net amount for any item so allocated and all other items allocated to each Member pursuant to this Agreement shall be equal, to the extent possible, to the net amount that would have been allocated to each Member pursuant to the provisions of this Agreement if those allocations had not occurred.</w:t>
      </w:r>
    </w:p>
    <w:p>
      <w:pPr>
        <w:spacing w:after="0" w:line="17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Other Allocation Rules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xml:space="preserve">. Except as otherwise provided in this </w:t>
      </w:r>
      <w:r>
        <w:rPr>
          <w:rFonts w:ascii="Arial" w:cs="Arial" w:eastAsia="Arial" w:hAnsi="Arial"/>
          <w:sz w:val="22"/>
          <w:szCs w:val="22"/>
          <w:u w:val="single" w:color="auto"/>
          <w:color w:val="auto"/>
        </w:rPr>
        <w:t>Section 6.3</w:t>
      </w:r>
      <w:r>
        <w:rPr>
          <w:rFonts w:ascii="Arial" w:cs="Arial" w:eastAsia="Arial" w:hAnsi="Arial"/>
          <w:sz w:val="22"/>
          <w:szCs w:val="22"/>
          <w:color w:val="auto"/>
        </w:rPr>
        <w:t>, for income tax purposes under the Code and the Regulations, each Company item of income, gain, loss, deduction, and credit (collectively, “</w:t>
      </w:r>
      <w:r>
        <w:rPr>
          <w:rFonts w:ascii="Arial" w:cs="Arial" w:eastAsia="Arial" w:hAnsi="Arial"/>
          <w:sz w:val="22"/>
          <w:szCs w:val="22"/>
          <w:u w:val="single" w:color="auto"/>
          <w:color w:val="auto"/>
        </w:rPr>
        <w:t>Tax Items</w:t>
      </w:r>
      <w:r>
        <w:rPr>
          <w:rFonts w:ascii="Arial" w:cs="Arial" w:eastAsia="Arial" w:hAnsi="Arial"/>
          <w:sz w:val="22"/>
          <w:szCs w:val="22"/>
          <w:color w:val="auto"/>
        </w:rPr>
        <w:t>”) shall be allocated among the Members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1" w:name="page202"/>
    <w:bookmarkEnd w:id="201"/>
    <w:p>
      <w:pPr>
        <w:ind w:right="20"/>
        <w:spacing w:after="0" w:line="250" w:lineRule="auto"/>
        <w:rPr>
          <w:sz w:val="20"/>
          <w:szCs w:val="20"/>
          <w:color w:val="auto"/>
        </w:rPr>
      </w:pPr>
      <w:r>
        <w:rPr>
          <w:rFonts w:ascii="Arial" w:cs="Arial" w:eastAsia="Arial" w:hAnsi="Arial"/>
          <w:sz w:val="22"/>
          <w:szCs w:val="22"/>
          <w:color w:val="auto"/>
        </w:rPr>
        <w:t xml:space="preserve">same manner as its correlative item of income, gain, loss, deduction, and credit (as calculated for purposes of allocating Net Profits or Net Loss) is allocated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75" w:lineRule="exact"/>
        <w:rPr>
          <w:sz w:val="20"/>
          <w:szCs w:val="20"/>
          <w:color w:val="auto"/>
        </w:rPr>
      </w:pPr>
    </w:p>
    <w:p>
      <w:pPr>
        <w:jc w:val="both"/>
        <w:ind w:firstLine="1735"/>
        <w:spacing w:after="0" w:line="273" w:lineRule="auto"/>
        <w:tabs>
          <w:tab w:leader="none" w:pos="2627"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Section 704(c) Allocations</w:t>
      </w:r>
      <w:r>
        <w:rPr>
          <w:rFonts w:ascii="Arial" w:cs="Arial" w:eastAsia="Arial" w:hAnsi="Arial"/>
          <w:sz w:val="19"/>
          <w:szCs w:val="19"/>
          <w:color w:val="auto"/>
        </w:rPr>
        <w:t xml:space="preserve">. Notwithstanding the provisions of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to the contrary, in accordance with Code section 704(c)(1)(A) (and the principles of those provisions) and Treas. Reg. § 1.704-3, Tax Items with respect to any property contributed to the capital of the Company, or after Company property has been revalued under Treas. Reg.</w:t>
      </w:r>
    </w:p>
    <w:p>
      <w:pPr>
        <w:spacing w:after="0" w:line="1" w:lineRule="exact"/>
        <w:rPr>
          <w:rFonts w:ascii="Arial" w:cs="Arial" w:eastAsia="Arial" w:hAnsi="Arial"/>
          <w:sz w:val="19"/>
          <w:szCs w:val="19"/>
          <w:color w:val="auto"/>
        </w:rPr>
      </w:pPr>
    </w:p>
    <w:p>
      <w:pPr>
        <w:jc w:val="both"/>
        <w:ind w:firstLine="8"/>
        <w:spacing w:after="0" w:line="272" w:lineRule="auto"/>
        <w:tabs>
          <w:tab w:leader="none" w:pos="16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1.704-1(b)(2)(iv)(f) or (s), shall, solely for U.S. federal, state and local tax purposes, be allocated among the Members so as to take into account any variation between the adjusted basis of such Company property to the Company for U.S. federal income tax purposes and its value as so determined at the time of the contribution or revaluation of Company property. The Company shall use the “traditional method” with respect to (i) any property contributed to the Company before the IPO and (ii) “reverse section 704(c) allocations” (within the meaning of Treas. Reg. § 1.704-3(a)(6)) arising before or in connection with the IPO. With respected to property contributed or section 704(c) amounts arising from revaluations made after the IPO, the Company may use any method permitted under Treas. Reg. § 1.704-3. Allocations pursuant to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are solely for U.S. federal, state, and local tax purposes and shall not affect, or in any way be taken into account in computing, any Member’s Capital Account or share of profit, loss, or other items, pursuant to any provision of this Agreement.</w:t>
      </w:r>
    </w:p>
    <w:p>
      <w:pPr>
        <w:spacing w:after="0" w:line="156" w:lineRule="exact"/>
        <w:rPr>
          <w:rFonts w:ascii="Arial" w:cs="Arial" w:eastAsia="Arial" w:hAnsi="Arial"/>
          <w:sz w:val="19"/>
          <w:szCs w:val="19"/>
          <w:color w:val="auto"/>
        </w:rPr>
      </w:pPr>
    </w:p>
    <w:p>
      <w:pPr>
        <w:jc w:val="both"/>
        <w:ind w:firstLine="1735"/>
        <w:spacing w:after="0" w:line="236" w:lineRule="auto"/>
        <w:tabs>
          <w:tab w:leader="none" w:pos="2615"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Allocations in Respect of Varying Interests</w:t>
      </w:r>
      <w:r>
        <w:rPr>
          <w:rFonts w:ascii="Arial" w:cs="Arial" w:eastAsia="Arial" w:hAnsi="Arial"/>
          <w:sz w:val="22"/>
          <w:szCs w:val="22"/>
          <w:color w:val="auto"/>
        </w:rPr>
        <w:t>. If any Member’s interest in the Company varies (within the meaning of Code section 706(d)) within a Fiscal Year, whether by reason of a Transfer of a Unit, redemption of a Unit by the Company, or otherwise, Net Profits and Net Losses for that Fiscal Year will be allocated so as to take into account such varying interests in accordance with Code section 706(d) using the daily proration method and/or such other permissible method, methods, or conventions selected by the Company.</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Timing and Amount of Allocations of Net Profits and Net Loss</w:t>
      </w:r>
      <w:r>
        <w:rPr>
          <w:rFonts w:ascii="Arial" w:cs="Arial" w:eastAsia="Arial" w:hAnsi="Arial"/>
          <w:sz w:val="22"/>
          <w:szCs w:val="22"/>
          <w:color w:val="auto"/>
        </w:rPr>
        <w:t>. Net Profits and Net Loss of the Company shall be determined and allocated with respect to each Fiscal Year as of the end of each such year, or at such other time or times determined by the Company.</w:t>
      </w:r>
    </w:p>
    <w:p>
      <w:pPr>
        <w:spacing w:after="0" w:line="186" w:lineRule="exact"/>
        <w:rPr>
          <w:rFonts w:ascii="Arial" w:cs="Arial" w:eastAsia="Arial" w:hAnsi="Arial"/>
          <w:sz w:val="22"/>
          <w:szCs w:val="22"/>
          <w:color w:val="auto"/>
        </w:rPr>
      </w:pPr>
    </w:p>
    <w:p>
      <w:pPr>
        <w:jc w:val="both"/>
        <w:ind w:firstLine="1735"/>
        <w:spacing w:after="0" w:line="234" w:lineRule="auto"/>
        <w:tabs>
          <w:tab w:leader="none" w:pos="2615"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Modification of Allocations</w:t>
      </w:r>
      <w:r>
        <w:rPr>
          <w:rFonts w:ascii="Arial" w:cs="Arial" w:eastAsia="Arial" w:hAnsi="Arial"/>
          <w:sz w:val="22"/>
          <w:szCs w:val="22"/>
          <w:color w:val="auto"/>
        </w:rPr>
        <w:t xml:space="preserve">. The allocations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are intended to comply with certain requirements of the Regulations. The Company shall be authorized to make, in its reasonable discretion, appropriate modifications to the allocations of Net Profits and Net Losses pursuant to this Agreement in order to comply with Code section 704 or applicable Regulations. Notwithstanding any provision of this Agreement to the contrary, if the Company reasonably determines an allocation other than the allocations that would otherwise be made pursuant to this Agreement would more appropriately reflect the Members’ interests in the Company, the Company may in its discretion make appropriate adjustments to such allocations.</w:t>
      </w:r>
    </w:p>
    <w:p>
      <w:pPr>
        <w:spacing w:after="0" w:line="190" w:lineRule="exact"/>
        <w:rPr>
          <w:rFonts w:ascii="Arial" w:cs="Arial" w:eastAsia="Arial" w:hAnsi="Arial"/>
          <w:sz w:val="22"/>
          <w:szCs w:val="22"/>
          <w:color w:val="auto"/>
        </w:rPr>
      </w:pPr>
    </w:p>
    <w:p>
      <w:pPr>
        <w:jc w:val="both"/>
        <w:ind w:firstLine="1735"/>
        <w:spacing w:after="0"/>
        <w:tabs>
          <w:tab w:leader="none" w:pos="2591"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Allocation of Liabilities Under Code Section 752</w:t>
      </w:r>
      <w:r>
        <w:rPr>
          <w:rFonts w:ascii="Arial" w:cs="Arial" w:eastAsia="Arial" w:hAnsi="Arial"/>
          <w:sz w:val="22"/>
          <w:szCs w:val="22"/>
          <w:color w:val="auto"/>
        </w:rPr>
        <w:t>. Notwithstanding anything in this Agreement to the contrary, no Member will take, or permit any Affiliate to take, any action that would change the allocation of liabilities for purposes of Code section 752 without the consent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21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Provision of Information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9" w:lineRule="auto"/>
        <w:tabs>
          <w:tab w:leader="none" w:pos="2615"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Information to Be Provided by Company to Members</w:t>
      </w:r>
      <w:r>
        <w:rPr>
          <w:rFonts w:ascii="Arial" w:cs="Arial" w:eastAsia="Arial" w:hAnsi="Arial"/>
          <w:sz w:val="19"/>
          <w:szCs w:val="19"/>
          <w:color w:val="auto"/>
        </w:rPr>
        <w:t>. No later than thirty (30) days after the filing by the Company of the Company’s federal tax return (Federal Form 1065), the Company shall provide to each Member a copy of Schedule K-1 of Federal Form 1065 reporting that Member’s allocable share of items of income, gain, loss, deduction, or credit for such Fiscal Year, and such additional information as is required to be provided on the Schedule K-1 or as such Member may reasonably request for tax purposes, each as determined by the Company. The Member hereby consents to receive each Schedule K-1 in respect of the Member’s LLC Interest in the Company through electronic delivery.</w:t>
      </w:r>
    </w:p>
    <w:p>
      <w:pPr>
        <w:spacing w:after="0" w:line="150" w:lineRule="exact"/>
        <w:rPr>
          <w:rFonts w:ascii="Arial" w:cs="Arial" w:eastAsia="Arial" w:hAnsi="Arial"/>
          <w:sz w:val="19"/>
          <w:szCs w:val="19"/>
          <w:color w:val="auto"/>
        </w:rPr>
      </w:pPr>
    </w:p>
    <w:p>
      <w:pPr>
        <w:ind w:left="2640" w:hanging="905"/>
        <w:spacing w:after="0"/>
        <w:tabs>
          <w:tab w:leader="none" w:pos="2640"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Information to Be Provided by Members to Company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60" w:hanging="860"/>
        <w:spacing w:after="0"/>
        <w:tabs>
          <w:tab w:leader="none" w:pos="3460" w:val="left"/>
        </w:tabs>
        <w:numPr>
          <w:ilvl w:val="2"/>
          <w:numId w:val="123"/>
        </w:numPr>
        <w:rPr>
          <w:rFonts w:ascii="Arial" w:cs="Arial" w:eastAsia="Arial" w:hAnsi="Arial"/>
          <w:sz w:val="19"/>
          <w:szCs w:val="19"/>
          <w:color w:val="auto"/>
        </w:rPr>
      </w:pPr>
      <w:r>
        <w:rPr>
          <w:rFonts w:ascii="Arial" w:cs="Arial" w:eastAsia="Arial" w:hAnsi="Arial"/>
          <w:sz w:val="19"/>
          <w:szCs w:val="19"/>
          <w:u w:val="single" w:color="auto"/>
          <w:color w:val="auto"/>
        </w:rPr>
        <w:t>Notice of Audit or Tax Examination</w:t>
      </w:r>
      <w:r>
        <w:rPr>
          <w:rFonts w:ascii="Arial" w:cs="Arial" w:eastAsia="Arial" w:hAnsi="Arial"/>
          <w:sz w:val="19"/>
          <w:szCs w:val="19"/>
          <w:color w:val="auto"/>
        </w:rPr>
        <w:t>. Each Member shall notify the Company within five</w:t>
      </w:r>
    </w:p>
    <w:p>
      <w:pPr>
        <w:spacing w:after="0" w:line="42" w:lineRule="exact"/>
        <w:rPr>
          <w:rFonts w:ascii="Arial" w:cs="Arial" w:eastAsia="Arial" w:hAnsi="Arial"/>
          <w:sz w:val="19"/>
          <w:szCs w:val="19"/>
          <w:color w:val="auto"/>
        </w:rPr>
      </w:pPr>
    </w:p>
    <w:p>
      <w:pPr>
        <w:ind w:firstLine="8"/>
        <w:spacing w:after="0" w:line="236" w:lineRule="auto"/>
        <w:tabs>
          <w:tab w:leader="none" w:pos="33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days after receipt of any notice regarding an audit or tax examination of the Company and upon any request for material information related to the Company by U.S. federal, state, local, or other tax authorities.</w:t>
      </w:r>
    </w:p>
    <w:p>
      <w:pPr>
        <w:spacing w:after="0" w:line="186" w:lineRule="exact"/>
        <w:rPr>
          <w:rFonts w:ascii="Arial" w:cs="Arial" w:eastAsia="Arial" w:hAnsi="Arial"/>
          <w:sz w:val="22"/>
          <w:szCs w:val="22"/>
          <w:color w:val="auto"/>
        </w:rPr>
      </w:pPr>
    </w:p>
    <w:p>
      <w:pPr>
        <w:jc w:val="both"/>
        <w:ind w:firstLine="2600"/>
        <w:spacing w:after="0" w:line="238" w:lineRule="auto"/>
        <w:tabs>
          <w:tab w:leader="none" w:pos="3504" w:val="left"/>
        </w:tabs>
        <w:numPr>
          <w:ilvl w:val="2"/>
          <w:numId w:val="124"/>
        </w:numPr>
        <w:rPr>
          <w:rFonts w:ascii="Arial" w:cs="Arial" w:eastAsia="Arial" w:hAnsi="Arial"/>
          <w:sz w:val="22"/>
          <w:szCs w:val="22"/>
          <w:color w:val="auto"/>
        </w:rPr>
      </w:pPr>
      <w:r>
        <w:rPr>
          <w:rFonts w:ascii="Arial" w:cs="Arial" w:eastAsia="Arial" w:hAnsi="Arial"/>
          <w:sz w:val="22"/>
          <w:szCs w:val="22"/>
          <w:u w:val="single" w:color="auto"/>
          <w:color w:val="auto"/>
        </w:rPr>
        <w:t>Other Relevant Tax Information</w:t>
      </w:r>
      <w:r>
        <w:rPr>
          <w:rFonts w:ascii="Arial" w:cs="Arial" w:eastAsia="Arial" w:hAnsi="Arial"/>
          <w:sz w:val="22"/>
          <w:szCs w:val="22"/>
          <w:color w:val="auto"/>
        </w:rPr>
        <w:t>. Each Member shall provide to the Company upon request tax basis information about Assets contributed by it to the Company and such other tax information as reasonably requested by the Company and necessary for it to prepare its financial reports or any tax returns and such other information and/or tax forms as the Company reasonably requests.</w:t>
      </w:r>
    </w:p>
    <w:p>
      <w:pPr>
        <w:spacing w:after="0" w:line="184" w:lineRule="exact"/>
        <w:rPr>
          <w:rFonts w:ascii="Arial" w:cs="Arial" w:eastAsia="Arial" w:hAnsi="Arial"/>
          <w:sz w:val="22"/>
          <w:szCs w:val="22"/>
          <w:color w:val="auto"/>
        </w:rPr>
      </w:pPr>
    </w:p>
    <w:p>
      <w:pPr>
        <w:jc w:val="both"/>
        <w:ind w:firstLine="1735"/>
        <w:spacing w:after="0" w:line="282" w:lineRule="auto"/>
        <w:tabs>
          <w:tab w:leader="none" w:pos="2615"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No Right to Member Tax Returns</w:t>
      </w:r>
      <w:r>
        <w:rPr>
          <w:rFonts w:ascii="Arial" w:cs="Arial" w:eastAsia="Arial" w:hAnsi="Arial"/>
          <w:sz w:val="19"/>
          <w:szCs w:val="19"/>
          <w:i w:val="1"/>
          <w:iCs w:val="1"/>
          <w:color w:val="auto"/>
        </w:rPr>
        <w:t>.</w:t>
      </w:r>
      <w:r>
        <w:rPr>
          <w:rFonts w:ascii="Arial" w:cs="Arial" w:eastAsia="Arial" w:hAnsi="Arial"/>
          <w:sz w:val="19"/>
          <w:szCs w:val="19"/>
          <w:color w:val="auto"/>
        </w:rPr>
        <w:t xml:space="preserve"> Notwithstanding anything to the contrary in this Agreement or any right to information under the Act, with respect to the financial statements or tax returns of a Member or its Affiliates, none of the Company, the other Members, such other Member’s Affiliates or any of their respective representatives, will be entitled to review such financial statements or tax returns for any purpose, including in connection with any proceeding or other dispute (whether involving the Company, between the Members, or involving any other Persons).</w:t>
      </w:r>
    </w:p>
    <w:p>
      <w:pPr>
        <w:spacing w:after="0" w:line="14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Tax Elections</w:t>
      </w:r>
      <w:r>
        <w:rPr>
          <w:rFonts w:ascii="Arial" w:cs="Arial" w:eastAsia="Arial" w:hAnsi="Arial"/>
          <w:sz w:val="21"/>
          <w:szCs w:val="21"/>
          <w:color w:val="auto"/>
        </w:rPr>
        <w:t>. The Company shall have in effect (and shall cause each Subsidiary that is classified as a partnership for U.S. federal income tax purposes to have in effect) an election pursuant to Code section 754 (and any similar provisions of applicable U.S. state or local law) for the Company for the Fiscal Year that includes the date of the IPO and each Fiscal Year in which a sale or exchange (whether partial or complete) occurs. The Company shall determine whether to make any other available election pursuant to the Code or Regulations that is not otherwise expressly provided for in this Agreement, and the Members hereby consent to all such elections.</w:t>
      </w:r>
    </w:p>
    <w:p>
      <w:pPr>
        <w:spacing w:after="0" w:line="17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Company Tax Returns</w:t>
      </w:r>
      <w:r>
        <w:rPr>
          <w:rFonts w:ascii="Arial" w:cs="Arial" w:eastAsia="Arial" w:hAnsi="Arial"/>
          <w:sz w:val="22"/>
          <w:szCs w:val="22"/>
          <w:color w:val="auto"/>
        </w:rPr>
        <w:t>. The Company shall use reasonable best efforts to cause to be prepared and timely filed (taking into account available extensions) all federal, state, and local, and non-U.S. tax returns of the Company for each year for which such returns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3" w:name="page204"/>
    <w:bookmarkEnd w:id="203"/>
    <w:p>
      <w:pPr>
        <w:spacing w:after="0" w:line="250" w:lineRule="auto"/>
        <w:rPr>
          <w:sz w:val="20"/>
          <w:szCs w:val="20"/>
          <w:color w:val="auto"/>
        </w:rPr>
      </w:pPr>
      <w:r>
        <w:rPr>
          <w:rFonts w:ascii="Arial" w:cs="Arial" w:eastAsia="Arial" w:hAnsi="Arial"/>
          <w:sz w:val="22"/>
          <w:szCs w:val="22"/>
          <w:color w:val="auto"/>
        </w:rPr>
        <w:t>required to be filed and shall determine the appropriate treatment of each Tax Item of the Company and make all other determinations with respect to such tax returns.</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8"/>
          <w:szCs w:val="18"/>
          <w:u w:val="single" w:color="auto"/>
          <w:color w:val="auto"/>
        </w:rPr>
        <w:t>Tax Representative</w:t>
      </w:r>
      <w:r>
        <w:rPr>
          <w:rFonts w:ascii="Arial" w:cs="Arial" w:eastAsia="Arial" w:hAnsi="Arial"/>
          <w:sz w:val="18"/>
          <w:szCs w:val="18"/>
          <w:color w:val="auto"/>
        </w:rPr>
        <w:t>.</w:t>
      </w:r>
    </w:p>
    <w:p>
      <w:pPr>
        <w:spacing w:after="0" w:line="206" w:lineRule="exact"/>
        <w:rPr>
          <w:sz w:val="20"/>
          <w:szCs w:val="20"/>
          <w:color w:val="auto"/>
        </w:rPr>
      </w:pPr>
    </w:p>
    <w:p>
      <w:pPr>
        <w:ind w:left="2620" w:hanging="885"/>
        <w:spacing w:after="0"/>
        <w:tabs>
          <w:tab w:leader="none" w:pos="262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Appointment and Replacement of Tax Representative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49" w:lineRule="auto"/>
        <w:tabs>
          <w:tab w:leader="none" w:pos="3444" w:val="left"/>
        </w:tabs>
        <w:numPr>
          <w:ilvl w:val="1"/>
          <w:numId w:val="125"/>
        </w:numPr>
        <w:rPr>
          <w:rFonts w:ascii="Arial" w:cs="Arial" w:eastAsia="Arial" w:hAnsi="Arial"/>
          <w:sz w:val="21"/>
          <w:szCs w:val="21"/>
          <w:color w:val="auto"/>
        </w:rPr>
      </w:pPr>
      <w:r>
        <w:rPr>
          <w:rFonts w:ascii="Arial" w:cs="Arial" w:eastAsia="Arial" w:hAnsi="Arial"/>
          <w:sz w:val="21"/>
          <w:szCs w:val="21"/>
          <w:u w:val="single" w:color="auto"/>
          <w:color w:val="auto"/>
        </w:rPr>
        <w:t>Tax Representative</w:t>
      </w:r>
      <w:r>
        <w:rPr>
          <w:rFonts w:ascii="Arial" w:cs="Arial" w:eastAsia="Arial" w:hAnsi="Arial"/>
          <w:sz w:val="21"/>
          <w:szCs w:val="21"/>
          <w:color w:val="auto"/>
        </w:rPr>
        <w:t>. The Company shall act as the Tax Representative, but the Company may designate another Person to act as the Tax Representative and may remove, replace, or revoke the designation of that Person, or require that Person to resign. For taxable years beginning on or before December 31, 2017, and for any jurisdiction with respect to which the Company cannot serve as the Tax Representative, however, the Managing Member shall act as the Tax Representative, unless otherwise determined by the Company.</w:t>
      </w:r>
    </w:p>
    <w:p>
      <w:pPr>
        <w:spacing w:after="0" w:line="178" w:lineRule="exact"/>
        <w:rPr>
          <w:rFonts w:ascii="Arial" w:cs="Arial" w:eastAsia="Arial" w:hAnsi="Arial"/>
          <w:sz w:val="21"/>
          <w:szCs w:val="21"/>
          <w:color w:val="auto"/>
        </w:rPr>
      </w:pPr>
    </w:p>
    <w:p>
      <w:pPr>
        <w:jc w:val="both"/>
        <w:ind w:firstLine="2600"/>
        <w:spacing w:after="0"/>
        <w:tabs>
          <w:tab w:leader="none" w:pos="3504"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Designated Individual</w:t>
      </w:r>
      <w:r>
        <w:rPr>
          <w:rFonts w:ascii="Arial" w:cs="Arial" w:eastAsia="Arial" w:hAnsi="Arial"/>
          <w:sz w:val="22"/>
          <w:szCs w:val="22"/>
          <w:color w:val="auto"/>
        </w:rPr>
        <w:t>. If the Tax Representative is not an individual, the Company shall appoint a “designated individual” for each taxable year (as described in Treas. Reg. § 301.6223-1(b)(3)(ii)) (a “</w:t>
      </w:r>
      <w:r>
        <w:rPr>
          <w:rFonts w:ascii="Arial" w:cs="Arial" w:eastAsia="Arial" w:hAnsi="Arial"/>
          <w:sz w:val="22"/>
          <w:szCs w:val="22"/>
          <w:u w:val="single" w:color="auto"/>
          <w:color w:val="auto"/>
        </w:rPr>
        <w:t>Designated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Individual</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2600"/>
        <w:spacing w:after="0" w:line="236" w:lineRule="auto"/>
        <w:tabs>
          <w:tab w:leader="none" w:pos="3564"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Approval by Members</w:t>
      </w:r>
      <w:r>
        <w:rPr>
          <w:rFonts w:ascii="Arial" w:cs="Arial" w:eastAsia="Arial" w:hAnsi="Arial"/>
          <w:sz w:val="22"/>
          <w:szCs w:val="22"/>
          <w:color w:val="auto"/>
        </w:rPr>
        <w:t xml:space="preserve">. Each Member agrees to execute, certify, acknowledge, deliver, swear to, file, and record at the appropriate public offices such documents as may be deemed necessary or appropriate to evidence the appointments described in </w:t>
      </w:r>
      <w:r>
        <w:rPr>
          <w:rFonts w:ascii="Arial" w:cs="Arial" w:eastAsia="Arial" w:hAnsi="Arial"/>
          <w:sz w:val="22"/>
          <w:szCs w:val="22"/>
          <w:u w:val="single" w:color="auto"/>
          <w:color w:val="auto"/>
        </w:rPr>
        <w:t>Section 7.4(a)(i)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7.4(a)(ii)</w:t>
      </w:r>
      <w:r>
        <w:rPr>
          <w:rFonts w:ascii="Arial" w:cs="Arial" w:eastAsia="Arial" w:hAnsi="Arial"/>
          <w:sz w:val="22"/>
          <w:szCs w:val="22"/>
          <w:color w:val="auto"/>
        </w:rPr>
        <w:t>, including statements required to be filed with the tax returns of the Company in order to effect the designation of the Tax Representative or Designated Individual (and any successor).</w:t>
      </w:r>
    </w:p>
    <w:p>
      <w:pPr>
        <w:spacing w:after="0" w:line="187" w:lineRule="exact"/>
        <w:rPr>
          <w:rFonts w:ascii="Arial" w:cs="Arial" w:eastAsia="Arial" w:hAnsi="Arial"/>
          <w:sz w:val="22"/>
          <w:szCs w:val="22"/>
          <w:color w:val="auto"/>
        </w:rPr>
      </w:pPr>
    </w:p>
    <w:p>
      <w:pPr>
        <w:jc w:val="both"/>
        <w:ind w:firstLine="1735"/>
        <w:spacing w:after="0" w:line="249" w:lineRule="auto"/>
        <w:tabs>
          <w:tab w:leader="none" w:pos="2627"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Authority of the Tax Representative; Delegation of Authority</w:t>
      </w:r>
      <w:r>
        <w:rPr>
          <w:rFonts w:ascii="Arial" w:cs="Arial" w:eastAsia="Arial" w:hAnsi="Arial"/>
          <w:sz w:val="21"/>
          <w:szCs w:val="21"/>
          <w:color w:val="auto"/>
        </w:rPr>
        <w:t xml:space="preserve">. The Tax Representative shall have all of the rights, duties, powers, and obligations provided for under the Code, Regulations, or other applicable guidance; </w:t>
      </w:r>
      <w:r>
        <w:rPr>
          <w:rFonts w:ascii="Arial" w:cs="Arial" w:eastAsia="Arial" w:hAnsi="Arial"/>
          <w:sz w:val="21"/>
          <w:szCs w:val="21"/>
          <w:i w:val="1"/>
          <w:iCs w:val="1"/>
          <w:color w:val="auto"/>
        </w:rPr>
        <w:t>provided</w:t>
      </w:r>
      <w:r>
        <w:rPr>
          <w:rFonts w:ascii="Arial" w:cs="Arial" w:eastAsia="Arial" w:hAnsi="Arial"/>
          <w:sz w:val="21"/>
          <w:szCs w:val="21"/>
          <w:color w:val="auto"/>
        </w:rPr>
        <w:t>, that, that if a Person other than the Company is the Tax Representative, the Tax Representative shall in all cases act</w:t>
      </w:r>
      <w:r>
        <w:rPr>
          <w:rFonts w:ascii="Arial" w:cs="Arial" w:eastAsia="Arial" w:hAnsi="Arial"/>
          <w:sz w:val="21"/>
          <w:szCs w:val="21"/>
          <w:i w:val="1"/>
          <w:iCs w:val="1"/>
          <w:color w:val="auto"/>
        </w:rPr>
        <w:t xml:space="preserve"> </w:t>
      </w:r>
      <w:r>
        <w:rPr>
          <w:rFonts w:ascii="Arial" w:cs="Arial" w:eastAsia="Arial" w:hAnsi="Arial"/>
          <w:sz w:val="21"/>
          <w:szCs w:val="21"/>
          <w:color w:val="auto"/>
        </w:rPr>
        <w:t>solely at the direction of the Company. The Tax Representative may delegate its authority under this Section 7.4(b) to a Designated Individual who shall in all cases act solely at the direction of the Company.</w:t>
      </w:r>
    </w:p>
    <w:p>
      <w:pPr>
        <w:spacing w:after="0" w:line="178" w:lineRule="exact"/>
        <w:rPr>
          <w:rFonts w:ascii="Arial" w:cs="Arial" w:eastAsia="Arial" w:hAnsi="Arial"/>
          <w:sz w:val="21"/>
          <w:szCs w:val="21"/>
          <w:color w:val="auto"/>
        </w:rPr>
      </w:pPr>
    </w:p>
    <w:p>
      <w:pPr>
        <w:jc w:val="both"/>
        <w:ind w:firstLine="1735"/>
        <w:spacing w:after="0" w:line="282" w:lineRule="auto"/>
        <w:tabs>
          <w:tab w:leader="none" w:pos="261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Costs and Indemnification of Tax Representative and Designated Individual</w:t>
      </w:r>
      <w:r>
        <w:rPr>
          <w:rFonts w:ascii="Arial" w:cs="Arial" w:eastAsia="Arial" w:hAnsi="Arial"/>
          <w:sz w:val="19"/>
          <w:szCs w:val="19"/>
          <w:color w:val="auto"/>
        </w:rPr>
        <w:t xml:space="preserve">. Without duplication of the provisions of </w:t>
      </w:r>
      <w:r>
        <w:rPr>
          <w:rFonts w:ascii="Arial" w:cs="Arial" w:eastAsia="Arial" w:hAnsi="Arial"/>
          <w:sz w:val="19"/>
          <w:szCs w:val="19"/>
          <w:u w:val="single" w:color="auto"/>
          <w:color w:val="auto"/>
        </w:rPr>
        <w:t>Section 4.3(b)</w:t>
      </w:r>
      <w:r>
        <w:rPr>
          <w:rFonts w:ascii="Arial" w:cs="Arial" w:eastAsia="Arial" w:hAnsi="Arial"/>
          <w:sz w:val="19"/>
          <w:szCs w:val="19"/>
          <w:color w:val="auto"/>
        </w:rPr>
        <w:t>, the Company shall pay, or to the extent the Tax Representative or Designated Individual pays, indemnify and reimburse, to the fullest extent permitted by Law, the Tax Representative or Designated Individual for all costs and expenses, including legal and accounting fees (as such fees are incurred) and any claims incurred in connection with any tax audit or judicial review proceeding with respect to the tax liability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6039485</wp:posOffset>
            </wp:positionH>
            <wp:positionV relativeFrom="paragraph">
              <wp:posOffset>-1118235</wp:posOffset>
            </wp:positionV>
            <wp:extent cx="8026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12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Tax Audits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9" w:lineRule="auto"/>
        <w:tabs>
          <w:tab w:leader="none" w:pos="2615"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Determinations with Respect to Audits and Other Tax Controversies</w:t>
      </w:r>
      <w:r>
        <w:rPr>
          <w:rFonts w:ascii="Arial" w:cs="Arial" w:eastAsia="Arial" w:hAnsi="Arial"/>
          <w:sz w:val="21"/>
          <w:szCs w:val="21"/>
          <w:color w:val="auto"/>
        </w:rPr>
        <w:t>. Except to the extent otherwise required by applicable Tax Law (including Code section 6241(11)), the Company (acting directly and/or through the Tax Representative or Designated Individual) shall have the sole authority to make all decisions and determinations with respect to, and shall have sole authority with respect to the conduct of, tax audits or other tax controversies with respect to the Company, and any action taken by the Company (acting directly and/or through the Tax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4" w:name="page205"/>
    <w:bookmarkEnd w:id="204"/>
    <w:p>
      <w:pPr>
        <w:spacing w:after="0" w:line="250" w:lineRule="auto"/>
        <w:rPr>
          <w:sz w:val="20"/>
          <w:szCs w:val="20"/>
          <w:color w:val="auto"/>
        </w:rPr>
      </w:pPr>
      <w:r>
        <w:rPr>
          <w:rFonts w:ascii="Arial" w:cs="Arial" w:eastAsia="Arial" w:hAnsi="Arial"/>
          <w:sz w:val="22"/>
          <w:szCs w:val="22"/>
          <w:color w:val="auto"/>
        </w:rPr>
        <w:t>Representative or Designated Individual) in connection with any such audits or controversies shall be binding upon the Company and the Members and former Members.</w:t>
      </w:r>
    </w:p>
    <w:p>
      <w:pPr>
        <w:spacing w:after="0" w:line="175" w:lineRule="exact"/>
        <w:rPr>
          <w:sz w:val="20"/>
          <w:szCs w:val="20"/>
          <w:color w:val="auto"/>
        </w:rPr>
      </w:pPr>
    </w:p>
    <w:p>
      <w:pPr>
        <w:jc w:val="both"/>
        <w:ind w:firstLine="1735"/>
        <w:spacing w:after="0" w:line="235" w:lineRule="auto"/>
        <w:tabs>
          <w:tab w:leader="none" w:pos="262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Determinations with Respect to Elections</w:t>
      </w:r>
      <w:r>
        <w:rPr>
          <w:rFonts w:ascii="Arial" w:cs="Arial" w:eastAsia="Arial" w:hAnsi="Arial"/>
          <w:sz w:val="22"/>
          <w:szCs w:val="22"/>
          <w:color w:val="auto"/>
        </w:rPr>
        <w:t>. The Company may make the election “out” under Code section 6221(b) if such an election is available, unless otherwise determined by the Company. If the Company does not make the election described in the preceding sentence, the Company (acting directly and/or through the Tax Representative or Designated Individual) shall have the sole authority to determine whether to cause the Company to make a Push Out Election with respect to any adjustment that could result in an imputed underpayment (within the meaning of Code section 6225) (an “</w:t>
      </w:r>
      <w:r>
        <w:rPr>
          <w:rFonts w:ascii="Arial" w:cs="Arial" w:eastAsia="Arial" w:hAnsi="Arial"/>
          <w:sz w:val="22"/>
          <w:szCs w:val="22"/>
          <w:u w:val="single" w:color="auto"/>
          <w:color w:val="auto"/>
        </w:rPr>
        <w:t>Imputed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Underpayment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Responsibility for Payment of Tax; Former Members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38" w:lineRule="auto"/>
        <w:tabs>
          <w:tab w:leader="none" w:pos="3444"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Imputed Underpayment Share</w:t>
      </w:r>
      <w:r>
        <w:rPr>
          <w:rFonts w:ascii="Arial" w:cs="Arial" w:eastAsia="Arial" w:hAnsi="Arial"/>
          <w:sz w:val="22"/>
          <w:szCs w:val="22"/>
          <w:color w:val="auto"/>
        </w:rPr>
        <w:t>. To the extent the Company is liable for any Imputed Underpayment, the Company shall determine the liability of the Members for a share of such Imputed Underpayment, taking into account the Members’ Units and the status and actions of the Members (including those described in Code section 6225(c)) (such share, an “</w:t>
      </w:r>
      <w:r>
        <w:rPr>
          <w:rFonts w:ascii="Arial" w:cs="Arial" w:eastAsia="Arial" w:hAnsi="Arial"/>
          <w:sz w:val="22"/>
          <w:szCs w:val="22"/>
          <w:u w:val="single" w:color="auto"/>
          <w:color w:val="auto"/>
        </w:rPr>
        <w:t>Imputed Underpayment Share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2600"/>
        <w:spacing w:after="0" w:line="271" w:lineRule="auto"/>
        <w:tabs>
          <w:tab w:leader="none" w:pos="3504"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Payment of Imputed Underpayment Share</w:t>
      </w:r>
      <w:r>
        <w:rPr>
          <w:rFonts w:ascii="Arial" w:cs="Arial" w:eastAsia="Arial" w:hAnsi="Arial"/>
          <w:sz w:val="19"/>
          <w:szCs w:val="19"/>
          <w:color w:val="auto"/>
        </w:rPr>
        <w:t xml:space="preserve">. The Company may (A) require a Member who is liable for an Imputed Underpayment Share to pay the amount of its Imputed Underpayment Share to the Company within ten (10) days after the date on which the Company notifies the Member (and in the manner required by the notice) and/or (B) reduce future distributions to the Member, such that the amount determined under clause (A) and (B) equals the Member’s Imputed Underpayment Share. If a Member fails to pay any amount that it is required to pay the Company in respect of an Imputed Underpayment Share within such ten (10) day period, that amount shall be treated as a loan to the Member, bearing interest at ten percent (10%) annually (which interest shall increase the Member’s Imputed Underpayment Share). Such loan shall be repayable upon demand by the Company. If the Member fails to repay the loan upon demand, the full balance of the loan shall be immediately due (including accrued but unpaid interest) and the Company shall have the right to collect the balance in any manner it determines, including by reducing future distributions to that Member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Member may have any Imputed Underpayment Share treated as a loan to the extent it would violate Section 402 of the Sarbanes-Oxley Act of 2002. Any Member not permitted to treat its Imputed Underpayment Share as a loan due to the provisions of the previous sentence shall pay any Imputed Underpayment Share within ten (10) days after the date of the notice referred to in the first sentence of this </w:t>
      </w:r>
      <w:r>
        <w:rPr>
          <w:rFonts w:ascii="Arial" w:cs="Arial" w:eastAsia="Arial" w:hAnsi="Arial"/>
          <w:sz w:val="19"/>
          <w:szCs w:val="19"/>
          <w:u w:val="single" w:color="auto"/>
          <w:color w:val="auto"/>
        </w:rPr>
        <w:t>Section 7.5(c)(ii)</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No Independent Actions or Inconsistent Positions</w:t>
      </w:r>
      <w:r>
        <w:rPr>
          <w:rFonts w:ascii="Arial" w:cs="Arial" w:eastAsia="Arial" w:hAnsi="Arial"/>
          <w:sz w:val="22"/>
          <w:szCs w:val="22"/>
          <w:color w:val="auto"/>
        </w:rPr>
        <w:t xml:space="preserve">. Except as required by Law or previously authorized in writing by the Company (which authorization may be withheld in the sole discretion of the Company) no Member shall (i) independently act with respect to tax matters (including, but not limited to, audits, litigation and controversies) affecting or arising from the Company, or (ii) treat any Company item inconsistently on such Member’s income tax return with the treatment of the item on the Company’s tax return and/or the Schedule K-1 (or other written information statement) provided to such Member. Solely to the extent required by Law,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shall not apply with respect to any “special enforcement matter” described in Code section 6241(11).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5" w:name="page206"/>
    <w:bookmarkEnd w:id="205"/>
    <w:p>
      <w:pPr>
        <w:jc w:val="both"/>
        <w:ind w:firstLine="864"/>
        <w:spacing w:after="0" w:line="238"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United States Person</w:t>
      </w:r>
      <w:r>
        <w:rPr>
          <w:rFonts w:ascii="Arial" w:cs="Arial" w:eastAsia="Arial" w:hAnsi="Arial"/>
          <w:sz w:val="22"/>
          <w:szCs w:val="22"/>
          <w:color w:val="auto"/>
        </w:rPr>
        <w:t>. Each Member represents and covenants that, for U.S. federal income tax purposes, it is and will at all times remain a “United States Person,” within the meaning of Code section 7701, or is a disregarded entity the assets of which are treated as owned by a United States Person under Treas. Reg. §§ 301.7701-1, 301.7701-2, and 301.7701-3.</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State, Local, and Non-U.S. Tax Law</w:t>
      </w:r>
      <w:r>
        <w:rPr>
          <w:rFonts w:ascii="Arial" w:cs="Arial" w:eastAsia="Arial" w:hAnsi="Arial"/>
          <w:sz w:val="22"/>
          <w:szCs w:val="22"/>
          <w:color w:val="auto"/>
        </w:rPr>
        <w:t xml:space="preserve">. The provisions of this Agreement with respect to U.S. federal income tax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with respect to any similar provisions of state, local, or non-U.S. tax law as determined by the Company.</w:t>
      </w:r>
    </w:p>
    <w:p>
      <w:pPr>
        <w:spacing w:after="0" w:line="18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the term “Member” shall include a former Member to the extent determined by the Company. The rights and obligations of each Member and former Member under this Article VII shall survive the Transfer by such Member of its Units (or withdrawal by a Member or redemption of a Member’s Units) and the dissolution of the Company until ninety (90) days after the applicable statute of limitations.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7.4,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7.5</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7.9</w:t>
      </w:r>
      <w:r>
        <w:rPr>
          <w:rFonts w:ascii="Arial" w:cs="Arial" w:eastAsia="Arial" w:hAnsi="Arial"/>
          <w:sz w:val="22"/>
          <w:szCs w:val="22"/>
          <w:color w:val="auto"/>
        </w:rPr>
        <w:t xml:space="preserve"> shall not be amended without the prior written consent of any Member or former Member that would be adversely impacted by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6140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6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Taxes Other Than U.S. Federal Income Taxes</w:t>
      </w:r>
      <w:r>
        <w:rPr>
          <w:rFonts w:ascii="Arial" w:cs="Arial" w:eastAsia="Arial" w:hAnsi="Arial"/>
          <w:sz w:val="22"/>
          <w:szCs w:val="22"/>
          <w:color w:val="auto"/>
        </w:rPr>
        <w:t xml:space="preserve">. The provisions of this Agreement with respect to U.S. federal income tax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with respect to any similar provisions of state, local, or non-U.S. tax law as determined by the Company.</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Tax Classification</w:t>
      </w:r>
      <w:r>
        <w:rPr>
          <w:rFonts w:ascii="Arial" w:cs="Arial" w:eastAsia="Arial" w:hAnsi="Arial"/>
          <w:sz w:val="22"/>
          <w:szCs w:val="22"/>
          <w:color w:val="auto"/>
        </w:rPr>
        <w:t>. The parties intend that the Company shall be classified as a partnership for United States federal, state, and local tax purposes. The parties intend that the Subsidiaries of the Company shall be classified either as disregarded entities or as partnerships for United States federal, state, and local tax purposes. No Person shall take any action inconsistent with such classifications.</w:t>
      </w:r>
    </w:p>
    <w:p>
      <w:pPr>
        <w:spacing w:after="0" w:line="18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Accounting and Fiscal Year</w:t>
      </w:r>
      <w:r>
        <w:rPr>
          <w:rFonts w:ascii="Arial" w:cs="Arial" w:eastAsia="Arial" w:hAnsi="Arial"/>
          <w:sz w:val="22"/>
          <w:szCs w:val="22"/>
          <w:color w:val="auto"/>
        </w:rPr>
        <w:t>. Unless otherwise determined by the Company or required by Code section 706, the fiscal year of the Company (the “</w:t>
      </w:r>
      <w:r>
        <w:rPr>
          <w:rFonts w:ascii="Arial" w:cs="Arial" w:eastAsia="Arial" w:hAnsi="Arial"/>
          <w:sz w:val="22"/>
          <w:szCs w:val="22"/>
          <w:u w:val="single" w:color="auto"/>
          <w:color w:val="auto"/>
        </w:rPr>
        <w:t>Fiscal Year</w:t>
      </w:r>
      <w:r>
        <w:rPr>
          <w:rFonts w:ascii="Arial" w:cs="Arial" w:eastAsia="Arial" w:hAnsi="Arial"/>
          <w:sz w:val="22"/>
          <w:szCs w:val="22"/>
          <w:color w:val="auto"/>
        </w:rPr>
        <w:t>”) shall be June 30, 2020 to June 30, 2021, July 1, 2021 to December 31, 2021 and then for each subsequent fiscal year, shall be the period commencing on January 1 of each calendar year and ending on December 31 of the same calendar year, or, in the case of the first and last Fiscal Years of the Company, the fraction thereof commencing on the date of this Agreement or ending on the date on which the winding-up of the Company is completed, as the case may be.</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u w:val="single" w:color="auto"/>
          <w:color w:val="auto"/>
        </w:rPr>
        <w:t>Capital Accounts</w:t>
      </w:r>
      <w:r>
        <w:rPr>
          <w:rFonts w:ascii="Arial" w:cs="Arial" w:eastAsia="Arial" w:hAnsi="Arial"/>
          <w:sz w:val="22"/>
          <w:szCs w:val="22"/>
          <w:color w:val="auto"/>
        </w:rPr>
        <w:t>. The Company or Managing Member shall establish and maintain a capital account for each Member in accordance with Treas. Reg. § 1.704-1(b)(2)(iv) (each, a “</w:t>
      </w:r>
      <w:r>
        <w:rPr>
          <w:rFonts w:ascii="Arial" w:cs="Arial" w:eastAsia="Arial" w:hAnsi="Arial"/>
          <w:sz w:val="22"/>
          <w:szCs w:val="22"/>
          <w:u w:val="single" w:color="auto"/>
          <w:color w:val="auto"/>
        </w:rPr>
        <w:t>Capital Account</w:t>
      </w:r>
      <w:r>
        <w:rPr>
          <w:rFonts w:ascii="Arial" w:cs="Arial" w:eastAsia="Arial" w:hAnsi="Arial"/>
          <w:sz w:val="22"/>
          <w:szCs w:val="22"/>
          <w:color w:val="auto"/>
        </w:rPr>
        <w:t xml:space="preserve">”). The Company may maintain Capital Account sub-accounts for different classes of Units, and any provisions of this Agreement pertaining to Capital Account maintenance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to those sub-accounts.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 TRANSFERS AND MEMBER WITHDRAWALS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Transfer Generally Prohibited</w:t>
      </w:r>
      <w:r>
        <w:rPr>
          <w:rFonts w:ascii="Arial" w:cs="Arial" w:eastAsia="Arial" w:hAnsi="Arial"/>
          <w:sz w:val="22"/>
          <w:szCs w:val="22"/>
          <w:color w:val="auto"/>
        </w:rPr>
        <w:t xml:space="preserve">. No Units shall be Transferred, in whole or in part, except in accordance with the terms and conditions set forth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6" w:name="page207"/>
    <w:bookmarkEnd w:id="206"/>
    <w:p>
      <w:pPr>
        <w:jc w:val="both"/>
        <w:spacing w:after="0" w:line="238" w:lineRule="auto"/>
        <w:rPr>
          <w:sz w:val="20"/>
          <w:szCs w:val="20"/>
          <w:color w:val="auto"/>
        </w:rPr>
      </w:pPr>
      <w:r>
        <w:rPr>
          <w:rFonts w:ascii="Arial" w:cs="Arial" w:eastAsia="Arial" w:hAnsi="Arial"/>
          <w:sz w:val="22"/>
          <w:szCs w:val="22"/>
          <w:color w:val="auto"/>
        </w:rPr>
        <w:t xml:space="preserve">Transfer or purported Transfer of a Unit not made in accordance with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null and void </w:t>
      </w:r>
      <w:r>
        <w:rPr>
          <w:rFonts w:ascii="Arial" w:cs="Arial" w:eastAsia="Arial" w:hAnsi="Arial"/>
          <w:sz w:val="22"/>
          <w:szCs w:val="22"/>
          <w:i w:val="1"/>
          <w:iCs w:val="1"/>
          <w:color w:val="auto"/>
        </w:rPr>
        <w:t>ab</w:t>
      </w:r>
      <w:r>
        <w:rPr>
          <w:rFonts w:ascii="Arial" w:cs="Arial" w:eastAsia="Arial" w:hAnsi="Arial"/>
          <w:sz w:val="22"/>
          <w:szCs w:val="22"/>
          <w:color w:val="auto"/>
        </w:rPr>
        <w:t xml:space="preserve"> </w:t>
      </w:r>
      <w:r>
        <w:rPr>
          <w:rFonts w:ascii="Arial" w:cs="Arial" w:eastAsia="Arial" w:hAnsi="Arial"/>
          <w:sz w:val="22"/>
          <w:szCs w:val="22"/>
          <w:i w:val="1"/>
          <w:iCs w:val="1"/>
          <w:color w:val="auto"/>
        </w:rPr>
        <w:t>initio</w:t>
      </w:r>
      <w:r>
        <w:rPr>
          <w:rFonts w:ascii="Arial" w:cs="Arial" w:eastAsia="Arial" w:hAnsi="Arial"/>
          <w:sz w:val="22"/>
          <w:szCs w:val="22"/>
          <w:color w:val="auto"/>
        </w:rPr>
        <w:t>. Membership Interests shall not be subject to the claims of any creditor, to any spouse for alimony or support, or to legal</w:t>
      </w:r>
      <w:r>
        <w:rPr>
          <w:rFonts w:ascii="Arial" w:cs="Arial" w:eastAsia="Arial" w:hAnsi="Arial"/>
          <w:sz w:val="22"/>
          <w:szCs w:val="22"/>
          <w:i w:val="1"/>
          <w:iCs w:val="1"/>
          <w:color w:val="auto"/>
        </w:rPr>
        <w:t xml:space="preserve"> </w:t>
      </w:r>
      <w:r>
        <w:rPr>
          <w:rFonts w:ascii="Arial" w:cs="Arial" w:eastAsia="Arial" w:hAnsi="Arial"/>
          <w:sz w:val="22"/>
          <w:szCs w:val="22"/>
          <w:color w:val="auto"/>
        </w:rPr>
        <w:t>process, and may not be voluntarily or involuntarily alienated or encumbered except as may be specifically provided for in this Agreement.</w:t>
      </w:r>
    </w:p>
    <w:p>
      <w:pPr>
        <w:spacing w:after="0" w:line="18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Generally Applicable to All Transfers</w:t>
      </w:r>
      <w:r>
        <w:rPr>
          <w:rFonts w:ascii="Arial" w:cs="Arial" w:eastAsia="Arial" w:hAnsi="Arial"/>
          <w:sz w:val="22"/>
          <w:szCs w:val="22"/>
          <w:color w:val="auto"/>
        </w:rPr>
        <w:t>. All Transfers are subject to the satisfaction of the following conditions:</w:t>
      </w:r>
    </w:p>
    <w:p>
      <w:pPr>
        <w:spacing w:after="0" w:line="175" w:lineRule="exact"/>
        <w:rPr>
          <w:sz w:val="20"/>
          <w:szCs w:val="20"/>
          <w:color w:val="auto"/>
        </w:rPr>
      </w:pPr>
    </w:p>
    <w:p>
      <w:pPr>
        <w:ind w:left="2620" w:hanging="885"/>
        <w:spacing w:after="0"/>
        <w:tabs>
          <w:tab w:leader="none" w:pos="262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Transfers by Members Other than the Managing Member:</w:t>
      </w:r>
    </w:p>
    <w:p>
      <w:pPr>
        <w:spacing w:after="0" w:line="206" w:lineRule="exact"/>
        <w:rPr>
          <w:rFonts w:ascii="Arial" w:cs="Arial" w:eastAsia="Arial" w:hAnsi="Arial"/>
          <w:sz w:val="22"/>
          <w:szCs w:val="22"/>
          <w:color w:val="auto"/>
        </w:rPr>
      </w:pPr>
    </w:p>
    <w:p>
      <w:pPr>
        <w:jc w:val="both"/>
        <w:ind w:firstLine="2600"/>
        <w:spacing w:after="0"/>
        <w:tabs>
          <w:tab w:leader="none" w:pos="3444"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Consent of Managing Member</w:t>
      </w:r>
      <w:r>
        <w:rPr>
          <w:rFonts w:ascii="Arial" w:cs="Arial" w:eastAsia="Arial" w:hAnsi="Arial"/>
          <w:sz w:val="22"/>
          <w:szCs w:val="22"/>
          <w:color w:val="auto"/>
        </w:rPr>
        <w:t>. No Member that is not the Managing Member shall Transfer any portion of its Membership Interest to any transferee without the consent of the Managing Member unless such Transfer is pursuant to a Related Party Transfer.</w:t>
      </w:r>
    </w:p>
    <w:p>
      <w:pPr>
        <w:spacing w:after="0" w:line="186" w:lineRule="exact"/>
        <w:rPr>
          <w:rFonts w:ascii="Arial" w:cs="Arial" w:eastAsia="Arial" w:hAnsi="Arial"/>
          <w:sz w:val="22"/>
          <w:szCs w:val="22"/>
          <w:color w:val="auto"/>
        </w:rPr>
      </w:pPr>
    </w:p>
    <w:p>
      <w:pPr>
        <w:jc w:val="both"/>
        <w:ind w:firstLine="2600"/>
        <w:spacing w:after="0" w:line="246" w:lineRule="auto"/>
        <w:tabs>
          <w:tab w:leader="none" w:pos="3504"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Assumption of Obligations</w:t>
      </w:r>
      <w:r>
        <w:rPr>
          <w:rFonts w:ascii="Arial" w:cs="Arial" w:eastAsia="Arial" w:hAnsi="Arial"/>
          <w:sz w:val="21"/>
          <w:szCs w:val="21"/>
          <w:color w:val="auto"/>
        </w:rPr>
        <w:t>. The transferee shall assume, by operation of Law or express agreement, all of the obligations of the transferor Member under this Agreement with respect to such Transferred Membership Interest, and no such Transfer (other than pursuant to a statutory merger or consolidation pursuant to which all obligations and liabilities of the transferor Member are assumed by a successor corporation by operation of Law) shall relieve the transferor Member of its obligations under this Agreement without the approval of the Managing Member. Any transferee, whether or not admitted as a Substituted Member, shall take subject to the obligations of the transferor Member under this Agreement. Unless admitted as a Substituted Member, no transferee, whether by a voluntary Transfer, by operation of Law or otherwise, shall have any rights under this Agreement.</w:t>
      </w:r>
    </w:p>
    <w:p>
      <w:pPr>
        <w:spacing w:after="0" w:line="179" w:lineRule="exact"/>
        <w:rPr>
          <w:rFonts w:ascii="Arial" w:cs="Arial" w:eastAsia="Arial" w:hAnsi="Arial"/>
          <w:sz w:val="21"/>
          <w:szCs w:val="21"/>
          <w:color w:val="auto"/>
        </w:rPr>
      </w:pPr>
    </w:p>
    <w:p>
      <w:pPr>
        <w:ind w:left="2640" w:hanging="905"/>
        <w:spacing w:after="0"/>
        <w:tabs>
          <w:tab w:leader="none" w:pos="26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Transfers by the Managing Member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tabs>
          <w:tab w:leader="none" w:pos="3444"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Consent of Members</w:t>
      </w:r>
      <w:r>
        <w:rPr>
          <w:rFonts w:ascii="Arial" w:cs="Arial" w:eastAsia="Arial" w:hAnsi="Arial"/>
          <w:sz w:val="22"/>
          <w:szCs w:val="22"/>
          <w:color w:val="auto"/>
        </w:rPr>
        <w:t>. The Managing Member may not Transfer any of its Units without the consent of a Majority-in-Interest of the Members, except in connection with an Applicable Sale or Termination Transaction approved by the Board of Directors.</w:t>
      </w:r>
    </w:p>
    <w:p>
      <w:pPr>
        <w:spacing w:after="0" w:line="186" w:lineRule="exact"/>
        <w:rPr>
          <w:rFonts w:ascii="Arial" w:cs="Arial" w:eastAsia="Arial" w:hAnsi="Arial"/>
          <w:sz w:val="22"/>
          <w:szCs w:val="22"/>
          <w:color w:val="auto"/>
        </w:rPr>
      </w:pPr>
    </w:p>
    <w:p>
      <w:pPr>
        <w:jc w:val="both"/>
        <w:ind w:firstLine="2600"/>
        <w:spacing w:after="0" w:line="238" w:lineRule="auto"/>
        <w:tabs>
          <w:tab w:leader="none" w:pos="3504"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Transfer to Subsidiary</w:t>
      </w:r>
      <w:r>
        <w:rPr>
          <w:rFonts w:ascii="Arial" w:cs="Arial" w:eastAsia="Arial" w:hAnsi="Arial"/>
          <w:sz w:val="22"/>
          <w:szCs w:val="22"/>
          <w:color w:val="auto"/>
        </w:rPr>
        <w:t xml:space="preserve">. Subject to compliance with the other provisions of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the Managing Member may Transfer all of its Units at any time to any Person that is, at the time of such Transfer, a direct or indirect wholly owned Subsidiary of the Managing Member without the consent of any Member and may designate the transferee to become the new Managing Member for all purposes of this Agreement.</w:t>
      </w:r>
    </w:p>
    <w:p>
      <w:pPr>
        <w:spacing w:after="0" w:line="184" w:lineRule="exact"/>
        <w:rPr>
          <w:rFonts w:ascii="Arial" w:cs="Arial" w:eastAsia="Arial" w:hAnsi="Arial"/>
          <w:sz w:val="22"/>
          <w:szCs w:val="22"/>
          <w:color w:val="auto"/>
        </w:rPr>
      </w:pPr>
    </w:p>
    <w:p>
      <w:pPr>
        <w:jc w:val="both"/>
        <w:ind w:firstLine="1735"/>
        <w:spacing w:after="0"/>
        <w:tabs>
          <w:tab w:leader="none" w:pos="261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Other Restrictions on Transfer</w:t>
      </w:r>
      <w:r>
        <w:rPr>
          <w:rFonts w:ascii="Arial" w:cs="Arial" w:eastAsia="Arial" w:hAnsi="Arial"/>
          <w:sz w:val="22"/>
          <w:szCs w:val="22"/>
          <w:color w:val="auto"/>
        </w:rPr>
        <w:t>. In addition to any other restrictions on Transfer in this Agreement, no Member may Transfer a Unit (including by way of acquisition of Units by the Managing Member, or any other acquisition of Units by the Company) if the Company determines:</w:t>
      </w:r>
    </w:p>
    <w:p>
      <w:pPr>
        <w:spacing w:after="0" w:line="186" w:lineRule="exact"/>
        <w:rPr>
          <w:rFonts w:ascii="Arial" w:cs="Arial" w:eastAsia="Arial" w:hAnsi="Arial"/>
          <w:sz w:val="22"/>
          <w:szCs w:val="22"/>
          <w:color w:val="auto"/>
        </w:rPr>
      </w:pPr>
    </w:p>
    <w:p>
      <w:pPr>
        <w:jc w:val="both"/>
        <w:ind w:firstLine="2600"/>
        <w:spacing w:after="0" w:line="287" w:lineRule="auto"/>
        <w:tabs>
          <w:tab w:leader="none" w:pos="344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Based on the advice of nationally recognized tax counsel, such Transfer would create a material risk of the Company being classified as an association taxable as a corporation for U.S. federal, state, or local income tax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Transfer by a Member or its Affiliates shall not be prohibited under this </w:t>
      </w:r>
      <w:r>
        <w:rPr>
          <w:rFonts w:ascii="Arial" w:cs="Arial" w:eastAsia="Arial" w:hAnsi="Arial"/>
          <w:sz w:val="19"/>
          <w:szCs w:val="19"/>
          <w:u w:val="single" w:color="auto"/>
          <w:color w:val="auto"/>
        </w:rPr>
        <w:t>Section 8.2(c)(i)</w:t>
      </w:r>
      <w:r>
        <w:rPr>
          <w:rFonts w:ascii="Arial" w:cs="Arial" w:eastAsia="Arial" w:hAnsi="Arial"/>
          <w:sz w:val="19"/>
          <w:szCs w:val="19"/>
          <w:color w:val="auto"/>
        </w:rPr>
        <w:t xml:space="preserve"> if the Member (or its Affiliate) obtains a tax opinion from nationally recognized tax counsel that the Transfer will not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7" w:name="page208"/>
    <w:bookmarkEnd w:id="207"/>
    <w:p>
      <w:pPr>
        <w:spacing w:after="0" w:line="250" w:lineRule="auto"/>
        <w:rPr>
          <w:sz w:val="20"/>
          <w:szCs w:val="20"/>
          <w:color w:val="auto"/>
        </w:rPr>
      </w:pPr>
      <w:r>
        <w:rPr>
          <w:rFonts w:ascii="Arial" w:cs="Arial" w:eastAsia="Arial" w:hAnsi="Arial"/>
          <w:sz w:val="22"/>
          <w:szCs w:val="22"/>
          <w:color w:val="auto"/>
        </w:rPr>
        <w:t>result in the Company being classified as an association taxable as a corporation for U.S. federal, state, or local income tax purposes;</w:t>
      </w:r>
    </w:p>
    <w:p>
      <w:pPr>
        <w:spacing w:after="0" w:line="175" w:lineRule="exact"/>
        <w:rPr>
          <w:sz w:val="20"/>
          <w:szCs w:val="20"/>
          <w:color w:val="auto"/>
        </w:rPr>
      </w:pPr>
    </w:p>
    <w:p>
      <w:pPr>
        <w:ind w:left="3520" w:hanging="920"/>
        <w:spacing w:after="0"/>
        <w:tabs>
          <w:tab w:leader="none" w:pos="35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That the Transfer would be to any Person or entity who lacks the legal right, power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capacity to own a Membership Interest;</w:t>
      </w:r>
    </w:p>
    <w:p>
      <w:pPr>
        <w:spacing w:after="0" w:line="188" w:lineRule="exact"/>
        <w:rPr>
          <w:rFonts w:ascii="Arial" w:cs="Arial" w:eastAsia="Arial" w:hAnsi="Arial"/>
          <w:sz w:val="19"/>
          <w:szCs w:val="19"/>
          <w:color w:val="auto"/>
        </w:rPr>
      </w:pPr>
    </w:p>
    <w:p>
      <w:pPr>
        <w:ind w:left="3580" w:hanging="980"/>
        <w:spacing w:after="0"/>
        <w:tabs>
          <w:tab w:leader="none" w:pos="35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That the Transfer would be in violation of Law;</w:t>
      </w:r>
    </w:p>
    <w:p>
      <w:pPr>
        <w:spacing w:after="0" w:line="206" w:lineRule="exact"/>
        <w:rPr>
          <w:rFonts w:ascii="Arial" w:cs="Arial" w:eastAsia="Arial" w:hAnsi="Arial"/>
          <w:sz w:val="22"/>
          <w:szCs w:val="22"/>
          <w:color w:val="auto"/>
        </w:rPr>
      </w:pPr>
    </w:p>
    <w:p>
      <w:pPr>
        <w:jc w:val="both"/>
        <w:ind w:firstLine="2600"/>
        <w:spacing w:after="0"/>
        <w:tabs>
          <w:tab w:leader="none" w:pos="355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That the Transfer would be of any fractional or component portion of a Unit or Membership Interest, such as the Capital Account, or rights to distributions, separate and apart from all other components of a Unit;</w:t>
      </w:r>
    </w:p>
    <w:p>
      <w:pPr>
        <w:spacing w:after="0" w:line="186" w:lineRule="exact"/>
        <w:rPr>
          <w:rFonts w:ascii="Arial" w:cs="Arial" w:eastAsia="Arial" w:hAnsi="Arial"/>
          <w:sz w:val="22"/>
          <w:szCs w:val="22"/>
          <w:color w:val="auto"/>
        </w:rPr>
      </w:pPr>
    </w:p>
    <w:p>
      <w:pPr>
        <w:jc w:val="both"/>
        <w:ind w:firstLine="2600"/>
        <w:spacing w:after="0"/>
        <w:tabs>
          <w:tab w:leader="none" w:pos="349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That the Transfer would create a material risk that the Company would become, with respect to any employee benefit plan subject to Title I of ERISA, a “party-in-interest” (as defined in ERISA Section 3(14)) or a “disqualified Person” (as defined in Code section 4975(c));</w:t>
      </w:r>
    </w:p>
    <w:p>
      <w:pPr>
        <w:spacing w:after="0" w:line="186" w:lineRule="exact"/>
        <w:rPr>
          <w:rFonts w:ascii="Arial" w:cs="Arial" w:eastAsia="Arial" w:hAnsi="Arial"/>
          <w:sz w:val="22"/>
          <w:szCs w:val="22"/>
          <w:color w:val="auto"/>
        </w:rPr>
      </w:pPr>
    </w:p>
    <w:p>
      <w:pPr>
        <w:ind w:firstLine="2600"/>
        <w:spacing w:after="0" w:line="328" w:lineRule="auto"/>
        <w:tabs>
          <w:tab w:leader="none" w:pos="355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Based on the advice of counsel, that the Transfer would create a material risk that any portion of the Assets would constitute assets of any employee benefit plan pursuant to Department of Labor Reg. § 2510.2-101;</w:t>
      </w:r>
    </w:p>
    <w:p>
      <w:pPr>
        <w:spacing w:after="0" w:line="104" w:lineRule="exact"/>
        <w:rPr>
          <w:rFonts w:ascii="Arial" w:cs="Arial" w:eastAsia="Arial" w:hAnsi="Arial"/>
          <w:sz w:val="19"/>
          <w:szCs w:val="19"/>
          <w:color w:val="auto"/>
        </w:rPr>
      </w:pPr>
    </w:p>
    <w:p>
      <w:pPr>
        <w:ind w:firstLine="2600"/>
        <w:spacing w:after="0" w:line="250" w:lineRule="auto"/>
        <w:tabs>
          <w:tab w:leader="none" w:pos="361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That the Transfer would require the registration of such Membership Interest pursuant to any applicable federal or state securities Laws;</w:t>
      </w:r>
    </w:p>
    <w:p>
      <w:pPr>
        <w:spacing w:after="0" w:line="174" w:lineRule="exact"/>
        <w:rPr>
          <w:rFonts w:ascii="Arial" w:cs="Arial" w:eastAsia="Arial" w:hAnsi="Arial"/>
          <w:sz w:val="22"/>
          <w:szCs w:val="22"/>
          <w:color w:val="auto"/>
        </w:rPr>
      </w:pPr>
    </w:p>
    <w:p>
      <w:pPr>
        <w:ind w:right="20" w:firstLine="2600"/>
        <w:spacing w:after="0" w:line="250" w:lineRule="auto"/>
        <w:tabs>
          <w:tab w:leader="none" w:pos="367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Based on advice of counsel, that such Transfer would create a material risk that the Company would become a reporting company under the Exchange Act; or</w:t>
      </w:r>
    </w:p>
    <w:p>
      <w:pPr>
        <w:spacing w:after="0" w:line="174" w:lineRule="exact"/>
        <w:rPr>
          <w:rFonts w:ascii="Arial" w:cs="Arial" w:eastAsia="Arial" w:hAnsi="Arial"/>
          <w:sz w:val="22"/>
          <w:szCs w:val="22"/>
          <w:color w:val="auto"/>
        </w:rPr>
      </w:pPr>
    </w:p>
    <w:p>
      <w:pPr>
        <w:ind w:firstLine="2600"/>
        <w:spacing w:after="0" w:line="328" w:lineRule="auto"/>
        <w:tabs>
          <w:tab w:leader="none" w:pos="355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Based on the advice of counsel, that the Transfer would subject the Company to regulation under the Investment Company Act of 1940, the Investment Advisors Act of 1940 or ERISA, each as amended.</w:t>
      </w:r>
    </w:p>
    <w:p>
      <w:pPr>
        <w:spacing w:after="0" w:line="10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Drag-Along Rights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If at any time the Managing Member and/or its Affiliates (excluding, for purposes of this Section 8.3, the Company and its Subsidiaries) desire to Transfer in one or more transactions a sufficient portion of its and/or their Units (or any beneficial interest therein) to constitute a change of Control of the Company in an arm’s-length transaction to a bona fide third party that is not an Affiliate of the Managing Member (an “</w:t>
      </w:r>
      <w:r>
        <w:rPr>
          <w:rFonts w:ascii="Arial" w:cs="Arial" w:eastAsia="Arial" w:hAnsi="Arial"/>
          <w:sz w:val="21"/>
          <w:szCs w:val="21"/>
          <w:u w:val="single" w:color="auto"/>
          <w:color w:val="auto"/>
        </w:rPr>
        <w:t>Applicable Sale</w:t>
      </w:r>
      <w:r>
        <w:rPr>
          <w:rFonts w:ascii="Arial" w:cs="Arial" w:eastAsia="Arial" w:hAnsi="Arial"/>
          <w:sz w:val="21"/>
          <w:szCs w:val="21"/>
          <w:color w:val="auto"/>
        </w:rPr>
        <w:t>”), the Managing Member may require each other Member to sell the same ratable share of its Membership Interests as is being sold by the Managing Member and such Affiliates (based upon the total Membership Interests held by the Managing Member and its Affiliates at such time) on the same terms and conditions (“</w:t>
      </w:r>
      <w:r>
        <w:rPr>
          <w:rFonts w:ascii="Arial" w:cs="Arial" w:eastAsia="Arial" w:hAnsi="Arial"/>
          <w:sz w:val="21"/>
          <w:szCs w:val="21"/>
          <w:u w:val="single" w:color="auto"/>
          <w:color w:val="auto"/>
        </w:rPr>
        <w:t>Drag-Along Right</w:t>
      </w:r>
      <w:r>
        <w:rPr>
          <w:rFonts w:ascii="Arial" w:cs="Arial" w:eastAsia="Arial" w:hAnsi="Arial"/>
          <w:sz w:val="21"/>
          <w:szCs w:val="21"/>
          <w:color w:val="auto"/>
        </w:rPr>
        <w:t>”). The Managing Member may in its sole discretion elect to cause the Managing Member and/or the Company to structure the Applicable Sale as a merger or consolidation or as a sale of the Company’s Assets. No Member shall have any dissenters’ rights, appraisal rights or similar rights in connection with any Applicable Sale, and no Member may object to any subsequent liquidation or other distribution of the proceeds from an Applicable Sale that is a sale of Assets. Each Member agrees to consent to, and raise no objections against, an Applicable Sale. In the event of the exercise by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-1573530</wp:posOffset>
            </wp:positionV>
            <wp:extent cx="6254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8" w:name="page209"/>
    <w:bookmarkEnd w:id="208"/>
    <w:p>
      <w:pPr>
        <w:jc w:val="both"/>
        <w:spacing w:after="0" w:line="272" w:lineRule="auto"/>
        <w:rPr>
          <w:sz w:val="20"/>
          <w:szCs w:val="20"/>
          <w:color w:val="auto"/>
        </w:rPr>
      </w:pPr>
      <w:r>
        <w:rPr>
          <w:rFonts w:ascii="Arial" w:cs="Arial" w:eastAsia="Arial" w:hAnsi="Arial"/>
          <w:sz w:val="19"/>
          <w:szCs w:val="19"/>
          <w:color w:val="auto"/>
        </w:rPr>
        <w:t xml:space="preserve">its Drag-Along Right pursuant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each Member shall take all reasonably necessary and desirable actions approved by the Managing Member in connection with the consummation of the 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such Members shall not be required to give disproportionately greater or more onerous representations, warranties, indemnities, or covenants than the Managing Member or its Affiliates, (B) such Members shall not be obligated to bear any share of the out-of-pocket expenses, costs, or fees (including attorneys’ fees) incurred by the Company or its Affiliates in connection with such Applicable Sale unless and to the extent that such expenses, costs, and fees were incurred for the benefit of the Company or all of its Members, (C) such Members shall not be obligated or otherwise responsible for more than their proportionate shares of any indemnities or other liabilities incurred by the Company and the Members as sellers in respect of such Applicable Sale, and (D) any indemnities or other liabilities approved by the Managing Member shall be limited, in respect of each Member, to such Member’s share of the proceeds from the Applicable Sale.</w:t>
      </w:r>
    </w:p>
    <w:p>
      <w:pPr>
        <w:spacing w:after="0" w:line="161" w:lineRule="exact"/>
        <w:rPr>
          <w:sz w:val="20"/>
          <w:szCs w:val="20"/>
          <w:color w:val="auto"/>
        </w:rPr>
      </w:pPr>
    </w:p>
    <w:p>
      <w:pPr>
        <w:jc w:val="both"/>
        <w:ind w:firstLine="1735"/>
        <w:spacing w:after="0" w:line="244" w:lineRule="auto"/>
        <w:tabs>
          <w:tab w:leader="none" w:pos="2627"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At least five (5) Business Days before consummation of an Applicable Sale, the Managing Member shall (i) provide the Members written notice (the “</w:t>
      </w:r>
      <w:r>
        <w:rPr>
          <w:rFonts w:ascii="Arial" w:cs="Arial" w:eastAsia="Arial" w:hAnsi="Arial"/>
          <w:sz w:val="21"/>
          <w:szCs w:val="21"/>
          <w:u w:val="single" w:color="auto"/>
          <w:color w:val="auto"/>
        </w:rPr>
        <w:t>Applicable Sale Notice</w:t>
      </w:r>
      <w:r>
        <w:rPr>
          <w:rFonts w:ascii="Arial" w:cs="Arial" w:eastAsia="Arial" w:hAnsi="Arial"/>
          <w:sz w:val="21"/>
          <w:szCs w:val="21"/>
          <w:color w:val="auto"/>
        </w:rPr>
        <w:t xml:space="preserve">”) of the Applicable Sale, which notice shall contain (A) the name and address of the third-party purchaser, (B) the proposed purchase price, terms of payment, and other material terms and conditions of the purchaser’s offer, together with a copy of any binding agreement with respect to the Applicable Sale and (C) notification of whether the Managing Member has elected to exercise its Drag-Along Right and (ii) promptly notify the Members of all proposed changes to the material terms and keep the Members reasonably informed as to all material terms relating to the Applicable Sale or contribution, and promptly deliver to the Members copies of all final material agreements relating to the Applicable Sale not already provided in accordance with this </w:t>
      </w:r>
      <w:r>
        <w:rPr>
          <w:rFonts w:ascii="Arial" w:cs="Arial" w:eastAsia="Arial" w:hAnsi="Arial"/>
          <w:sz w:val="21"/>
          <w:szCs w:val="21"/>
          <w:u w:val="single" w:color="auto"/>
          <w:color w:val="auto"/>
        </w:rPr>
        <w:t>Section 8.3(b)</w:t>
      </w:r>
      <w:r>
        <w:rPr>
          <w:rFonts w:ascii="Arial" w:cs="Arial" w:eastAsia="Arial" w:hAnsi="Arial"/>
          <w:sz w:val="21"/>
          <w:szCs w:val="21"/>
          <w:color w:val="auto"/>
        </w:rPr>
        <w:t xml:space="preserve"> or otherwise. The Managing Member shall provide the Members written notice of the termination of an Applicable Sale within five (5) Business Days following such termination, which notice shall state that the Applicable Sale Notice served with respect to such Applicable Sale is rescinded.</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u w:val="single" w:color="auto"/>
          <w:color w:val="auto"/>
        </w:rPr>
        <w:t>Substituted Members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Admission as Member</w:t>
      </w:r>
      <w:r>
        <w:rPr>
          <w:rFonts w:ascii="Arial" w:cs="Arial" w:eastAsia="Arial" w:hAnsi="Arial"/>
          <w:sz w:val="22"/>
          <w:szCs w:val="22"/>
          <w:color w:val="auto"/>
        </w:rPr>
        <w:t xml:space="preserve">. A transferee of Units of a Member may be admitted as a Substituted Member only with the consent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a Related-Party Transferee shall be admitted as a Substituted Member without the consent of the Company, subject to compliance with </w:t>
      </w:r>
      <w:r>
        <w:rPr>
          <w:rFonts w:ascii="Arial" w:cs="Arial" w:eastAsia="Arial" w:hAnsi="Arial"/>
          <w:sz w:val="22"/>
          <w:szCs w:val="22"/>
          <w:u w:val="single" w:color="auto"/>
          <w:color w:val="auto"/>
        </w:rPr>
        <w:t>Section 8.4(b)</w:t>
      </w:r>
      <w:r>
        <w:rPr>
          <w:rFonts w:ascii="Arial" w:cs="Arial" w:eastAsia="Arial" w:hAnsi="Arial"/>
          <w:sz w:val="22"/>
          <w:szCs w:val="22"/>
          <w:color w:val="auto"/>
        </w:rPr>
        <w:t>. The failure or refusal by the Company to permit a transferee of Units to become a Substituted Member shall not give rise to any cause of action against the Company or the Managing Member. A transferee who has been admitted as a Substituted Member in accordance with this Article VIII shall have all the rights and powers and be subject to all the restrictions and liabilities of a Member under this Agreement.</w:t>
      </w:r>
    </w:p>
    <w:p>
      <w:pPr>
        <w:spacing w:after="0" w:line="190"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Documents to be Provided by Transferee</w:t>
      </w:r>
      <w:r>
        <w:rPr>
          <w:rFonts w:ascii="Arial" w:cs="Arial" w:eastAsia="Arial" w:hAnsi="Arial"/>
          <w:sz w:val="22"/>
          <w:szCs w:val="22"/>
          <w:color w:val="auto"/>
        </w:rPr>
        <w:t>. No transferee shall be admitted as a Substituted Member until and unless it furnishes to the Managing Member (i) evidence of acceptance, in form and substance satisfactory to the Managing Member, of all the terms, conditions and applicable obligations of this Agreement, (ii) a counterpart signature page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-939800</wp:posOffset>
            </wp:positionV>
            <wp:extent cx="6680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66802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9" w:name="page210"/>
    <w:bookmarkEnd w:id="209"/>
    <w:p>
      <w:pPr>
        <w:spacing w:after="0" w:line="250" w:lineRule="auto"/>
        <w:rPr>
          <w:sz w:val="20"/>
          <w:szCs w:val="20"/>
          <w:color w:val="auto"/>
        </w:rPr>
      </w:pPr>
      <w:r>
        <w:rPr>
          <w:rFonts w:ascii="Arial" w:cs="Arial" w:eastAsia="Arial" w:hAnsi="Arial"/>
          <w:sz w:val="22"/>
          <w:szCs w:val="22"/>
          <w:color w:val="auto"/>
        </w:rPr>
        <w:t>Agreement executed by such transferee and (iii) such other documents and instruments as the Managing Member may require to effect such transferee’s admission as a Substituted Member.</w:t>
      </w:r>
    </w:p>
    <w:p>
      <w:pPr>
        <w:spacing w:after="0" w:line="175" w:lineRule="exact"/>
        <w:rPr>
          <w:sz w:val="20"/>
          <w:szCs w:val="20"/>
          <w:color w:val="auto"/>
        </w:rPr>
      </w:pPr>
    </w:p>
    <w:p>
      <w:pPr>
        <w:jc w:val="both"/>
        <w:ind w:firstLine="1735"/>
        <w:spacing w:after="0" w:line="252" w:lineRule="auto"/>
        <w:tabs>
          <w:tab w:leader="none" w:pos="2615"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Amendment of Books and Records</w:t>
      </w:r>
      <w:r>
        <w:rPr>
          <w:rFonts w:ascii="Arial" w:cs="Arial" w:eastAsia="Arial" w:hAnsi="Arial"/>
          <w:sz w:val="21"/>
          <w:szCs w:val="21"/>
          <w:color w:val="auto"/>
        </w:rPr>
        <w:t>. In connection with, and as evidence of, the admission of a Substituted Member, the Managing Member or Company shall amend the Register and the books and records of the Company to reflect the name, address and number of Units of such Substituted Member and to eliminate or adjust, if necessary, the name, address and number of Units of the predecessor of such Substituted Member.</w:t>
      </w:r>
    </w:p>
    <w:p>
      <w:pPr>
        <w:spacing w:after="0" w:line="17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Company Right to Call Membership Interests</w:t>
      </w:r>
      <w:r>
        <w:rPr>
          <w:rFonts w:ascii="Arial" w:cs="Arial" w:eastAsia="Arial" w:hAnsi="Arial"/>
          <w:sz w:val="22"/>
          <w:szCs w:val="22"/>
          <w:color w:val="auto"/>
        </w:rPr>
        <w:t xml:space="preserve">. Beginning on the date on which the aggregate Percentage Interests of the Members (other than the Managing Member and its Subsidiaries) are less than ten (10) percent, the Company shall have the right, but not the obligation, from time to time and at any time to redeem all (but not less than all) outstanding Class B Common Units by treating each Member as an Exchangeable Unit Member who has delivered an Elective Exchange Notice pursuant to </w:t>
      </w:r>
      <w:r>
        <w:rPr>
          <w:rFonts w:ascii="Arial" w:cs="Arial" w:eastAsia="Arial" w:hAnsi="Arial"/>
          <w:sz w:val="22"/>
          <w:szCs w:val="22"/>
          <w:u w:val="single" w:color="auto"/>
          <w:color w:val="auto"/>
        </w:rPr>
        <w:t>Section 12.1(b)</w:t>
      </w:r>
      <w:r>
        <w:rPr>
          <w:rFonts w:ascii="Arial" w:cs="Arial" w:eastAsia="Arial" w:hAnsi="Arial"/>
          <w:sz w:val="22"/>
          <w:szCs w:val="22"/>
          <w:color w:val="auto"/>
        </w:rPr>
        <w:t xml:space="preserve"> in respect of all of such Exchangeable Unit Member’s Class B Common Units. The Company shall exercise this right by giving notice to an Exchangeable Unit Member stating that the Company has elected to exercise its rights under this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The notice given by the Company to an Exchangeable Unit Member pursuant to this Section 8.5 shall be treated as if it were an Elective Exchange Notice delivered to the Company by such Exchangeable Unit Member. For purposes of this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apply except to the extent otherwise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6343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7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Withdrawal</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Permissible Withdrawals</w:t>
      </w:r>
      <w:r>
        <w:rPr>
          <w:rFonts w:ascii="Arial" w:cs="Arial" w:eastAsia="Arial" w:hAnsi="Arial"/>
          <w:sz w:val="19"/>
          <w:szCs w:val="19"/>
          <w:color w:val="auto"/>
        </w:rPr>
        <w:t>.  Subject to any Unit Designation, no Member may withdraw from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 other than:</w:t>
      </w:r>
    </w:p>
    <w:p>
      <w:pPr>
        <w:spacing w:after="0" w:line="188" w:lineRule="exact"/>
        <w:rPr>
          <w:rFonts w:ascii="Arial" w:cs="Arial" w:eastAsia="Arial" w:hAnsi="Arial"/>
          <w:sz w:val="19"/>
          <w:szCs w:val="19"/>
          <w:color w:val="auto"/>
        </w:rPr>
      </w:pPr>
    </w:p>
    <w:p>
      <w:pPr>
        <w:ind w:firstLine="2600"/>
        <w:spacing w:after="0" w:line="250" w:lineRule="auto"/>
        <w:tabs>
          <w:tab w:leader="none" w:pos="344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As a result of a Permitted Transfer of all of such Member’s Units in accordance with this Article VIII with respect to which the transferee becomes a Substituted Member;</w:t>
      </w:r>
    </w:p>
    <w:p>
      <w:pPr>
        <w:spacing w:after="0" w:line="174" w:lineRule="exact"/>
        <w:rPr>
          <w:rFonts w:ascii="Arial" w:cs="Arial" w:eastAsia="Arial" w:hAnsi="Arial"/>
          <w:sz w:val="22"/>
          <w:szCs w:val="22"/>
          <w:color w:val="auto"/>
        </w:rPr>
      </w:pPr>
    </w:p>
    <w:p>
      <w:pPr>
        <w:ind w:left="3520" w:hanging="920"/>
        <w:spacing w:after="0"/>
        <w:tabs>
          <w:tab w:leader="none" w:pos="352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Pursuant to an acquisition by the Managing Member of all of its Membership Interests;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88" w:lineRule="exact"/>
        <w:rPr>
          <w:rFonts w:ascii="Arial" w:cs="Arial" w:eastAsia="Arial" w:hAnsi="Arial"/>
          <w:sz w:val="19"/>
          <w:szCs w:val="19"/>
          <w:color w:val="auto"/>
        </w:rPr>
      </w:pPr>
    </w:p>
    <w:p>
      <w:pPr>
        <w:ind w:left="3580" w:hanging="980"/>
        <w:spacing w:after="0"/>
        <w:tabs>
          <w:tab w:leader="none" w:pos="358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With the consent of the Company.</w:t>
      </w:r>
    </w:p>
    <w:p>
      <w:pPr>
        <w:spacing w:after="0" w:line="20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Consequences of Withdrawal</w:t>
      </w:r>
      <w:r>
        <w:rPr>
          <w:rFonts w:ascii="Arial" w:cs="Arial" w:eastAsia="Arial" w:hAnsi="Arial"/>
          <w:sz w:val="22"/>
          <w:szCs w:val="22"/>
          <w:color w:val="auto"/>
        </w:rPr>
        <w:t xml:space="preserve">. Any Member who Transfers all of its Units in a Transfer (i) permitted pursuant to this Article VIII where such transferee was admitted as a Substituted Member or (ii) to the Managing Member, whether or not pursuant to </w:t>
      </w:r>
      <w:r>
        <w:rPr>
          <w:rFonts w:ascii="Arial" w:cs="Arial" w:eastAsia="Arial" w:hAnsi="Arial"/>
          <w:sz w:val="22"/>
          <w:szCs w:val="22"/>
          <w:u w:val="single" w:color="auto"/>
          <w:color w:val="auto"/>
        </w:rPr>
        <w:t>Section 12.1</w:t>
      </w:r>
      <w:r>
        <w:rPr>
          <w:rFonts w:ascii="Arial" w:cs="Arial" w:eastAsia="Arial" w:hAnsi="Arial"/>
          <w:sz w:val="22"/>
          <w:szCs w:val="22"/>
          <w:color w:val="auto"/>
        </w:rPr>
        <w:t>, shall cease to be a Member but shall continue to have the obligations of a former Member that are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-1522730</wp:posOffset>
            </wp:positionV>
            <wp:extent cx="6508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650875"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-339725</wp:posOffset>
            </wp:positionV>
            <wp:extent cx="6680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668020" cy="8255"/>
                    </a:xfrm>
                    <a:prstGeom prst="rect">
                      <a:avLst/>
                    </a:prstGeom>
                    <a:noFill/>
                  </pic:spPr>
                </pic:pic>
              </a:graphicData>
            </a:graphic>
          </wp:anchor>
        </w:drawing>
      </w:r>
    </w:p>
    <w:p>
      <w:pPr>
        <w:spacing w:after="0" w:line="16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8.7</w:t>
      </w:r>
      <w:r>
        <w:rPr>
          <w:sz w:val="20"/>
          <w:szCs w:val="20"/>
          <w:color w:val="auto"/>
        </w:rPr>
        <w:tab/>
      </w:r>
      <w:r>
        <w:rPr>
          <w:rFonts w:ascii="Arial" w:cs="Arial" w:eastAsia="Arial" w:hAnsi="Arial"/>
          <w:sz w:val="19"/>
          <w:szCs w:val="19"/>
          <w:u w:val="single" w:color="auto"/>
          <w:color w:val="auto"/>
        </w:rPr>
        <w:t>Restrictions on Termination Transactions</w:t>
      </w:r>
      <w:r>
        <w:rPr>
          <w:rFonts w:ascii="Arial" w:cs="Arial" w:eastAsia="Arial" w:hAnsi="Arial"/>
          <w:sz w:val="19"/>
          <w:szCs w:val="19"/>
          <w:color w:val="auto"/>
        </w:rPr>
        <w:t>.</w:t>
      </w:r>
    </w:p>
    <w:p>
      <w:pPr>
        <w:spacing w:after="0" w:line="206" w:lineRule="exact"/>
        <w:rPr>
          <w:sz w:val="20"/>
          <w:szCs w:val="20"/>
          <w:color w:val="auto"/>
        </w:rPr>
      </w:pPr>
    </w:p>
    <w:p>
      <w:pPr>
        <w:ind w:right="20" w:firstLine="1735"/>
        <w:spacing w:after="0" w:line="250" w:lineRule="auto"/>
        <w:tabs>
          <w:tab w:leader="none" w:pos="2615"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8.7(b)</w:t>
      </w:r>
      <w:r>
        <w:rPr>
          <w:rFonts w:ascii="Arial" w:cs="Arial" w:eastAsia="Arial" w:hAnsi="Arial"/>
          <w:sz w:val="22"/>
          <w:szCs w:val="22"/>
          <w:color w:val="auto"/>
        </w:rPr>
        <w:t>, neither the Company nor the Managing Member shall engage in, or cause or permit, a Termination Transaction.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0" w:name="page211"/>
    <w:bookmarkEnd w:id="210"/>
    <w:p>
      <w:pPr>
        <w:ind w:firstLine="1735"/>
        <w:spacing w:after="0" w:line="250" w:lineRule="auto"/>
        <w:tabs>
          <w:tab w:leader="none" w:pos="2627"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Consent</w:t>
      </w:r>
      <w:r>
        <w:rPr>
          <w:rFonts w:ascii="Arial" w:cs="Arial" w:eastAsia="Arial" w:hAnsi="Arial"/>
          <w:sz w:val="22"/>
          <w:szCs w:val="22"/>
          <w:color w:val="auto"/>
        </w:rPr>
        <w:t>. The Company or Managing Member may engage in, cause, or permit a Termination Transaction only if one of the following conditions is satisfied:</w:t>
      </w:r>
    </w:p>
    <w:p>
      <w:pPr>
        <w:spacing w:after="0" w:line="174" w:lineRule="exact"/>
        <w:rPr>
          <w:rFonts w:ascii="Arial" w:cs="Arial" w:eastAsia="Arial" w:hAnsi="Arial"/>
          <w:sz w:val="22"/>
          <w:szCs w:val="22"/>
          <w:color w:val="auto"/>
        </w:rPr>
      </w:pPr>
    </w:p>
    <w:p>
      <w:pPr>
        <w:ind w:left="3460" w:hanging="860"/>
        <w:spacing w:after="0"/>
        <w:tabs>
          <w:tab w:leader="none" w:pos="34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A Majority-in-Interest of the Members gives Consent;</w:t>
      </w:r>
    </w:p>
    <w:p>
      <w:pPr>
        <w:spacing w:after="0" w:line="206" w:lineRule="exact"/>
        <w:rPr>
          <w:rFonts w:ascii="Arial" w:cs="Arial" w:eastAsia="Arial" w:hAnsi="Arial"/>
          <w:sz w:val="22"/>
          <w:szCs w:val="22"/>
          <w:color w:val="auto"/>
        </w:rPr>
      </w:pPr>
    </w:p>
    <w:p>
      <w:pPr>
        <w:jc w:val="both"/>
        <w:ind w:firstLine="2600"/>
        <w:spacing w:after="0" w:line="244" w:lineRule="auto"/>
        <w:tabs>
          <w:tab w:leader="none" w:pos="3504" w:val="left"/>
        </w:tabs>
        <w:numPr>
          <w:ilvl w:val="1"/>
          <w:numId w:val="136"/>
        </w:numPr>
        <w:rPr>
          <w:rFonts w:ascii="Arial" w:cs="Arial" w:eastAsia="Arial" w:hAnsi="Arial"/>
          <w:sz w:val="21"/>
          <w:szCs w:val="21"/>
          <w:color w:val="auto"/>
        </w:rPr>
      </w:pPr>
      <w:r>
        <w:rPr>
          <w:rFonts w:ascii="Arial" w:cs="Arial" w:eastAsia="Arial" w:hAnsi="Arial"/>
          <w:sz w:val="21"/>
          <w:szCs w:val="21"/>
          <w:color w:val="auto"/>
        </w:rPr>
        <w:t xml:space="preserve">In connection with any such Termination Transaction, each holder of Common Units (other than the Managing Member and its wholly owned Subsidiaries) will receive, or will have the right to elect to receive, for each Common Unit an amount of cash, securities or other property equal to the greatest amount of cash, securities or other property paid to a holder of one share of Class A Common Stock in consideration of one share of Class A Common Stock pursuant to the terms of such Termination Transaction;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in connection with such Termination Transaction, a purchase, tender or exchange offer shall have been made to and accepted by the holders of a majority of the outstanding Class A Common Stock, each holder of Common Units (other than the Managing Member and its wholly owned Subsidiaries) will receive, or will have the right to elect to receive, the greatest amount of cash, securities or other property which such holder of Common Units would have received had it exercised its right to Exchange pursuant to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and received Class A Common Stock in exchange for its Common Units immediately prior to the expiration of such purchase, tender or exchange offer and had thereupon accepted such purchase, tender or exchange offer and then such Termination Transaction shall have been consummated; or</w:t>
      </w:r>
    </w:p>
    <w:p>
      <w:pPr>
        <w:spacing w:after="0" w:line="185" w:lineRule="exact"/>
        <w:rPr>
          <w:rFonts w:ascii="Arial" w:cs="Arial" w:eastAsia="Arial" w:hAnsi="Arial"/>
          <w:sz w:val="21"/>
          <w:szCs w:val="21"/>
          <w:color w:val="auto"/>
        </w:rPr>
      </w:pPr>
    </w:p>
    <w:p>
      <w:pPr>
        <w:jc w:val="both"/>
        <w:ind w:firstLine="2600"/>
        <w:spacing w:after="0" w:line="244" w:lineRule="auto"/>
        <w:tabs>
          <w:tab w:leader="none" w:pos="3564" w:val="left"/>
        </w:tabs>
        <w:numPr>
          <w:ilvl w:val="1"/>
          <w:numId w:val="136"/>
        </w:numPr>
        <w:rPr>
          <w:rFonts w:ascii="Arial" w:cs="Arial" w:eastAsia="Arial" w:hAnsi="Arial"/>
          <w:sz w:val="21"/>
          <w:szCs w:val="21"/>
          <w:color w:val="auto"/>
        </w:rPr>
      </w:pPr>
      <w:r>
        <w:rPr>
          <w:rFonts w:ascii="Arial" w:cs="Arial" w:eastAsia="Arial" w:hAnsi="Arial"/>
          <w:sz w:val="21"/>
          <w:szCs w:val="21"/>
          <w:color w:val="auto"/>
        </w:rPr>
        <w:t xml:space="preserve">All of the following conditions are met: (1) substantially all of the Assets directly or indirectly owned by the Company before the announcement of the Termination Transaction are, immediately after the Termination Transaction, owned directly or indirectly by the Company or another limited partnership or limited liability company that is the survivor of a merger, consolidation or combination of assets with the Company (in each case, the “Surviving Company”); (2) the Surviving Company is classified as a partnership for U.S. federal income tax purposes and each of its Subsidiaries is classified as a partnership or a disregarded entity for U.S. federal income tax purposes; (3) the rights of such Members with respect to the Surviving Company (including pursuant to a Tax Receivable Agreement) are at least as favorable as those of Members holding Common Units immediately before the consummation of such transaction (except to the extent that any such rights are consistent with clause (4) of this </w:t>
      </w:r>
      <w:r>
        <w:rPr>
          <w:rFonts w:ascii="Arial" w:cs="Arial" w:eastAsia="Arial" w:hAnsi="Arial"/>
          <w:sz w:val="21"/>
          <w:szCs w:val="21"/>
          <w:u w:val="single" w:color="auto"/>
          <w:color w:val="auto"/>
        </w:rPr>
        <w:t>Section 8.7(b)(iii</w:t>
      </w:r>
      <w:r>
        <w:rPr>
          <w:rFonts w:ascii="Arial" w:cs="Arial" w:eastAsia="Arial" w:hAnsi="Arial"/>
          <w:sz w:val="21"/>
          <w:szCs w:val="21"/>
          <w:color w:val="auto"/>
        </w:rPr>
        <w:t>)) and as those applicable to any other limited partners or non-managing members of the Surviving Company; and (4) such rights include the right to cause their interests in the Surviving Company to be redeemed at any time or times for cash in an amount equal to the Fair Market Value of such interest at the time of redemption, as determined at least once every calendar quarter by an independent appraisal firm of recognized national standing retained by the Surviving Company.</w:t>
      </w:r>
    </w:p>
    <w:p>
      <w:pPr>
        <w:spacing w:after="0" w:line="183"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Incapacity</w:t>
      </w:r>
      <w:r>
        <w:rPr>
          <w:rFonts w:ascii="Arial" w:cs="Arial" w:eastAsia="Arial" w:hAnsi="Arial"/>
          <w:sz w:val="19"/>
          <w:szCs w:val="19"/>
          <w:color w:val="auto"/>
        </w:rPr>
        <w:t>. If a Member is subject to Incapacity, the executor, administrator, trustee, committee, guardian, conservator, or receiver of such Member’s estate shall have the same rights as the Incapacitated Member possessed to Transfer its Units. The Incapacity of a Member, in and of itself, shall not dissolve or terminate the Company.</w:t>
      </w:r>
    </w:p>
    <w:p>
      <w:pPr>
        <w:spacing w:after="0" w:line="13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8.9 </w:t>
      </w:r>
      <w:r>
        <w:rPr>
          <w:rFonts w:ascii="Arial" w:cs="Arial" w:eastAsia="Arial" w:hAnsi="Arial"/>
          <w:sz w:val="22"/>
          <w:szCs w:val="22"/>
          <w:u w:val="single" w:color="auto"/>
          <w:color w:val="auto"/>
        </w:rPr>
        <w:t>Withholding With Respect to a Transfer of Units</w:t>
      </w:r>
      <w:r>
        <w:rPr>
          <w:rFonts w:ascii="Arial" w:cs="Arial" w:eastAsia="Arial" w:hAnsi="Arial"/>
          <w:sz w:val="22"/>
          <w:szCs w:val="22"/>
          <w:color w:val="auto"/>
        </w:rPr>
        <w:t>. A Member making a Transfer permitted by this Agreement shall, unless otherwise determined by the Company, (i) have delivered to the Company an affidavit of non-foreign status with respect to such transferor Member that satisfies the requirements of Code section 1446(f)(2) or other documentation establishing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1" w:name="page212"/>
    <w:bookmarkEnd w:id="211"/>
    <w:p>
      <w:pPr>
        <w:jc w:val="both"/>
        <w:spacing w:after="0" w:line="248" w:lineRule="auto"/>
        <w:rPr>
          <w:sz w:val="20"/>
          <w:szCs w:val="20"/>
          <w:color w:val="auto"/>
        </w:rPr>
      </w:pPr>
      <w:r>
        <w:rPr>
          <w:rFonts w:ascii="Arial" w:cs="Arial" w:eastAsia="Arial" w:hAnsi="Arial"/>
          <w:sz w:val="21"/>
          <w:szCs w:val="21"/>
          <w:color w:val="auto"/>
        </w:rPr>
        <w:t xml:space="preserve">valid exemption from withholding pursuant to Code section 1446(f) or (ii) ensure that, contemporaneously with the Transfer, the transferee of such interest properly withholds and remits to the IRS the amount of tax required to be withheld upon the Transfer by Code section 1446(f) (and promptly provide evidence to the Company of such withholding and remittance). In connection with any such Transfer, the transferor Member and transferee of such interest shall agree to jointly and severally indemnify and hold harmless the Company against any loss (including taxes, interest, penalties, and any related expenses) arising out of any failure to comply with the provisions of this </w:t>
      </w:r>
      <w:r>
        <w:rPr>
          <w:rFonts w:ascii="Arial" w:cs="Arial" w:eastAsia="Arial" w:hAnsi="Arial"/>
          <w:sz w:val="21"/>
          <w:szCs w:val="21"/>
          <w:u w:val="single" w:color="auto"/>
          <w:color w:val="auto"/>
        </w:rPr>
        <w:t>Section 8.9</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ADMISSION OF MEMBERS</w:t>
      </w:r>
    </w:p>
    <w:p>
      <w:pPr>
        <w:spacing w:after="0" w:line="21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Members; Admission of Additional Members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15"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Requirements for Admission</w:t>
      </w:r>
      <w:r>
        <w:rPr>
          <w:rFonts w:ascii="Arial" w:cs="Arial" w:eastAsia="Arial" w:hAnsi="Arial"/>
          <w:sz w:val="21"/>
          <w:szCs w:val="21"/>
          <w:color w:val="auto"/>
        </w:rPr>
        <w:t>. A Person (other than a then-existing Member) who makes a Capital Contribution to the Company in exchange for Units and in accordance with this Agreement shall be admitted to the Company as an Additional Member only upon furnishing to the Managing Member (i) evidence of acceptance, in form and substance satisfactory to the Managing Member, of all of the terms and conditions of this Agreement, including the power of attorney granted in Section 13.1, (ii) a counterpart signature page to this Agreement executed by such Person, and (iii) such other documents or instruments as may be required by the Managing Member in order to effect such Person’s admission as an Additional Member. In connection with, and as evidence of, the admission of an Additional Member, the Managing Member shall amend the Register and the books and records of the Company to reflect the name, address, number and type of Units of such Additional Member.</w:t>
      </w:r>
    </w:p>
    <w:p>
      <w:pPr>
        <w:spacing w:after="0" w:line="184"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Consent of Company Required</w:t>
      </w:r>
      <w:r>
        <w:rPr>
          <w:rFonts w:ascii="Arial" w:cs="Arial" w:eastAsia="Arial" w:hAnsi="Arial"/>
          <w:sz w:val="22"/>
          <w:szCs w:val="22"/>
          <w:color w:val="auto"/>
        </w:rPr>
        <w:t xml:space="preserve">. Notwithstanding anything to the contrary in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no Person shall be admitted as an Additional Member without the consent of the Company. The admission of any Person as an Additional Member shall become effective on the date determined by the Company (but in no case earlier than the satisfaction of all the conditions set forth in </w:t>
      </w:r>
      <w:r>
        <w:rPr>
          <w:rFonts w:ascii="Arial" w:cs="Arial" w:eastAsia="Arial" w:hAnsi="Arial"/>
          <w:sz w:val="22"/>
          <w:szCs w:val="22"/>
          <w:u w:val="single" w:color="auto"/>
          <w:color w:val="auto"/>
        </w:rPr>
        <w:t>Section 9.1(a)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-1402715</wp:posOffset>
            </wp:positionV>
            <wp:extent cx="7112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Limit on Number of Members</w:t>
      </w:r>
      <w:r>
        <w:rPr>
          <w:rFonts w:ascii="Arial" w:cs="Arial" w:eastAsia="Arial" w:hAnsi="Arial"/>
          <w:sz w:val="22"/>
          <w:szCs w:val="22"/>
          <w:color w:val="auto"/>
        </w:rPr>
        <w:t>. Unless otherwise permitted by the Managing Member, no Person shall be admitted to the Company as an Additional Member if the effect of such admission would be to cause the Company to have a number of Members (including as Members for this purpose those Persons indirectly owning an interest in the Company through another partnership, a limited liability company, a subchapter S corporation or a grantor trust) that would (i) cause the Company to become a reporting company under the Exchange Act or (ii) result in the Company at any time during its taxable year having more than 100 members, within the meaning of Treas. Reg. § 1.7704-1(h)(1)(ii) (taking into account Treas. Reg. § 1.7704-1(h)(3)).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DISSOLUTION, LIQUIDATION AND TERMINATION</w:t>
      </w:r>
    </w:p>
    <w:p>
      <w:pPr>
        <w:spacing w:after="0" w:line="21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Dissolution Generally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Dissolution Only in Accordance with this Agreement</w:t>
      </w:r>
      <w:r>
        <w:rPr>
          <w:rFonts w:ascii="Arial" w:cs="Arial" w:eastAsia="Arial" w:hAnsi="Arial"/>
          <w:sz w:val="22"/>
          <w:szCs w:val="22"/>
          <w:color w:val="auto"/>
        </w:rPr>
        <w:t>. The Company shall not be dissolved by the substitution of Members or the admission of Additional Members in accordance with the terms of this Agreement. The Company may be dissolved, liquidated and terminated only pursuant to the provisions of this Article X, and the Members hereby irrevocably waive any and all other rights they may have to cause a dissolution of the Company or a sale or partition of any or all of the Company’s Assets.</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Termination of Members</w:t>
      </w:r>
      <w:r>
        <w:rPr>
          <w:rFonts w:ascii="Arial" w:cs="Arial" w:eastAsia="Arial" w:hAnsi="Arial"/>
          <w:sz w:val="22"/>
          <w:szCs w:val="22"/>
          <w:color w:val="auto"/>
        </w:rPr>
        <w:t>. The death, retirement, resignation, expulsion, Bankruptcy, insolvency or dissolution of a Member or the occurrence of any other event that terminates the continued membership of a Member in the Company shall not in and of itself cause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-939165</wp:posOffset>
            </wp:positionV>
            <wp:extent cx="5486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Events Causing Dissolution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Actions by Members</w:t>
      </w:r>
      <w:r>
        <w:rPr>
          <w:rFonts w:ascii="Arial" w:cs="Arial" w:eastAsia="Arial" w:hAnsi="Arial"/>
          <w:sz w:val="22"/>
          <w:szCs w:val="22"/>
          <w:color w:val="auto"/>
        </w:rPr>
        <w:t>. No Member shall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Law, waives any rights to take any such actions under Law, including any right to petition a court for judicial dissolution under Section 18-802 of the Act.</w:t>
      </w:r>
    </w:p>
    <w:p>
      <w:pPr>
        <w:spacing w:after="0" w:line="187" w:lineRule="exact"/>
        <w:rPr>
          <w:rFonts w:ascii="Arial" w:cs="Arial" w:eastAsia="Arial" w:hAnsi="Arial"/>
          <w:sz w:val="22"/>
          <w:szCs w:val="22"/>
          <w:color w:val="auto"/>
        </w:rPr>
      </w:pPr>
    </w:p>
    <w:p>
      <w:pPr>
        <w:ind w:firstLine="1735"/>
        <w:spacing w:after="0" w:line="250" w:lineRule="auto"/>
        <w:tabs>
          <w:tab w:leader="none" w:pos="2627"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Liquidating Events</w:t>
      </w:r>
      <w:r>
        <w:rPr>
          <w:rFonts w:ascii="Arial" w:cs="Arial" w:eastAsia="Arial" w:hAnsi="Arial"/>
          <w:sz w:val="22"/>
          <w:szCs w:val="22"/>
          <w:color w:val="auto"/>
        </w:rPr>
        <w:t>. The Company shall be dissolved and its affairs shall be wound up upon the occurrence of any of the following events (each, a “</w:t>
      </w:r>
      <w:r>
        <w:rPr>
          <w:rFonts w:ascii="Arial" w:cs="Arial" w:eastAsia="Arial" w:hAnsi="Arial"/>
          <w:sz w:val="22"/>
          <w:szCs w:val="22"/>
          <w:u w:val="single" w:color="auto"/>
          <w:color w:val="auto"/>
        </w:rPr>
        <w:t>Liquidating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460" w:hanging="860"/>
        <w:spacing w:after="0"/>
        <w:tabs>
          <w:tab w:leader="none" w:pos="346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an election to dissolve the Company made by the Managing Member, with the Consent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Majority-in-Interest of the Members;</w:t>
      </w:r>
    </w:p>
    <w:p>
      <w:pPr>
        <w:spacing w:after="0" w:line="188" w:lineRule="exact"/>
        <w:rPr>
          <w:rFonts w:ascii="Arial" w:cs="Arial" w:eastAsia="Arial" w:hAnsi="Arial"/>
          <w:sz w:val="19"/>
          <w:szCs w:val="19"/>
          <w:color w:val="auto"/>
        </w:rPr>
      </w:pPr>
    </w:p>
    <w:p>
      <w:pPr>
        <w:ind w:left="3520" w:hanging="920"/>
        <w:spacing w:after="0"/>
        <w:tabs>
          <w:tab w:leader="none" w:pos="352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expiration of forty-five (45) days after the sale or other disposition of all or</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substantially all Assets; or</w:t>
      </w:r>
    </w:p>
    <w:p>
      <w:pPr>
        <w:spacing w:after="0" w:line="188" w:lineRule="exact"/>
        <w:rPr>
          <w:rFonts w:ascii="Arial" w:cs="Arial" w:eastAsia="Arial" w:hAnsi="Arial"/>
          <w:sz w:val="22"/>
          <w:szCs w:val="22"/>
          <w:color w:val="auto"/>
        </w:rPr>
      </w:pPr>
    </w:p>
    <w:p>
      <w:pPr>
        <w:ind w:left="3580" w:hanging="980"/>
        <w:spacing w:after="0"/>
        <w:tabs>
          <w:tab w:leader="none" w:pos="35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any other event which results in a mandatory dissolution under the Act.</w:t>
      </w:r>
    </w:p>
    <w:p>
      <w:pPr>
        <w:spacing w:after="0" w:line="20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Distribution upon Dissolution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Order of Distributions</w:t>
      </w:r>
      <w:r>
        <w:rPr>
          <w:rFonts w:ascii="Arial" w:cs="Arial" w:eastAsia="Arial" w:hAnsi="Arial"/>
          <w:sz w:val="22"/>
          <w:szCs w:val="22"/>
          <w:color w:val="auto"/>
        </w:rPr>
        <w:t>. Upon the dissolution of the Company pursuant to Section 10.2, the Managing Member (or, in the event that the Managing Member has dissolved, become Bankrupt or ceased to operate, any Person elected by a Majority-in-Interest of the Members (the Managing Member or such other Person, the “</w:t>
      </w:r>
      <w:r>
        <w:rPr>
          <w:rFonts w:ascii="Arial" w:cs="Arial" w:eastAsia="Arial" w:hAnsi="Arial"/>
          <w:sz w:val="22"/>
          <w:szCs w:val="22"/>
          <w:u w:val="single" w:color="auto"/>
          <w:color w:val="auto"/>
        </w:rPr>
        <w:t>Liquidator</w:t>
      </w:r>
      <w:r>
        <w:rPr>
          <w:rFonts w:ascii="Arial" w:cs="Arial" w:eastAsia="Arial" w:hAnsi="Arial"/>
          <w:sz w:val="22"/>
          <w:szCs w:val="22"/>
          <w:color w:val="auto"/>
        </w:rPr>
        <w:t>”)) shall be responsible for overseeing the winding up and dissolution of the Company and shall take full account of the Company’s Assets and liabilities, and the Company’s Assets shall be liquidated as promptly as is consistent with obtaining the fair value thereof, and the proceeds therefrom (which may,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6141720</wp:posOffset>
            </wp:positionH>
            <wp:positionV relativeFrom="paragraph">
              <wp:posOffset>-800735</wp:posOffset>
            </wp:positionV>
            <wp:extent cx="7200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3" w:name="page214"/>
    <w:bookmarkEnd w:id="213"/>
    <w:p>
      <w:pPr>
        <w:spacing w:after="0" w:line="250" w:lineRule="auto"/>
        <w:rPr>
          <w:sz w:val="20"/>
          <w:szCs w:val="20"/>
          <w:color w:val="auto"/>
        </w:rPr>
      </w:pPr>
      <w:r>
        <w:rPr>
          <w:rFonts w:ascii="Arial" w:cs="Arial" w:eastAsia="Arial" w:hAnsi="Arial"/>
          <w:sz w:val="22"/>
          <w:szCs w:val="22"/>
          <w:color w:val="auto"/>
        </w:rPr>
        <w:t>extent determined by the Managing Member, include shares of stock in the Managing Member) shall be applied and distributed in the following order:</w:t>
      </w:r>
    </w:p>
    <w:p>
      <w:pPr>
        <w:spacing w:after="0" w:line="175" w:lineRule="exact"/>
        <w:rPr>
          <w:sz w:val="20"/>
          <w:szCs w:val="20"/>
          <w:color w:val="auto"/>
        </w:rPr>
      </w:pPr>
    </w:p>
    <w:p>
      <w:pPr>
        <w:jc w:val="both"/>
        <w:ind w:firstLine="2600"/>
        <w:spacing w:after="0" w:line="257" w:lineRule="auto"/>
        <w:tabs>
          <w:tab w:leader="none" w:pos="3444" w:val="left"/>
        </w:tabs>
        <w:numPr>
          <w:ilvl w:val="1"/>
          <w:numId w:val="141"/>
        </w:numPr>
        <w:rPr>
          <w:rFonts w:ascii="Arial" w:cs="Arial" w:eastAsia="Arial" w:hAnsi="Arial"/>
          <w:sz w:val="21"/>
          <w:szCs w:val="21"/>
          <w:color w:val="auto"/>
        </w:rPr>
      </w:pPr>
      <w:r>
        <w:rPr>
          <w:rFonts w:ascii="Arial" w:cs="Arial" w:eastAsia="Arial" w:hAnsi="Arial"/>
          <w:sz w:val="21"/>
          <w:szCs w:val="21"/>
          <w:color w:val="auto"/>
        </w:rPr>
        <w:t>First, to the satisfaction of all of the Company’s Debts and liabilities to creditors, including Members who are creditors (other than with respect to liabilities owed to Members in satisfaction of liabilities for previously declared distributions), whether by payment or the making of reasonable provision for payment thereof;</w:t>
      </w:r>
    </w:p>
    <w:p>
      <w:pPr>
        <w:spacing w:after="0" w:line="169" w:lineRule="exact"/>
        <w:rPr>
          <w:rFonts w:ascii="Arial" w:cs="Arial" w:eastAsia="Arial" w:hAnsi="Arial"/>
          <w:sz w:val="21"/>
          <w:szCs w:val="21"/>
          <w:color w:val="auto"/>
        </w:rPr>
      </w:pPr>
    </w:p>
    <w:p>
      <w:pPr>
        <w:jc w:val="both"/>
        <w:ind w:firstLine="2600"/>
        <w:spacing w:after="0"/>
        <w:tabs>
          <w:tab w:leader="none" w:pos="350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Second, to the satisfaction of all of the Company’s liabilities to the Members in satisfaction of liabilities for previously declared distributions, whether by payment or the making of reasonable provision for payment thereof; and</w:t>
      </w:r>
    </w:p>
    <w:p>
      <w:pPr>
        <w:spacing w:after="0" w:line="186" w:lineRule="exact"/>
        <w:rPr>
          <w:rFonts w:ascii="Arial" w:cs="Arial" w:eastAsia="Arial" w:hAnsi="Arial"/>
          <w:sz w:val="22"/>
          <w:szCs w:val="22"/>
          <w:color w:val="auto"/>
        </w:rPr>
      </w:pPr>
    </w:p>
    <w:p>
      <w:pPr>
        <w:ind w:left="3580" w:hanging="980"/>
        <w:spacing w:after="0"/>
        <w:tabs>
          <w:tab w:leader="none" w:pos="3580"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balance, if any, to the Members, in the same order of priorities provided for in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Article III.</w:t>
      </w:r>
    </w:p>
    <w:p>
      <w:pPr>
        <w:spacing w:after="0" w:line="188" w:lineRule="exact"/>
        <w:rPr>
          <w:rFonts w:ascii="Arial" w:cs="Arial" w:eastAsia="Arial" w:hAnsi="Arial"/>
          <w:sz w:val="21"/>
          <w:szCs w:val="21"/>
          <w:color w:val="auto"/>
        </w:rPr>
      </w:pPr>
    </w:p>
    <w:p>
      <w:pPr>
        <w:ind w:left="2640" w:hanging="905"/>
        <w:spacing w:after="0"/>
        <w:tabs>
          <w:tab w:leader="none" w:pos="264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Discretion of Liquidator and Managing Member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73" w:lineRule="auto"/>
        <w:tabs>
          <w:tab w:leader="none" w:pos="3444"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that require liquidation of the Assets, but subject to the order of priorities set forth therein, if prior to or upon dissolution of the Company, the Liquidator determines that an immediate sale of part or all of the Company’s Assets would be impractical or would cause undue loss to the Members, the Liquidator may, in its sole and absolute discretion, defer for a reasonable time the liquidation of any Assets except those necessary to satisfy liabilities of the Company (including to those Members as creditors) and/or distribute to the Members, in lieu of cash, as tenants in common and in accordance with the provisions of </w:t>
      </w:r>
      <w:r>
        <w:rPr>
          <w:rFonts w:ascii="Arial" w:cs="Arial" w:eastAsia="Arial" w:hAnsi="Arial"/>
          <w:sz w:val="19"/>
          <w:szCs w:val="19"/>
          <w:u w:val="single" w:color="auto"/>
          <w:color w:val="auto"/>
        </w:rPr>
        <w:t>Section 10.3(a</w:t>
      </w:r>
      <w:r>
        <w:rPr>
          <w:rFonts w:ascii="Arial" w:cs="Arial" w:eastAsia="Arial" w:hAnsi="Arial"/>
          <w:sz w:val="19"/>
          <w:szCs w:val="19"/>
          <w:color w:val="auto"/>
        </w:rPr>
        <w:t>), undivided interests in such Company Assets as the Liquidator deems not suitable for liquidation. Any such distributions in kind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60" w:lineRule="exact"/>
        <w:rPr>
          <w:rFonts w:ascii="Arial" w:cs="Arial" w:eastAsia="Arial" w:hAnsi="Arial"/>
          <w:sz w:val="19"/>
          <w:szCs w:val="19"/>
          <w:color w:val="auto"/>
        </w:rPr>
      </w:pPr>
    </w:p>
    <w:p>
      <w:pPr>
        <w:ind w:left="3520" w:hanging="920"/>
        <w:spacing w:after="0"/>
        <w:tabs>
          <w:tab w:leader="none" w:pos="352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In the sole and absolute discretion of the Managing Member,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distributions that would otherwise be made to the Members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may be:</w:t>
      </w:r>
    </w:p>
    <w:p>
      <w:pPr>
        <w:spacing w:after="0" w:line="188" w:lineRule="exact"/>
        <w:rPr>
          <w:rFonts w:ascii="Arial" w:cs="Arial" w:eastAsia="Arial" w:hAnsi="Arial"/>
          <w:sz w:val="19"/>
          <w:szCs w:val="19"/>
          <w:color w:val="auto"/>
        </w:rPr>
      </w:pPr>
    </w:p>
    <w:p>
      <w:pPr>
        <w:jc w:val="both"/>
        <w:ind w:firstLine="3464"/>
        <w:spacing w:after="0" w:line="248" w:lineRule="auto"/>
        <w:tabs>
          <w:tab w:leader="none" w:pos="4332" w:val="left"/>
        </w:tabs>
        <w:numPr>
          <w:ilvl w:val="2"/>
          <w:numId w:val="142"/>
        </w:numPr>
        <w:rPr>
          <w:rFonts w:ascii="Arial" w:cs="Arial" w:eastAsia="Arial" w:hAnsi="Arial"/>
          <w:sz w:val="21"/>
          <w:szCs w:val="21"/>
          <w:color w:val="010000"/>
        </w:rPr>
      </w:pPr>
      <w:r>
        <w:rPr>
          <w:rFonts w:ascii="Arial" w:cs="Arial" w:eastAsia="Arial" w:hAnsi="Arial"/>
          <w:sz w:val="21"/>
          <w:szCs w:val="21"/>
          <w:color w:val="auto"/>
        </w:rPr>
        <w:t>Distributed to a trust established for the benefit of the Managing Member and the Members for the purpose of liquidating Company Assets, collecting amounts owed to the Company, and paying any contingent or unforeseen liabilities or obligations of the Company or of the Managing Member arising out of or in connection with the Company and/or Company activities. The assets of any such trust shall be distributed to the Members, from time to time, in the reasonable discretion of the Managing Member, in the same proportions and amounts as would otherwise have been distributed to the Members pursuant to this Agreement; or</w:t>
      </w:r>
    </w:p>
    <w:p>
      <w:pPr>
        <w:spacing w:after="0" w:line="176" w:lineRule="exact"/>
        <w:rPr>
          <w:rFonts w:ascii="Arial" w:cs="Arial" w:eastAsia="Arial" w:hAnsi="Arial"/>
          <w:sz w:val="21"/>
          <w:szCs w:val="21"/>
          <w:color w:val="010000"/>
        </w:rPr>
      </w:pPr>
    </w:p>
    <w:p>
      <w:pPr>
        <w:jc w:val="both"/>
        <w:ind w:firstLine="3464"/>
        <w:spacing w:after="0" w:line="238" w:lineRule="auto"/>
        <w:tabs>
          <w:tab w:leader="none" w:pos="4320" w:val="left"/>
        </w:tabs>
        <w:numPr>
          <w:ilvl w:val="2"/>
          <w:numId w:val="142"/>
        </w:numPr>
        <w:rPr>
          <w:rFonts w:ascii="Arial" w:cs="Arial" w:eastAsia="Arial" w:hAnsi="Arial"/>
          <w:sz w:val="22"/>
          <w:szCs w:val="22"/>
          <w:color w:val="010000"/>
        </w:rPr>
      </w:pPr>
      <w:r>
        <w:rPr>
          <w:rFonts w:ascii="Arial" w:cs="Arial" w:eastAsia="Arial" w:hAnsi="Arial"/>
          <w:sz w:val="22"/>
          <w:szCs w:val="22"/>
          <w:color w:val="auto"/>
        </w:rPr>
        <w:t xml:space="preserve">Withheld or escrowed to provide a reasonable reserve for Company liabilities (contingent or otherwise) and to reflect the unrealized portion of any installment obligations owed to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withheld or escrowed amounts shall be distributed to the Members in the manner and order of priority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10.3(a)</w:t>
      </w:r>
      <w:r>
        <w:rPr>
          <w:rFonts w:ascii="Arial" w:cs="Arial" w:eastAsia="Arial" w:hAnsi="Arial"/>
          <w:sz w:val="22"/>
          <w:szCs w:val="22"/>
          <w:color w:val="auto"/>
        </w:rPr>
        <w:t xml:space="preserve">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-4265930</wp:posOffset>
            </wp:positionV>
            <wp:extent cx="5518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55181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4" w:name="page215"/>
    <w:bookmarkEnd w:id="214"/>
    <w:p>
      <w:pPr>
        <w:jc w:val="both"/>
        <w:ind w:firstLine="864"/>
        <w:spacing w:after="0" w:line="27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Rights of Members</w:t>
      </w:r>
      <w:r>
        <w:rPr>
          <w:rFonts w:ascii="Arial" w:cs="Arial" w:eastAsia="Arial" w:hAnsi="Arial"/>
          <w:sz w:val="19"/>
          <w:szCs w:val="19"/>
          <w:color w:val="auto"/>
        </w:rPr>
        <w:t>. Except as otherwise provided in this Agreement and subject to the rights of any Member set forth in a Unit Designation, (a) each Member shall look solely to the Assets for the return of its Capital Contribution, (b) no Member shall have the right or power to demand or receive property other than cash from the Company, and</w:t>
      </w:r>
    </w:p>
    <w:p>
      <w:pPr>
        <w:spacing w:after="0" w:line="1" w:lineRule="exact"/>
        <w:rPr>
          <w:sz w:val="20"/>
          <w:szCs w:val="20"/>
          <w:color w:val="auto"/>
        </w:rPr>
      </w:pPr>
    </w:p>
    <w:p>
      <w:pPr>
        <w:ind w:firstLine="8"/>
        <w:spacing w:after="0" w:line="236" w:lineRule="auto"/>
        <w:tabs>
          <w:tab w:leader="none" w:pos="34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no Member shall have priority over any other Member as to the return of its Capital Contributions, distributions, or allocations.</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The Company shall terminate when all of the Assets, after payment of or due provision for all Debts, liabilities, and obligations of the Company, have been distributed to the Members in the manner provided for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the Certificate of Formation shall have been cancelled in the manner required by the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PROCEDURES FOR ACTIONS AND CONSENTS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MEMBERS; AMENDMENTS; MEETINGS</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Actions and Consents of Members</w:t>
      </w:r>
      <w:r>
        <w:rPr>
          <w:rFonts w:ascii="Arial" w:cs="Arial" w:eastAsia="Arial" w:hAnsi="Arial"/>
          <w:sz w:val="22"/>
          <w:szCs w:val="22"/>
          <w:color w:val="auto"/>
        </w:rPr>
        <w:t xml:space="preserve">. The actions requiring Consent of any Member pursuant to this Agreement or otherwise pursuant to Law are subject to the procedures set forth in this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Except as otherwise required or permitted by this Agreement (including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4.1(f</w:t>
      </w:r>
      <w:r>
        <w:rPr>
          <w:rFonts w:ascii="Arial" w:cs="Arial" w:eastAsia="Arial" w:hAnsi="Arial"/>
          <w:sz w:val="22"/>
          <w:szCs w:val="22"/>
          <w:color w:val="auto"/>
        </w:rPr>
        <w:t>)), amendments to this Agreement must be approved by the Managing Member and a Majority-in-Interest of the Members. Upon obtaining any such Consent, or any other Consent required by this Agreement, and without further action or execution by any other Person, including any Member, (i) any amendment to this Agreement may be implemented and reflected in a writing executed solely by the Managing Member, and (ii) the Members shall be deemed a party to and bound by such amendment of this Agreement.</w:t>
      </w:r>
    </w:p>
    <w:p>
      <w:pPr>
        <w:spacing w:after="0" w:line="18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Procedures for Meetings and Actions of the Members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Time; Quorum; Consent</w:t>
      </w:r>
      <w:r>
        <w:rPr>
          <w:rFonts w:ascii="Arial" w:cs="Arial" w:eastAsia="Arial" w:hAnsi="Arial"/>
          <w:sz w:val="22"/>
          <w:szCs w:val="22"/>
          <w:color w:val="auto"/>
        </w:rPr>
        <w:t xml:space="preserve">. Meetings of the Members may be called only by the Managing Member and shall state the nature of the business to be transacted. Notice of any such meeting shall be given to all Members entitled to act at the meeting not less than two (2) days nor more than ninety (90) days prior to the date of such meeting. Members may vote in Person or by proxy at such meeting. Unless approval by a different number or proportion of the Members is required by this Agreement or any Unit Designation, the affirmative vote of a Majority-in-Interest of the Members shall be sufficient to approve such proposal at a meeting of the Members. Whenever the Consent of any Members is permitted or required under this Agreement, such Consent may be given at a meeting of Members or in accordance with the procedure prescribed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11.3(b)</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Written Consents</w:t>
      </w:r>
      <w:r>
        <w:rPr>
          <w:rFonts w:ascii="Arial" w:cs="Arial" w:eastAsia="Arial" w:hAnsi="Arial"/>
          <w:sz w:val="19"/>
          <w:szCs w:val="19"/>
          <w:color w:val="auto"/>
        </w:rPr>
        <w:t>. Any action requiring the Consent of any Member or a group of Members pursuant to this Agreement or that is required or permitted to be taken at a meeting of the Members may be taken without a meeting if a Consent in writing or by electronic transmission setting forth the action so taken or consented to is given by Members whose affirmative vote would be sufficient to approve such action or provide such Consent at a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5" w:name="page216"/>
    <w:bookmarkEnd w:id="215"/>
    <w:p>
      <w:pPr>
        <w:jc w:val="both"/>
        <w:spacing w:after="0" w:line="277" w:lineRule="auto"/>
        <w:rPr>
          <w:sz w:val="20"/>
          <w:szCs w:val="20"/>
          <w:color w:val="auto"/>
        </w:rPr>
      </w:pPr>
      <w:r>
        <w:rPr>
          <w:rFonts w:ascii="Arial" w:cs="Arial" w:eastAsia="Arial" w:hAnsi="Arial"/>
          <w:sz w:val="19"/>
          <w:szCs w:val="19"/>
          <w:color w:val="auto"/>
        </w:rPr>
        <w:t xml:space="preserve">of the Members. Such Consent may be in one instrument or in several instruments and shall have the same force and effect as the affirmative vote of such Members at a meeting of the Members. Such Consent shall be filed with the Managing Member. An action so taken shall be deemed to have been taken at a meeting held on the effective date so certified. For purposes of obtaining a Consent in writing or by electronic transmission, the Managing Member may require a response within a reasonable specified time, but not less than two (2) days after receipt of notice, and failure to respond in such time period shall constitute a Consent that is consistent with the Managing Member’s recommendation with respect to the proposal;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 action shall become effective at such time as requisite Consents are received even if prior to such specified time.</w:t>
      </w:r>
    </w:p>
    <w:p>
      <w:pPr>
        <w:spacing w:after="0" w:line="152" w:lineRule="exact"/>
        <w:rPr>
          <w:sz w:val="20"/>
          <w:szCs w:val="20"/>
          <w:color w:val="auto"/>
        </w:rPr>
      </w:pPr>
    </w:p>
    <w:p>
      <w:pPr>
        <w:jc w:val="both"/>
        <w:ind w:firstLine="1735"/>
        <w:spacing w:after="0" w:line="246" w:lineRule="auto"/>
        <w:tabs>
          <w:tab w:leader="none" w:pos="2615"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Proxy</w:t>
      </w:r>
      <w:r>
        <w:rPr>
          <w:rFonts w:ascii="Arial" w:cs="Arial" w:eastAsia="Arial" w:hAnsi="Arial"/>
          <w:sz w:val="21"/>
          <w:szCs w:val="21"/>
          <w:color w:val="auto"/>
        </w:rPr>
        <w:t>. Each Member entitled to act at a meeting of Members may authorize any Person or Persons to act for it by proxy on all matters in which a Member is entitled to participate, including waiving notice of any meeting, or voting or participating at a meeting. Each proxy must be signed by the Member or its attorney-in-fact. No proxy shall be valid after the expiration of eleven (11) months from the date thereof unless otherwise provided in the proxy (or there is receipt of a proxy authorizing a later date). Every proxy shall be revocable at the pleasure of the Member executing it, such revocation to be effective upon the Company’s receipt of written notice of such revocation from the Member executing such proxy, unless such proxy states that it is irrevocable and is coupled with an interest.</w:t>
      </w:r>
    </w:p>
    <w:p>
      <w:pPr>
        <w:spacing w:after="0" w:line="184" w:lineRule="exact"/>
        <w:rPr>
          <w:rFonts w:ascii="Arial" w:cs="Arial" w:eastAsia="Arial" w:hAnsi="Arial"/>
          <w:sz w:val="21"/>
          <w:szCs w:val="21"/>
          <w:color w:val="auto"/>
        </w:rPr>
      </w:pPr>
    </w:p>
    <w:p>
      <w:pPr>
        <w:jc w:val="both"/>
        <w:ind w:firstLine="1735"/>
        <w:spacing w:after="0" w:line="245" w:lineRule="auto"/>
        <w:tabs>
          <w:tab w:leader="none" w:pos="2627"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Record Date for Meetings</w:t>
      </w:r>
      <w:r>
        <w:rPr>
          <w:rFonts w:ascii="Arial" w:cs="Arial" w:eastAsia="Arial" w:hAnsi="Arial"/>
          <w:sz w:val="21"/>
          <w:szCs w:val="21"/>
          <w:color w:val="auto"/>
        </w:rPr>
        <w:t>. The Managing Member may set, in advance, a Record Date for the purpose of determining the Members (i) entitled to Consent to any action, (ii) entitled to receive notice of or vote at any meeting of the Members or (iii) in order to make a determination of Members for any other proper purpose. Any such date shall not be before the close of business on the day the Record Date is fixed and shall be not more than ninety (90) days and, in the case of a meeting of the Members, not less than two (2) days, before the date on which the meeting is to be held. If no Record Date is fixed, the Record Date for the determination of Members entitled to notice of or to vote at a meeting of the Members shall be at the close of business on the day on which the notice of the meeting is sent, and the Record Date for any other determination of Members shall be the effective date of such Member action, distribution or other event. When a determination of the Members entitled to vote at any meeting of the Members has been made as provided in this section, such determination shall apply to any adjournment thereof.</w:t>
      </w:r>
    </w:p>
    <w:p>
      <w:pPr>
        <w:spacing w:after="0" w:line="180" w:lineRule="exact"/>
        <w:rPr>
          <w:rFonts w:ascii="Arial" w:cs="Arial" w:eastAsia="Arial" w:hAnsi="Arial"/>
          <w:sz w:val="21"/>
          <w:szCs w:val="21"/>
          <w:color w:val="auto"/>
        </w:rPr>
      </w:pPr>
    </w:p>
    <w:p>
      <w:pPr>
        <w:jc w:val="both"/>
        <w:ind w:right="20" w:firstLine="1735"/>
        <w:spacing w:after="0"/>
        <w:tabs>
          <w:tab w:leader="none" w:pos="2615"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Conduct of Meetings</w:t>
      </w:r>
      <w:r>
        <w:rPr>
          <w:rFonts w:ascii="Arial" w:cs="Arial" w:eastAsia="Arial" w:hAnsi="Arial"/>
          <w:sz w:val="22"/>
          <w:szCs w:val="22"/>
          <w:color w:val="auto"/>
        </w:rPr>
        <w:t>. Each meeting of Members shall be conducted by the Managing Member or such other Person as the Managing Member may appoint pursuant to such rules for the conduct of the meeting as the Managing Member or such other Person deems appropriate.</w:t>
      </w:r>
    </w:p>
    <w:p>
      <w:pPr>
        <w:spacing w:after="0" w:line="186" w:lineRule="exact"/>
        <w:rPr>
          <w:rFonts w:ascii="Arial" w:cs="Arial" w:eastAsia="Arial" w:hAnsi="Arial"/>
          <w:sz w:val="22"/>
          <w:szCs w:val="22"/>
          <w:color w:val="auto"/>
        </w:rPr>
      </w:pPr>
    </w:p>
    <w:p>
      <w:pPr>
        <w:ind w:right="20" w:firstLine="1735"/>
        <w:spacing w:after="0" w:line="250" w:lineRule="auto"/>
        <w:tabs>
          <w:tab w:leader="none" w:pos="2591"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Any time period for notice with respect to meetings or consents of the Members may be waived by a Member as to such Member.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EXCHANGE RIGHTS</w:t>
      </w:r>
    </w:p>
    <w:p>
      <w:pPr>
        <w:spacing w:after="0" w:line="21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Elective and Mandatory Exchanges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Elective Exchanges</w:t>
      </w:r>
      <w:r>
        <w:rPr>
          <w:rFonts w:ascii="Arial" w:cs="Arial" w:eastAsia="Arial" w:hAnsi="Arial"/>
          <w:sz w:val="21"/>
          <w:szCs w:val="21"/>
          <w:color w:val="auto"/>
        </w:rPr>
        <w:t xml:space="preserve">. An Exchangeable Unit Member shall have the right, from time to time, to surrender Exchangeable Units, along with an equivalent number of shares of Class B Common Stock (in each case, free and clear of all liens, encumbrances, rights of first refusal and similar restrictions, except for those arising under this Agreement) to the Company or the Managing Member and to thereby cause the Company or the Managing Member to deliver to that Exchangeable Unit Member (or its designee) the Exchange Consideration as set forth in </w:t>
      </w:r>
      <w:r>
        <w:rPr>
          <w:rFonts w:ascii="Arial" w:cs="Arial" w:eastAsia="Arial" w:hAnsi="Arial"/>
          <w:sz w:val="21"/>
          <w:szCs w:val="21"/>
          <w:u w:val="single" w:color="auto"/>
          <w:color w:val="auto"/>
        </w:rPr>
        <w:t>Section 12.3</w:t>
      </w:r>
      <w:r>
        <w:rPr>
          <w:rFonts w:ascii="Arial" w:cs="Arial" w:eastAsia="Arial" w:hAnsi="Arial"/>
          <w:sz w:val="21"/>
          <w:szCs w:val="21"/>
          <w:color w:val="auto"/>
        </w:rPr>
        <w:t xml:space="preserve"> (an “</w:t>
      </w:r>
      <w:r>
        <w:rPr>
          <w:rFonts w:ascii="Arial" w:cs="Arial" w:eastAsia="Arial" w:hAnsi="Arial"/>
          <w:sz w:val="21"/>
          <w:szCs w:val="21"/>
          <w:u w:val="single" w:color="auto"/>
          <w:color w:val="auto"/>
        </w:rPr>
        <w:t>Elective Exchange</w:t>
      </w:r>
      <w:r>
        <w:rPr>
          <w:rFonts w:ascii="Arial" w:cs="Arial" w:eastAsia="Arial" w:hAnsi="Arial"/>
          <w:sz w:val="21"/>
          <w:szCs w:val="21"/>
          <w:color w:val="auto"/>
        </w:rPr>
        <w:t>”). Exchangeable Unit Members shall not have the right to effect an Elective Exchange for less than any Minimum Exchangeable Amount established from time to time by the Managing Member or at times to not permitted by the Policies established from time to time by the Managing Member, in each case without the consent of the Managing Member or as otherwise provided in this Agreement. The Managing Member shall have the authority to set and amend any Minimum Exchangeable Amount and establish and amend Policies in its reasonable discretion taking into account reasonable and appropriate liquidity interests of Exchangeable Unit Members.</w:t>
      </w:r>
    </w:p>
    <w:p>
      <w:pPr>
        <w:spacing w:after="0" w:line="188" w:lineRule="exact"/>
        <w:rPr>
          <w:rFonts w:ascii="Arial" w:cs="Arial" w:eastAsia="Arial" w:hAnsi="Arial"/>
          <w:sz w:val="21"/>
          <w:szCs w:val="21"/>
          <w:color w:val="auto"/>
        </w:rPr>
      </w:pPr>
    </w:p>
    <w:p>
      <w:pPr>
        <w:jc w:val="both"/>
        <w:ind w:firstLine="1735"/>
        <w:spacing w:after="0" w:line="234" w:lineRule="auto"/>
        <w:tabs>
          <w:tab w:leader="none" w:pos="2627"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Exchange Notice</w:t>
      </w:r>
      <w:r>
        <w:rPr>
          <w:rFonts w:ascii="Arial" w:cs="Arial" w:eastAsia="Arial" w:hAnsi="Arial"/>
          <w:sz w:val="22"/>
          <w:szCs w:val="22"/>
          <w:color w:val="auto"/>
        </w:rPr>
        <w:t>. An Exchangeable Unit Member shall exercise its right to an Elective Exchange by delivering to the Company, with a contemporaneous copy delivered to the Managing Member, in each case during normal business hours at the principal executive offices of the Company and the Managing Member, respectively, a written election of exchange in respect of the Exchangeable Units to be exchanged (an “</w:t>
      </w:r>
      <w:r>
        <w:rPr>
          <w:rFonts w:ascii="Arial" w:cs="Arial" w:eastAsia="Arial" w:hAnsi="Arial"/>
          <w:sz w:val="22"/>
          <w:szCs w:val="22"/>
          <w:u w:val="single" w:color="auto"/>
          <w:color w:val="auto"/>
        </w:rPr>
        <w:t>Elective Exchange Notice</w:t>
      </w:r>
      <w:r>
        <w:rPr>
          <w:rFonts w:ascii="Arial" w:cs="Arial" w:eastAsia="Arial" w:hAnsi="Arial"/>
          <w:sz w:val="22"/>
          <w:szCs w:val="22"/>
          <w:color w:val="auto"/>
        </w:rPr>
        <w:t>”), duly executed by such the Exchangeable Unit Member. An Elective Exchange Notice must be delivered at least one week before the proposed Elective Exchange Date or such other date as may be specified in the Policies then in effect, unless otherwise consented by the Managing Member.</w:t>
      </w:r>
    </w:p>
    <w:p>
      <w:pPr>
        <w:spacing w:after="0" w:line="190" w:lineRule="exact"/>
        <w:rPr>
          <w:rFonts w:ascii="Arial" w:cs="Arial" w:eastAsia="Arial" w:hAnsi="Arial"/>
          <w:sz w:val="22"/>
          <w:szCs w:val="22"/>
          <w:color w:val="auto"/>
        </w:rPr>
      </w:pPr>
    </w:p>
    <w:p>
      <w:pPr>
        <w:jc w:val="both"/>
        <w:ind w:firstLine="2600"/>
        <w:spacing w:after="0" w:line="277" w:lineRule="auto"/>
        <w:tabs>
          <w:tab w:leader="none" w:pos="344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An Exchangeable Unit Member may specify, in an applicable Elective Exchange Notice, that the Elective Exchange is to be contingent (including as to timing) upon the occurrence of any transaction or event, including the consummation of a purchase by another Person (whether in a tender or exchange offer, an underwritten offering, change of control transaction or otherwise) of shares of Class A Common Stock or any merger, consolidation or other business combination. The failure of such contingency to occur shall terminate all of the Exchangeable Unit Member’s, Company’s and Managing Member’s rights and obligations arising from that particular Elective Exchange Notice, and all actions taken to effect the Elective Exchange contemplated by that Elective Exchange Notice shall be deemed rescinded.</w:t>
      </w:r>
    </w:p>
    <w:p>
      <w:pPr>
        <w:spacing w:after="0" w:line="151" w:lineRule="exact"/>
        <w:rPr>
          <w:rFonts w:ascii="Arial" w:cs="Arial" w:eastAsia="Arial" w:hAnsi="Arial"/>
          <w:sz w:val="19"/>
          <w:szCs w:val="19"/>
          <w:color w:val="auto"/>
        </w:rPr>
      </w:pPr>
    </w:p>
    <w:p>
      <w:pPr>
        <w:jc w:val="both"/>
        <w:ind w:firstLine="2600"/>
        <w:spacing w:after="0" w:line="235" w:lineRule="auto"/>
        <w:tabs>
          <w:tab w:leader="none" w:pos="35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After the Elective Exchange Notice and corresponding Certificates have been delivered to the Managing Member, and unless such Exchangeable Unit Member timely has delivered a Retraction Notice pursuant to Section 12.1(b)(iii) or the Company or Managing Member, as applicable, has refused to honor the request in full pursuant to Section 12.2(c), the Company or Managing Member, as applicable, will effect the Elective Exchange in accordance with the Policies and inform the Exchangeable Unit Member of the effective date of such Elective Exchange (the “</w:t>
      </w:r>
      <w:r>
        <w:rPr>
          <w:rFonts w:ascii="Arial" w:cs="Arial" w:eastAsia="Arial" w:hAnsi="Arial"/>
          <w:sz w:val="22"/>
          <w:szCs w:val="22"/>
          <w:u w:val="single" w:color="auto"/>
          <w:color w:val="auto"/>
        </w:rPr>
        <w:t>Elective Exchange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140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1014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8553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85534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7" w:name="page218"/>
    <w:bookmarkEnd w:id="217"/>
    <w:p>
      <w:pPr>
        <w:jc w:val="both"/>
        <w:ind w:firstLine="2600"/>
        <w:spacing w:after="0" w:line="272" w:lineRule="auto"/>
        <w:tabs>
          <w:tab w:leader="none" w:pos="3564"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Notwithstanding any provisions of this Agreement to the contrary, if there is a five percent (5%) or greater drop in the reported closing trading price of a share of Class A Common Stock on the principal U.S. securities exchange or automated or electronic quotation system on which the Class A Common Stock trades after the delivery of an Elective Exchange Notice and prior to 5:00 p.m., Pacific time, on the Business Day immediately prior to the applicable Elective Exchange Date (the “</w:t>
      </w:r>
      <w:r>
        <w:rPr>
          <w:rFonts w:ascii="Arial" w:cs="Arial" w:eastAsia="Arial" w:hAnsi="Arial"/>
          <w:sz w:val="19"/>
          <w:szCs w:val="19"/>
          <w:u w:val="single" w:color="auto"/>
          <w:color w:val="auto"/>
        </w:rPr>
        <w:t>Retraction Deadline</w:t>
      </w:r>
      <w:r>
        <w:rPr>
          <w:rFonts w:ascii="Arial" w:cs="Arial" w:eastAsia="Arial" w:hAnsi="Arial"/>
          <w:sz w:val="19"/>
          <w:szCs w:val="19"/>
          <w:color w:val="auto"/>
        </w:rPr>
        <w:t>”), an Exchangeable Unit Member may withdraw or amend its Elective Exchange Notice, in whole or in part, by giving written notice at any time prior to the Retraction Deadline (a “</w:t>
      </w:r>
      <w:r>
        <w:rPr>
          <w:rFonts w:ascii="Arial" w:cs="Arial" w:eastAsia="Arial" w:hAnsi="Arial"/>
          <w:sz w:val="19"/>
          <w:szCs w:val="19"/>
          <w:u w:val="single" w:color="auto"/>
          <w:color w:val="auto"/>
        </w:rPr>
        <w:t>Retraction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to the Company (with a copy to the Managing Member) specifying (A) the number of withdrawn Exchangeable Units and an equivalent number of shares of Class B Common Stock and (B) the number of Exchangeable Units and an equivalent number of shares of Class B Common Stock as to which the Elective Exchange Notice remains in effect. The timely delivery of a Retraction Notice indicating an entire withdrawal of the Elective Exchange Notice shall terminate all of the Exchangeable Unit Member’s, Company’s and Managing Member’s rights and obligations arising from that particular Elective Exchange Notice, and all actions taken to effect the Elective Exchange contemplated by that Elective Exchange Notice shall be deemed rescinded.</w:t>
      </w:r>
    </w:p>
    <w:p>
      <w:pPr>
        <w:spacing w:after="0" w:line="160" w:lineRule="exact"/>
        <w:rPr>
          <w:rFonts w:ascii="Arial" w:cs="Arial" w:eastAsia="Arial" w:hAnsi="Arial"/>
          <w:sz w:val="19"/>
          <w:szCs w:val="19"/>
          <w:color w:val="auto"/>
        </w:rPr>
      </w:pPr>
    </w:p>
    <w:p>
      <w:pPr>
        <w:ind w:left="2620" w:hanging="885"/>
        <w:spacing w:after="0"/>
        <w:tabs>
          <w:tab w:leader="none" w:pos="2620"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Mandatory Exchange Events</w:t>
      </w:r>
      <w:r>
        <w:rPr>
          <w:rFonts w:ascii="Arial" w:cs="Arial" w:eastAsia="Arial" w:hAnsi="Arial"/>
          <w:sz w:val="19"/>
          <w:szCs w:val="19"/>
          <w:color w:val="auto"/>
        </w:rPr>
        <w:t>.  Units are subject to Mandatory Exchange in each of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circumstances:</w:t>
      </w:r>
    </w:p>
    <w:p>
      <w:pPr>
        <w:spacing w:after="0" w:line="188" w:lineRule="exact"/>
        <w:rPr>
          <w:rFonts w:ascii="Arial" w:cs="Arial" w:eastAsia="Arial" w:hAnsi="Arial"/>
          <w:sz w:val="19"/>
          <w:szCs w:val="19"/>
          <w:color w:val="auto"/>
        </w:rPr>
      </w:pPr>
    </w:p>
    <w:p>
      <w:pPr>
        <w:ind w:left="3460" w:hanging="860"/>
        <w:spacing w:after="0"/>
        <w:tabs>
          <w:tab w:leader="none" w:pos="346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8.5</w:t>
      </w:r>
      <w:r>
        <w:rPr>
          <w:rFonts w:ascii="Arial" w:cs="Arial" w:eastAsia="Arial" w:hAnsi="Arial"/>
          <w:sz w:val="22"/>
          <w:szCs w:val="22"/>
          <w:color w:val="auto"/>
        </w:rPr>
        <w:t>; or</w:t>
      </w:r>
    </w:p>
    <w:p>
      <w:pPr>
        <w:spacing w:after="0" w:line="206" w:lineRule="exact"/>
        <w:rPr>
          <w:sz w:val="20"/>
          <w:szCs w:val="20"/>
          <w:color w:val="auto"/>
        </w:rPr>
      </w:pPr>
    </w:p>
    <w:p>
      <w:pPr>
        <w:jc w:val="both"/>
        <w:ind w:firstLine="2600"/>
        <w:spacing w:after="0"/>
        <w:tabs>
          <w:tab w:leader="none" w:pos="3504"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in the discretion of the Managing Member, with the consent of Members whose Class B Units represent fifty percent (50%) of the Class B Units of all Members in the aggregate, all Members may be required to exchange all Class B Units then held by the Members.</w:t>
      </w:r>
    </w:p>
    <w:p>
      <w:pPr>
        <w:spacing w:after="0" w:line="186" w:lineRule="exact"/>
        <w:rPr>
          <w:rFonts w:ascii="Arial" w:cs="Arial" w:eastAsia="Arial" w:hAnsi="Arial"/>
          <w:sz w:val="22"/>
          <w:szCs w:val="22"/>
          <w:color w:val="auto"/>
        </w:rPr>
      </w:pPr>
    </w:p>
    <w:p>
      <w:pPr>
        <w:jc w:val="both"/>
        <w:ind w:firstLine="1735"/>
        <w:spacing w:after="0" w:line="245" w:lineRule="auto"/>
        <w:tabs>
          <w:tab w:leader="none" w:pos="2627"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Mandatory Exchange Mechanics</w:t>
      </w:r>
      <w:r>
        <w:rPr>
          <w:rFonts w:ascii="Arial" w:cs="Arial" w:eastAsia="Arial" w:hAnsi="Arial"/>
          <w:sz w:val="21"/>
          <w:szCs w:val="21"/>
          <w:color w:val="auto"/>
        </w:rPr>
        <w:t>. Upon the occurrence of either of the circumstances set out in Section 12.1(c) the Managing Member may exercise its right to cause a mandatory exchange of a Member’s Exchangeable Units and an equivalent number of shares of Class B Common Stock (a “</w:t>
      </w:r>
      <w:r>
        <w:rPr>
          <w:rFonts w:ascii="Arial" w:cs="Arial" w:eastAsia="Arial" w:hAnsi="Arial"/>
          <w:sz w:val="21"/>
          <w:szCs w:val="21"/>
          <w:u w:val="single" w:color="auto"/>
          <w:color w:val="auto"/>
        </w:rPr>
        <w:t>Mandatory Exchange</w:t>
      </w:r>
      <w:r>
        <w:rPr>
          <w:rFonts w:ascii="Arial" w:cs="Arial" w:eastAsia="Arial" w:hAnsi="Arial"/>
          <w:sz w:val="21"/>
          <w:szCs w:val="21"/>
          <w:color w:val="auto"/>
        </w:rPr>
        <w:t xml:space="preserve">”) by delivering to each Member a written notice pursuant to the notice provisions in </w:t>
      </w:r>
      <w:r>
        <w:rPr>
          <w:rFonts w:ascii="Arial" w:cs="Arial" w:eastAsia="Arial" w:hAnsi="Arial"/>
          <w:sz w:val="21"/>
          <w:szCs w:val="21"/>
          <w:u w:val="single" w:color="auto"/>
          <w:color w:val="auto"/>
        </w:rPr>
        <w:t>Section 13.6</w:t>
      </w:r>
      <w:r>
        <w:rPr>
          <w:rFonts w:ascii="Arial" w:cs="Arial" w:eastAsia="Arial" w:hAnsi="Arial"/>
          <w:sz w:val="21"/>
          <w:szCs w:val="21"/>
          <w:color w:val="auto"/>
        </w:rPr>
        <w:t xml:space="preserve"> (a “</w:t>
      </w:r>
      <w:r>
        <w:rPr>
          <w:rFonts w:ascii="Arial" w:cs="Arial" w:eastAsia="Arial" w:hAnsi="Arial"/>
          <w:sz w:val="21"/>
          <w:szCs w:val="21"/>
          <w:u w:val="single" w:color="auto"/>
          <w:color w:val="auto"/>
        </w:rPr>
        <w:t>Mandatory Exchange Notice</w:t>
      </w:r>
      <w:r>
        <w:rPr>
          <w:rFonts w:ascii="Arial" w:cs="Arial" w:eastAsia="Arial" w:hAnsi="Arial"/>
          <w:sz w:val="21"/>
          <w:szCs w:val="21"/>
          <w:color w:val="auto"/>
        </w:rPr>
        <w:t>”) specifying the basis for the Mandatory Exchange, the Exchangeable Units of the Company to which the Mandatory Exchange applies, and the effective date of such Mandatory Exchange (the “</w:t>
      </w:r>
      <w:r>
        <w:rPr>
          <w:rFonts w:ascii="Arial" w:cs="Arial" w:eastAsia="Arial" w:hAnsi="Arial"/>
          <w:sz w:val="21"/>
          <w:szCs w:val="21"/>
          <w:u w:val="single" w:color="auto"/>
          <w:color w:val="auto"/>
        </w:rPr>
        <w:t>Mandatory Exchange Date</w:t>
      </w:r>
      <w:r>
        <w:rPr>
          <w:rFonts w:ascii="Arial" w:cs="Arial" w:eastAsia="Arial" w:hAnsi="Arial"/>
          <w:sz w:val="21"/>
          <w:szCs w:val="21"/>
          <w:color w:val="auto"/>
        </w:rPr>
        <w:t>”), which shall be no earlier than ten (10) Business Days after delivery of the Mandatory Exchange Notice. The Member receiving the Mandatory Exchange Notice shall use its best efforts to deliver to the Certificates representing the applicable Exchangeable Units and shares of Class B Common Stock no later than the Mandatory Exchange Date. Upon the Mandatory Exchange Date, the Company will effect the Mandatory Exchange in accordance with the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924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16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u w:val="single" w:color="auto"/>
          <w:color w:val="auto"/>
        </w:rPr>
        <w:t>Additional Terms Applying to Exchanges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Concurrent Exchange of Class B Common Stock</w:t>
      </w:r>
      <w:r>
        <w:rPr>
          <w:rFonts w:ascii="Arial" w:cs="Arial" w:eastAsia="Arial" w:hAnsi="Arial"/>
          <w:sz w:val="22"/>
          <w:szCs w:val="22"/>
          <w:color w:val="auto"/>
        </w:rPr>
        <w:t>. No Exchange of Class B Common Units may be made without a concurrent Exchange of an equivalent number of shares of Class B Common Stock. Any shares of Class B Common Stock surrendered in an Exchange shall automatically be deemed retired without any action on the part of any Person, including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8" w:name="page219"/>
    <w:bookmarkEnd w:id="218"/>
    <w:p>
      <w:pPr>
        <w:jc w:val="both"/>
        <w:spacing w:after="0"/>
        <w:rPr>
          <w:sz w:val="20"/>
          <w:szCs w:val="20"/>
          <w:color w:val="auto"/>
        </w:rPr>
      </w:pPr>
      <w:r>
        <w:rPr>
          <w:rFonts w:ascii="Arial" w:cs="Arial" w:eastAsia="Arial" w:hAnsi="Arial"/>
          <w:sz w:val="22"/>
          <w:szCs w:val="22"/>
          <w:color w:val="auto"/>
        </w:rPr>
        <w:t>Managing Member. Any such retired shares of Class B Common Stock shall no longer be outstanding, all rights with respect to such shares shall automatically cease and terminate, and such shares shall return to the status of authorized but unissued shares of the Managing Member.</w:t>
      </w:r>
    </w:p>
    <w:p>
      <w:pPr>
        <w:spacing w:after="0" w:line="186" w:lineRule="exact"/>
        <w:rPr>
          <w:sz w:val="20"/>
          <w:szCs w:val="20"/>
          <w:color w:val="auto"/>
        </w:rPr>
      </w:pPr>
    </w:p>
    <w:p>
      <w:pPr>
        <w:jc w:val="both"/>
        <w:ind w:firstLine="1735"/>
        <w:spacing w:after="0" w:line="271" w:lineRule="auto"/>
        <w:tabs>
          <w:tab w:leader="none" w:pos="262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Authority of Board of Directors to Limit or Deny Exchange</w:t>
      </w:r>
      <w:r>
        <w:rPr>
          <w:rFonts w:ascii="Arial" w:cs="Arial" w:eastAsia="Arial" w:hAnsi="Arial"/>
          <w:sz w:val="19"/>
          <w:szCs w:val="19"/>
          <w:color w:val="auto"/>
        </w:rPr>
        <w:t>. The Board of Directors (or a committee thereof to which the Board of Directors has delegated such authority) may, in its sole discretion, deny or limit, in whole or in part, any Exchange that fails to comply with any requirements therefor or limitations with respect thereto that the Company, the Managing Member, or the Board of Directors may have established, or that, if effected, would adversely affect the Managing Member or the Company as determined by the Board of Directors (or a committee thereof to which the Board of Directors has delegated such authority) in its sole discretion. In particular, an Exchangeable Unit Member shall not be entitled to an Exchange, and the Company and the Managing Member shall have the right to refuse to honor any request for an Exchange, at any time or during any period if the Company or the Managing Member determines, after consultation with counsel, that such Exchange (x) would be prohibited by law or regulation (including, without limitation, the unavailability of a registration of such Exchange under the Securities Act or an exemption from the registration requirements thereof) or (y) would not be permitted under any agreement with the Company, the Managing Member or any of their subsidiaries to which the applicable Exchangeable Unit Member is party or (solely in the case of an Exchange requested by an officer, director or other personnel of the Company, the Managing Member or any of their subsidiaries) any written policies of the Managing Member related to restrictions on trading applicable to its officers, directors or other personnel.</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735"/>
        <w:spacing w:after="0"/>
        <w:tabs>
          <w:tab w:leader="none" w:pos="2615"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Publicly Traded Partnership</w:t>
      </w:r>
      <w:r>
        <w:rPr>
          <w:rFonts w:ascii="Arial" w:cs="Arial" w:eastAsia="Arial" w:hAnsi="Arial"/>
          <w:sz w:val="22"/>
          <w:szCs w:val="22"/>
          <w:color w:val="auto"/>
        </w:rPr>
        <w:t>. Notwithstanding anything contrary to the advice of counsel, if the Managing Member determines that an Exchange would pose a material risk that the Company would become a “publicly traded partnership” under Code section 7704, the Exchange shall be null and void.</w:t>
      </w:r>
    </w:p>
    <w:p>
      <w:pPr>
        <w:spacing w:after="0" w:line="186" w:lineRule="exact"/>
        <w:rPr>
          <w:rFonts w:ascii="Arial" w:cs="Arial" w:eastAsia="Arial" w:hAnsi="Arial"/>
          <w:sz w:val="22"/>
          <w:szCs w:val="22"/>
          <w:color w:val="auto"/>
        </w:rPr>
      </w:pPr>
    </w:p>
    <w:p>
      <w:pPr>
        <w:jc w:val="both"/>
        <w:ind w:firstLine="1735"/>
        <w:spacing w:after="0" w:line="282" w:lineRule="auto"/>
        <w:tabs>
          <w:tab w:leader="none" w:pos="262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Rights of Exchangeable Unit Member</w:t>
      </w:r>
      <w:r>
        <w:rPr>
          <w:rFonts w:ascii="Arial" w:cs="Arial" w:eastAsia="Arial" w:hAnsi="Arial"/>
          <w:sz w:val="19"/>
          <w:szCs w:val="19"/>
          <w:color w:val="auto"/>
        </w:rPr>
        <w:t>. On an Exchange Date, all rights of the Exchangeable Unit Member as a holder of the Exchangeable Units and shares of Class B Common Stock that are subject to the Exchange shall cease, and, unless the Company or Managing Member, as applicable, has elected Cash Settlement as to all Exchangeable Units tendered, such Exchangeable Unit Member (or its designee) shall be treated for all purposes as having become the record holder of the shares of Class A Common Stock to be received by the Exchangeable Unit Member in respect of such Exchange.</w:t>
      </w:r>
    </w:p>
    <w:p>
      <w:pPr>
        <w:spacing w:after="0" w:line="147"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Right of Managing Member to Acquire Exchangeable Units</w:t>
      </w:r>
      <w:r>
        <w:rPr>
          <w:rFonts w:ascii="Arial" w:cs="Arial" w:eastAsia="Arial" w:hAnsi="Arial"/>
          <w:sz w:val="22"/>
          <w:szCs w:val="22"/>
          <w:color w:val="auto"/>
        </w:rPr>
        <w:t>. The Managing Member shall have the right but not the obligation (in lieu of the Company) to have the Managing Member acquire Exchangeable Units and an equivalent number of shares of Class B Common Stock directly from an Exchangeable Unit Member for the elected Exchange Consideration.</w:t>
      </w:r>
    </w:p>
    <w:p>
      <w:pPr>
        <w:spacing w:after="0" w:line="184" w:lineRule="exact"/>
        <w:rPr>
          <w:rFonts w:ascii="Arial" w:cs="Arial" w:eastAsia="Arial" w:hAnsi="Arial"/>
          <w:sz w:val="22"/>
          <w:szCs w:val="22"/>
          <w:color w:val="auto"/>
        </w:rPr>
      </w:pPr>
    </w:p>
    <w:p>
      <w:pPr>
        <w:jc w:val="both"/>
        <w:ind w:firstLine="1735"/>
        <w:spacing w:after="0" w:line="287" w:lineRule="auto"/>
        <w:tabs>
          <w:tab w:leader="none" w:pos="2591"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(g) . Except as otherwise agreed by the Company, the Managing Member and an Exchangeable Unit Member, the Company, the Managing Member, and each Exchangeable Unit Member shall bear their own expenses in connection with the consummation of any Exchange, whether or not any such Exchange is ultimately consummated, except that the Managing Member shall bear any transfer taxes, stamp taxes or duties, or other similar taxes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19" w:name="page220"/>
    <w:bookmarkEnd w:id="219"/>
    <w:p>
      <w:pPr>
        <w:jc w:val="both"/>
        <w:spacing w:after="0" w:line="275" w:lineRule="auto"/>
        <w:rPr>
          <w:sz w:val="20"/>
          <w:szCs w:val="20"/>
          <w:color w:val="auto"/>
        </w:rPr>
      </w:pPr>
      <w:r>
        <w:rPr>
          <w:rFonts w:ascii="Arial" w:cs="Arial" w:eastAsia="Arial" w:hAnsi="Arial"/>
          <w:sz w:val="19"/>
          <w:szCs w:val="19"/>
          <w:color w:val="auto"/>
        </w:rPr>
        <w:t xml:space="preserve">connection with, or arising by reason of, any Exchange;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shares of Class A Common Stock are to be delivered pursuant to an Elective Exchange in a name other than that of the Member that requested the Exchange (or The Depository Trust Company or its nominee for the account of a participant of The Depository Trust Company that will hold the shares for the account of such Member) or the Cash Settlement is to be paid to a Person other than the Exchangeable Unit Member that requested the Exchange, then such Member or the Person in whose name such shares are to be delivered or to whom the Cash Settlement is to be paid shall pay to the Managing Member the amount of any transfer taxes, stamp taxes or duties, or other similar taxes in connection with, or arising by reason of, such Exchange or shall establish to the reasonable satisfaction of the Managing Member that such tax has been paid or is not payable.</w:t>
      </w:r>
    </w:p>
    <w:p>
      <w:pPr>
        <w:spacing w:after="0" w:line="157" w:lineRule="exact"/>
        <w:rPr>
          <w:sz w:val="20"/>
          <w:szCs w:val="20"/>
          <w:color w:val="auto"/>
        </w:rPr>
      </w:pPr>
    </w:p>
    <w:p>
      <w:pPr>
        <w:jc w:val="both"/>
        <w:ind w:firstLine="1735"/>
        <w:spacing w:after="0" w:line="271" w:lineRule="auto"/>
        <w:tabs>
          <w:tab w:leader="none" w:pos="2627"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Limitation</w:t>
      </w:r>
      <w:r>
        <w:rPr>
          <w:rFonts w:ascii="Arial" w:cs="Arial" w:eastAsia="Arial" w:hAnsi="Arial"/>
          <w:sz w:val="19"/>
          <w:szCs w:val="19"/>
          <w:color w:val="auto"/>
        </w:rPr>
        <w:t xml:space="preserve">. For the avoidance of doubt, in the event that the Company or the Managing Member consolidates, merges, combines or consummates any other transaction in which shares of Class A Common Stock are exchanged for or converted into other stock or securities, or the right to receive cash and/or any other property, no Minimum Exchangeable Amount or Policies or other provisions of this Article XII shall limit the right of any Exchangeable Unit Member to effect an Elective Exchange in order to receive Class A Common Stock in advance of consummation of any such consolidation, merger or other such transaction unless in connection with any such consolidation, merger, combination or other transaction each share of Class B Common Stock and/or Class B Unit shall be entitled to be exchanged for or converted into the same kind and amount of stock or securities, cash and/or any other property, as the case may be, into which or for which each share of Class A Common Stock is exchanged or converted; provided, that the consideration for each share of Class B Common Stock and/or Class B Unit shall be deemed the same kind and amount into which or for which each share of Class A Common Stock is exchanged or converted, so long as any differences in the kind and amount of stock or securities, cash and/or any other property are intended (as determined by the Board of Directors in good faith) to maintain the relative voting power of each share of Class B Common Stock relative to each share of Class A Common Stock; provided, further, that the foregoing provisions of this </w:t>
      </w:r>
      <w:r>
        <w:rPr>
          <w:rFonts w:ascii="Arial" w:cs="Arial" w:eastAsia="Arial" w:hAnsi="Arial"/>
          <w:sz w:val="19"/>
          <w:szCs w:val="19"/>
          <w:u w:val="single" w:color="auto"/>
          <w:color w:val="auto"/>
        </w:rPr>
        <w:t>Section 12.2(g)</w:t>
      </w:r>
      <w:r>
        <w:rPr>
          <w:rFonts w:ascii="Arial" w:cs="Arial" w:eastAsia="Arial" w:hAnsi="Arial"/>
          <w:sz w:val="19"/>
          <w:szCs w:val="19"/>
          <w:color w:val="auto"/>
        </w:rPr>
        <w:t xml:space="preserve"> shall not apply to any action or transaction (including any consolidation, merger or combination) approved by a Majority-in-Interest of the Members.</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Exchange Consideration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The Managing Member has the right, in its sole discretion, to elect the form of Exchange Consideration with respect to any Exchange. On an Exchange Date, provided the Exchangeable Unit Member has satisfied its obligations under Section 12.1(b)(i), the Managing Member shall deliver or cause to be delivered the Exchange Consideration to such Exchangeable Unit Member (or its designee), at the address set forth on the applicable Exchange Notice. If the Managing Member elects a Cash Settlement, the Managing Member shall only be obligated to contribute to the Company (or, if the Managing Member elects to settle directly pursuant to </w:t>
      </w:r>
      <w:r>
        <w:rPr>
          <w:rFonts w:ascii="Arial" w:cs="Arial" w:eastAsia="Arial" w:hAnsi="Arial"/>
          <w:sz w:val="19"/>
          <w:szCs w:val="19"/>
          <w:u w:val="single" w:color="auto"/>
          <w:color w:val="auto"/>
        </w:rPr>
        <w:t>Section 12.2(e)</w:t>
      </w:r>
      <w:r>
        <w:rPr>
          <w:rFonts w:ascii="Arial" w:cs="Arial" w:eastAsia="Arial" w:hAnsi="Arial"/>
          <w:sz w:val="19"/>
          <w:szCs w:val="19"/>
          <w:color w:val="auto"/>
        </w:rPr>
        <w:t>, settle directly for an amount equal to), an amount in respect of such Cash Settlement equal to the net proceeds (after deduction of any underwriters’ discounts and commissions) from the sale by the Managing Member of a number of shares of Class A Common Stock equal to the number of Exchangeable Units being Exchanged for such Cash Settlement. Except as otherwise required by Law, the Managing Member shall, for U.S. federal income tax purposes, be treated as paying an appropriate portion of the selling expenses described in the previous sentence as agent for and on behalf of the Exchangeable Unit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-1284605</wp:posOffset>
            </wp:positionV>
            <wp:extent cx="9925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0" w:name="page221"/>
    <w:bookmarkEnd w:id="220"/>
    <w:p>
      <w:pPr>
        <w:jc w:val="both"/>
        <w:ind w:firstLine="1735"/>
        <w:spacing w:after="0" w:line="236" w:lineRule="auto"/>
        <w:tabs>
          <w:tab w:leader="none" w:pos="2627"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Notice of Intended Exchange Consideration</w:t>
      </w:r>
      <w:r>
        <w:rPr>
          <w:rFonts w:ascii="Arial" w:cs="Arial" w:eastAsia="Arial" w:hAnsi="Arial"/>
          <w:sz w:val="22"/>
          <w:szCs w:val="22"/>
          <w:color w:val="auto"/>
        </w:rPr>
        <w:t>. At least two (2) Business Days before the Exchange Date, the Managing Member shall give written notice (the “</w:t>
      </w:r>
      <w:r>
        <w:rPr>
          <w:rFonts w:ascii="Arial" w:cs="Arial" w:eastAsia="Arial" w:hAnsi="Arial"/>
          <w:sz w:val="22"/>
          <w:szCs w:val="22"/>
          <w:u w:val="single" w:color="auto"/>
          <w:color w:val="auto"/>
        </w:rPr>
        <w:t>Contribution Notice</w:t>
      </w:r>
      <w:r>
        <w:rPr>
          <w:rFonts w:ascii="Arial" w:cs="Arial" w:eastAsia="Arial" w:hAnsi="Arial"/>
          <w:sz w:val="22"/>
          <w:szCs w:val="22"/>
          <w:color w:val="auto"/>
        </w:rPr>
        <w:t xml:space="preserve">”) to the Company (with a copy to the Exchangeable Unit Member) of its intended Exchange Consideration;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Managing Member does not timely deliver a Contribution Notice, the Managing Member shall be deemed to have elected to settle the Exchange with shares of Class A Common Stock.</w:t>
      </w:r>
    </w:p>
    <w:p>
      <w:pPr>
        <w:spacing w:after="0" w:line="187" w:lineRule="exact"/>
        <w:rPr>
          <w:rFonts w:ascii="Arial" w:cs="Arial" w:eastAsia="Arial" w:hAnsi="Arial"/>
          <w:sz w:val="22"/>
          <w:szCs w:val="22"/>
          <w:color w:val="auto"/>
        </w:rPr>
      </w:pPr>
    </w:p>
    <w:p>
      <w:pPr>
        <w:jc w:val="both"/>
        <w:ind w:firstLine="1735"/>
        <w:spacing w:after="0" w:line="249" w:lineRule="auto"/>
        <w:tabs>
          <w:tab w:leader="none" w:pos="2615"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Settlement Through Depository Trust Company</w:t>
      </w:r>
      <w:r>
        <w:rPr>
          <w:rFonts w:ascii="Arial" w:cs="Arial" w:eastAsia="Arial" w:hAnsi="Arial"/>
          <w:sz w:val="21"/>
          <w:szCs w:val="21"/>
          <w:color w:val="auto"/>
        </w:rPr>
        <w:t>. To the extent the Class A Common Stock is settled through the facilities of The Depository Trust Company, the Managing Member or the Company will, upon the written instruction of an Exchangeable Unit Member, deliver the shares of Class A Common Stock deliverable to such Exchangeable Unit Member through the facilities of The Depository Trust Company to the account of the participant of The Depository Trust Company designated by such Exchangeable Unit Member in the Exchange Notice.</w:t>
      </w:r>
    </w:p>
    <w:p>
      <w:pPr>
        <w:spacing w:after="0" w:line="178" w:lineRule="exact"/>
        <w:rPr>
          <w:rFonts w:ascii="Arial" w:cs="Arial" w:eastAsia="Arial" w:hAnsi="Arial"/>
          <w:sz w:val="21"/>
          <w:szCs w:val="21"/>
          <w:color w:val="auto"/>
        </w:rPr>
      </w:pPr>
    </w:p>
    <w:p>
      <w:pPr>
        <w:jc w:val="both"/>
        <w:ind w:firstLine="1735"/>
        <w:spacing w:after="0" w:line="235" w:lineRule="auto"/>
        <w:tabs>
          <w:tab w:leader="none" w:pos="2627"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Obligations of Managing Member and Company</w:t>
      </w:r>
      <w:r>
        <w:rPr>
          <w:rFonts w:ascii="Arial" w:cs="Arial" w:eastAsia="Arial" w:hAnsi="Arial"/>
          <w:sz w:val="22"/>
          <w:szCs w:val="22"/>
          <w:color w:val="auto"/>
        </w:rPr>
        <w:t xml:space="preserve">. Upon any Exchange, the Managing Member or the Company, as applicable, shall take such actions as (A) may be required to ensure that such Member receives the shares of Class A Common Stock and/or the Cash Settlement that such Exchangeable Unit Member is entitled to receive in connection with such Exchange pursuant to </w:t>
      </w:r>
      <w:r>
        <w:rPr>
          <w:rFonts w:ascii="Arial" w:cs="Arial" w:eastAsia="Arial" w:hAnsi="Arial"/>
          <w:sz w:val="22"/>
          <w:szCs w:val="22"/>
          <w:u w:val="single" w:color="auto"/>
          <w:color w:val="auto"/>
        </w:rPr>
        <w:t>Section 12.3(a</w:t>
      </w:r>
      <w:r>
        <w:rPr>
          <w:rFonts w:ascii="Arial" w:cs="Arial" w:eastAsia="Arial" w:hAnsi="Arial"/>
          <w:sz w:val="22"/>
          <w:szCs w:val="22"/>
          <w:color w:val="auto"/>
        </w:rPr>
        <w:t>), and (B) may be reasonably within its control that would cause such Exchange to be treated for purposes of the Tax Receivable Agreement as an “Exchange” (as such term is defined in the Tax Receivable Agreement).</w:t>
      </w:r>
    </w:p>
    <w:p>
      <w:pPr>
        <w:spacing w:after="0" w:line="18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Adjustment</w:t>
      </w:r>
      <w:r>
        <w:rPr>
          <w:rFonts w:ascii="Arial" w:cs="Arial" w:eastAsia="Arial" w:hAnsi="Arial"/>
          <w:sz w:val="19"/>
          <w:szCs w:val="19"/>
          <w:color w:val="auto"/>
        </w:rPr>
        <w:t>. To the extent that the Managing Member acquires additional Class A Units without issuing a corresponding number of additional shares of Class A Common Stock to maintain parity, the Managing Member shall make appropriate adjustments to the Exchange Rate to give effect to such parity. To the extent not reflected in an adjustment to the Exchange Rate, if there is any reclassification, reorganization, recapitalization or other similar transaction in which the Class A Common Stock is converted or changed or exchanged into or for another security, securities or other property, then, upon any subsequent Exchange, an Exchangeable Unit Member shall be entitled to receive the amount of such security, securities or other property that such Exchangeable Unit Member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Class A Common Stock is converted or changed or exchanged into or for another security, securities or other property, this Section 12.4 shall continue to be applicable, mutatis mutandis, with respect to such security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6858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4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12.5</w:t>
      </w:r>
      <w:r>
        <w:rPr>
          <w:sz w:val="20"/>
          <w:szCs w:val="20"/>
          <w:color w:val="auto"/>
        </w:rPr>
        <w:tab/>
      </w:r>
      <w:r>
        <w:rPr>
          <w:rFonts w:ascii="Arial" w:cs="Arial" w:eastAsia="Arial" w:hAnsi="Arial"/>
          <w:sz w:val="19"/>
          <w:szCs w:val="19"/>
          <w:u w:val="single" w:color="auto"/>
          <w:color w:val="auto"/>
        </w:rPr>
        <w:t>Class A Common Stock to be Issued</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Class A Common Stock Reserve</w:t>
      </w:r>
      <w:r>
        <w:rPr>
          <w:rFonts w:ascii="Arial" w:cs="Arial" w:eastAsia="Arial" w:hAnsi="Arial"/>
          <w:sz w:val="22"/>
          <w:szCs w:val="22"/>
          <w:color w:val="auto"/>
        </w:rPr>
        <w:t>. The Managing Member shall at all times reserve and keep available out of its authorized but unissued Class A Common Stock, solely for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1" w:name="page222"/>
    <w:bookmarkEnd w:id="221"/>
    <w:p>
      <w:pPr>
        <w:jc w:val="both"/>
        <w:spacing w:after="0" w:line="238" w:lineRule="auto"/>
        <w:rPr>
          <w:sz w:val="20"/>
          <w:szCs w:val="20"/>
          <w:color w:val="auto"/>
        </w:rPr>
      </w:pPr>
      <w:r>
        <w:rPr>
          <w:rFonts w:ascii="Arial" w:cs="Arial" w:eastAsia="Arial" w:hAnsi="Arial"/>
          <w:sz w:val="22"/>
          <w:szCs w:val="22"/>
          <w:color w:val="auto"/>
        </w:rPr>
        <w:t xml:space="preserve">the purpose of issuance upon an Exchange, such number of shares of Class A Common Stock as shall be deliverable under this Agreement upon all such Exchanges;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Managing Member may satisfy its obligations in respect of any such Exchange by delivery of unencumbered purchased shares of Class A Common Stock (which may or may not be held in the treasury of the Managing Member or any subsidiary thereof).</w:t>
      </w:r>
    </w:p>
    <w:p>
      <w:pPr>
        <w:spacing w:after="0" w:line="185" w:lineRule="exact"/>
        <w:rPr>
          <w:sz w:val="20"/>
          <w:szCs w:val="20"/>
          <w:color w:val="auto"/>
        </w:rPr>
      </w:pPr>
    </w:p>
    <w:p>
      <w:pPr>
        <w:jc w:val="both"/>
        <w:ind w:firstLine="1735"/>
        <w:spacing w:after="0" w:line="275" w:lineRule="auto"/>
        <w:tabs>
          <w:tab w:leader="none" w:pos="2627"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Rule 16(b) Exemption</w:t>
      </w:r>
      <w:r>
        <w:rPr>
          <w:rFonts w:ascii="Arial" w:cs="Arial" w:eastAsia="Arial" w:hAnsi="Arial"/>
          <w:sz w:val="19"/>
          <w:szCs w:val="19"/>
          <w:color w:val="auto"/>
        </w:rPr>
        <w:t>. The Managing Member has taken and will take all such steps as may be required to cause to qualify for exemption under Rule 16b-3(d) or (e), as applicable, under the Exchange Act, and be exempt for purposes of Section 16(b) under the Exchange Act, any acquisitions or dispositions of equity securities of the Managing Member (including derivative securities with respect thereto) and any securities that may be deemed to be equity securities or derivative securities of the Managing Member for such purposes that result from the transactions contemplated by this Agreement, by each director or officer of the Managing Member (including directors-by-deputization) who may reasonably be expected to be subject to the reporting requirements of Section 16(a) of the Exchange Act with respect to the Managing Member upon the registration of any class of equity security of the Managing Member pursuant to Section 12 of the Exchange Act.</w:t>
      </w:r>
    </w:p>
    <w:p>
      <w:pPr>
        <w:spacing w:after="0" w:line="157" w:lineRule="exact"/>
        <w:rPr>
          <w:rFonts w:ascii="Arial" w:cs="Arial" w:eastAsia="Arial" w:hAnsi="Arial"/>
          <w:sz w:val="19"/>
          <w:szCs w:val="19"/>
          <w:color w:val="auto"/>
        </w:rPr>
      </w:pPr>
    </w:p>
    <w:p>
      <w:pPr>
        <w:jc w:val="both"/>
        <w:ind w:firstLine="1735"/>
        <w:spacing w:after="0" w:line="297" w:lineRule="auto"/>
        <w:tabs>
          <w:tab w:leader="none" w:pos="261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Validity of Class A Common Stock</w:t>
      </w:r>
      <w:r>
        <w:rPr>
          <w:rFonts w:ascii="Arial" w:cs="Arial" w:eastAsia="Arial" w:hAnsi="Arial"/>
          <w:sz w:val="19"/>
          <w:szCs w:val="19"/>
          <w:color w:val="auto"/>
        </w:rPr>
        <w:t>. The Managing Member covenants that all shares of Class A Common Stock issued upon an Exchange will, upon issuance, be validly issued, fully paid and non-assessable and not subject to any preemptive right of stockholders of the Managing Member or to any right of first refusal or other right in favor of any Person.</w:t>
      </w:r>
    </w:p>
    <w:p>
      <w:pPr>
        <w:spacing w:after="0" w:line="13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19"/>
          <w:szCs w:val="19"/>
          <w:u w:val="single" w:color="auto"/>
          <w:color w:val="auto"/>
        </w:rPr>
        <w:t>Withholding</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5" w:lineRule="auto"/>
        <w:tabs>
          <w:tab w:leader="none" w:pos="261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Withholding of Cash or Class A Common Stock Permitted</w:t>
      </w:r>
      <w:r>
        <w:rPr>
          <w:rFonts w:ascii="Arial" w:cs="Arial" w:eastAsia="Arial" w:hAnsi="Arial"/>
          <w:sz w:val="19"/>
          <w:szCs w:val="19"/>
          <w:color w:val="auto"/>
        </w:rPr>
        <w:t>. If the Company or the Managing Member shall be required to withhold any amounts by reason of any federal, state, local or foreign tax laws or regulations in respect of any Exchange, the Company or the Managing Member, as the case may be, shall be entitled to take such action as it deems appropriate in order to ensure compliance with such withholding requirements, including, at its option, withholding cash from the Cash Settlement or shares of Class A Common Stock with a Fair Market Value equal to the amount of any taxes that the Company or the Managing Member, as the case may be, may be required to withhold with respect to such Exchange. To the extent that amounts are (or property is) so withheld and paid over to the appropriate taxing authority, such withheld amounts (or property) shall be treated for all purposes of this Agreement as having been paid (or delivered) to the applicable Member.</w:t>
      </w:r>
    </w:p>
    <w:p>
      <w:pPr>
        <w:spacing w:after="0" w:line="157"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Notice of Withholding</w:t>
      </w:r>
      <w:r>
        <w:rPr>
          <w:rFonts w:ascii="Arial" w:cs="Arial" w:eastAsia="Arial" w:hAnsi="Arial"/>
          <w:sz w:val="22"/>
          <w:szCs w:val="22"/>
          <w:color w:val="auto"/>
        </w:rPr>
        <w:t xml:space="preserve">. If the Company or the Managing Member determines that any amounts by reason of any federal, state, local or foreign tax laws or regulations are required to be withheld in respect of any Exchange, the Company or the Managing Member, as the case may be, shall use commercially reasonable efforts to promptly notify the Exchangeable Unit Member and shall consider in good faith any positions or alternative arrangements that such Member raises (reasonably in advance of the date on which the Company or the Managing Member believes withholding is required) as to why withholding is not required or that may avoid the need for such withholding,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none of the Company or the Managing Member is required to incur additional costs as a result of such obligation, and this </w:t>
      </w:r>
      <w:r>
        <w:rPr>
          <w:rFonts w:ascii="Arial" w:cs="Arial" w:eastAsia="Arial" w:hAnsi="Arial"/>
          <w:sz w:val="22"/>
          <w:szCs w:val="22"/>
          <w:u w:val="single" w:color="auto"/>
          <w:color w:val="auto"/>
        </w:rPr>
        <w:t>Section 12.6(b</w:t>
      </w:r>
      <w:r>
        <w:rPr>
          <w:rFonts w:ascii="Arial" w:cs="Arial" w:eastAsia="Arial" w:hAnsi="Arial"/>
          <w:sz w:val="22"/>
          <w:szCs w:val="22"/>
          <w:color w:val="auto"/>
        </w:rPr>
        <w:t>) shall not in any manner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2" w:name="page223"/>
    <w:bookmarkEnd w:id="222"/>
    <w:p>
      <w:pPr>
        <w:spacing w:after="0" w:line="250" w:lineRule="auto"/>
        <w:rPr>
          <w:sz w:val="20"/>
          <w:szCs w:val="20"/>
          <w:color w:val="auto"/>
        </w:rPr>
      </w:pPr>
      <w:r>
        <w:rPr>
          <w:rFonts w:ascii="Arial" w:cs="Arial" w:eastAsia="Arial" w:hAnsi="Arial"/>
          <w:sz w:val="22"/>
          <w:szCs w:val="22"/>
          <w:color w:val="auto"/>
        </w:rPr>
        <w:t xml:space="preserve">limit the authority of the Company or the Managing Member to withhold taxes with respect to an Exchangeable Unit Member pursuant to </w:t>
      </w:r>
      <w:r>
        <w:rPr>
          <w:rFonts w:ascii="Arial" w:cs="Arial" w:eastAsia="Arial" w:hAnsi="Arial"/>
          <w:sz w:val="22"/>
          <w:szCs w:val="22"/>
          <w:u w:val="single" w:color="auto"/>
          <w:color w:val="auto"/>
        </w:rPr>
        <w:t>Section 12.6(a</w:t>
      </w:r>
      <w:r>
        <w:rPr>
          <w:rFonts w:ascii="Arial" w:cs="Arial" w:eastAsia="Arial" w:hAnsi="Arial"/>
          <w:sz w:val="22"/>
          <w:szCs w:val="22"/>
          <w:color w:val="auto"/>
        </w:rPr>
        <w:t>).</w:t>
      </w:r>
    </w:p>
    <w:p>
      <w:pPr>
        <w:spacing w:after="0" w:line="175" w:lineRule="exact"/>
        <w:rPr>
          <w:sz w:val="20"/>
          <w:szCs w:val="20"/>
          <w:color w:val="auto"/>
        </w:rPr>
      </w:pPr>
    </w:p>
    <w:p>
      <w:pPr>
        <w:jc w:val="both"/>
        <w:ind w:firstLine="1735"/>
        <w:spacing w:after="0" w:line="271" w:lineRule="auto"/>
        <w:tabs>
          <w:tab w:leader="none" w:pos="261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Reimbursement of Taxes by Exchangeable Unit Member</w:t>
      </w:r>
      <w:r>
        <w:rPr>
          <w:rFonts w:ascii="Arial" w:cs="Arial" w:eastAsia="Arial" w:hAnsi="Arial"/>
          <w:sz w:val="19"/>
          <w:szCs w:val="19"/>
          <w:color w:val="auto"/>
        </w:rPr>
        <w:t xml:space="preserve">. If, within the two-year period beginning at the start of the date of an Exchange, (i) the Managing Member withholds or otherwise pays any amount on account of taxes in respect of exchanged Units, which amount is attributable to the two-year period ending at the end of the date of such Exchange, and (ii) the Managing Member or any person other than the Exchangeable Unit Member otherwise would bear the economic burden of such withholding or other payment (including by reason of such amount being treated as having been distributed to the Managing Member in respect of the exchanged Units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the Exchangeable Unit Member shall, upon notice by the Company and/or the Managing Member, promptly reimburse the Company and/or the Managing Member for such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Exchangeable Unit Member’s reimbursement obligation under this </w:t>
      </w:r>
      <w:r>
        <w:rPr>
          <w:rFonts w:ascii="Arial" w:cs="Arial" w:eastAsia="Arial" w:hAnsi="Arial"/>
          <w:sz w:val="19"/>
          <w:szCs w:val="19"/>
          <w:u w:val="single" w:color="auto"/>
          <w:color w:val="auto"/>
        </w:rPr>
        <w:t>Section 12.6(c)</w:t>
      </w:r>
      <w:r>
        <w:rPr>
          <w:rFonts w:ascii="Arial" w:cs="Arial" w:eastAsia="Arial" w:hAnsi="Arial"/>
          <w:sz w:val="19"/>
          <w:szCs w:val="19"/>
          <w:color w:val="auto"/>
        </w:rPr>
        <w:t xml:space="preserve"> shall not exceed the amount of cash and Fair Market Value (determined as of the date of receipt) of other consideration received by the Exchangeable Unit Member in connection with such Exchange. Unless otherwise required by Law, any amount paid by an Exchangeable Unit Member pursuant to this </w:t>
      </w:r>
      <w:r>
        <w:rPr>
          <w:rFonts w:ascii="Arial" w:cs="Arial" w:eastAsia="Arial" w:hAnsi="Arial"/>
          <w:sz w:val="19"/>
          <w:szCs w:val="19"/>
          <w:u w:val="single" w:color="auto"/>
          <w:color w:val="auto"/>
        </w:rPr>
        <w:t>Section 12.6(c</w:t>
      </w:r>
      <w:r>
        <w:rPr>
          <w:rFonts w:ascii="Arial" w:cs="Arial" w:eastAsia="Arial" w:hAnsi="Arial"/>
          <w:sz w:val="19"/>
          <w:szCs w:val="19"/>
          <w:color w:val="auto"/>
        </w:rPr>
        <w:t xml:space="preserve">) shall be treated as an adjustment to the proceeds received by the Exchangeable Unit Member in respect of the applicable Exchange. The Company and the Managing Member shall have the right to reduce any amounts due to such Exchangeable Unit Member from the Managing Member or any of its Affiliates by the amount owed by such Exchangeable Unit Member under this </w:t>
      </w:r>
      <w:r>
        <w:rPr>
          <w:rFonts w:ascii="Arial" w:cs="Arial" w:eastAsia="Arial" w:hAnsi="Arial"/>
          <w:sz w:val="19"/>
          <w:szCs w:val="19"/>
          <w:u w:val="single" w:color="auto"/>
          <w:color w:val="auto"/>
        </w:rPr>
        <w:t>Section 12.6(c</w:t>
      </w:r>
      <w:r>
        <w:rPr>
          <w:rFonts w:ascii="Arial" w:cs="Arial" w:eastAsia="Arial" w:hAnsi="Arial"/>
          <w:sz w:val="19"/>
          <w:szCs w:val="19"/>
          <w:color w:val="auto"/>
        </w:rPr>
        <w:t>).</w:t>
      </w:r>
    </w:p>
    <w:p>
      <w:pPr>
        <w:spacing w:after="0" w:line="16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u w:val="single" w:color="auto"/>
          <w:color w:val="auto"/>
        </w:rPr>
        <w:t>Tax Treatment</w:t>
      </w:r>
      <w:r>
        <w:rPr>
          <w:rFonts w:ascii="Arial" w:cs="Arial" w:eastAsia="Arial" w:hAnsi="Arial"/>
          <w:sz w:val="22"/>
          <w:szCs w:val="22"/>
          <w:color w:val="auto"/>
        </w:rPr>
        <w:t>. Unless otherwise required by Law, each Exchange with the Managing Member or the Company shall be treated as a direct exchange between the Managing Member and the Member for U.S. federal and applicable state and local income tax purposes. It is intended that each any Exchange be treated as a taxable exchange for U.S. federal and applicable state and local income tax purposes except as otherwise agreed to in writing by the Exchangeable Unit Member and the Managing Member or required by Law.</w:t>
      </w:r>
    </w:p>
    <w:p>
      <w:pPr>
        <w:spacing w:after="0" w:line="18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12.8 </w:t>
      </w:r>
      <w:r>
        <w:rPr>
          <w:rFonts w:ascii="Arial" w:cs="Arial" w:eastAsia="Arial" w:hAnsi="Arial"/>
          <w:sz w:val="21"/>
          <w:szCs w:val="21"/>
          <w:u w:val="single" w:color="auto"/>
          <w:color w:val="auto"/>
        </w:rPr>
        <w:t>Contribution of the Managing Member</w:t>
      </w:r>
      <w:r>
        <w:rPr>
          <w:rFonts w:ascii="Arial" w:cs="Arial" w:eastAsia="Arial" w:hAnsi="Arial"/>
          <w:sz w:val="21"/>
          <w:szCs w:val="21"/>
          <w:color w:val="auto"/>
        </w:rPr>
        <w:t xml:space="preserve">. In connection with any Exchange between a Member and the Company, the Managing Member shall contribute to the Company the shares of Class A Common Stock and/or Cash Settlement that the Member is entitled to receive in such Exchange. Unless the Member has timely delivered a Retraction Notice as provided in </w:t>
      </w:r>
      <w:r>
        <w:rPr>
          <w:rFonts w:ascii="Arial" w:cs="Arial" w:eastAsia="Arial" w:hAnsi="Arial"/>
          <w:sz w:val="21"/>
          <w:szCs w:val="21"/>
          <w:u w:val="single" w:color="auto"/>
          <w:color w:val="auto"/>
        </w:rPr>
        <w:t>Section 12.1(b)(iii</w:t>
      </w:r>
      <w:r>
        <w:rPr>
          <w:rFonts w:ascii="Arial" w:cs="Arial" w:eastAsia="Arial" w:hAnsi="Arial"/>
          <w:sz w:val="21"/>
          <w:szCs w:val="21"/>
          <w:color w:val="auto"/>
        </w:rPr>
        <w:t xml:space="preserve">), on the Exchange Date (i) the Managing Member shall make a capital contribution to the Company (in the form of the Exchange Consideration that the Member is entitled to receive in such Exchange) required under this </w:t>
      </w:r>
      <w:r>
        <w:rPr>
          <w:rFonts w:ascii="Arial" w:cs="Arial" w:eastAsia="Arial" w:hAnsi="Arial"/>
          <w:sz w:val="21"/>
          <w:szCs w:val="21"/>
          <w:u w:val="single" w:color="auto"/>
          <w:color w:val="auto"/>
        </w:rPr>
        <w:t>Section 12.8</w:t>
      </w:r>
      <w:r>
        <w:rPr>
          <w:rFonts w:ascii="Arial" w:cs="Arial" w:eastAsia="Arial" w:hAnsi="Arial"/>
          <w:sz w:val="21"/>
          <w:szCs w:val="21"/>
          <w:color w:val="auto"/>
        </w:rPr>
        <w:t xml:space="preserve"> and (ii) the Company shall issue to the Managing Member a number of Class A Common Units equal to the number of Exchangeable Units surrendered by the Member.</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12.9 </w:t>
      </w:r>
      <w:r>
        <w:rPr>
          <w:rFonts w:ascii="Arial" w:cs="Arial" w:eastAsia="Arial" w:hAnsi="Arial"/>
          <w:sz w:val="22"/>
          <w:szCs w:val="22"/>
          <w:u w:val="single" w:color="auto"/>
          <w:color w:val="auto"/>
        </w:rPr>
        <w:t>Apportionment of Distributions</w:t>
      </w:r>
      <w:r>
        <w:rPr>
          <w:rFonts w:ascii="Arial" w:cs="Arial" w:eastAsia="Arial" w:hAnsi="Arial"/>
          <w:sz w:val="22"/>
          <w:szCs w:val="22"/>
          <w:color w:val="auto"/>
        </w:rPr>
        <w:t xml:space="preserve">. Distributions with a Record Date (as described in </w:t>
      </w:r>
      <w:r>
        <w:rPr>
          <w:rFonts w:ascii="Arial" w:cs="Arial" w:eastAsia="Arial" w:hAnsi="Arial"/>
          <w:sz w:val="22"/>
          <w:szCs w:val="22"/>
          <w:u w:val="single" w:color="auto"/>
          <w:color w:val="auto"/>
        </w:rPr>
        <w:t>Section 3.6</w:t>
      </w:r>
      <w:r>
        <w:rPr>
          <w:rFonts w:ascii="Arial" w:cs="Arial" w:eastAsia="Arial" w:hAnsi="Arial"/>
          <w:sz w:val="22"/>
          <w:szCs w:val="22"/>
          <w:color w:val="auto"/>
        </w:rPr>
        <w:t>) on or before the Exchange Date shall be made to the Exchangeable Unit Member.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color w:val="auto"/>
        </w:rPr>
        <w:t>ARTICLE XIII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13.1 </w:t>
      </w:r>
      <w:r>
        <w:rPr>
          <w:rFonts w:ascii="Arial" w:cs="Arial" w:eastAsia="Arial" w:hAnsi="Arial"/>
          <w:sz w:val="21"/>
          <w:szCs w:val="21"/>
          <w:u w:val="single" w:color="auto"/>
          <w:color w:val="auto"/>
        </w:rPr>
        <w:t>Conclusive Nature of Determinations</w:t>
      </w:r>
      <w:r>
        <w:rPr>
          <w:rFonts w:ascii="Arial" w:cs="Arial" w:eastAsia="Arial" w:hAnsi="Arial"/>
          <w:sz w:val="21"/>
          <w:szCs w:val="21"/>
          <w:color w:val="auto"/>
        </w:rPr>
        <w:t>. All determinations, interpretations, calculations, adjustments and other actions of the Managing Member, the Company, the Board of Directors (or a committee to which the Board of Directors has delegated such authority) or a designee of any of the foregoing that are within such Person’s authority under this Agreement shall be binding and conclusive on a Member absent manifest error. In connection with any such determination, interpretation, calculation, adjustment or other action, the Managing Member, the Company, the Board of Directors (or a committee to which the Board of Directors has delegated such authority) or the designee of any of the foregoing shall be entitled to resolve any ambiguity with respect to the manner in which such determination, interpretation, calculation, adjustment or other action is to be made or taken, and shall be entitled to interpret the provisions of this Agreement in such a manner as such Person determines to be fair and equitable, and such resolution or interpretation shall be binding and conclusive on a Member absent manifest error.</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 xml:space="preserve">Section 13.2 </w:t>
      </w:r>
      <w:r>
        <w:rPr>
          <w:rFonts w:ascii="Arial" w:cs="Arial" w:eastAsia="Arial" w:hAnsi="Arial"/>
          <w:sz w:val="21"/>
          <w:szCs w:val="21"/>
          <w:u w:val="single" w:color="auto"/>
          <w:color w:val="auto"/>
        </w:rPr>
        <w:t>Company Counsel</w:t>
      </w:r>
      <w:r>
        <w:rPr>
          <w:rFonts w:ascii="Arial" w:cs="Arial" w:eastAsia="Arial" w:hAnsi="Arial"/>
          <w:sz w:val="21"/>
          <w:szCs w:val="21"/>
          <w:color w:val="auto"/>
        </w:rPr>
        <w:t>. THE COMPANY, THE MANAGING MEMBER AND AFFILIATED ENTITIES MAY BE REPRESENTED BY THE SAME COUNSEL. THE ATTORNEYS, ACCOUNTANTS AND OTHER EXPERTS WHO PERFORM SERVICES FOR THE COMPANY MAY ALSO PERFORM SERVICES FOR THE MANAGING MEMBER AND AFFILIATES THEREOF. THE MANAGING MEMBER MAY, WITHOUT THE CONSENT OF THE MEMBERS, EXECUTE ON BEHALF OF THE COMPANY ANY CONSENT TO THE REPRESENTATION OF THE COMPANY THAT COUNSEL MAY REQUEST PURSUANT TO THE NEW YORK RULES OF PROFESSIONAL CONDUCT OR SIMILAR RULES IN ANY OTHER JURISDICTION. THE COMPANY HAS INITIALLY SELECTED GIBSON, DUNN &amp; CRUTCHER LLP (“</w:t>
      </w:r>
      <w:r>
        <w:rPr>
          <w:rFonts w:ascii="Arial" w:cs="Arial" w:eastAsia="Arial" w:hAnsi="Arial"/>
          <w:sz w:val="21"/>
          <w:szCs w:val="21"/>
          <w:u w:val="single" w:color="auto"/>
          <w:color w:val="auto"/>
        </w:rPr>
        <w:t>COMPANY COUNSEL</w:t>
      </w:r>
      <w:r>
        <w:rPr>
          <w:rFonts w:ascii="Arial" w:cs="Arial" w:eastAsia="Arial" w:hAnsi="Arial"/>
          <w:sz w:val="21"/>
          <w:szCs w:val="21"/>
          <w:color w:val="auto"/>
        </w:rPr>
        <w:t>”) AS LEGAL COUNSEL TO THE COMPANY. EACH MEMBER ACKNOWLEDGES THAT COMPANY COUNSEL DOES NOT REPRESENT ANY MEMBER IN ITS CAPACITY AS SUCH IN THE ABSENCE OF A CLEAR AND EXPLICIT WRITTEN AGREEMENT TO SUCH EFFECT BETWEEN SUCH MEMBER AND COMPANY COUNSEL (AND THEN ONLY TO THE EXTENT SPECIALLY SET FORTH IN SUCH AGREEMENT), AND THAT IN ABSENCE OF ANY SUCH AGREEMENT COMPANY COUNSEL SHALL OWE NO DUTIES TO ANY MEMBER. EACH MEMBER FURTHER ACKNOWLEDGES THAT, WHETHER OR NOT COMPANY COUNSEL HAS IN THE PAST REPRESENTED OR IS CURRENTLY REPRESENTING SUCH MEMBER WITH RESPECT TO OTHER MATTERS, UNLESS OTHERWISE EXPRESSLY AGREED BY COMPANY COUNSEL, COMPANY COUNSEL HAS NOT REPRESENTED THE INTERESTS OF ANY MEMBER IN THE PREPARATION AND/OR NEGOTIATION OF THIS AGREEMENT.</w:t>
      </w:r>
    </w:p>
    <w:p>
      <w:pPr>
        <w:spacing w:after="0" w:line="190"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13.3</w:t>
      </w:r>
      <w:r>
        <w:rPr>
          <w:sz w:val="20"/>
          <w:szCs w:val="20"/>
          <w:color w:val="auto"/>
        </w:rPr>
        <w:tab/>
      </w:r>
      <w:r>
        <w:rPr>
          <w:rFonts w:ascii="Arial" w:cs="Arial" w:eastAsia="Arial" w:hAnsi="Arial"/>
          <w:sz w:val="19"/>
          <w:szCs w:val="19"/>
          <w:u w:val="single" w:color="auto"/>
          <w:color w:val="auto"/>
        </w:rPr>
        <w:t>Appointment of Managing Member as Attorney-in-Fact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7" w:lineRule="auto"/>
        <w:tabs>
          <w:tab w:leader="none" w:pos="261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Execution of Documents</w:t>
      </w:r>
      <w:r>
        <w:rPr>
          <w:rFonts w:ascii="Arial" w:cs="Arial" w:eastAsia="Arial" w:hAnsi="Arial"/>
          <w:sz w:val="19"/>
          <w:szCs w:val="19"/>
          <w:color w:val="auto"/>
        </w:rPr>
        <w:t>. Each Member, including each Additional Member and Substituted Member that is a Member, irrevocably makes, constitutes and appoints the Managing Member, any Liquidator, and authorized officers and attorneys-in-fact of each, and each of those acting singly, in each case with full power of substitution, as its true and Lawful attorney-in-fact with full power and authority in its name, place and stead to execute, acknowledge,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4" w:name="page225"/>
    <w:bookmarkEnd w:id="224"/>
    <w:p>
      <w:pPr>
        <w:spacing w:after="0" w:line="250" w:lineRule="auto"/>
        <w:rPr>
          <w:sz w:val="20"/>
          <w:szCs w:val="20"/>
          <w:color w:val="auto"/>
        </w:rPr>
      </w:pPr>
      <w:r>
        <w:rPr>
          <w:rFonts w:ascii="Arial" w:cs="Arial" w:eastAsia="Arial" w:hAnsi="Arial"/>
          <w:sz w:val="22"/>
          <w:szCs w:val="22"/>
          <w:color w:val="auto"/>
        </w:rPr>
        <w:t>deliver, swear to, file and record at the appropriate public offices such documents as may be necessary or appropriate to carry out the provisions of this Agreement, including:</w:t>
      </w:r>
    </w:p>
    <w:p>
      <w:pPr>
        <w:spacing w:after="0" w:line="175" w:lineRule="exact"/>
        <w:rPr>
          <w:sz w:val="20"/>
          <w:szCs w:val="20"/>
          <w:color w:val="auto"/>
        </w:rPr>
      </w:pPr>
    </w:p>
    <w:p>
      <w:pPr>
        <w:jc w:val="both"/>
        <w:ind w:firstLine="2600"/>
        <w:spacing w:after="0" w:line="282" w:lineRule="auto"/>
        <w:tabs>
          <w:tab w:leader="none" w:pos="344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All certificates and other instruments (including counterparts of this Agreement), and all amendments thereto, that the Managing Member deems appropriate to form, qualify, continue or otherwise operate the Company as a limited liability company (or other entity in which the Members will have limited liability comparable to that provided in the Act) in the jurisdictions in which the Company may conduct business or in which such formation, qualification or continuation is, in the opinion of the Managing Member, necessary or desirable to protect the limited liability of the Members.</w:t>
      </w:r>
    </w:p>
    <w:p>
      <w:pPr>
        <w:spacing w:after="0" w:line="147" w:lineRule="exact"/>
        <w:rPr>
          <w:rFonts w:ascii="Arial" w:cs="Arial" w:eastAsia="Arial" w:hAnsi="Arial"/>
          <w:sz w:val="19"/>
          <w:szCs w:val="19"/>
          <w:color w:val="auto"/>
        </w:rPr>
      </w:pPr>
    </w:p>
    <w:p>
      <w:pPr>
        <w:ind w:firstLine="2600"/>
        <w:spacing w:after="0" w:line="328" w:lineRule="auto"/>
        <w:tabs>
          <w:tab w:leader="none" w:pos="350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All amendments to this Agreement adopted in accordance with the terms of this Agreement, and all instruments that the Managing Member deems appropriate in accordance with the terms of this Agreement.</w:t>
      </w:r>
    </w:p>
    <w:p>
      <w:pPr>
        <w:spacing w:after="0" w:line="104" w:lineRule="exact"/>
        <w:rPr>
          <w:rFonts w:ascii="Arial" w:cs="Arial" w:eastAsia="Arial" w:hAnsi="Arial"/>
          <w:sz w:val="19"/>
          <w:szCs w:val="19"/>
          <w:color w:val="auto"/>
        </w:rPr>
      </w:pPr>
    </w:p>
    <w:p>
      <w:pPr>
        <w:ind w:firstLine="2600"/>
        <w:spacing w:after="0" w:line="328" w:lineRule="auto"/>
        <w:tabs>
          <w:tab w:leader="none" w:pos="356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All conveyances of Company Assets and other instruments that the Managing Member reasonably deems necessary in order to complete a dissolution and termination of the Company pursuant to this Agreement.</w:t>
      </w:r>
    </w:p>
    <w:p>
      <w:pPr>
        <w:spacing w:after="0" w:line="104" w:lineRule="exact"/>
        <w:rPr>
          <w:rFonts w:ascii="Arial" w:cs="Arial" w:eastAsia="Arial" w:hAnsi="Arial"/>
          <w:sz w:val="19"/>
          <w:szCs w:val="19"/>
          <w:color w:val="auto"/>
        </w:rPr>
      </w:pPr>
    </w:p>
    <w:p>
      <w:pPr>
        <w:jc w:val="both"/>
        <w:ind w:firstLine="1735"/>
        <w:spacing w:after="0" w:line="282" w:lineRule="auto"/>
        <w:tabs>
          <w:tab w:leader="none" w:pos="262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Power and Interest</w:t>
      </w:r>
      <w:r>
        <w:rPr>
          <w:rFonts w:ascii="Arial" w:cs="Arial" w:eastAsia="Arial" w:hAnsi="Arial"/>
          <w:sz w:val="19"/>
          <w:szCs w:val="19"/>
          <w:color w:val="auto"/>
        </w:rPr>
        <w:t>. The appointment by all Members of the Managing Member as attorney-in-fact shall be deemed to be a power coupled with an interest in recognition of the fact that each of the Members under this Agreement will be relying upon the power of the Managing Member to act as contemplated by this Agreement in any filing and other action by it on behalf of the Company, shall survive the Incapacity of any Person hereby giving such power and the Transfer of all or any portion of such Person’s Membership Interest, and shall not be affected by the subsequent Incapacity of the principal.</w:t>
      </w:r>
    </w:p>
    <w:p>
      <w:pPr>
        <w:spacing w:after="0" w:line="14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Section 13.4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that certain Registration Rights Agreement dated February 9, 2021 by and among the Managing Member and the stockholders of the Managing Member party thereto, as amended, supplemented or restated, in each case in accordance with its terms and the other documents contemplated hereby and thereby, constitutes the entire agreement between the parties hereto pertaining to the subject matter hereof and fully supersedes any and all prior or contemporaneous agreements or understandings between the parties hereto pertaining to the subject matter hereof, including the Existing Agreement.</w:t>
      </w:r>
    </w:p>
    <w:p>
      <w:pPr>
        <w:spacing w:after="0" w:line="17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13.5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intent and purposes of this Agreement.</w:t>
      </w:r>
    </w:p>
    <w:p>
      <w:pPr>
        <w:spacing w:after="0" w:line="18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u w:val="single" w:color="auto"/>
          <w:color w:val="auto"/>
        </w:rPr>
        <w:t>Notices</w:t>
      </w:r>
      <w:r>
        <w:rPr>
          <w:rFonts w:ascii="Arial" w:cs="Arial" w:eastAsia="Arial" w:hAnsi="Arial"/>
          <w:sz w:val="19"/>
          <w:szCs w:val="19"/>
          <w:color w:val="auto"/>
        </w:rPr>
        <w:t>. Any notice, consent, payment, demand, or communication required or permitted to be given by any provision of this Agreement shall be in writing and shall be (a) delivered personally to the Person or to an officer of the Person to whom the same is directed, (b) sent by facsimile, overnight mail or registered or certified mail, return receipt requested, postage prepaid, or (c) (except with respect to notice to the Company or the Managing Member)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sent by email, with electronic, written or oral confirmation of receipt, in each case addressed as follows:</w:t>
      </w:r>
    </w:p>
    <w:p>
      <w:pPr>
        <w:spacing w:after="0" w:line="206" w:lineRule="exact"/>
        <w:rPr>
          <w:sz w:val="20"/>
          <w:szCs w:val="20"/>
          <w:color w:val="auto"/>
        </w:rPr>
      </w:pPr>
    </w:p>
    <w:p>
      <w:pPr>
        <w:ind w:left="3460" w:hanging="860"/>
        <w:spacing w:after="0"/>
        <w:tabs>
          <w:tab w:leader="none" w:pos="34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to the Company or the Managing Member:</w:t>
      </w:r>
    </w:p>
    <w:p>
      <w:pPr>
        <w:spacing w:after="0" w:line="206" w:lineRule="exact"/>
        <w:rPr>
          <w:rFonts w:ascii="Arial" w:cs="Arial" w:eastAsia="Arial" w:hAnsi="Arial"/>
          <w:sz w:val="22"/>
          <w:szCs w:val="22"/>
          <w:color w:val="auto"/>
        </w:rPr>
      </w:pPr>
    </w:p>
    <w:p>
      <w:pPr>
        <w:ind w:left="3460"/>
        <w:spacing w:after="0"/>
        <w:rPr>
          <w:rFonts w:ascii="Arial" w:cs="Arial" w:eastAsia="Arial" w:hAnsi="Arial"/>
          <w:sz w:val="22"/>
          <w:szCs w:val="22"/>
          <w:color w:val="auto"/>
        </w:rPr>
      </w:pPr>
      <w:r>
        <w:rPr>
          <w:rFonts w:ascii="Arial" w:cs="Arial" w:eastAsia="Arial" w:hAnsi="Arial"/>
          <w:sz w:val="22"/>
          <w:szCs w:val="22"/>
          <w:color w:val="auto"/>
        </w:rPr>
        <w:t>c/o Viant Technology Inc.</w:t>
      </w:r>
    </w:p>
    <w:p>
      <w:pPr>
        <w:spacing w:after="0" w:line="8" w:lineRule="exact"/>
        <w:rPr>
          <w:rFonts w:ascii="Arial" w:cs="Arial" w:eastAsia="Arial" w:hAnsi="Arial"/>
          <w:sz w:val="22"/>
          <w:szCs w:val="22"/>
          <w:color w:val="auto"/>
        </w:rPr>
      </w:pPr>
    </w:p>
    <w:p>
      <w:pPr>
        <w:ind w:left="3460" w:right="4900"/>
        <w:spacing w:after="0" w:line="230" w:lineRule="auto"/>
        <w:rPr>
          <w:rFonts w:ascii="Arial" w:cs="Arial" w:eastAsia="Arial" w:hAnsi="Arial"/>
          <w:sz w:val="22"/>
          <w:szCs w:val="22"/>
          <w:color w:val="auto"/>
        </w:rPr>
      </w:pPr>
      <w:r>
        <w:rPr>
          <w:rFonts w:ascii="Arial" w:cs="Arial" w:eastAsia="Arial" w:hAnsi="Arial"/>
          <w:sz w:val="22"/>
          <w:szCs w:val="22"/>
          <w:color w:val="auto"/>
        </w:rPr>
        <w:t>2722 Michelson Drive, Suite 100 Phone: (949) 861-8888</w:t>
      </w:r>
    </w:p>
    <w:p>
      <w:pPr>
        <w:spacing w:after="0" w:line="1" w:lineRule="exact"/>
        <w:rPr>
          <w:rFonts w:ascii="Arial" w:cs="Arial" w:eastAsia="Arial" w:hAnsi="Arial"/>
          <w:sz w:val="22"/>
          <w:szCs w:val="22"/>
          <w:color w:val="auto"/>
        </w:rPr>
      </w:pPr>
    </w:p>
    <w:p>
      <w:pPr>
        <w:ind w:left="3460"/>
        <w:spacing w:after="0" w:line="230" w:lineRule="auto"/>
        <w:rPr>
          <w:rFonts w:ascii="Arial" w:cs="Arial" w:eastAsia="Arial" w:hAnsi="Arial"/>
          <w:sz w:val="22"/>
          <w:szCs w:val="22"/>
          <w:color w:val="auto"/>
        </w:rPr>
      </w:pPr>
      <w:r>
        <w:rPr>
          <w:rFonts w:ascii="Arial" w:cs="Arial" w:eastAsia="Arial" w:hAnsi="Arial"/>
          <w:sz w:val="22"/>
          <w:szCs w:val="22"/>
          <w:color w:val="auto"/>
        </w:rPr>
        <w:t>Email: lmadden@viantinc.com</w:t>
      </w:r>
    </w:p>
    <w:p>
      <w:pPr>
        <w:ind w:left="3460"/>
        <w:spacing w:after="0"/>
        <w:rPr>
          <w:rFonts w:ascii="Arial" w:cs="Arial" w:eastAsia="Arial" w:hAnsi="Arial"/>
          <w:sz w:val="22"/>
          <w:szCs w:val="22"/>
          <w:color w:val="auto"/>
        </w:rPr>
      </w:pPr>
      <w:r>
        <w:rPr>
          <w:rFonts w:ascii="Arial" w:cs="Arial" w:eastAsia="Arial" w:hAnsi="Arial"/>
          <w:sz w:val="22"/>
          <w:szCs w:val="22"/>
          <w:color w:val="auto"/>
        </w:rPr>
        <w:t>Attention: Chief Financial Officer</w:t>
      </w:r>
    </w:p>
    <w:p>
      <w:pPr>
        <w:spacing w:after="0" w:line="188" w:lineRule="exact"/>
        <w:rPr>
          <w:rFonts w:ascii="Arial" w:cs="Arial" w:eastAsia="Arial" w:hAnsi="Arial"/>
          <w:sz w:val="22"/>
          <w:szCs w:val="22"/>
          <w:color w:val="auto"/>
        </w:rPr>
      </w:pPr>
    </w:p>
    <w:p>
      <w:pPr>
        <w:ind w:left="3460"/>
        <w:spacing w:after="0"/>
        <w:rPr>
          <w:rFonts w:ascii="Arial" w:cs="Arial" w:eastAsia="Arial" w:hAnsi="Arial"/>
          <w:sz w:val="22"/>
          <w:szCs w:val="22"/>
          <w:color w:val="auto"/>
        </w:rPr>
      </w:pPr>
      <w:r>
        <w:rPr>
          <w:rFonts w:ascii="Arial" w:cs="Arial" w:eastAsia="Arial" w:hAnsi="Arial"/>
          <w:sz w:val="22"/>
          <w:szCs w:val="22"/>
          <w:color w:val="auto"/>
        </w:rPr>
        <w:t>With a copy (which shall not constitute notice) to:</w:t>
      </w:r>
    </w:p>
    <w:p>
      <w:pPr>
        <w:spacing w:after="0" w:line="206" w:lineRule="exact"/>
        <w:rPr>
          <w:rFonts w:ascii="Arial" w:cs="Arial" w:eastAsia="Arial" w:hAnsi="Arial"/>
          <w:sz w:val="22"/>
          <w:szCs w:val="22"/>
          <w:color w:val="auto"/>
        </w:rPr>
      </w:pPr>
    </w:p>
    <w:p>
      <w:pPr>
        <w:ind w:left="3460" w:right="5100"/>
        <w:spacing w:after="0" w:line="236" w:lineRule="auto"/>
        <w:rPr>
          <w:rFonts w:ascii="Arial" w:cs="Arial" w:eastAsia="Arial" w:hAnsi="Arial"/>
          <w:sz w:val="22"/>
          <w:szCs w:val="22"/>
          <w:color w:val="auto"/>
        </w:rPr>
      </w:pPr>
      <w:r>
        <w:rPr>
          <w:rFonts w:ascii="Arial" w:cs="Arial" w:eastAsia="Arial" w:hAnsi="Arial"/>
          <w:sz w:val="22"/>
          <w:szCs w:val="22"/>
          <w:color w:val="auto"/>
        </w:rPr>
        <w:t>Gibson, Dunn &amp; Crutcher LLP 3161 Michelson Drive Irvine, CA 92612</w:t>
      </w:r>
    </w:p>
    <w:p>
      <w:pPr>
        <w:ind w:left="3460"/>
        <w:spacing w:after="0" w:line="230" w:lineRule="auto"/>
        <w:rPr>
          <w:rFonts w:ascii="Arial" w:cs="Arial" w:eastAsia="Arial" w:hAnsi="Arial"/>
          <w:sz w:val="22"/>
          <w:szCs w:val="22"/>
          <w:color w:val="auto"/>
        </w:rPr>
      </w:pPr>
      <w:r>
        <w:rPr>
          <w:rFonts w:ascii="Arial" w:cs="Arial" w:eastAsia="Arial" w:hAnsi="Arial"/>
          <w:sz w:val="22"/>
          <w:szCs w:val="22"/>
          <w:color w:val="auto"/>
        </w:rPr>
        <w:t>Phone: (949) 351-3923</w:t>
      </w:r>
    </w:p>
    <w:p>
      <w:pPr>
        <w:ind w:left="3460"/>
        <w:spacing w:after="0" w:line="230" w:lineRule="auto"/>
        <w:rPr>
          <w:rFonts w:ascii="Arial" w:cs="Arial" w:eastAsia="Arial" w:hAnsi="Arial"/>
          <w:sz w:val="22"/>
          <w:szCs w:val="22"/>
          <w:color w:val="auto"/>
        </w:rPr>
      </w:pPr>
      <w:r>
        <w:rPr>
          <w:rFonts w:ascii="Arial" w:cs="Arial" w:eastAsia="Arial" w:hAnsi="Arial"/>
          <w:sz w:val="22"/>
          <w:szCs w:val="22"/>
          <w:color w:val="auto"/>
        </w:rPr>
        <w:t>Fax: (949) 475-4673</w:t>
      </w:r>
    </w:p>
    <w:p>
      <w:pPr>
        <w:ind w:left="3460"/>
        <w:spacing w:after="0"/>
        <w:rPr>
          <w:rFonts w:ascii="Arial" w:cs="Arial" w:eastAsia="Arial" w:hAnsi="Arial"/>
          <w:sz w:val="22"/>
          <w:szCs w:val="22"/>
          <w:color w:val="auto"/>
        </w:rPr>
      </w:pPr>
      <w:r>
        <w:rPr>
          <w:rFonts w:ascii="Arial" w:cs="Arial" w:eastAsia="Arial" w:hAnsi="Arial"/>
          <w:sz w:val="22"/>
          <w:szCs w:val="22"/>
          <w:color w:val="auto"/>
        </w:rPr>
        <w:t>Attention: John M. Williams III</w:t>
      </w:r>
    </w:p>
    <w:p>
      <w:pPr>
        <w:spacing w:after="0" w:line="188" w:lineRule="exact"/>
        <w:rPr>
          <w:rFonts w:ascii="Arial" w:cs="Arial" w:eastAsia="Arial" w:hAnsi="Arial"/>
          <w:sz w:val="22"/>
          <w:szCs w:val="22"/>
          <w:color w:val="auto"/>
        </w:rPr>
      </w:pPr>
    </w:p>
    <w:p>
      <w:pPr>
        <w:ind w:left="3460" w:right="220"/>
        <w:spacing w:after="0" w:line="250" w:lineRule="auto"/>
        <w:rPr>
          <w:rFonts w:ascii="Arial" w:cs="Arial" w:eastAsia="Arial" w:hAnsi="Arial"/>
          <w:sz w:val="22"/>
          <w:szCs w:val="22"/>
          <w:color w:val="auto"/>
        </w:rPr>
      </w:pPr>
      <w:r>
        <w:rPr>
          <w:rFonts w:ascii="Arial" w:cs="Arial" w:eastAsia="Arial" w:hAnsi="Arial"/>
          <w:sz w:val="22"/>
          <w:szCs w:val="22"/>
          <w:color w:val="auto"/>
        </w:rPr>
        <w:t>or to such other address as the Company may from time to time specify by notice to the Members;</w:t>
      </w:r>
    </w:p>
    <w:p>
      <w:pPr>
        <w:spacing w:after="0" w:line="174" w:lineRule="exact"/>
        <w:rPr>
          <w:rFonts w:ascii="Arial" w:cs="Arial" w:eastAsia="Arial" w:hAnsi="Arial"/>
          <w:sz w:val="22"/>
          <w:szCs w:val="22"/>
          <w:color w:val="auto"/>
        </w:rPr>
      </w:pPr>
    </w:p>
    <w:p>
      <w:pPr>
        <w:ind w:left="3520" w:hanging="920"/>
        <w:spacing w:after="0"/>
        <w:tabs>
          <w:tab w:leader="none" w:pos="352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to any Member, to:</w:t>
      </w:r>
    </w:p>
    <w:p>
      <w:pPr>
        <w:spacing w:after="0" w:line="206" w:lineRule="exact"/>
        <w:rPr>
          <w:sz w:val="20"/>
          <w:szCs w:val="20"/>
          <w:color w:val="auto"/>
        </w:rPr>
      </w:pPr>
    </w:p>
    <w:p>
      <w:pPr>
        <w:ind w:left="3460" w:right="360"/>
        <w:spacing w:after="0" w:line="250" w:lineRule="auto"/>
        <w:rPr>
          <w:sz w:val="20"/>
          <w:szCs w:val="20"/>
          <w:color w:val="auto"/>
        </w:rPr>
      </w:pPr>
      <w:r>
        <w:rPr>
          <w:rFonts w:ascii="Arial" w:cs="Arial" w:eastAsia="Arial" w:hAnsi="Arial"/>
          <w:sz w:val="22"/>
          <w:szCs w:val="22"/>
          <w:color w:val="auto"/>
        </w:rPr>
        <w:t>the address, email, or facsimile number of such Member set forth in the records of the Company.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such notice shall be deemed to be delivered, given and received for all purposes as of: (A) the date so delivered, if delivered personally, (B) upon receipt, if sent by facsimile or email, or (C) on the date of receipt or refusal indicated on the return receipt, if sent by registered or certified mail, return receipt requested, postage and charges prepaid and properly addressed.</w:t>
      </w:r>
    </w:p>
    <w:p>
      <w:pPr>
        <w:spacing w:after="0" w:line="13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including its existence, validity, construction, and operating effect, and the rights of each of the parties hereto, shall be governed by and construed in accordance with the Laws of the State of Delaware without regard to otherwise governing principles of conflicts of Law.</w:t>
      </w:r>
    </w:p>
    <w:p>
      <w:pPr>
        <w:spacing w:after="0" w:line="18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13.8 </w:t>
      </w:r>
      <w:r>
        <w:rPr>
          <w:rFonts w:ascii="Arial" w:cs="Arial" w:eastAsia="Arial" w:hAnsi="Arial"/>
          <w:sz w:val="19"/>
          <w:szCs w:val="19"/>
          <w:u w:val="single" w:color="auto"/>
          <w:color w:val="auto"/>
        </w:rPr>
        <w:t>Jurisdiction and Venue</w:t>
      </w:r>
      <w:r>
        <w:rPr>
          <w:rFonts w:ascii="Arial" w:cs="Arial" w:eastAsia="Arial" w:hAnsi="Arial"/>
          <w:sz w:val="19"/>
          <w:szCs w:val="19"/>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(the “</w:t>
      </w:r>
      <w:r>
        <w:rPr>
          <w:rFonts w:ascii="Arial" w:cs="Arial" w:eastAsia="Arial" w:hAnsi="Arial"/>
          <w:sz w:val="19"/>
          <w:szCs w:val="19"/>
          <w:u w:val="single" w:color="auto"/>
          <w:color w:val="auto"/>
        </w:rPr>
        <w:t>Selected Courts</w:t>
      </w:r>
      <w:r>
        <w:rPr>
          <w:rFonts w:ascii="Arial" w:cs="Arial" w:eastAsia="Arial" w:hAnsi="Arial"/>
          <w:sz w:val="19"/>
          <w:szCs w:val="19"/>
          <w:color w:val="auto"/>
        </w:rPr>
        <w:t>”), and each of the parties hereby irrevocably consents to the jurisdiction of the Selected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6" w:name="page227"/>
    <w:bookmarkEnd w:id="226"/>
    <w:p>
      <w:pPr>
        <w:jc w:val="both"/>
        <w:spacing w:after="0" w:line="238" w:lineRule="auto"/>
        <w:rPr>
          <w:sz w:val="20"/>
          <w:szCs w:val="20"/>
          <w:color w:val="auto"/>
        </w:rPr>
      </w:pPr>
      <w:r>
        <w:rPr>
          <w:rFonts w:ascii="Arial" w:cs="Arial" w:eastAsia="Arial" w:hAnsi="Arial"/>
          <w:sz w:val="22"/>
          <w:szCs w:val="22"/>
          <w:color w:val="auto"/>
        </w:rPr>
        <w:t xml:space="preserve">proceeding brought in any such court has been brought in an inconvenient forum. Process in any such suit, Action or proceeding may be served on any party anywhere in the world, whether within or without the jurisdiction of any Selected Court. Without limiting the foregoing, each party agrees that service of process on such party in the manner provided for notice in </w:t>
      </w:r>
      <w:r>
        <w:rPr>
          <w:rFonts w:ascii="Arial" w:cs="Arial" w:eastAsia="Arial" w:hAnsi="Arial"/>
          <w:sz w:val="22"/>
          <w:szCs w:val="22"/>
          <w:u w:val="single" w:color="auto"/>
          <w:color w:val="auto"/>
        </w:rPr>
        <w:t>Section 13.6</w:t>
      </w:r>
      <w:r>
        <w:rPr>
          <w:rFonts w:ascii="Arial" w:cs="Arial" w:eastAsia="Arial" w:hAnsi="Arial"/>
          <w:sz w:val="22"/>
          <w:szCs w:val="22"/>
          <w:color w:val="auto"/>
        </w:rPr>
        <w:t xml:space="preserve"> shall be deemed effective service of process on such party.</w:t>
      </w:r>
    </w:p>
    <w:p>
      <w:pPr>
        <w:spacing w:after="0" w:line="18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13.9 </w:t>
      </w:r>
      <w:r>
        <w:rPr>
          <w:rFonts w:ascii="Arial" w:cs="Arial" w:eastAsia="Arial" w:hAnsi="Arial"/>
          <w:sz w:val="19"/>
          <w:szCs w:val="19"/>
          <w:u w:val="single" w:color="auto"/>
          <w:color w:val="auto"/>
        </w:rPr>
        <w:t>Equitable Remedies</w:t>
      </w:r>
      <w:r>
        <w:rPr>
          <w:rFonts w:ascii="Arial" w:cs="Arial" w:eastAsia="Arial" w:hAnsi="Arial"/>
          <w:sz w:val="19"/>
          <w:szCs w:val="19"/>
          <w:color w:val="auto"/>
        </w:rPr>
        <w:t>. The parties hereto agree that irreparable damage would occur in the event that any of the provisions of this Agreement 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any of the Selected Courts, this being in addition to any other remedy to which they are entitled at Law or in equity. Any requirements for the securing or posting of any bond with respect to such remedy are hereby waived by each of the parties hereto. Each party further agrees that, in the event of any Action for an injunction or other equitable remedy in respect of such breach or enforcement of specific performance, it will not assert the defense that a remedy at Law would be adequate.</w:t>
      </w:r>
    </w:p>
    <w:p>
      <w:pPr>
        <w:spacing w:after="0" w:line="157"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color w:val="auto"/>
        </w:rPr>
        <w:t>Section 13.10</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construed as if all parties hereto prepared this Agreement.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each such counterpart shall for all purposes be deemed an original, and all such counterparts shall together constitute but one and the same agreement.</w:t>
      </w:r>
    </w:p>
    <w:p>
      <w:pPr>
        <w:spacing w:after="0" w:line="18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4.7</w:t>
      </w:r>
      <w:r>
        <w:rPr>
          <w:rFonts w:ascii="Arial" w:cs="Arial" w:eastAsia="Arial" w:hAnsi="Arial"/>
          <w:sz w:val="22"/>
          <w:szCs w:val="22"/>
          <w:color w:val="auto"/>
        </w:rPr>
        <w:t>, nothing in this Agreement, express or implied, is intended or shall be construed to give any Person other than the parties hereto (or their respective legal representatives, successors, heirs and distributees) any legal or equitable right, remedy or claim under or in respect of any agreement or provision contained herein, it being the intention of the parties hereto that this Agreement is for the sole and exclusive benefit of such parties (or such legal representatives, successors, heirs and distributees) and for the benefit of no other Person.</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u w:val="single" w:color="auto"/>
          <w:color w:val="auto"/>
        </w:rPr>
        <w:t>Binding Effect</w:t>
      </w:r>
      <w:r>
        <w:rPr>
          <w:rFonts w:ascii="Arial" w:cs="Arial" w:eastAsia="Arial" w:hAnsi="Arial"/>
          <w:sz w:val="22"/>
          <w:szCs w:val="22"/>
          <w:color w:val="auto"/>
        </w:rPr>
        <w:t>. Except as otherwise expressly provided herein, all of the terms and provisions of this Agreement shall be binding on, shall inure to the benefit of and shall be enforceable by the Members, their heirs, executors, administrators, successors and all other Persons hereafter holding, having or receiving an interest in the Company, whether as Substituted Members or otherwise.</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13.14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13.15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provisions of Section 4.6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Section 7.9, Section 13.1, Section 13.3, Section 13.4,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13.6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13.7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13.8</w:t>
      </w:r>
      <w:r>
        <w:rPr>
          <w:rFonts w:ascii="Arial" w:cs="Arial" w:eastAsia="Arial" w:hAnsi="Arial"/>
          <w:sz w:val="22"/>
          <w:szCs w:val="22"/>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-191770</wp:posOffset>
            </wp:positionV>
            <wp:extent cx="6343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-191770</wp:posOffset>
            </wp:positionV>
            <wp:extent cx="22542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858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7" w:name="page228"/>
    <w:bookmarkEnd w:id="227"/>
    <w:p>
      <w:pPr>
        <w:jc w:val="both"/>
        <w:ind w:right="20"/>
        <w:spacing w:after="0" w:line="250"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13.15</w:t>
      </w:r>
      <w:r>
        <w:rPr>
          <w:rFonts w:ascii="Arial" w:cs="Arial" w:eastAsia="Arial" w:hAnsi="Arial"/>
          <w:sz w:val="22"/>
          <w:szCs w:val="22"/>
          <w:color w:val="auto"/>
        </w:rPr>
        <w:t>) (and any other provisions of this Agreement necessary for the effectiveness of the enumerated sections) shall survive the termination of the Company and/or the termination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DEFINED TERMS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indicated to the contrary, the following definitions shall be applied to the terms used in this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Funds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Member</w:t>
      </w:r>
      <w:r>
        <w:rPr>
          <w:rFonts w:ascii="Arial" w:cs="Arial" w:eastAsia="Arial" w:hAnsi="Arial"/>
          <w:sz w:val="22"/>
          <w:szCs w:val="22"/>
          <w:color w:val="auto"/>
        </w:rPr>
        <w:t xml:space="preserve">” means a Person who is admitted to the Company as a Member pursuant to the Act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w:t>
      </w:r>
      <w:r>
        <w:rPr>
          <w:rFonts w:ascii="Arial" w:cs="Arial" w:eastAsia="Arial" w:hAnsi="Arial"/>
          <w:sz w:val="22"/>
          <w:szCs w:val="22"/>
          <w:color w:val="auto"/>
        </w:rPr>
        <w:t>, who is shown as such on the books and records of the Company, and who has not ceased to be a Member pursuant to the Act and this Agreement.</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Capital Account</w:t>
      </w:r>
      <w:r>
        <w:rPr>
          <w:rFonts w:ascii="Arial" w:cs="Arial" w:eastAsia="Arial" w:hAnsi="Arial"/>
          <w:sz w:val="22"/>
          <w:szCs w:val="22"/>
          <w:color w:val="auto"/>
        </w:rPr>
        <w:t>” means, with respect to any Member, the amount of such Member’s Capital Account as of the end of the relevant Fiscal Year, after giving effect to the following adjustments:</w:t>
      </w:r>
    </w:p>
    <w:p>
      <w:pPr>
        <w:spacing w:after="0" w:line="175" w:lineRule="exact"/>
        <w:rPr>
          <w:sz w:val="20"/>
          <w:szCs w:val="20"/>
          <w:color w:val="auto"/>
        </w:rPr>
      </w:pPr>
    </w:p>
    <w:p>
      <w:pPr>
        <w:jc w:val="both"/>
        <w:ind w:left="880" w:firstLine="789"/>
        <w:spacing w:after="0" w:line="238" w:lineRule="auto"/>
        <w:tabs>
          <w:tab w:leader="none" w:pos="252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credit to such Capital Account any amounts that such Member is obligated to restore (whether pursuant to this Agreement or otherwise by operation of Law) upon liquidation of such Member’s Membership Interest or that such Member is deemed to be obligated to restore pursuant to the penultimate sentence of each of Treas. Reg. § 1.704-2(g)(1) or 1.704-2(i)(5); and</w:t>
      </w:r>
    </w:p>
    <w:p>
      <w:pPr>
        <w:spacing w:after="0" w:line="184" w:lineRule="exact"/>
        <w:rPr>
          <w:rFonts w:ascii="Arial" w:cs="Arial" w:eastAsia="Arial" w:hAnsi="Arial"/>
          <w:sz w:val="22"/>
          <w:szCs w:val="22"/>
          <w:color w:val="auto"/>
        </w:rPr>
      </w:pPr>
    </w:p>
    <w:p>
      <w:pPr>
        <w:ind w:left="2580" w:hanging="911"/>
        <w:spacing w:after="0"/>
        <w:tabs>
          <w:tab w:leader="none" w:pos="25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debit to such Capital Account the items described in Treas. Reg. § 1.704-1(b)(2)(ii)(d)(4), (5) and</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(6).</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foregoing definition of “Adjusted Capital Account” is intended to comply with the provisions of Treas. Reg. § 1.704-1(b)(2) (ii)(d) and shall be interpreted consistently therewith.</w:t>
      </w:r>
    </w:p>
    <w:p>
      <w:pPr>
        <w:spacing w:after="0" w:line="17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 specified Person, any other Person that directly, or indirectly through one or more intermediaries, controls, is controlled by, or is under common control with, such specified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 none of the Members or their parent companies or Affiliates shall be deemed to be an Affiliate of any other Member or its parent company or Affiliates and (ii) none of the Members or their parent companies or Affiliates shall be deemed to be an Affiliate of the Company or any of its Affiliates.</w:t>
      </w:r>
    </w:p>
    <w:p>
      <w:pPr>
        <w:spacing w:after="0" w:line="187"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Amended and Restated Limited Liability Company Agreement of Viant Technology LLC, together with the Schedules and Exhibits hereto, as now or hereafter amended, restated, modified, supplemented, or replaced.</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Sale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8" w:name="page229"/>
    <w:bookmarkEnd w:id="228"/>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Sale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8.3(b)</w:t>
      </w:r>
      <w:r>
        <w:rPr>
          <w:rFonts w:ascii="Arial" w:cs="Arial" w:eastAsia="Arial" w:hAnsi="Arial"/>
          <w:sz w:val="22"/>
          <w:szCs w:val="22"/>
          <w:color w:val="auto"/>
        </w:rPr>
        <w:t>.</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Value</w:t>
      </w:r>
      <w:r>
        <w:rPr>
          <w:rFonts w:ascii="Arial" w:cs="Arial" w:eastAsia="Arial" w:hAnsi="Arial"/>
          <w:sz w:val="22"/>
          <w:szCs w:val="22"/>
          <w:color w:val="auto"/>
        </w:rPr>
        <w:t xml:space="preserve">” means, with respect to any Asset, the adjusted basis of such Asset for federal income tax purposes;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w:t>
      </w:r>
    </w:p>
    <w:p>
      <w:pPr>
        <w:spacing w:after="0" w:line="175" w:lineRule="exact"/>
        <w:rPr>
          <w:sz w:val="20"/>
          <w:szCs w:val="20"/>
          <w:color w:val="auto"/>
        </w:rPr>
      </w:pPr>
    </w:p>
    <w:p>
      <w:pPr>
        <w:ind w:left="880" w:firstLine="789"/>
        <w:spacing w:after="0" w:line="274" w:lineRule="auto"/>
        <w:tabs>
          <w:tab w:leader="none" w:pos="2529"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the initial Asset Value of any Asset (other than cash) contributed or deemed contributed by a Member to the Company shall be the gross Fair Market Value of such Asset as determined by the Company;</w:t>
      </w:r>
    </w:p>
    <w:p>
      <w:pPr>
        <w:spacing w:after="0" w:line="150" w:lineRule="exact"/>
        <w:rPr>
          <w:rFonts w:ascii="Arial" w:cs="Arial" w:eastAsia="Arial" w:hAnsi="Arial"/>
          <w:sz w:val="21"/>
          <w:szCs w:val="21"/>
          <w:color w:val="auto"/>
        </w:rPr>
      </w:pPr>
    </w:p>
    <w:p>
      <w:pPr>
        <w:jc w:val="both"/>
        <w:ind w:left="880" w:firstLine="789"/>
        <w:spacing w:after="0" w:line="271" w:lineRule="auto"/>
        <w:tabs>
          <w:tab w:leader="none" w:pos="2589"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the Asset Values of all Assets shall be adjusted to equal their respective gross Fair Market Values as determined by the Company as of the following times: (A) the acquisition of an additional interest in the Company by any new or existing Member, in exchange for more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Capital Contribution; (B) the distribution by the Company to a Member of more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of property as consideration for an interest in the Company;</w:t>
      </w:r>
    </w:p>
    <w:p>
      <w:pPr>
        <w:spacing w:after="0" w:line="3" w:lineRule="exact"/>
        <w:rPr>
          <w:rFonts w:ascii="Arial" w:cs="Arial" w:eastAsia="Arial" w:hAnsi="Arial"/>
          <w:sz w:val="19"/>
          <w:szCs w:val="19"/>
          <w:color w:val="auto"/>
        </w:rPr>
      </w:pPr>
    </w:p>
    <w:p>
      <w:pPr>
        <w:jc w:val="both"/>
        <w:ind w:left="880" w:hanging="8"/>
        <w:spacing w:after="0" w:line="245" w:lineRule="exact"/>
        <w:tabs>
          <w:tab w:leader="none" w:pos="122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liquidation of the Company within the meaning of Treas. Reg. §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1(b)(2)(ii)(g); (D) the grant of an interest in the Company (other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interest) as consideration for the provision of services to the benefit of the Company by an existing Member acting in a Member capacity or by a new Member acting in a Member capacity or in anticipation of becoming a Member; or (E) any other instance in which such adjustment is permitted under Treas. Reg. § 1.704</w:t>
      </w:r>
      <w:r>
        <w:rPr>
          <w:rFonts w:ascii="MS PGothic" w:cs="MS PGothic" w:eastAsia="MS PGothic" w:hAnsi="MS PGothic"/>
          <w:sz w:val="21"/>
          <w:szCs w:val="21"/>
          <w:color w:val="auto"/>
        </w:rPr>
        <w:t>‑</w:t>
      </w:r>
      <w:r>
        <w:rPr>
          <w:rFonts w:ascii="Arial" w:cs="Arial" w:eastAsia="Arial" w:hAnsi="Arial"/>
          <w:sz w:val="21"/>
          <w:szCs w:val="21"/>
          <w:color w:val="auto"/>
        </w:rPr>
        <w:t xml:space="preserve">1(b)(2)(iv);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adjustment pursuant to clauses (A), (B), (D), or (E) above shall be made only if the Company determines that such adjustment is necessary or appropriate to reflect the relative economic interests of the Members in the Company;</w:t>
      </w:r>
    </w:p>
    <w:p>
      <w:pPr>
        <w:spacing w:after="0" w:line="187" w:lineRule="exact"/>
        <w:rPr>
          <w:rFonts w:ascii="Arial" w:cs="Arial" w:eastAsia="Arial" w:hAnsi="Arial"/>
          <w:sz w:val="21"/>
          <w:szCs w:val="21"/>
          <w:color w:val="auto"/>
        </w:rPr>
      </w:pPr>
    </w:p>
    <w:p>
      <w:pPr>
        <w:ind w:left="880" w:right="20" w:firstLine="789"/>
        <w:spacing w:after="0" w:line="250" w:lineRule="auto"/>
        <w:tabs>
          <w:tab w:leader="none" w:pos="264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Asset Value of any Asset distributed to any Member shall be the gross Fair Market Value of such Asset on the date of distribution, as determined by the Company; and</w:t>
      </w:r>
    </w:p>
    <w:p>
      <w:pPr>
        <w:spacing w:after="0" w:line="174" w:lineRule="exact"/>
        <w:rPr>
          <w:rFonts w:ascii="Arial" w:cs="Arial" w:eastAsia="Arial" w:hAnsi="Arial"/>
          <w:sz w:val="22"/>
          <w:szCs w:val="22"/>
          <w:color w:val="auto"/>
        </w:rPr>
      </w:pPr>
    </w:p>
    <w:p>
      <w:pPr>
        <w:jc w:val="both"/>
        <w:ind w:left="880" w:firstLine="789"/>
        <w:spacing w:after="0" w:line="234" w:lineRule="auto"/>
        <w:tabs>
          <w:tab w:leader="none" w:pos="263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 xml:space="preserve">the Asset Values of all Assets shall be increased (or decreased) to reflect any adjustments to the adjusted basis of such Assets pursuant to Code section 734(b) or Code section 743(b), but only to the extent that such adjustments are taken into account in determining Capital Accounts pursuant to Treas. Reg. § 1.704-1(b)(2)(iv)(m);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Asset Values shall not be adjusted pursuant to this paragraph (iv) to the extent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determines that an adjustment pursuant to paragraph (ii) of this definition of Asset Value is necessary or appropriate in connection with a transaction that would otherwise result in an adjustment pursuant to this paragraph (iv).</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Asset Value of an Asset has been determined or adjusted to paragraph (i), (ii), or (iv) of this definition of Asset Value, then such Asset Value shall thereafter be adjusted by the Depreciation taken into account with respect to such Asset for purposes of computing Net Profits and Net Losses.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means any assets and property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Tax Liability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Tax Rate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3.2(b)(ii</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9" w:name="page230"/>
    <w:bookmarkEnd w:id="229"/>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Cash</w:t>
      </w:r>
      <w:r>
        <w:rPr>
          <w:rFonts w:ascii="Arial" w:cs="Arial" w:eastAsia="Arial" w:hAnsi="Arial"/>
          <w:sz w:val="22"/>
          <w:szCs w:val="22"/>
          <w:color w:val="auto"/>
        </w:rPr>
        <w:t>” means, after taking into account amounts determined by the Managing Member to be reasonably necessary or advisable to be retained by the Company to meet actual or anticipated, direct or indirect, expenses, capital investments, working capital needs or liabilities (actual, contingent or otherwise) of the Company, including the payment of any Imputed Underpayment or for the operation of the business of the Company, or to create reasonable reserves for any of the foregoing, cash (in United States dollars) of the Company that the Board of Directors determines is available for distribution to the Members.</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w:t>
      </w:r>
      <w:r>
        <w:rPr>
          <w:rFonts w:ascii="Arial" w:cs="Arial" w:eastAsia="Arial" w:hAnsi="Arial"/>
          <w:sz w:val="22"/>
          <w:szCs w:val="22"/>
          <w:color w:val="auto"/>
        </w:rPr>
        <w:t>” means, with respect to any Person, the occurrence of any event specified in Section 18-304 of the Act with respect to such Person, and the term “Bankrupt” has a correlative meaning.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Managing Member.</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weekday, excluding any legal holiday observed pursuant to United States federal or California State Law or regulation.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7.13</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w:t>
      </w:r>
      <w:r>
        <w:rPr>
          <w:rFonts w:ascii="Arial" w:cs="Arial" w:eastAsia="Arial" w:hAnsi="Arial"/>
          <w:sz w:val="22"/>
          <w:szCs w:val="22"/>
          <w:color w:val="auto"/>
        </w:rPr>
        <w:t>” means, with respect to any Member, the aggregate amount of money and the initial Asset Value of property (other than money) in such form as may be permitted by the Act that the Member contributes (or is treated as contributing) to the Company.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 share of any class or series of stock of the Managing Member now or hereafter authorized.</w:t>
      </w:r>
    </w:p>
    <w:p>
      <w:pPr>
        <w:spacing w:after="0" w:line="24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Settlement</w:t>
      </w:r>
      <w:r>
        <w:rPr>
          <w:rFonts w:ascii="Arial" w:cs="Arial" w:eastAsia="Arial" w:hAnsi="Arial"/>
          <w:sz w:val="19"/>
          <w:szCs w:val="19"/>
          <w:color w:val="auto"/>
        </w:rPr>
        <w:t>” means immediately available funds in U.S. dollars in an amount equal to the product of (x) the number of shares of Class A Common Stock that would otherwise be delivered to a Member in an Exchange, multiplied by (y) the price per share, net of underwriting discounts and commissions, at which Class A Common Stock is issued by the Managing Member in an underwritten offering or block trade commenced in anticipation of the applicable Exchange (a “</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Offering</w:t>
      </w:r>
      <w:r>
        <w:rPr>
          <w:rFonts w:ascii="Arial" w:cs="Arial" w:eastAsia="Arial" w:hAnsi="Arial"/>
          <w:sz w:val="19"/>
          <w:szCs w:val="19"/>
          <w:color w:val="auto"/>
        </w:rPr>
        <w:t xml:space="preserve">”); or (z) if no such Liquidity Offering occurs within sixty (60) days after the receipt of the Exchange Notice, the arithmetic average of the volume weighted average prices for a share of Class A Common Stock on the principal U.S. securities exchange or automated or electronic quotation system on which the Class A Common Stock trades, as reported by </w:t>
      </w:r>
      <w:r>
        <w:rPr>
          <w:rFonts w:ascii="Arial" w:cs="Arial" w:eastAsia="Arial" w:hAnsi="Arial"/>
          <w:sz w:val="19"/>
          <w:szCs w:val="19"/>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Journal </w:t>
      </w:r>
      <w:r>
        <w:rPr>
          <w:rFonts w:ascii="Arial" w:cs="Arial" w:eastAsia="Arial" w:hAnsi="Arial"/>
          <w:sz w:val="19"/>
          <w:szCs w:val="19"/>
          <w:color w:val="auto"/>
        </w:rPr>
        <w:t>or its successor, for each of the three (3) consecutive full Business Days ending on and including the last full</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Day immediately prior to the Exchange Date, in each case subject to appropriate and equitable adjustment for any stock splits, reverse splits, stock dividends or similar events affecting the Class A Common Stock. If the Class A Common Stock no longer trades on a securities exchange or automated or electronic quotation system, then the amount specified in clause (y) shall be determined in good faith by a committee of the Board of Directors composed of a majority of the directors of the Managing Member that do not have an interest in the Exchangeable Units and shares of Class B Common Stock being Exchanged.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Formation</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Certificates</w:t>
      </w:r>
      <w:r>
        <w:rPr>
          <w:rFonts w:ascii="Arial" w:cs="Arial" w:eastAsia="Arial" w:hAnsi="Arial"/>
          <w:sz w:val="22"/>
          <w:szCs w:val="22"/>
          <w:color w:val="auto"/>
        </w:rPr>
        <w:t>” means (A) any certificates representing Exchangeable Units, (B) if applicable, any stock certificates representing the shares of Class B Common Stock required to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0" w:name="page231"/>
    <w:bookmarkEnd w:id="230"/>
    <w:p>
      <w:pPr>
        <w:jc w:val="both"/>
        <w:spacing w:after="0" w:line="277" w:lineRule="auto"/>
        <w:rPr>
          <w:sz w:val="20"/>
          <w:szCs w:val="20"/>
          <w:color w:val="auto"/>
        </w:rPr>
      </w:pPr>
      <w:r>
        <w:rPr>
          <w:rFonts w:ascii="Arial" w:cs="Arial" w:eastAsia="Arial" w:hAnsi="Arial"/>
          <w:sz w:val="19"/>
          <w:szCs w:val="19"/>
          <w:color w:val="auto"/>
        </w:rPr>
        <w:t>surrendered in connection with an Exchange of Class B Common Units, and (C) such other information, documents or instruments as either the Managing Member or the Company (or the Managing Member’s transfer agent) may reasonably require in connection with an Exchange. If any certificate or other document referenced in the immediately preceding sentence is alleged to be lost, stolen or destroyed, the Exchangeable Unit Member shall cooperate with and respond to the reasonable requests of the Managing Member and the Company (or the Managing Member’s transfer agent), and if required by the Managing Member or the Company furnish an affidavit of loss and/or an indemnity against any claim that may be made against the Managing Member or the Company on account of the alleged loss, theft or destruction of such certificate or other document.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means the Class A common stock of the Managing Member, $0.001 par value per share.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Unit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means the Class B Common Stock of the Managing Member, $0.001 par value per share.</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Unit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All references in this Agreement to sections of the Code shall include any corresponding provision or provisions of succeeding Law.</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or the Class B Common Stock (and shall not include any additional series or class of the Managing Member’s common stock created after the date of this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Unit</w:t>
      </w:r>
      <w:r>
        <w:rPr>
          <w:rFonts w:ascii="Arial" w:cs="Arial" w:eastAsia="Arial" w:hAnsi="Arial"/>
          <w:sz w:val="22"/>
          <w:szCs w:val="22"/>
          <w:color w:val="auto"/>
        </w:rPr>
        <w:t>” means a Class A Common Unit or Class B Common Unit.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is defined in the preamble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Counsel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13.2</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Minimum Gain</w:t>
      </w:r>
      <w:r>
        <w:rPr>
          <w:rFonts w:ascii="Arial" w:cs="Arial" w:eastAsia="Arial" w:hAnsi="Arial"/>
          <w:sz w:val="22"/>
          <w:szCs w:val="22"/>
          <w:color w:val="auto"/>
        </w:rPr>
        <w:t>” has the meaning set forth as “partnership minimum gain” in Treas. Reg. § 1.704-2(b)(2) and is computed in accordance with Treas. Reg. § 1.704-2(d).</w:t>
      </w:r>
    </w:p>
    <w:p>
      <w:pPr>
        <w:spacing w:after="0" w:line="17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xml:space="preserve">” means the consent to, approval of, or vote in favor of a proposed action by a Member given in accordance with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12.3(b)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“controlled by” and “under common control with,” means with respect to any Person, the possession, directly or indirectly, of the power to direct or cause the direction of the management or policies of such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1" w:name="page232"/>
    <w:bookmarkEnd w:id="231"/>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Entity</w:t>
      </w:r>
      <w:r>
        <w:rPr>
          <w:rFonts w:ascii="Arial" w:cs="Arial" w:eastAsia="Arial" w:hAnsi="Arial"/>
          <w:sz w:val="21"/>
          <w:szCs w:val="21"/>
          <w:color w:val="auto"/>
        </w:rPr>
        <w:t>” means, as to any Person, (i) any corporation of which all the outstanding voting stock of which is owned by such Person or such Person’s Family Members or Controlled Entities, (ii) any trust, whether or not revocable, of which such Person or such Person’s Family Members or Controlled Entities are the sole beneficiaries, (iii) any partnership of which such Person or a Controlled Entity of such Person is the managing partner and in which such Person or such Person’s Family Members or Controlled Entities hold partnership interests representing all of such partnership’s capital and profits and (iv) any limited liability company of which such Person or a Controlled Entity of such Person is the manager or managing member and in which such Person or such Person’s Family Members or Controlled Entities hold Membership Interests representing all of such limited liability company’s capital and profits.</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 minimis</w:t>
      </w:r>
      <w:r>
        <w:rPr>
          <w:rFonts w:ascii="Arial" w:cs="Arial" w:eastAsia="Arial" w:hAnsi="Arial"/>
          <w:sz w:val="22"/>
          <w:szCs w:val="22"/>
          <w:color w:val="auto"/>
        </w:rPr>
        <w:t>” shall mean an amount small enough as to make not accounting for it commercially reasonable or accounting for it administratively impractical, in each case as determined by the Managing Member.</w:t>
      </w:r>
    </w:p>
    <w:p>
      <w:pPr>
        <w:spacing w:after="0" w:line="17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and (iii) obligations of such Person as lessee under capital leases.</w:t>
      </w:r>
    </w:p>
    <w:p>
      <w:pPr>
        <w:spacing w:after="0" w:line="14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Depreciation</w:t>
      </w:r>
      <w:r>
        <w:rPr>
          <w:rFonts w:ascii="Arial" w:cs="Arial" w:eastAsia="Arial" w:hAnsi="Arial"/>
          <w:sz w:val="22"/>
          <w:szCs w:val="22"/>
          <w:color w:val="auto"/>
        </w:rPr>
        <w:t xml:space="preserve">” means, for each Fiscal Year or other period, an amount equal to the depreciation, amortization or other cost recovery deduction allowable for federal income tax purposes with respect to an asset for such Fiscal Year or other period;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 the Asset Value of an asset differs from its adjusted basis for federal income tax purposes at the</w:t>
      </w:r>
      <w:r>
        <w:rPr>
          <w:rFonts w:ascii="Arial" w:cs="Arial" w:eastAsia="Arial" w:hAnsi="Arial"/>
          <w:sz w:val="22"/>
          <w:szCs w:val="22"/>
          <w:i w:val="1"/>
          <w:iCs w:val="1"/>
          <w:color w:val="auto"/>
        </w:rPr>
        <w:t xml:space="preserve"> </w:t>
      </w:r>
      <w:r>
        <w:rPr>
          <w:rFonts w:ascii="Arial" w:cs="Arial" w:eastAsia="Arial" w:hAnsi="Arial"/>
          <w:sz w:val="22"/>
          <w:szCs w:val="22"/>
          <w:color w:val="auto"/>
        </w:rPr>
        <w:t>beginning of such Fiscal Year or other period, Depreciation shall be determined in accordance with Treas. Reg. § 1.704-1(b)(2) (iv)(g)(3) or Treas. Reg. § 1.704-3(d)(2), as appropriate.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Individual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7.4(a)(ii)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Right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8.3(a)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Elective Exchange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Elective Exchange Notice</w:t>
      </w:r>
      <w:r>
        <w:rPr>
          <w:rFonts w:ascii="Arial" w:cs="Arial" w:eastAsia="Arial" w:hAnsi="Arial"/>
          <w:sz w:val="22"/>
          <w:szCs w:val="22"/>
          <w:color w:val="auto"/>
        </w:rPr>
        <w:t xml:space="preserve">” is defined </w:t>
      </w:r>
      <w:r>
        <w:rPr>
          <w:rFonts w:ascii="Arial" w:cs="Arial" w:eastAsia="Arial" w:hAnsi="Arial"/>
          <w:sz w:val="22"/>
          <w:szCs w:val="22"/>
          <w:u w:val="single" w:color="auto"/>
          <w:color w:val="auto"/>
        </w:rPr>
        <w:t>Section 12.1(b</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employee or other service provider (including a director, adviser or consultant) of the Company or an employee or other service provider (including a director, adviser or consultant) of a Subsidiary of the Company, if any.</w:t>
      </w:r>
    </w:p>
    <w:p>
      <w:pPr>
        <w:spacing w:after="0" w:line="10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Equivalent Units</w:t>
      </w:r>
      <w:r>
        <w:rPr>
          <w:rFonts w:ascii="Arial" w:cs="Arial" w:eastAsia="Arial" w:hAnsi="Arial"/>
          <w:sz w:val="19"/>
          <w:szCs w:val="19"/>
          <w:color w:val="auto"/>
        </w:rPr>
        <w:t>” means Units with preferences, conversion and other rights (other than voting rights), restrictions, limitations as to dividends and other distributions, qualifications, terms and conditions of redemption (the “</w:t>
      </w:r>
      <w:r>
        <w:rPr>
          <w:rFonts w:ascii="Arial" w:cs="Arial" w:eastAsia="Arial" w:hAnsi="Arial"/>
          <w:sz w:val="19"/>
          <w:szCs w:val="19"/>
          <w:u w:val="single" w:color="auto"/>
          <w:color w:val="auto"/>
        </w:rPr>
        <w:t>Terms</w:t>
      </w:r>
      <w:r>
        <w:rPr>
          <w:rFonts w:ascii="Arial" w:cs="Arial" w:eastAsia="Arial" w:hAnsi="Arial"/>
          <w:sz w:val="19"/>
          <w:szCs w:val="19"/>
          <w:color w:val="auto"/>
        </w:rPr>
        <w:t>”) that are (a) relative to the Common Units and the other classes and series of Units that correspond to classes and series of Capital Stock, and</w:t>
      </w:r>
    </w:p>
    <w:p>
      <w:pPr>
        <w:spacing w:after="0" w:line="1" w:lineRule="exact"/>
        <w:rPr>
          <w:sz w:val="20"/>
          <w:szCs w:val="20"/>
          <w:color w:val="auto"/>
        </w:rPr>
      </w:pPr>
    </w:p>
    <w:p>
      <w:pPr>
        <w:jc w:val="both"/>
        <w:ind w:firstLine="8"/>
        <w:spacing w:after="0" w:line="234" w:lineRule="auto"/>
        <w:tabs>
          <w:tab w:leader="none" w:pos="3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substantially the same as (or corresponding to) the Terms that any new Capital Stock or New Securities have relative to the Common Stock and other classes and series of Capital Stock or New Securities. The foregoing shall not apply to matters such as voting for members of the Board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2" w:name="page233"/>
    <w:bookmarkEnd w:id="232"/>
    <w:p>
      <w:pPr>
        <w:jc w:val="both"/>
        <w:spacing w:after="0" w:line="250" w:lineRule="auto"/>
        <w:rPr>
          <w:sz w:val="20"/>
          <w:szCs w:val="20"/>
          <w:color w:val="auto"/>
        </w:rPr>
      </w:pPr>
      <w:r>
        <w:rPr>
          <w:rFonts w:ascii="Arial" w:cs="Arial" w:eastAsia="Arial" w:hAnsi="Arial"/>
          <w:sz w:val="22"/>
          <w:szCs w:val="22"/>
          <w:color w:val="auto"/>
        </w:rPr>
        <w:t>Directors that are not applicable to the Company. In comparing the economic rights of any Preferred Stock with the economic rights of any Units, the effect of taxes may be taken into account.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means any Elective Exchange or Mandatory Exchange.</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any successor statute thereto, and the rules and regulations of the SEC promulgated thereunder.</w:t>
      </w:r>
    </w:p>
    <w:p>
      <w:pPr>
        <w:spacing w:after="0" w:line="17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Consideration</w:t>
      </w:r>
      <w:r>
        <w:rPr>
          <w:rFonts w:ascii="Arial" w:cs="Arial" w:eastAsia="Arial" w:hAnsi="Arial"/>
          <w:sz w:val="19"/>
          <w:szCs w:val="19"/>
          <w:color w:val="auto"/>
        </w:rPr>
        <w:t>” shall mean, in the case of any Exchange, (x) the number of shares of Class A Common Stock that is equal to the product of the number of Exchangeable Units surrendered in the Exchange multiplied by the Exchange Rate (the “</w:t>
      </w:r>
      <w:r>
        <w:rPr>
          <w:rFonts w:ascii="Arial" w:cs="Arial" w:eastAsia="Arial" w:hAnsi="Arial"/>
          <w:sz w:val="19"/>
          <w:szCs w:val="19"/>
          <w:u w:val="single" w:color="auto"/>
          <w:color w:val="auto"/>
        </w:rPr>
        <w:t>Stock Consideration</w:t>
      </w:r>
      <w:r>
        <w:rPr>
          <w:rFonts w:ascii="Arial" w:cs="Arial" w:eastAsia="Arial" w:hAnsi="Arial"/>
          <w:sz w:val="19"/>
          <w:szCs w:val="19"/>
          <w:color w:val="auto"/>
        </w:rPr>
        <w:t>”), (y) the Cash Settlement, plus, in the case of an Exchange of Class B Common Units under either sub-clause (x) or (y), an amount that is equal to $0.001 multiplied by the number of shares of Class B Common Stock included in the Exchange, or (z) a combination of the Stock Consideration and the Cash Settlement.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Date</w:t>
      </w:r>
      <w:r>
        <w:rPr>
          <w:rFonts w:ascii="Arial" w:cs="Arial" w:eastAsia="Arial" w:hAnsi="Arial"/>
          <w:sz w:val="22"/>
          <w:szCs w:val="22"/>
          <w:color w:val="auto"/>
        </w:rPr>
        <w:t>” means an Elective Exchange Date or Mandatory Exchange Date.</w:t>
      </w:r>
    </w:p>
    <w:p>
      <w:pPr>
        <w:spacing w:after="0" w:line="20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in respect of any Exchange, a ratio, expressed as a fraction, the numerator of which shall be the number of shares of Class A Common Stock outstanding immediately before the Exchange and the denominator of which shall be the number of Class A Common Units owned by the Managing Member immediately before the Exchange. On the date of this Agreement, the Exchange Rate shall be 1, subject to adjustment pursuant to </w:t>
      </w:r>
      <w:r>
        <w:rPr>
          <w:rFonts w:ascii="Arial" w:cs="Arial" w:eastAsia="Arial" w:hAnsi="Arial"/>
          <w:sz w:val="19"/>
          <w:szCs w:val="19"/>
          <w:u w:val="single" w:color="auto"/>
          <w:color w:val="auto"/>
        </w:rPr>
        <w:t>Section 12.4</w:t>
      </w:r>
      <w:r>
        <w:rPr>
          <w:rFonts w:ascii="Arial" w:cs="Arial" w:eastAsia="Arial" w:hAnsi="Arial"/>
          <w:sz w:val="19"/>
          <w:szCs w:val="19"/>
          <w:color w:val="auto"/>
        </w:rPr>
        <w: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Exchangeable Unit</w:t>
      </w:r>
      <w:r>
        <w:rPr>
          <w:rFonts w:ascii="Arial" w:cs="Arial" w:eastAsia="Arial" w:hAnsi="Arial"/>
          <w:sz w:val="22"/>
          <w:szCs w:val="22"/>
          <w:color w:val="auto"/>
        </w:rPr>
        <w:t>” means each Class B Common Unit.</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Exchangeable Unit Member</w:t>
      </w:r>
      <w:r>
        <w:rPr>
          <w:rFonts w:ascii="Arial" w:cs="Arial" w:eastAsia="Arial" w:hAnsi="Arial"/>
          <w:sz w:val="22"/>
          <w:szCs w:val="22"/>
          <w:color w:val="auto"/>
        </w:rPr>
        <w:t>” means each Member, other than the Managing Member and any of its wholly owned Subsidiaries, that holds a Class B Common Unit.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of Units or other property, means the cash price that a third party would pay to acquire all of such Units (computed on a fully diluted basis after giving effect to the exercise of any and all outstanding conversion rights, exchange rights, warrants and options) or other property, as the case may be, in an arm’s-length transaction. Unless otherwise determined by the Company, the following assumptions will be made when determining the Fair Market Value of Units:</w:t>
      </w:r>
    </w:p>
    <w:p>
      <w:pPr>
        <w:spacing w:after="0" w:line="143" w:lineRule="exact"/>
        <w:rPr>
          <w:sz w:val="20"/>
          <w:szCs w:val="20"/>
          <w:color w:val="auto"/>
        </w:rPr>
      </w:pPr>
    </w:p>
    <w:p>
      <w:pPr>
        <w:jc w:val="both"/>
        <w:ind w:firstLine="872"/>
        <w:spacing w:after="0"/>
        <w:tabs>
          <w:tab w:leader="none" w:pos="116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that the Company was being sold in a manner reasonably designed to solicit all possible participants and permit all interested Persons an opportunity to participate and to achieve the best value reasonably available to the Members at the time; and</w:t>
      </w:r>
    </w:p>
    <w:p>
      <w:pPr>
        <w:spacing w:after="0" w:line="186" w:lineRule="exact"/>
        <w:rPr>
          <w:rFonts w:ascii="Arial" w:cs="Arial" w:eastAsia="Arial" w:hAnsi="Arial"/>
          <w:sz w:val="22"/>
          <w:szCs w:val="22"/>
          <w:color w:val="auto"/>
        </w:rPr>
      </w:pPr>
    </w:p>
    <w:p>
      <w:pPr>
        <w:ind w:right="20" w:firstLine="872"/>
        <w:spacing w:after="0" w:line="328" w:lineRule="auto"/>
        <w:tabs>
          <w:tab w:leader="none" w:pos="122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that all existing circumstances are taken into account, including the terms and conditions of all agreements (including this Agreement) to which the Company is then a party or by which it is otherwise benefited or affected, determined.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3" w:name="page234"/>
    <w:bookmarkEnd w:id="233"/>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Family Members</w:t>
      </w:r>
      <w:r>
        <w:rPr>
          <w:rFonts w:ascii="Arial" w:cs="Arial" w:eastAsia="Arial" w:hAnsi="Arial"/>
          <w:sz w:val="19"/>
          <w:szCs w:val="19"/>
          <w:color w:val="auto"/>
        </w:rPr>
        <w:t xml:space="preserve">” means, as to a Person that is an individual, such Person’s spouse, ancestors (whether by blood or by adoption), descendants (whether by blood or by adoption), brothers and sisters (whether by blood or by adoption) and </w:t>
      </w:r>
      <w:r>
        <w:rPr>
          <w:rFonts w:ascii="Arial" w:cs="Arial" w:eastAsia="Arial" w:hAnsi="Arial"/>
          <w:sz w:val="19"/>
          <w:szCs w:val="19"/>
          <w:i w:val="1"/>
          <w:iCs w:val="1"/>
          <w:color w:val="auto"/>
        </w:rPr>
        <w:t>inter vivos</w:t>
      </w:r>
      <w:r>
        <w:rPr>
          <w:rFonts w:ascii="Arial" w:cs="Arial" w:eastAsia="Arial" w:hAnsi="Arial"/>
          <w:sz w:val="19"/>
          <w:szCs w:val="19"/>
          <w:color w:val="auto"/>
        </w:rPr>
        <w:t xml:space="preserve"> or testamentary trusts of which only such Person and his spouse, ancestors (whether by blood or by adoption), descendants (whether by blood or by adoption), brothers and sisters (whether by blood or adoption) are beneficiaries.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Amended and Restated Agreement</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Formation Date</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Imputed Underpayment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Imputed Underpayment Share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7.5(c)(i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Incapacity</w:t>
      </w:r>
      <w:r>
        <w:rPr>
          <w:rFonts w:ascii="Arial" w:cs="Arial" w:eastAsia="Arial" w:hAnsi="Arial"/>
          <w:sz w:val="19"/>
          <w:szCs w:val="19"/>
          <w:color w:val="auto"/>
        </w:rPr>
        <w:t>” or “</w:t>
      </w:r>
      <w:r>
        <w:rPr>
          <w:rFonts w:ascii="Arial" w:cs="Arial" w:eastAsia="Arial" w:hAnsi="Arial"/>
          <w:sz w:val="19"/>
          <w:szCs w:val="19"/>
          <w:u w:val="single" w:color="auto"/>
          <w:color w:val="auto"/>
        </w:rPr>
        <w:t>Incapacitated</w:t>
      </w:r>
      <w:r>
        <w:rPr>
          <w:rFonts w:ascii="Arial" w:cs="Arial" w:eastAsia="Arial" w:hAnsi="Arial"/>
          <w:sz w:val="19"/>
          <w:szCs w:val="19"/>
          <w:color w:val="auto"/>
        </w:rPr>
        <w:t>” means, (i) as to any Member who is an individual, death, total physical disability or entry by a court of competent jurisdiction adjudicating such Member incompetent to manage his or her Person or his or her estate; (ii) as to any Member that is a corporation or limited liability company, the filing of a certificate of dissolution, or its equivalent, for the corporation or the revocation of its charter; (iii) as to any Member that is a partnership, the dissolution and commencement of winding up of the partnership; (iv) as to any Member that is an estate, the distribution by the fiduciary of the estate’s entire interest in the Company; (v) as to any trustee of a trust that is a Member, the termination of the trust (but not the substitution of a new trustee); or (vi) as to any Member, the Bankruptcy of such Member.</w:t>
      </w:r>
    </w:p>
    <w:p>
      <w:pPr>
        <w:spacing w:after="0" w:line="15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w:t>
      </w:r>
      <w:r>
        <w:rPr>
          <w:rFonts w:ascii="Arial" w:cs="Arial" w:eastAsia="Arial" w:hAnsi="Arial"/>
          <w:sz w:val="22"/>
          <w:szCs w:val="22"/>
          <w:color w:val="auto"/>
        </w:rPr>
        <w:t>” means any plan, agreement or other arrangement that provides for the grant or issuance of equity or equity-based awards and that is now in effect or is hereafter adopted by the Company or the Managing Member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means the Managing Member, each Affiliate of the Managing Member, the Tax Representative, the Designated Individual and each officer or director of the Managing Member, the Company or their respective Affiliates, in all cases in such capacity.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Certificate of Formation</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Members</w:t>
      </w:r>
      <w:r>
        <w:rPr>
          <w:rFonts w:ascii="Arial" w:cs="Arial" w:eastAsia="Arial" w:hAnsi="Arial"/>
          <w:sz w:val="22"/>
          <w:szCs w:val="22"/>
          <w:color w:val="auto"/>
        </w:rPr>
        <w:t>” is defined in the preamble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 Reorganization</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 or, if applicable, a state or local taxing agency.</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4" w:name="page235"/>
    <w:bookmarkEnd w:id="234"/>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Unit</w:t>
      </w:r>
      <w:r>
        <w:rPr>
          <w:rFonts w:ascii="Arial" w:cs="Arial" w:eastAsia="Arial" w:hAnsi="Arial"/>
          <w:sz w:val="22"/>
          <w:szCs w:val="22"/>
          <w:color w:val="auto"/>
        </w:rPr>
        <w:t xml:space="preserve">” means a fractional share of the Membership Interests of a particular class or series that the Managing Member has authorized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that has distribution rights, or rights upon liquidation, winding up, and dissolution, that are inferior or junior to the Common Units.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applicable statute, Law, ordinance, regulation, rule, code, executive order, injunction, judgment, decree or order of any governmental authority. The term “</w:t>
      </w:r>
      <w:r>
        <w:rPr>
          <w:rFonts w:ascii="Arial" w:cs="Arial" w:eastAsia="Arial" w:hAnsi="Arial"/>
          <w:sz w:val="22"/>
          <w:szCs w:val="22"/>
          <w:u w:val="single" w:color="auto"/>
          <w:color w:val="auto"/>
        </w:rPr>
        <w:t>Lawful</w:t>
      </w:r>
      <w:r>
        <w:rPr>
          <w:rFonts w:ascii="Arial" w:cs="Arial" w:eastAsia="Arial" w:hAnsi="Arial"/>
          <w:sz w:val="22"/>
          <w:szCs w:val="22"/>
          <w:color w:val="auto"/>
        </w:rPr>
        <w:t>” has a correlative meaning.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Liquidating Event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Liquidator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Majority-in-Interest of the Members</w:t>
      </w:r>
      <w:r>
        <w:rPr>
          <w:rFonts w:ascii="Arial" w:cs="Arial" w:eastAsia="Arial" w:hAnsi="Arial"/>
          <w:sz w:val="22"/>
          <w:szCs w:val="22"/>
          <w:color w:val="auto"/>
        </w:rPr>
        <w:t>” means Members (excluding the Managing Member) entitled to vote on or consent to any matter holding more than fifty percent (50%) of all outstanding Units held by all Members (excluding the Managing Member) entitled to vote on or consent to such matter.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Member</w:t>
      </w:r>
      <w:r>
        <w:rPr>
          <w:rFonts w:ascii="Arial" w:cs="Arial" w:eastAsia="Arial" w:hAnsi="Arial"/>
          <w:sz w:val="22"/>
          <w:szCs w:val="22"/>
          <w:color w:val="auto"/>
        </w:rPr>
        <w:t>” is defined in the preamble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Exchange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Exchange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Exchange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Member</w:t>
      </w:r>
      <w:r>
        <w:rPr>
          <w:rFonts w:ascii="Arial" w:cs="Arial" w:eastAsia="Arial" w:hAnsi="Arial"/>
          <w:sz w:val="19"/>
          <w:szCs w:val="19"/>
          <w:color w:val="auto"/>
        </w:rPr>
        <w:t>” means any Person named as a member of the Company on Annex A to this Agreement (as amended from time to time) and any Person admitted as an Additional Member of the Company or a Substitute Member of the Company, in each case, in such Person’s capacity as a member of the Company, until such time as such Person has ceased to be a Member.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Member Nonrecourse Debt</w:t>
      </w:r>
      <w:r>
        <w:rPr>
          <w:rFonts w:ascii="Arial" w:cs="Arial" w:eastAsia="Arial" w:hAnsi="Arial"/>
          <w:sz w:val="19"/>
          <w:szCs w:val="19"/>
          <w:color w:val="auto"/>
        </w:rPr>
        <w:t>” has the meaning given to the term “partner nonrecourse debt” in Treas. Reg. § 1.704-2(b)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Nonrecourse Debt Minimum Gain</w:t>
      </w:r>
      <w:r>
        <w:rPr>
          <w:rFonts w:ascii="Arial" w:cs="Arial" w:eastAsia="Arial" w:hAnsi="Arial"/>
          <w:sz w:val="22"/>
          <w:szCs w:val="22"/>
          <w:color w:val="auto"/>
        </w:rPr>
        <w:t>” means, with respect to each Member Nonrecourse Debt, an amount equal to the Company Minimum Gain that would result if such Member Nonrecourse Debt were treated as a Nonrecourse Liability, determined in accordance with Treas. Reg. § 1.704-2(i)(3).</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Member Nonrecourse Deductions</w:t>
      </w:r>
      <w:r>
        <w:rPr>
          <w:rFonts w:ascii="Arial" w:cs="Arial" w:eastAsia="Arial" w:hAnsi="Arial"/>
          <w:sz w:val="19"/>
          <w:szCs w:val="19"/>
          <w:color w:val="auto"/>
        </w:rPr>
        <w:t>” has the meaning given to the term “partner nonrecourse deduction” in Treas. Reg.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1.704-2(i)(l) and 1.704-2(i)(2).</w:t>
      </w:r>
    </w:p>
    <w:p>
      <w:pPr>
        <w:spacing w:after="0" w:line="188"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Membership Interest</w:t>
      </w:r>
      <w:r>
        <w:rPr>
          <w:rFonts w:ascii="Arial" w:cs="Arial" w:eastAsia="Arial" w:hAnsi="Arial"/>
          <w:sz w:val="22"/>
          <w:szCs w:val="22"/>
          <w:color w:val="auto"/>
        </w:rPr>
        <w:t>” means, with respect to any Member, such Member’s entire undivided economic interest in the Company, including rights to allocations and distributions of the Company and any right of such Member to the return of Capital Contributions and any interest thereon.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5" w:name="page236"/>
    <w:bookmarkEnd w:id="235"/>
    <w:p>
      <w:pPr>
        <w:jc w:val="both"/>
        <w:ind w:right="20"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Minimum Exchangeable Amount</w:t>
      </w:r>
      <w:r>
        <w:rPr>
          <w:rFonts w:ascii="Arial" w:cs="Arial" w:eastAsia="Arial" w:hAnsi="Arial"/>
          <w:sz w:val="21"/>
          <w:szCs w:val="21"/>
          <w:color w:val="auto"/>
        </w:rPr>
        <w:t xml:space="preserve">” means Exchangeable Units estimated to have a fair value of any minimum amount established by the Managing Member pursuant to </w:t>
      </w:r>
      <w:r>
        <w:rPr>
          <w:rFonts w:ascii="Arial" w:cs="Arial" w:eastAsia="Arial" w:hAnsi="Arial"/>
          <w:sz w:val="21"/>
          <w:szCs w:val="21"/>
          <w:u w:val="single" w:color="auto"/>
          <w:color w:val="auto"/>
        </w:rPr>
        <w:t>Section 12.1</w:t>
      </w:r>
      <w:r>
        <w:rPr>
          <w:rFonts w:ascii="Arial" w:cs="Arial" w:eastAsia="Arial" w:hAnsi="Arial"/>
          <w:sz w:val="21"/>
          <w:szCs w:val="21"/>
          <w:color w:val="auto"/>
        </w:rPr>
        <w:t>, provided that all of the Exchangeable Units held by such Exchangeable Unit Member shall never be deemed to be lower than the Minimum Exchangeable Amount.</w:t>
      </w:r>
    </w:p>
    <w:p>
      <w:pPr>
        <w:spacing w:after="0" w:line="16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Profits</w:t>
      </w:r>
      <w:r>
        <w:rPr>
          <w:rFonts w:ascii="Arial" w:cs="Arial" w:eastAsia="Arial" w:hAnsi="Arial"/>
          <w:sz w:val="21"/>
          <w:szCs w:val="21"/>
          <w:color w:val="auto"/>
        </w:rPr>
        <w:t>” and “</w:t>
      </w:r>
      <w:r>
        <w:rPr>
          <w:rFonts w:ascii="Arial" w:cs="Arial" w:eastAsia="Arial" w:hAnsi="Arial"/>
          <w:sz w:val="21"/>
          <w:szCs w:val="21"/>
          <w:u w:val="single" w:color="auto"/>
          <w:color w:val="auto"/>
        </w:rPr>
        <w:t>Net Losses</w:t>
      </w:r>
      <w:r>
        <w:rPr>
          <w:rFonts w:ascii="Arial" w:cs="Arial" w:eastAsia="Arial" w:hAnsi="Arial"/>
          <w:sz w:val="21"/>
          <w:szCs w:val="21"/>
          <w:color w:val="auto"/>
        </w:rPr>
        <w:t>” mean, for each Fiscal Year or other period, an amount equal to the Company’s taxable income or loss for such Fiscal Year or other period, determined in accordance with Code section 703(a) and, where appropriate, (but including in taxable income or loss, for this purpose, all items of income, gain, loss or deduction required to be stated separately pursuant to Code section 703(a)(1)), with the following adjustments:</w:t>
      </w:r>
    </w:p>
    <w:p>
      <w:pPr>
        <w:spacing w:after="0" w:line="174" w:lineRule="exact"/>
        <w:rPr>
          <w:sz w:val="20"/>
          <w:szCs w:val="20"/>
          <w:color w:val="auto"/>
        </w:rPr>
      </w:pPr>
    </w:p>
    <w:p>
      <w:pPr>
        <w:ind w:left="880" w:firstLine="789"/>
        <w:spacing w:after="0" w:line="328" w:lineRule="auto"/>
        <w:tabs>
          <w:tab w:leader="none" w:pos="252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any income of the Company exempt from federal income tax and not otherwise taken into account in computing Net Profits or Net Losses pursuant to this definition shall be added to such taxable income or loss;</w:t>
      </w:r>
    </w:p>
    <w:p>
      <w:pPr>
        <w:spacing w:after="0" w:line="104" w:lineRule="exact"/>
        <w:rPr>
          <w:rFonts w:ascii="Arial" w:cs="Arial" w:eastAsia="Arial" w:hAnsi="Arial"/>
          <w:sz w:val="19"/>
          <w:szCs w:val="19"/>
          <w:color w:val="auto"/>
        </w:rPr>
      </w:pPr>
    </w:p>
    <w:p>
      <w:pPr>
        <w:jc w:val="both"/>
        <w:ind w:left="880" w:firstLine="789"/>
        <w:spacing w:after="0" w:line="238" w:lineRule="auto"/>
        <w:tabs>
          <w:tab w:leader="none" w:pos="2589"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any expenditures of the Company described in Code section 705(a)(2)(B) (or treated as expenditures described in Code section 705(a)(2)(B) pursuant to Treas. Reg. § 1.704 1(b)(2)(iv)(i)) and not otherwise taken into account in computing Net Profits or Net Losses pursuant to this definition shall be subtracted from such taxable income or loss;</w:t>
      </w:r>
    </w:p>
    <w:p>
      <w:pPr>
        <w:spacing w:after="0" w:line="184" w:lineRule="exact"/>
        <w:rPr>
          <w:rFonts w:ascii="Arial" w:cs="Arial" w:eastAsia="Arial" w:hAnsi="Arial"/>
          <w:sz w:val="22"/>
          <w:szCs w:val="22"/>
          <w:color w:val="auto"/>
        </w:rPr>
      </w:pPr>
    </w:p>
    <w:p>
      <w:pPr>
        <w:ind w:left="2640" w:hanging="971"/>
        <w:spacing w:after="0"/>
        <w:tabs>
          <w:tab w:leader="none" w:pos="264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in the event the Asset Value of any Asset of the Company is adjusted in accordance with paragraph</w:t>
      </w:r>
    </w:p>
    <w:p>
      <w:pPr>
        <w:spacing w:after="0" w:line="42" w:lineRule="exact"/>
        <w:rPr>
          <w:rFonts w:ascii="Arial" w:cs="Arial" w:eastAsia="Arial" w:hAnsi="Arial"/>
          <w:sz w:val="19"/>
          <w:szCs w:val="19"/>
          <w:color w:val="auto"/>
        </w:rPr>
      </w:pPr>
    </w:p>
    <w:p>
      <w:pPr>
        <w:ind w:left="880" w:hanging="8"/>
        <w:spacing w:after="0" w:line="256" w:lineRule="auto"/>
        <w:tabs>
          <w:tab w:leader="none" w:pos="1211" w:val="left"/>
        </w:tabs>
        <w:numPr>
          <w:ilvl w:val="0"/>
          <w:numId w:val="170"/>
        </w:numPr>
        <w:rPr>
          <w:rFonts w:ascii="Arial" w:cs="Arial" w:eastAsia="Arial" w:hAnsi="Arial"/>
          <w:sz w:val="21"/>
          <w:szCs w:val="21"/>
          <w:color w:val="auto"/>
        </w:rPr>
      </w:pPr>
      <w:r>
        <w:rPr>
          <w:rFonts w:ascii="Arial" w:cs="Arial" w:eastAsia="Arial" w:hAnsi="Arial"/>
          <w:sz w:val="21"/>
          <w:szCs w:val="21"/>
          <w:color w:val="auto"/>
        </w:rPr>
        <w:t>or paragraph (iii) of the definition of “Asset Value,” the amount of such adjustment shall be taken into account as gain or loss from the disposition of such Asset for purposes of computing Net Profits or Net Losses;</w:t>
      </w:r>
    </w:p>
    <w:p>
      <w:pPr>
        <w:spacing w:after="0" w:line="168" w:lineRule="exact"/>
        <w:rPr>
          <w:rFonts w:ascii="Arial" w:cs="Arial" w:eastAsia="Arial" w:hAnsi="Arial"/>
          <w:sz w:val="21"/>
          <w:szCs w:val="21"/>
          <w:color w:val="auto"/>
        </w:rPr>
      </w:pPr>
    </w:p>
    <w:p>
      <w:pPr>
        <w:jc w:val="both"/>
        <w:ind w:left="880" w:firstLine="789"/>
        <w:spacing w:after="0"/>
        <w:tabs>
          <w:tab w:leader="none" w:pos="2637" w:val="left"/>
        </w:tabs>
        <w:numPr>
          <w:ilvl w:val="1"/>
          <w:numId w:val="170"/>
        </w:numPr>
        <w:rPr>
          <w:rFonts w:ascii="Arial" w:cs="Arial" w:eastAsia="Arial" w:hAnsi="Arial"/>
          <w:sz w:val="22"/>
          <w:szCs w:val="22"/>
          <w:color w:val="auto"/>
        </w:rPr>
      </w:pPr>
      <w:r>
        <w:rPr>
          <w:rFonts w:ascii="Arial" w:cs="Arial" w:eastAsia="Arial" w:hAnsi="Arial"/>
          <w:sz w:val="22"/>
          <w:szCs w:val="22"/>
          <w:color w:val="auto"/>
        </w:rPr>
        <w:t>gain or loss resulting from any disposition of any Asset with respect to which gain or loss is recognized for federal income tax purposes shall be computed by reference to the Asset Value of the Asset disposed of, notwithstanding that the adjusted tax basis of such Asset differs from its Asset Value;</w:t>
      </w:r>
    </w:p>
    <w:p>
      <w:pPr>
        <w:spacing w:after="0" w:line="186" w:lineRule="exact"/>
        <w:rPr>
          <w:rFonts w:ascii="Arial" w:cs="Arial" w:eastAsia="Arial" w:hAnsi="Arial"/>
          <w:sz w:val="22"/>
          <w:szCs w:val="22"/>
          <w:color w:val="auto"/>
        </w:rPr>
      </w:pPr>
    </w:p>
    <w:p>
      <w:pPr>
        <w:ind w:left="880" w:right="20" w:firstLine="789"/>
        <w:spacing w:after="0" w:line="328" w:lineRule="auto"/>
        <w:tabs>
          <w:tab w:leader="none" w:pos="2577"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in lieu of the Depreciation, amortization and other cost recovery deductions taken into account in computing such taxable income or loss, there shall be taken into account Depreciation for such Fiscal Year;</w:t>
      </w:r>
    </w:p>
    <w:p>
      <w:pPr>
        <w:spacing w:after="0" w:line="104" w:lineRule="exact"/>
        <w:rPr>
          <w:rFonts w:ascii="Arial" w:cs="Arial" w:eastAsia="Arial" w:hAnsi="Arial"/>
          <w:sz w:val="19"/>
          <w:szCs w:val="19"/>
          <w:color w:val="auto"/>
        </w:rPr>
      </w:pPr>
    </w:p>
    <w:p>
      <w:pPr>
        <w:jc w:val="both"/>
        <w:ind w:left="880" w:firstLine="789"/>
        <w:spacing w:after="0" w:line="248" w:lineRule="auto"/>
        <w:tabs>
          <w:tab w:leader="none" w:pos="2637" w:val="left"/>
        </w:tabs>
        <w:numPr>
          <w:ilvl w:val="1"/>
          <w:numId w:val="170"/>
        </w:numPr>
        <w:rPr>
          <w:rFonts w:ascii="Arial" w:cs="Arial" w:eastAsia="Arial" w:hAnsi="Arial"/>
          <w:sz w:val="21"/>
          <w:szCs w:val="21"/>
          <w:color w:val="auto"/>
        </w:rPr>
      </w:pPr>
      <w:r>
        <w:rPr>
          <w:rFonts w:ascii="Arial" w:cs="Arial" w:eastAsia="Arial" w:hAnsi="Arial"/>
          <w:sz w:val="21"/>
          <w:szCs w:val="21"/>
          <w:color w:val="auto"/>
        </w:rPr>
        <w:t>to the extent an adjustment to the adjusted tax basis of any Asset pursuant to Code section 734(b) is required pursuant to Treas. Reg. §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and Net Losses; and</w:t>
      </w:r>
    </w:p>
    <w:p>
      <w:pPr>
        <w:spacing w:after="0" w:line="176" w:lineRule="exact"/>
        <w:rPr>
          <w:rFonts w:ascii="Arial" w:cs="Arial" w:eastAsia="Arial" w:hAnsi="Arial"/>
          <w:sz w:val="21"/>
          <w:szCs w:val="21"/>
          <w:color w:val="auto"/>
        </w:rPr>
      </w:pPr>
    </w:p>
    <w:p>
      <w:pPr>
        <w:jc w:val="both"/>
        <w:ind w:left="880" w:firstLine="789"/>
        <w:spacing w:after="0" w:line="238" w:lineRule="auto"/>
        <w:tabs>
          <w:tab w:leader="none" w:pos="2697"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definition of Net Profits and Net Losses, any items that are specially allocated 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shall not be taken into account in computing Net Profits or Net Losses, but shall be determined by applying rules analogous to those set forth in paragraphs (i) through (vi) above;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6" w:name="page237"/>
    <w:bookmarkEnd w:id="236"/>
    <w:p>
      <w:pPr>
        <w:ind w:left="880" w:right="20" w:firstLine="789"/>
        <w:spacing w:after="0" w:line="274" w:lineRule="auto"/>
        <w:tabs>
          <w:tab w:leader="none" w:pos="2757" w:val="left"/>
        </w:tabs>
        <w:numPr>
          <w:ilvl w:val="0"/>
          <w:numId w:val="171"/>
        </w:numPr>
        <w:rPr>
          <w:rFonts w:ascii="Arial" w:cs="Arial" w:eastAsia="Arial" w:hAnsi="Arial"/>
          <w:sz w:val="21"/>
          <w:szCs w:val="21"/>
          <w:color w:val="auto"/>
        </w:rPr>
      </w:pPr>
      <w:r>
        <w:rPr>
          <w:rFonts w:ascii="Arial" w:cs="Arial" w:eastAsia="Arial" w:hAnsi="Arial"/>
          <w:sz w:val="21"/>
          <w:szCs w:val="21"/>
          <w:color w:val="auto"/>
        </w:rPr>
        <w:t>where appropriate, references to Net Profits and Net Losses shall refer to specific items of income, gain, loss, deduction, and credit comprising or otherwise comprising Net Profits or Net Losses.</w:t>
      </w:r>
    </w:p>
    <w:p>
      <w:pPr>
        <w:spacing w:after="0" w:line="15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Securities</w:t>
      </w:r>
      <w:r>
        <w:rPr>
          <w:rFonts w:ascii="Arial" w:cs="Arial" w:eastAsia="Arial" w:hAnsi="Arial"/>
          <w:sz w:val="22"/>
          <w:szCs w:val="22"/>
          <w:color w:val="auto"/>
        </w:rPr>
        <w:t>” means any equity security as defined in Rule 3a11-1 under the Securities Exchange Act of 1934, as amended, excluding grants under the Incentive Compensation Plans, including (i) rights, options, warrants, or convertible or exchangeable securities that entitle the holder thereof to subscribe for or purchase, convert such securities into, or exchange such securities for, Common Stock or Preferred Stock and (ii) any Debt issued by the Managing Member that provides any of the rights described in clause (i).</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Deductions</w:t>
      </w:r>
      <w:r>
        <w:rPr>
          <w:rFonts w:ascii="Arial" w:cs="Arial" w:eastAsia="Arial" w:hAnsi="Arial"/>
          <w:sz w:val="22"/>
          <w:szCs w:val="22"/>
          <w:color w:val="auto"/>
        </w:rPr>
        <w:t>” has the meaning set forth in Treas. Reg. § 1.704-2(b)(1).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Liability</w:t>
      </w:r>
      <w:r>
        <w:rPr>
          <w:rFonts w:ascii="Arial" w:cs="Arial" w:eastAsia="Arial" w:hAnsi="Arial"/>
          <w:sz w:val="22"/>
          <w:szCs w:val="22"/>
          <w:color w:val="auto"/>
        </w:rPr>
        <w:t>” has the meaning set forth in Treas. Reg. § 1.752-1(a)(2).</w:t>
      </w:r>
    </w:p>
    <w:p>
      <w:pPr>
        <w:spacing w:after="0" w:line="20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Percentage Interest</w:t>
      </w:r>
      <w:r>
        <w:rPr>
          <w:rFonts w:ascii="Arial" w:cs="Arial" w:eastAsia="Arial" w:hAnsi="Arial"/>
          <w:sz w:val="21"/>
          <w:szCs w:val="21"/>
          <w:color w:val="auto"/>
        </w:rPr>
        <w:t>” means, with respect to each Member, as to any class or series of relevant Membership Interests, the fraction, expressed as a percentage, the numerator of which is the aggregate number of Units of such class or series held by such Member and the denominator of which is the total number of Units of such class or series held by all Members. If not otherwise specified, “Percentage Interest” shall be deemed to refer to Common Units.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xml:space="preserve">” means any Transfer permitted under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means any recipient of a Permitted Transfer.</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limited liability partnership, joint venture, syndicate, person, trust, association, organization or other entity, including any governmental authority, and including any successor, by merger or otherwise, of any of the foregoing.</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Policies</w:t>
      </w:r>
      <w:r>
        <w:rPr>
          <w:rFonts w:ascii="Arial" w:cs="Arial" w:eastAsia="Arial" w:hAnsi="Arial"/>
          <w:sz w:val="22"/>
          <w:szCs w:val="22"/>
          <w:color w:val="auto"/>
        </w:rPr>
        <w:t>” means the policies set by the Managing Member from time to time (including policies intended to ensure (a) administrative management matters, (b) orderly liquidity for Exchangeable Unit Members, (c) compliance with Laws restricting the trading in securities while in possession of material nonpublic information), and (d) compliance with tax Laws and Regulations.</w:t>
      </w:r>
    </w:p>
    <w:p>
      <w:pPr>
        <w:spacing w:after="0" w:line="185"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means shares of preferred stock of the Managing Member now or hereafter authorized or reclassified that has dividend rights, or rights upon liquidation, winding up and dissolution, that are superior or prior to the Common Stock.</w:t>
      </w:r>
    </w:p>
    <w:p>
      <w:pPr>
        <w:spacing w:after="0" w:line="10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Unit</w:t>
      </w:r>
      <w:r>
        <w:rPr>
          <w:rFonts w:ascii="Arial" w:cs="Arial" w:eastAsia="Arial" w:hAnsi="Arial"/>
          <w:sz w:val="22"/>
          <w:szCs w:val="22"/>
          <w:color w:val="auto"/>
        </w:rPr>
        <w:t>” mean Units designated as “Preferred Units” in the Company having the rights and obligations specified in this Agreement.</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Push Out Election</w:t>
      </w:r>
      <w:r>
        <w:rPr>
          <w:rFonts w:ascii="Arial" w:cs="Arial" w:eastAsia="Arial" w:hAnsi="Arial"/>
          <w:sz w:val="22"/>
          <w:szCs w:val="22"/>
          <w:color w:val="auto"/>
        </w:rPr>
        <w:t>” means the election under Code section 6226 (or any similar provision of state or local law) to “push out” an adjustment to the Members or former Members, including filing IRS Form 8988 (Election for Alternative to Payment of the Imputed Underpayment), or any successor or similar form, and taking any other action necessary to give effect to such election.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7" w:name="page238"/>
    <w:bookmarkEnd w:id="237"/>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Transferee</w:t>
      </w:r>
      <w:r>
        <w:rPr>
          <w:rFonts w:ascii="Arial" w:cs="Arial" w:eastAsia="Arial" w:hAnsi="Arial"/>
          <w:sz w:val="19"/>
          <w:szCs w:val="19"/>
          <w:color w:val="auto"/>
        </w:rPr>
        <w:t>” means an “accredited investor,” as defined in Rule 501 promulgated under the Securities Act.</w:t>
      </w:r>
    </w:p>
    <w:p>
      <w:pPr>
        <w:spacing w:after="0" w:line="24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 Date</w:t>
      </w:r>
      <w:r>
        <w:rPr>
          <w:rFonts w:ascii="Arial" w:cs="Arial" w:eastAsia="Arial" w:hAnsi="Arial"/>
          <w:sz w:val="21"/>
          <w:szCs w:val="21"/>
          <w:color w:val="auto"/>
        </w:rPr>
        <w:t>” means the record date established by the Company for the purpose of determining the Members entitled to notice of or to vote at any meeting of Members or to consent to any matter, or to receive any distribution or the allotment of any other rights, or in order to make a determination of Members for any other proper purpose, which, in the case of a record date fixed for the determination of Members entitled to receive any distribution, shall (unless otherwise determined by the Company) generally be the same as the record date established by the Managing Member for a distribution to the Members of its Capital Stock of some or all of its portion of such distribution.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5.1(b)(i)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means the Registration Rights Agreement, effective on or about the date hereof, among the Managing Member and the other persons party thereto, as the same may be amended, modified, supplemented or restated from time to time.</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Regulations</w:t>
      </w:r>
      <w:r>
        <w:rPr>
          <w:rFonts w:ascii="Arial" w:cs="Arial" w:eastAsia="Arial" w:hAnsi="Arial"/>
          <w:sz w:val="22"/>
          <w:szCs w:val="22"/>
          <w:color w:val="auto"/>
        </w:rPr>
        <w:t>” means the income tax regulations, including temporary regulations and, to the extent taxpayers are permitted to rely on them, proposed regulations, promulgated under the Code, as such regulations may be amended from time to time (including corresponding provisions of succeeding regulations). References to “Treas. Reg. §” are to the sections of the Regulations.</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Related-Party Transfer</w:t>
      </w:r>
      <w:r>
        <w:rPr>
          <w:rFonts w:ascii="Arial" w:cs="Arial" w:eastAsia="Arial" w:hAnsi="Arial"/>
          <w:sz w:val="22"/>
          <w:szCs w:val="22"/>
          <w:color w:val="auto"/>
        </w:rPr>
        <w:t>” means a Transfer by a Member of all or part of its Membership Interest to any Related-Party Transferee.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Related-Party Transferee</w:t>
      </w:r>
      <w:r>
        <w:rPr>
          <w:rFonts w:ascii="Arial" w:cs="Arial" w:eastAsia="Arial" w:hAnsi="Arial"/>
          <w:sz w:val="19"/>
          <w:szCs w:val="19"/>
          <w:color w:val="auto"/>
        </w:rPr>
        <w:t>” means, with respect to a Member, any Family Member or Controlled Entity of the Member.</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Retraction Deadline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12.1(b)(iii)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Retraction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12.1(b)(iii)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promulgated thereunder.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Selected Courts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13.8</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or other entity of which a majority of (i) the voting power of the voting equity securities or (ii) the outstanding equity interests is owned, directly or indirectly, by such Person.</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Substituted Member</w:t>
      </w:r>
      <w:r>
        <w:rPr>
          <w:rFonts w:ascii="Arial" w:cs="Arial" w:eastAsia="Arial" w:hAnsi="Arial"/>
          <w:sz w:val="21"/>
          <w:szCs w:val="21"/>
          <w:color w:val="auto"/>
        </w:rPr>
        <w:t xml:space="preserve">” means a Person who is admitted as a Member to the Company pursuant to </w:t>
      </w:r>
      <w:r>
        <w:rPr>
          <w:rFonts w:ascii="Arial" w:cs="Arial" w:eastAsia="Arial" w:hAnsi="Arial"/>
          <w:sz w:val="21"/>
          <w:szCs w:val="21"/>
          <w:u w:val="single" w:color="auto"/>
          <w:color w:val="auto"/>
        </w:rPr>
        <w:t>Section 8.4</w:t>
      </w:r>
      <w:r>
        <w:rPr>
          <w:rFonts w:ascii="Arial" w:cs="Arial" w:eastAsia="Arial" w:hAnsi="Arial"/>
          <w:sz w:val="21"/>
          <w:szCs w:val="21"/>
          <w:color w:val="auto"/>
        </w:rPr>
        <w:t>.</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Company</w:t>
      </w:r>
      <w:r>
        <w:rPr>
          <w:rFonts w:ascii="Arial" w:cs="Arial" w:eastAsia="Arial" w:hAnsi="Arial"/>
          <w:sz w:val="22"/>
          <w:szCs w:val="22"/>
          <w:color w:val="auto"/>
        </w:rPr>
        <w:t xml:space="preserve">” is defined </w:t>
      </w:r>
      <w:r>
        <w:rPr>
          <w:rFonts w:ascii="Arial" w:cs="Arial" w:eastAsia="Arial" w:hAnsi="Arial"/>
          <w:sz w:val="22"/>
          <w:szCs w:val="22"/>
          <w:u w:val="single" w:color="auto"/>
          <w:color w:val="auto"/>
        </w:rPr>
        <w:t>Section 8.7(b)(iii</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8" w:name="page239"/>
    <w:bookmarkEnd w:id="238"/>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Action</w:t>
      </w:r>
      <w:r>
        <w:rPr>
          <w:rFonts w:ascii="Arial" w:cs="Arial" w:eastAsia="Arial" w:hAnsi="Arial"/>
          <w:sz w:val="19"/>
          <w:szCs w:val="19"/>
          <w:color w:val="auto"/>
        </w:rPr>
        <w:t xml:space="preserve">” means any tax-related action, decision, or determination (or failure to take an available tax-related action, decision, or determination) by or with respect to the Company or any Subsidiary of the Company, including, without limitation and for the avoidance of doubt, (i) pursuant to discretion granted to the Company or the Company under the terms of this Agreement (or any agreement related to the Company), (ii) by a Tax Representative or Designated Individual, (iii) with respect to the settlement of any tax-related audit or proceeding, (iv) with respect to preparation and filing of any tax return of the Company or any Subsidiary of the Company, (v) any modification to the allocations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any determination made by the Company pursuant to (or other action taken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Distribution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Distribution Shortfall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3.2(d</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Items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6.3(a)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Receivable Agreement</w:t>
      </w:r>
      <w:r>
        <w:rPr>
          <w:rFonts w:ascii="Arial" w:cs="Arial" w:eastAsia="Arial" w:hAnsi="Arial"/>
          <w:sz w:val="19"/>
          <w:szCs w:val="19"/>
          <w:color w:val="auto"/>
        </w:rPr>
        <w:t>” means the Tax Receivable Agreement, dated as of February 9, 2021, entered into by and among the Managing Member, the Company, each of the parties thereto identified as a “Member” and each of the successors and assigns thereto, and any other similar tax receivable (or comparable) agreements entered after the date of this Agreement.</w:t>
      </w:r>
    </w:p>
    <w:p>
      <w:pPr>
        <w:spacing w:after="0" w:line="134"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Representative</w:t>
      </w:r>
      <w:r>
        <w:rPr>
          <w:rFonts w:ascii="Arial" w:cs="Arial" w:eastAsia="Arial" w:hAnsi="Arial"/>
          <w:sz w:val="19"/>
          <w:szCs w:val="19"/>
          <w:color w:val="auto"/>
        </w:rPr>
        <w:t>” means, as applicable, and including the Designated Individual as context requires, (a) the Member or other Person (including the Company) designated as the “partnership representative” of the Company under Code section 6223, (b) the Member designated as the “tax matters partner” for the Company under Code section 6231(a)(7) (as in effect before 2018 and before amendment by Title XI of the Bipartisan Budget Act of 2015, H.R. 1314, Public Law No. 114-74), and/or (c) the Member or other Person serving in a similar capacity under any similar provisions of state, local or non-U.S. Laws, in each case, acting solely at the direction of the Company to the maximum extent permitted under Law.</w:t>
      </w:r>
    </w:p>
    <w:p>
      <w:pPr>
        <w:spacing w:after="0" w:line="15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Transaction</w:t>
      </w:r>
      <w:r>
        <w:rPr>
          <w:rFonts w:ascii="Arial" w:cs="Arial" w:eastAsia="Arial" w:hAnsi="Arial"/>
          <w:sz w:val="19"/>
          <w:szCs w:val="19"/>
          <w:color w:val="auto"/>
        </w:rPr>
        <w:t>” means any direct or indirect Transfer of all or any portion of the Managing Member’s Membership Interest in connection with, or the other occurrence of, (a) merger, consolidation or other combination involving the Managing Member, on the one hand, and any other Person, on the other, (b) a sale, lease, exchange or other transfer of all or substantially all of the assets of the Managing Member not in the ordinary course of its business, whether in a single transaction or a series of related transactions, (c) a reclassification, recapitalization or change of the outstanding Class A Common Stock (other than a change in par value, or from par value to no par value, or as a result of a stock split or reverse stock split, stock dividend or similar subdivision), (d) the adoption of any plan of liquidation or dissolution of the Managing Member, or (e) a Transfer of all or any portion of the Managing Member’s Membership Interest (other than to a wholly owned Affiliate).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Terms</w:t>
      </w:r>
      <w:r>
        <w:rPr>
          <w:rFonts w:ascii="Arial" w:cs="Arial" w:eastAsia="Arial" w:hAnsi="Arial"/>
          <w:sz w:val="22"/>
          <w:szCs w:val="22"/>
          <w:color w:val="auto"/>
        </w:rPr>
        <w:t>” is defined in the definition of “Equivalent Units.”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in respect of any Units, property or other assets, any sale, assignment, hypothecation, lien, encumbrance, transfer, distribution or other disposition thereof or of a participation therein, or other conveyance of legal or beneficial interest therein, including rights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9" w:name="page240"/>
    <w:bookmarkEnd w:id="239"/>
    <w:p>
      <w:pPr>
        <w:jc w:val="both"/>
        <w:spacing w:after="0"/>
        <w:rPr>
          <w:sz w:val="20"/>
          <w:szCs w:val="20"/>
          <w:color w:val="auto"/>
        </w:rPr>
      </w:pPr>
      <w:r>
        <w:rPr>
          <w:rFonts w:ascii="Arial" w:cs="Arial" w:eastAsia="Arial" w:hAnsi="Arial"/>
          <w:sz w:val="22"/>
          <w:szCs w:val="22"/>
          <w:color w:val="auto"/>
        </w:rPr>
        <w:t>vote and to receive dividends or other income with respect thereto, or any short position in a security or any other action or position otherwise reducing risk related to ownership through hedging or other derivative instruments, whether voluntarily or by operation of Law, or any agreement or commitment to do any of the foregoing.</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w:t>
      </w:r>
      <w:r>
        <w:rPr>
          <w:rFonts w:ascii="Arial" w:cs="Arial" w:eastAsia="Arial" w:hAnsi="Arial"/>
          <w:sz w:val="22"/>
          <w:szCs w:val="22"/>
          <w:color w:val="auto"/>
        </w:rPr>
        <w:t>” means a fractional share of the Membership Interests in the Company, which may be a Class A Common Unit, a Class B Common Unit, or a Preferred Unit, and shall be deemed to include any equity security received in connection with any recapitalization, merger, consolidation, or other reorganization, or by way of any distribution in respect of Units, in any such case, after the date of this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 Designation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14.2 </w:t>
      </w:r>
      <w:r>
        <w:rPr>
          <w:rFonts w:ascii="Arial" w:cs="Arial" w:eastAsia="Arial" w:hAnsi="Arial"/>
          <w:sz w:val="22"/>
          <w:szCs w:val="22"/>
          <w:u w:val="single" w:color="auto"/>
          <w:color w:val="auto"/>
        </w:rPr>
        <w:t>Interpretation</w:t>
      </w:r>
      <w:r>
        <w:rPr>
          <w:rFonts w:ascii="Arial" w:cs="Arial" w:eastAsia="Arial" w:hAnsi="Arial"/>
          <w:sz w:val="22"/>
          <w:szCs w:val="22"/>
          <w:color w:val="auto"/>
        </w:rPr>
        <w:t>. In this Agreement and in the exhibits hereto, except to the extent that the context otherwise requires:</w:t>
      </w:r>
    </w:p>
    <w:p>
      <w:pPr>
        <w:spacing w:after="0" w:line="175" w:lineRule="exact"/>
        <w:rPr>
          <w:sz w:val="20"/>
          <w:szCs w:val="20"/>
          <w:color w:val="auto"/>
        </w:rPr>
      </w:pPr>
    </w:p>
    <w:p>
      <w:pPr>
        <w:ind w:left="2620" w:hanging="885"/>
        <w:spacing w:after="0"/>
        <w:tabs>
          <w:tab w:leader="none" w:pos="26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headings are for convenience of reference only and shall not affect the interpretation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2640" w:hanging="905"/>
        <w:spacing w:after="0"/>
        <w:tabs>
          <w:tab w:leader="none" w:pos="26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defined terms include the plural as well as the singular and vice versa;</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words importing gender include all genders;</w:t>
      </w:r>
    </w:p>
    <w:p>
      <w:pPr>
        <w:spacing w:after="0" w:line="206" w:lineRule="exact"/>
        <w:rPr>
          <w:rFonts w:ascii="Arial" w:cs="Arial" w:eastAsia="Arial" w:hAnsi="Arial"/>
          <w:sz w:val="22"/>
          <w:szCs w:val="22"/>
          <w:color w:val="auto"/>
        </w:rPr>
      </w:pPr>
    </w:p>
    <w:p>
      <w:pPr>
        <w:jc w:val="both"/>
        <w:ind w:firstLine="1735"/>
        <w:spacing w:after="0"/>
        <w:tabs>
          <w:tab w:leader="none" w:pos="262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86" w:lineRule="exact"/>
        <w:rPr>
          <w:rFonts w:ascii="Arial" w:cs="Arial" w:eastAsia="Arial" w:hAnsi="Arial"/>
          <w:sz w:val="22"/>
          <w:szCs w:val="22"/>
          <w:color w:val="auto"/>
        </w:rPr>
      </w:pPr>
    </w:p>
    <w:p>
      <w:pPr>
        <w:ind w:firstLine="1735"/>
        <w:spacing w:after="0" w:line="250" w:lineRule="auto"/>
        <w:tabs>
          <w:tab w:leader="none" w:pos="261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any reference to a “day” or a “Business Day” means the whole of such day, being the period of 24 hours running from midnight to midnight;</w:t>
      </w:r>
    </w:p>
    <w:p>
      <w:pPr>
        <w:spacing w:after="0" w:line="174" w:lineRule="exact"/>
        <w:rPr>
          <w:rFonts w:ascii="Arial" w:cs="Arial" w:eastAsia="Arial" w:hAnsi="Arial"/>
          <w:sz w:val="22"/>
          <w:szCs w:val="22"/>
          <w:color w:val="auto"/>
        </w:rPr>
      </w:pPr>
    </w:p>
    <w:p>
      <w:pPr>
        <w:ind w:firstLine="1735"/>
        <w:spacing w:after="0" w:line="250" w:lineRule="auto"/>
        <w:tabs>
          <w:tab w:leader="none" w:pos="259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references to Articles, Sections, subsections, clauses and Exhibits are references to Articles, Sections, subsections, clauses and Exhibits to, this Agreement;</w:t>
      </w:r>
    </w:p>
    <w:p>
      <w:pPr>
        <w:spacing w:after="0" w:line="174" w:lineRule="exact"/>
        <w:rPr>
          <w:rFonts w:ascii="Arial" w:cs="Arial" w:eastAsia="Arial" w:hAnsi="Arial"/>
          <w:sz w:val="22"/>
          <w:szCs w:val="22"/>
          <w:color w:val="auto"/>
        </w:rPr>
      </w:pPr>
    </w:p>
    <w:p>
      <w:pPr>
        <w:ind w:firstLine="1735"/>
        <w:spacing w:after="0" w:line="250" w:lineRule="auto"/>
        <w:tabs>
          <w:tab w:leader="none" w:pos="262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words “including” and “include” and other words of similar import shall be deemed to be followed by the phrase “without limitation”; and</w:t>
      </w:r>
    </w:p>
    <w:p>
      <w:pPr>
        <w:spacing w:after="0" w:line="174"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unless otherwise specified, references to any party to this Agreement or any other document or agreement shall include its successors and permitted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IN WITNESS WHEREOF, this Agreement has been executed as of the date first written above.</w:t>
      </w:r>
    </w:p>
    <w:p>
      <w:pPr>
        <w:spacing w:after="0" w:line="233" w:lineRule="exact"/>
        <w:rPr>
          <w:sz w:val="20"/>
          <w:szCs w:val="20"/>
          <w:color w:val="auto"/>
        </w:rPr>
      </w:pPr>
    </w:p>
    <w:tbl>
      <w:tblPr>
        <w:tblLayout w:type="fixed"/>
        <w:tblInd w:w="5400" w:type="dxa"/>
        <w:tblCellMar>
          <w:top w:w="0" w:type="dxa"/>
          <w:left w:w="0" w:type="dxa"/>
          <w:bottom w:w="0" w:type="dxa"/>
          <w:right w:w="0" w:type="dxa"/>
        </w:tblCellMar>
      </w:tblPr>
      <w:tr>
        <w:trPr>
          <w:trHeight w:val="264"/>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Tim Vanderhook</w:t>
            </w:r>
          </w:p>
        </w:tc>
      </w:tr>
      <w:tr>
        <w:trPr>
          <w:trHeight w:val="268"/>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720" w:type="dxa"/>
            <w:vAlign w:val="bottom"/>
          </w:tcPr>
          <w:p>
            <w:pPr>
              <w:spacing w:after="0"/>
              <w:rPr>
                <w:sz w:val="20"/>
                <w:szCs w:val="20"/>
                <w:color w:val="auto"/>
              </w:rPr>
            </w:pPr>
            <w:r>
              <w:rPr>
                <w:rFonts w:ascii="Arial" w:cs="Arial" w:eastAsia="Arial" w:hAnsi="Arial"/>
                <w:sz w:val="22"/>
                <w:szCs w:val="22"/>
                <w:color w:val="auto"/>
              </w:rPr>
              <w:t>Tim Vanderhook</w:t>
            </w:r>
          </w:p>
        </w:tc>
      </w:tr>
      <w:tr>
        <w:trPr>
          <w:trHeight w:val="644"/>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Chris Vanderhook</w:t>
            </w:r>
          </w:p>
        </w:tc>
      </w:tr>
      <w:tr>
        <w:trPr>
          <w:trHeight w:val="268"/>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720" w:type="dxa"/>
            <w:vAlign w:val="bottom"/>
          </w:tcPr>
          <w:p>
            <w:pPr>
              <w:spacing w:after="0"/>
              <w:rPr>
                <w:sz w:val="20"/>
                <w:szCs w:val="20"/>
                <w:color w:val="auto"/>
              </w:rPr>
            </w:pPr>
            <w:r>
              <w:rPr>
                <w:rFonts w:ascii="Arial" w:cs="Arial" w:eastAsia="Arial" w:hAnsi="Arial"/>
                <w:sz w:val="22"/>
                <w:szCs w:val="22"/>
                <w:color w:val="auto"/>
              </w:rPr>
              <w:t>Chris Vanderhook</w:t>
            </w:r>
          </w:p>
        </w:tc>
      </w:tr>
    </w:tbl>
    <w:p>
      <w:pPr>
        <w:spacing w:after="0" w:line="373"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FOUR BROTHERS 2 LLC</w:t>
      </w:r>
    </w:p>
    <w:p>
      <w:pPr>
        <w:spacing w:after="0" w:line="212" w:lineRule="exact"/>
        <w:rPr>
          <w:sz w:val="20"/>
          <w:szCs w:val="20"/>
          <w:color w:val="auto"/>
        </w:rPr>
      </w:pPr>
    </w:p>
    <w:p>
      <w:pPr>
        <w:ind w:left="5400"/>
        <w:spacing w:after="0"/>
        <w:tabs>
          <w:tab w:leader="none" w:pos="6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6985</wp:posOffset>
            </wp:positionV>
            <wp:extent cx="30003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400"/>
        <w:spacing w:after="0"/>
        <w:tabs>
          <w:tab w:leader="none" w:pos="6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Tim Vanderhook</w:t>
      </w:r>
    </w:p>
    <w:p>
      <w:pPr>
        <w:ind w:left="540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Member</w:t>
      </w:r>
    </w:p>
    <w:p>
      <w:pPr>
        <w:spacing w:after="0" w:line="398"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VIANT TECHNOLOGY EQUITY PLAN LLC</w:t>
      </w:r>
    </w:p>
    <w:p>
      <w:pPr>
        <w:spacing w:after="0" w:line="212" w:lineRule="exact"/>
        <w:rPr>
          <w:sz w:val="20"/>
          <w:szCs w:val="20"/>
          <w:color w:val="auto"/>
        </w:rPr>
      </w:pPr>
    </w:p>
    <w:p>
      <w:pPr>
        <w:ind w:left="5400"/>
        <w:spacing w:after="0"/>
        <w:tabs>
          <w:tab w:leader="none" w:pos="6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6985</wp:posOffset>
            </wp:positionV>
            <wp:extent cx="30003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400"/>
        <w:spacing w:after="0"/>
        <w:tabs>
          <w:tab w:leader="none" w:pos="6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Tim Vanderhook</w:t>
      </w:r>
    </w:p>
    <w:p>
      <w:pPr>
        <w:ind w:left="540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Member</w:t>
      </w:r>
    </w:p>
    <w:p>
      <w:pPr>
        <w:spacing w:after="0" w:line="398"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VIANT TECHNOLOGY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tcPr>
          <w:p>
            <w:pPr>
              <w:ind w:left="540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Tim Vanderhook</w:t>
            </w:r>
          </w:p>
        </w:tc>
        <w:tc>
          <w:tcPr>
            <w:tcW w:w="20" w:type="dxa"/>
            <w:vAlign w:val="bottom"/>
          </w:tcPr>
          <w:p>
            <w:pPr>
              <w:spacing w:after="0"/>
              <w:rPr>
                <w:sz w:val="22"/>
                <w:szCs w:val="22"/>
                <w:color w:val="auto"/>
              </w:rPr>
            </w:pPr>
          </w:p>
        </w:tc>
      </w:tr>
      <w:tr>
        <w:trPr>
          <w:trHeight w:val="215"/>
        </w:trPr>
        <w:tc>
          <w:tcPr>
            <w:tcW w:w="6520" w:type="dxa"/>
            <w:vAlign w:val="bottom"/>
          </w:tcPr>
          <w:p>
            <w:pPr>
              <w:ind w:left="5400"/>
              <w:spacing w:after="0" w:line="216" w:lineRule="exact"/>
              <w:rPr>
                <w:sz w:val="20"/>
                <w:szCs w:val="20"/>
                <w:color w:val="auto"/>
              </w:rPr>
            </w:pPr>
            <w:r>
              <w:rPr>
                <w:rFonts w:ascii="Arial" w:cs="Arial" w:eastAsia="Arial" w:hAnsi="Arial"/>
                <w:sz w:val="22"/>
                <w:szCs w:val="22"/>
                <w:color w:val="auto"/>
              </w:rPr>
              <w:t>Name:</w:t>
            </w: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Tim Vanderhook</w:t>
            </w:r>
          </w:p>
        </w:tc>
        <w:tc>
          <w:tcPr>
            <w:tcW w:w="20" w:type="dxa"/>
            <w:vAlign w:val="bottom"/>
          </w:tcPr>
          <w:p>
            <w:pPr>
              <w:spacing w:after="0"/>
              <w:rPr>
                <w:sz w:val="18"/>
                <w:szCs w:val="18"/>
                <w:color w:val="auto"/>
              </w:rPr>
            </w:pPr>
          </w:p>
        </w:tc>
      </w:tr>
      <w:tr>
        <w:trPr>
          <w:trHeight w:val="274"/>
        </w:trPr>
        <w:tc>
          <w:tcPr>
            <w:tcW w:w="6520" w:type="dxa"/>
            <w:vAlign w:val="bottom"/>
          </w:tcPr>
          <w:p>
            <w:pPr>
              <w:ind w:left="5400"/>
              <w:spacing w:after="0"/>
              <w:rPr>
                <w:sz w:val="20"/>
                <w:szCs w:val="20"/>
                <w:color w:val="auto"/>
              </w:rPr>
            </w:pPr>
            <w:r>
              <w:rPr>
                <w:rFonts w:ascii="Arial" w:cs="Arial" w:eastAsia="Arial" w:hAnsi="Arial"/>
                <w:sz w:val="22"/>
                <w:szCs w:val="22"/>
                <w:color w:val="auto"/>
              </w:rPr>
              <w:t>Title:</w:t>
            </w:r>
          </w:p>
        </w:tc>
        <w:tc>
          <w:tcPr>
            <w:tcW w:w="472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3"/>
                <w:szCs w:val="23"/>
                <w:color w:val="auto"/>
              </w:rPr>
            </w:pPr>
          </w:p>
        </w:tc>
      </w:tr>
      <w:tr>
        <w:trPr>
          <w:trHeight w:val="945"/>
        </w:trPr>
        <w:tc>
          <w:tcPr>
            <w:tcW w:w="6520" w:type="dxa"/>
            <w:vAlign w:val="bottom"/>
          </w:tcPr>
          <w:p>
            <w:pPr>
              <w:jc w:val="right"/>
              <w:ind w:right="672"/>
              <w:spacing w:after="0"/>
              <w:rPr>
                <w:sz w:val="20"/>
                <w:szCs w:val="20"/>
                <w:color w:val="auto"/>
              </w:rPr>
            </w:pPr>
            <w:r>
              <w:rPr>
                <w:rFonts w:ascii="Arial" w:cs="Arial" w:eastAsia="Arial" w:hAnsi="Arial"/>
                <w:sz w:val="22"/>
                <w:szCs w:val="22"/>
                <w:color w:val="auto"/>
              </w:rPr>
              <w:t>59</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52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ANNEX A: INITIAL COMMON UNITS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120" w:type="dxa"/>
            <w:vAlign w:val="bottom"/>
            <w:tcBorders>
              <w:top w:val="single" w:sz="8" w:color="auto"/>
              <w:left w:val="single" w:sz="8" w:color="auto"/>
            </w:tcBorders>
          </w:tcPr>
          <w:p>
            <w:pPr>
              <w:spacing w:after="0"/>
              <w:rPr>
                <w:sz w:val="24"/>
                <w:szCs w:val="24"/>
                <w:color w:val="auto"/>
              </w:rPr>
            </w:pPr>
          </w:p>
        </w:tc>
        <w:tc>
          <w:tcPr>
            <w:tcW w:w="5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Member</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auto"/>
              </w:rPr>
              <w:t>Units</w:t>
            </w:r>
          </w:p>
        </w:tc>
        <w:tc>
          <w:tcPr>
            <w:tcW w:w="4500" w:type="dxa"/>
            <w:vAlign w:val="bottom"/>
            <w:tcBorders>
              <w:top w:val="single" w:sz="8" w:color="auto"/>
              <w:right w:val="single" w:sz="8" w:color="auto"/>
            </w:tcBorders>
          </w:tcPr>
          <w:p>
            <w:pPr>
              <w:spacing w:after="0"/>
              <w:rPr>
                <w:sz w:val="24"/>
                <w:szCs w:val="24"/>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r>
      <w:tr>
        <w:trPr>
          <w:trHeight w:val="463"/>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Viant Technology Inc.</w:t>
            </w:r>
          </w:p>
        </w:tc>
        <w:tc>
          <w:tcPr>
            <w:tcW w:w="1100" w:type="dxa"/>
            <w:vAlign w:val="bottom"/>
            <w:gridSpan w:val="3"/>
          </w:tcPr>
          <w:p>
            <w:pPr>
              <w:jc w:val="right"/>
              <w:ind w:right="140"/>
              <w:spacing w:after="0"/>
              <w:rPr>
                <w:sz w:val="20"/>
                <w:szCs w:val="20"/>
                <w:color w:val="auto"/>
              </w:rPr>
            </w:pPr>
            <w:r>
              <w:rPr>
                <w:rFonts w:ascii="Arial" w:cs="Arial" w:eastAsia="Arial" w:hAnsi="Arial"/>
                <w:sz w:val="22"/>
                <w:szCs w:val="22"/>
                <w:color w:val="auto"/>
              </w:rPr>
              <w:t>0</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Class A Units</w:t>
            </w:r>
          </w:p>
        </w:tc>
      </w:tr>
      <w:tr>
        <w:trPr>
          <w:trHeight w:val="428"/>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2722 Michelson Drive, Suite 100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Irvine, CA 92612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r>
        <w:trPr>
          <w:trHeight w:val="463"/>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Tim Vanderhook</w:t>
            </w:r>
          </w:p>
        </w:tc>
        <w:tc>
          <w:tcPr>
            <w:tcW w:w="1100" w:type="dxa"/>
            <w:vAlign w:val="bottom"/>
            <w:gridSpan w:val="3"/>
          </w:tcPr>
          <w:p>
            <w:pPr>
              <w:jc w:val="right"/>
              <w:ind w:right="140"/>
              <w:spacing w:after="0"/>
              <w:rPr>
                <w:sz w:val="20"/>
                <w:szCs w:val="20"/>
                <w:color w:val="auto"/>
              </w:rPr>
            </w:pPr>
            <w:r>
              <w:rPr>
                <w:rFonts w:ascii="Arial" w:cs="Arial" w:eastAsia="Arial" w:hAnsi="Arial"/>
                <w:sz w:val="22"/>
                <w:szCs w:val="22"/>
                <w:color w:val="auto"/>
                <w:w w:val="96"/>
              </w:rPr>
              <w:t>8,084,399</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Class B Units</w:t>
            </w:r>
          </w:p>
        </w:tc>
      </w:tr>
      <w:tr>
        <w:trPr>
          <w:trHeight w:val="428"/>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c/o Viant Technology Inc.</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55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2722 Michelson Drive, Suite 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00" w:type="dxa"/>
            <w:vAlign w:val="bottom"/>
            <w:tcBorders>
              <w:right w:val="single" w:sz="8" w:color="auto"/>
            </w:tcBorders>
          </w:tcPr>
          <w:p>
            <w:pPr>
              <w:spacing w:after="0"/>
              <w:rPr>
                <w:sz w:val="21"/>
                <w:szCs w:val="2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Irvine, CA 92612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r>
        <w:trPr>
          <w:trHeight w:val="463"/>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Chris Vanderhook</w:t>
            </w:r>
          </w:p>
        </w:tc>
        <w:tc>
          <w:tcPr>
            <w:tcW w:w="1100" w:type="dxa"/>
            <w:vAlign w:val="bottom"/>
            <w:gridSpan w:val="3"/>
          </w:tcPr>
          <w:p>
            <w:pPr>
              <w:jc w:val="right"/>
              <w:ind w:right="140"/>
              <w:spacing w:after="0"/>
              <w:rPr>
                <w:sz w:val="20"/>
                <w:szCs w:val="20"/>
                <w:color w:val="auto"/>
              </w:rPr>
            </w:pPr>
            <w:r>
              <w:rPr>
                <w:rFonts w:ascii="Arial" w:cs="Arial" w:eastAsia="Arial" w:hAnsi="Arial"/>
                <w:sz w:val="22"/>
                <w:szCs w:val="22"/>
                <w:color w:val="auto"/>
                <w:w w:val="96"/>
              </w:rPr>
              <w:t>8,084,399</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Class B Units</w:t>
            </w:r>
          </w:p>
        </w:tc>
      </w:tr>
      <w:tr>
        <w:trPr>
          <w:trHeight w:val="428"/>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c/o Viant Technology Inc.</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55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2722 Michelson Drive, Suite 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00" w:type="dxa"/>
            <w:vAlign w:val="bottom"/>
            <w:tcBorders>
              <w:right w:val="single" w:sz="8" w:color="auto"/>
            </w:tcBorders>
          </w:tcPr>
          <w:p>
            <w:pPr>
              <w:spacing w:after="0"/>
              <w:rPr>
                <w:sz w:val="21"/>
                <w:szCs w:val="2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Irvine, CA 92612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r>
        <w:trPr>
          <w:trHeight w:val="463"/>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Four Brothers 2 LLC</w:t>
            </w:r>
          </w:p>
        </w:tc>
        <w:tc>
          <w:tcPr>
            <w:tcW w:w="1100" w:type="dxa"/>
            <w:vAlign w:val="bottom"/>
            <w:gridSpan w:val="3"/>
          </w:tcPr>
          <w:p>
            <w:pPr>
              <w:ind w:left="100"/>
              <w:spacing w:after="0"/>
              <w:rPr>
                <w:sz w:val="20"/>
                <w:szCs w:val="20"/>
                <w:color w:val="auto"/>
              </w:rPr>
            </w:pPr>
            <w:r>
              <w:rPr>
                <w:rFonts w:ascii="Arial" w:cs="Arial" w:eastAsia="Arial" w:hAnsi="Arial"/>
                <w:sz w:val="22"/>
                <w:szCs w:val="22"/>
                <w:color w:val="auto"/>
                <w:w w:val="88"/>
              </w:rPr>
              <w:t>29,361,335</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Class B Units</w:t>
            </w:r>
          </w:p>
        </w:tc>
      </w:tr>
      <w:tr>
        <w:trPr>
          <w:trHeight w:val="428"/>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c/o Viant Technology Inc.</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55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2722 Michelson Drive, Suite 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00" w:type="dxa"/>
            <w:vAlign w:val="bottom"/>
            <w:tcBorders>
              <w:right w:val="single" w:sz="8" w:color="auto"/>
            </w:tcBorders>
          </w:tcPr>
          <w:p>
            <w:pPr>
              <w:spacing w:after="0"/>
              <w:rPr>
                <w:sz w:val="21"/>
                <w:szCs w:val="2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Irvine, CA 92612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r>
        <w:trPr>
          <w:trHeight w:val="463"/>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Viant Technology Equity Plan LLC</w:t>
            </w:r>
          </w:p>
        </w:tc>
        <w:tc>
          <w:tcPr>
            <w:tcW w:w="1100" w:type="dxa"/>
            <w:vAlign w:val="bottom"/>
            <w:gridSpan w:val="3"/>
          </w:tcPr>
          <w:p>
            <w:pPr>
              <w:jc w:val="right"/>
              <w:ind w:right="140"/>
              <w:spacing w:after="0"/>
              <w:rPr>
                <w:sz w:val="20"/>
                <w:szCs w:val="20"/>
                <w:color w:val="auto"/>
              </w:rPr>
            </w:pPr>
            <w:r>
              <w:rPr>
                <w:rFonts w:ascii="Arial" w:cs="Arial" w:eastAsia="Arial" w:hAnsi="Arial"/>
                <w:sz w:val="22"/>
                <w:szCs w:val="22"/>
                <w:color w:val="auto"/>
                <w:w w:val="96"/>
              </w:rPr>
              <w:t>3,405,426</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Class B Units</w:t>
            </w:r>
          </w:p>
        </w:tc>
      </w:tr>
      <w:tr>
        <w:trPr>
          <w:trHeight w:val="428"/>
        </w:trPr>
        <w:tc>
          <w:tcPr>
            <w:tcW w:w="120" w:type="dxa"/>
            <w:vAlign w:val="bottom"/>
            <w:tcBorders>
              <w:left w:val="single" w:sz="8" w:color="auto"/>
            </w:tcBorders>
          </w:tcPr>
          <w:p>
            <w:pPr>
              <w:spacing w:after="0"/>
              <w:rPr>
                <w:sz w:val="24"/>
                <w:szCs w:val="24"/>
                <w:color w:val="auto"/>
              </w:rPr>
            </w:pPr>
          </w:p>
        </w:tc>
        <w:tc>
          <w:tcPr>
            <w:tcW w:w="55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c/o Viant Technology Inc.</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55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2722 Michelson Drive, Suite 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00" w:type="dxa"/>
            <w:vAlign w:val="bottom"/>
            <w:tcBorders>
              <w:right w:val="single" w:sz="8" w:color="auto"/>
            </w:tcBorders>
          </w:tcPr>
          <w:p>
            <w:pPr>
              <w:spacing w:after="0"/>
              <w:rPr>
                <w:sz w:val="21"/>
                <w:szCs w:val="21"/>
                <w:color w:val="auto"/>
              </w:rPr>
            </w:pPr>
          </w:p>
        </w:tc>
      </w:tr>
      <w:tr>
        <w:trPr>
          <w:trHeight w:val="264"/>
        </w:trPr>
        <w:tc>
          <w:tcPr>
            <w:tcW w:w="120" w:type="dxa"/>
            <w:vAlign w:val="bottom"/>
            <w:tcBorders>
              <w:left w:val="single" w:sz="8" w:color="auto"/>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Irvine, CA 92612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40"/>
          </w:cols>
          <w:pgMar w:left="320" w:top="598"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SECOND AMENDED AND RESTATED LIMITED LIABILITY COMPANY AGREEMENT</w:t>
      </w:r>
    </w:p>
    <w:p>
      <w:pPr>
        <w:jc w:val="center"/>
        <w:spacing w:after="0" w:line="231" w:lineRule="auto"/>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VIANT TECHNOLOGY LLC</w:t>
      </w:r>
    </w:p>
    <w:p>
      <w:pPr>
        <w:spacing w:after="0" w:line="188"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This AMENDMENT NO. 1 TO THE SECOND AMENDED AND RESTATED LIMITED LIABILITY COMPANY AGREEMENT OF VIANT TECHNOLOGY LLC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as of February 12, 2021 by Viant Technology Inc., a Delaware corporation (“</w:t>
      </w:r>
      <w:r>
        <w:rPr>
          <w:rFonts w:ascii="Arial" w:cs="Arial" w:eastAsia="Arial" w:hAnsi="Arial"/>
          <w:sz w:val="22"/>
          <w:szCs w:val="22"/>
          <w:u w:val="single" w:color="auto"/>
          <w:color w:val="auto"/>
        </w:rPr>
        <w:t>Managing Member</w:t>
      </w:r>
      <w:r>
        <w:rPr>
          <w:rFonts w:ascii="Arial" w:cs="Arial" w:eastAsia="Arial" w:hAnsi="Arial"/>
          <w:sz w:val="22"/>
          <w:szCs w:val="22"/>
          <w:color w:val="auto"/>
        </w:rPr>
        <w:t>”), as Managing Member. Capitalized terms used but not otherwise defined in this Amendment shall have the meanings given to such terms in that certain Second Amended and Restated Limited Liability Company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of Viant Technology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dated as of February 9, 2021, by and among the Managing Member and Tim Vanderhook, Chris Vanderhook, Four Brothers 2 LLC, and Viant Technology Equity Plan LLC.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WHEREAS, pursuant to Section 4.1(f) of the Agreement, the Managing Member has the power to amend the Agreement as may be required to reflect a change that does not adversely affect the Members in any material respect and with respect to matters arising under the Agreement that will not be inconsistent with Law or the provisions of the Agreement; and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Managing Member, now desires to amend the Agreement as set forth herein.</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mutual covenants and agreements set forth herein, and other good and valuable consideration, the receipt and sufficiency of which are hereby acknowledged, Managing Member hereby agrees as follows:</w:t>
      </w:r>
    </w:p>
    <w:p>
      <w:pPr>
        <w:spacing w:after="0" w:line="186" w:lineRule="exact"/>
        <w:rPr>
          <w:sz w:val="20"/>
          <w:szCs w:val="20"/>
          <w:color w:val="auto"/>
        </w:rPr>
      </w:pPr>
    </w:p>
    <w:p>
      <w:pPr>
        <w:ind w:left="1680" w:hanging="808"/>
        <w:spacing w:after="0"/>
        <w:tabs>
          <w:tab w:leader="none" w:pos="168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following Section 13.16 is hereby added after Section 13.15:</w:t>
      </w:r>
    </w:p>
    <w:p>
      <w:pPr>
        <w:spacing w:after="0" w:line="206"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 xml:space="preserve">“Section 13.16 </w:t>
      </w:r>
      <w:r>
        <w:rPr>
          <w:rFonts w:ascii="Arial" w:cs="Arial" w:eastAsia="Arial" w:hAnsi="Arial"/>
          <w:sz w:val="21"/>
          <w:szCs w:val="21"/>
          <w:u w:val="single" w:color="auto"/>
          <w:color w:val="auto"/>
        </w:rPr>
        <w:t>Pledge of Membership Interests</w:t>
      </w:r>
      <w:r>
        <w:rPr>
          <w:rFonts w:ascii="Arial" w:cs="Arial" w:eastAsia="Arial" w:hAnsi="Arial"/>
          <w:sz w:val="21"/>
          <w:szCs w:val="21"/>
          <w:color w:val="auto"/>
        </w:rPr>
        <w:t>. The pledge of any membership interests in the Company by the Managing Member shall not, except as otherwise provided in the loan documents underlying such pledge (the “</w:t>
      </w:r>
      <w:r>
        <w:rPr>
          <w:rFonts w:ascii="Arial" w:cs="Arial" w:eastAsia="Arial" w:hAnsi="Arial"/>
          <w:sz w:val="21"/>
          <w:szCs w:val="21"/>
          <w:u w:val="single" w:color="auto"/>
          <w:color w:val="auto"/>
        </w:rPr>
        <w:t>Loan Documents</w:t>
      </w:r>
      <w:r>
        <w:rPr>
          <w:rFonts w:ascii="Arial" w:cs="Arial" w:eastAsia="Arial" w:hAnsi="Arial"/>
          <w:sz w:val="21"/>
          <w:szCs w:val="21"/>
          <w:color w:val="auto"/>
        </w:rPr>
        <w:t>”), cause the Managing Member to cease to be a member or to cease to have the power to exercise any rights or powers as Managing Member and, except as provided in such Loan Documents, the secured party under the Loan Documents (the “</w:t>
      </w:r>
      <w:r>
        <w:rPr>
          <w:rFonts w:ascii="Arial" w:cs="Arial" w:eastAsia="Arial" w:hAnsi="Arial"/>
          <w:sz w:val="21"/>
          <w:szCs w:val="21"/>
          <w:u w:val="single" w:color="auto"/>
          <w:color w:val="auto"/>
        </w:rPr>
        <w:t>Secured Party</w:t>
      </w:r>
      <w:r>
        <w:rPr>
          <w:rFonts w:ascii="Arial" w:cs="Arial" w:eastAsia="Arial" w:hAnsi="Arial"/>
          <w:sz w:val="21"/>
          <w:szCs w:val="21"/>
          <w:color w:val="auto"/>
        </w:rPr>
        <w:t>”) shall not have any liability solely as a result of such pledge. Without limiting the foregoing, the right of such Secured Party to enforce its rights and remedies under such Loan Documents hereby is acknowledged and any such action taken in accordance therewith shall be valid and effective for all purposes under this Agreement. Any assignment, sale or other disposition of the membership interests in the Company by such Secured Party pursuant to any such Loan Documents in connection with the exercise of any such Secured Party’s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3" w:name="page244"/>
    <w:bookmarkEnd w:id="243"/>
    <w:p>
      <w:pPr>
        <w:jc w:val="both"/>
        <w:ind w:left="880"/>
        <w:spacing w:after="0" w:line="244" w:lineRule="auto"/>
        <w:rPr>
          <w:sz w:val="20"/>
          <w:szCs w:val="20"/>
          <w:color w:val="auto"/>
        </w:rPr>
      </w:pPr>
      <w:r>
        <w:rPr>
          <w:rFonts w:ascii="Arial" w:cs="Arial" w:eastAsia="Arial" w:hAnsi="Arial"/>
          <w:sz w:val="21"/>
          <w:szCs w:val="21"/>
          <w:color w:val="auto"/>
        </w:rPr>
        <w:t>powers thereunder shall be valid and effective for all purposes, including, without limitation, under Section 18-702 of the Delaware Limited Liability Company Act and this Agreement, to transfer all right, title and interest of the Managing Member hereunder to itself, any other lender or any other person (each an “</w:t>
      </w:r>
      <w:r>
        <w:rPr>
          <w:rFonts w:ascii="Arial" w:cs="Arial" w:eastAsia="Arial" w:hAnsi="Arial"/>
          <w:sz w:val="21"/>
          <w:szCs w:val="21"/>
          <w:u w:val="single" w:color="auto"/>
          <w:color w:val="auto"/>
        </w:rPr>
        <w:t>Assignee</w:t>
      </w:r>
      <w:r>
        <w:rPr>
          <w:rFonts w:ascii="Arial" w:cs="Arial" w:eastAsia="Arial" w:hAnsi="Arial"/>
          <w:sz w:val="21"/>
          <w:szCs w:val="21"/>
          <w:color w:val="auto"/>
        </w:rPr>
        <w:t>”) in accordance with such Loan Documents and applicable law (including, without limitation, the rights to participate in the management of the business and the business affairs of the Company, to share profits and losses, to receive distributions and to receive allocations of income, gain, loss, deduction, credit or similar items), and such Assignee shall be a member of the Company with all rights and powers of a member and the Managing Member shall cease to be a member. Further, no lender or any such Assignee shall be liable for the obligations of the Managing Member assignor to make contributions. The Managing Member, which is the sole Managing Member of the Company, approves all of the foregoing and the Managing Member agrees that no further approval shall be required for the exercise of any rights or remedies under such collateral documentation.”</w:t>
      </w:r>
    </w:p>
    <w:p>
      <w:pPr>
        <w:spacing w:after="0" w:line="188" w:lineRule="exact"/>
        <w:rPr>
          <w:sz w:val="20"/>
          <w:szCs w:val="20"/>
          <w:color w:val="auto"/>
        </w:rPr>
      </w:pPr>
    </w:p>
    <w:p>
      <w:pPr>
        <w:ind w:right="20" w:firstLine="872"/>
        <w:spacing w:after="0" w:line="328" w:lineRule="auto"/>
        <w:tabs>
          <w:tab w:leader="none" w:pos="167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Annex A to the Agreement is hereby amended and replaced in its entirety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 give effect to the IPO, including the underwriters’ exercise of their option to purchase additional shares from the selling stockholders.</w:t>
      </w:r>
    </w:p>
    <w:p>
      <w:pPr>
        <w:spacing w:after="0" w:line="104" w:lineRule="exact"/>
        <w:rPr>
          <w:rFonts w:ascii="Arial" w:cs="Arial" w:eastAsia="Arial" w:hAnsi="Arial"/>
          <w:sz w:val="19"/>
          <w:szCs w:val="19"/>
          <w:color w:val="auto"/>
        </w:rPr>
      </w:pPr>
    </w:p>
    <w:p>
      <w:pPr>
        <w:jc w:val="both"/>
        <w:ind w:firstLine="872"/>
        <w:spacing w:after="0"/>
        <w:tabs>
          <w:tab w:leader="none" w:pos="167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Agreement is hereby amended to the fullest extent necessary to effect all of the matters contemplated by this Amendment. Except as specifically provided for in this Amendment, the provisions of the Agreement shall remain in full force and effect.</w:t>
      </w:r>
    </w:p>
    <w:p>
      <w:pPr>
        <w:spacing w:after="0" w:line="186" w:lineRule="exact"/>
        <w:rPr>
          <w:rFonts w:ascii="Arial" w:cs="Arial" w:eastAsia="Arial" w:hAnsi="Arial"/>
          <w:sz w:val="22"/>
          <w:szCs w:val="22"/>
          <w:color w:val="auto"/>
        </w:rPr>
      </w:pPr>
    </w:p>
    <w:p>
      <w:pPr>
        <w:jc w:val="both"/>
        <w:ind w:firstLine="872"/>
        <w:spacing w:after="0"/>
        <w:tabs>
          <w:tab w:leader="none" w:pos="167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Amendment shall not operate (a) as an amendment or modification of any provision, right or obligation of any Member under the Agreement except as specifically set forth in this Amendment or (b) as a waiver or consent to any subsequent action or transaction.</w:t>
      </w:r>
    </w:p>
    <w:p>
      <w:pPr>
        <w:spacing w:after="0" w:line="186" w:lineRule="exact"/>
        <w:rPr>
          <w:rFonts w:ascii="Arial" w:cs="Arial" w:eastAsia="Arial" w:hAnsi="Arial"/>
          <w:sz w:val="22"/>
          <w:szCs w:val="22"/>
          <w:color w:val="auto"/>
        </w:rPr>
      </w:pPr>
    </w:p>
    <w:p>
      <w:pPr>
        <w:ind w:firstLine="872"/>
        <w:spacing w:after="0" w:line="250" w:lineRule="auto"/>
        <w:tabs>
          <w:tab w:leader="none" w:pos="167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This Amendment shall be construed and enforced in accordance with and governed by the laws of the State of Delaware, without regard to the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4" w:name="page245"/>
    <w:bookmarkEnd w:id="244"/>
    <w:p>
      <w:pPr>
        <w:spacing w:after="0"/>
        <w:rPr>
          <w:sz w:val="20"/>
          <w:szCs w:val="20"/>
          <w:color w:val="auto"/>
        </w:rPr>
      </w:pPr>
      <w:r>
        <w:rPr>
          <w:rFonts w:ascii="Arial" w:cs="Arial" w:eastAsia="Arial" w:hAnsi="Arial"/>
          <w:sz w:val="19"/>
          <w:szCs w:val="19"/>
          <w:color w:val="auto"/>
        </w:rPr>
        <w:t>IN WITNESS WHEREOF, the undersigned has duly executed this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VIANT TECHNOLOGY INC.,</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6985</wp:posOffset>
            </wp:positionV>
            <wp:extent cx="32746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tabs>
          <w:tab w:leader="none" w:pos="6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Larry Madden</w:t>
      </w:r>
    </w:p>
    <w:p>
      <w:pPr>
        <w:ind w:left="6080"/>
        <w:spacing w:after="0"/>
        <w:tabs>
          <w:tab w:leader="none" w:pos="682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to LLC Agreement of Viant Technology LLC</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0"/>
          </w:cols>
          <w:pgMar w:left="320" w:top="550" w:right="1119" w:bottom="1440" w:gutter="0" w:footer="0" w:header="0"/>
        </w:sectPr>
      </w:pPr>
    </w:p>
    <w:bookmarkStart w:id="245" w:name="page246"/>
    <w:bookmarkEnd w:id="245"/>
    <w:tbl>
      <w:tblPr>
        <w:tblLayout w:type="fixed"/>
        <w:tblInd w:w="1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4"/>
              </w:rPr>
              <w:t>Exhibit A</w:t>
            </w:r>
          </w:p>
        </w:tc>
        <w:tc>
          <w:tcPr>
            <w:tcW w:w="5180" w:type="dxa"/>
            <w:vAlign w:val="bottom"/>
            <w:gridSpan w:val="2"/>
          </w:tcPr>
          <w:p>
            <w:pPr>
              <w:spacing w:after="0"/>
              <w:rPr>
                <w:sz w:val="21"/>
                <w:szCs w:val="21"/>
                <w:color w:val="auto"/>
              </w:rPr>
            </w:pPr>
          </w:p>
        </w:tc>
      </w:tr>
      <w:tr>
        <w:trPr>
          <w:trHeight w:val="490"/>
        </w:trPr>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700" w:type="dxa"/>
            <w:vAlign w:val="bottom"/>
            <w:gridSpan w:val="6"/>
          </w:tcPr>
          <w:p>
            <w:pPr>
              <w:jc w:val="center"/>
              <w:ind w:right="3580"/>
              <w:spacing w:after="0"/>
              <w:rPr>
                <w:sz w:val="20"/>
                <w:szCs w:val="20"/>
                <w:color w:val="auto"/>
              </w:rPr>
            </w:pPr>
            <w:r>
              <w:rPr>
                <w:rFonts w:ascii="Arial" w:cs="Arial" w:eastAsia="Arial" w:hAnsi="Arial"/>
                <w:sz w:val="22"/>
                <w:szCs w:val="22"/>
                <w:b w:val="1"/>
                <w:bCs w:val="1"/>
                <w:color w:val="auto"/>
              </w:rPr>
              <w:t>ANNEX A: INITIAL COMMON UNITS</w:t>
            </w:r>
          </w:p>
        </w:tc>
      </w:tr>
      <w:tr>
        <w:trPr>
          <w:trHeight w:val="206"/>
        </w:trPr>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r>
        <w:trPr>
          <w:trHeight w:val="412"/>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Member</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b w:val="1"/>
                <w:bCs w:val="1"/>
                <w:color w:val="auto"/>
              </w:rPr>
              <w:t>Units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bottom w:val="single" w:sz="8" w:color="auto"/>
              <w:right w:val="single" w:sz="8" w:color="auto"/>
            </w:tcBorders>
          </w:tcPr>
          <w:p>
            <w:pPr>
              <w:spacing w:after="0" w:line="20" w:lineRule="exact"/>
              <w:rPr>
                <w:sz w:val="1"/>
                <w:szCs w:val="1"/>
                <w:color w:val="auto"/>
              </w:rPr>
            </w:pPr>
          </w:p>
        </w:tc>
      </w:tr>
      <w:tr>
        <w:trPr>
          <w:trHeight w:val="463"/>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Viant Technology Inc.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11,500,000 Class A Units</w:t>
            </w:r>
          </w:p>
        </w:tc>
      </w:tr>
      <w:tr>
        <w:trPr>
          <w:trHeight w:val="428"/>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color w:val="auto"/>
              </w:rPr>
              <w:t>2722 Michelson Drive, Suite 100</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r>
      <w:tr>
        <w:trPr>
          <w:trHeight w:val="264"/>
        </w:trPr>
        <w:tc>
          <w:tcPr>
            <w:tcW w:w="35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Irvine, CA 92612</w:t>
            </w:r>
          </w:p>
        </w:tc>
        <w:tc>
          <w:tcPr>
            <w:tcW w:w="16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r>
      <w:tr>
        <w:trPr>
          <w:trHeight w:val="463"/>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Tim Vanderhook</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7,833,774 Class B Units</w:t>
            </w:r>
          </w:p>
        </w:tc>
      </w:tr>
      <w:tr>
        <w:trPr>
          <w:trHeight w:val="428"/>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color w:val="auto"/>
              </w:rPr>
              <w:t>c/o Viant Technology Inc.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r>
      <w:tr>
        <w:trPr>
          <w:trHeight w:val="243"/>
        </w:trPr>
        <w:tc>
          <w:tcPr>
            <w:tcW w:w="3540" w:type="dxa"/>
            <w:vAlign w:val="bottom"/>
            <w:tcBorders>
              <w:left w:val="single" w:sz="8" w:color="auto"/>
            </w:tcBorders>
            <w:gridSpan w:val="3"/>
          </w:tcPr>
          <w:p>
            <w:pPr>
              <w:ind w:left="120"/>
              <w:spacing w:after="0" w:line="243" w:lineRule="exact"/>
              <w:rPr>
                <w:sz w:val="20"/>
                <w:szCs w:val="20"/>
                <w:color w:val="auto"/>
              </w:rPr>
            </w:pPr>
            <w:r>
              <w:rPr>
                <w:rFonts w:ascii="Arial" w:cs="Arial" w:eastAsia="Arial" w:hAnsi="Arial"/>
                <w:sz w:val="22"/>
                <w:szCs w:val="22"/>
                <w:color w:val="auto"/>
              </w:rPr>
              <w:t>2722 Michelson Drive, Suite 100</w:t>
            </w:r>
          </w:p>
        </w:tc>
        <w:tc>
          <w:tcPr>
            <w:tcW w:w="16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r>
      <w:tr>
        <w:trPr>
          <w:trHeight w:val="264"/>
        </w:trPr>
        <w:tc>
          <w:tcPr>
            <w:tcW w:w="35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Irvine, CA 92612</w:t>
            </w:r>
          </w:p>
        </w:tc>
        <w:tc>
          <w:tcPr>
            <w:tcW w:w="16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r>
      <w:tr>
        <w:trPr>
          <w:trHeight w:val="463"/>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Chris Vanderhook</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7,833,774 Class B Units</w:t>
            </w:r>
          </w:p>
        </w:tc>
      </w:tr>
      <w:tr>
        <w:trPr>
          <w:trHeight w:val="428"/>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color w:val="auto"/>
              </w:rPr>
              <w:t>c/o Viant Technology Inc.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r>
      <w:tr>
        <w:trPr>
          <w:trHeight w:val="243"/>
        </w:trPr>
        <w:tc>
          <w:tcPr>
            <w:tcW w:w="3540" w:type="dxa"/>
            <w:vAlign w:val="bottom"/>
            <w:tcBorders>
              <w:left w:val="single" w:sz="8" w:color="auto"/>
            </w:tcBorders>
            <w:gridSpan w:val="3"/>
          </w:tcPr>
          <w:p>
            <w:pPr>
              <w:ind w:left="120"/>
              <w:spacing w:after="0" w:line="243" w:lineRule="exact"/>
              <w:rPr>
                <w:sz w:val="20"/>
                <w:szCs w:val="20"/>
                <w:color w:val="auto"/>
              </w:rPr>
            </w:pPr>
            <w:r>
              <w:rPr>
                <w:rFonts w:ascii="Arial" w:cs="Arial" w:eastAsia="Arial" w:hAnsi="Arial"/>
                <w:sz w:val="22"/>
                <w:szCs w:val="22"/>
                <w:color w:val="auto"/>
              </w:rPr>
              <w:t>2722 Michelson Drive, Suite 100</w:t>
            </w:r>
          </w:p>
        </w:tc>
        <w:tc>
          <w:tcPr>
            <w:tcW w:w="16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r>
      <w:tr>
        <w:trPr>
          <w:trHeight w:val="264"/>
        </w:trPr>
        <w:tc>
          <w:tcPr>
            <w:tcW w:w="35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Irvine, CA 92612</w:t>
            </w:r>
          </w:p>
        </w:tc>
        <w:tc>
          <w:tcPr>
            <w:tcW w:w="16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r>
      <w:tr>
        <w:trPr>
          <w:trHeight w:val="463"/>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Four Brothers 2 LLC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28,451,103 Class B Units</w:t>
            </w:r>
          </w:p>
        </w:tc>
      </w:tr>
      <w:tr>
        <w:trPr>
          <w:trHeight w:val="428"/>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color w:val="auto"/>
              </w:rPr>
              <w:t>c/o Viant Technology Inc.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r>
      <w:tr>
        <w:trPr>
          <w:trHeight w:val="243"/>
        </w:trPr>
        <w:tc>
          <w:tcPr>
            <w:tcW w:w="3540" w:type="dxa"/>
            <w:vAlign w:val="bottom"/>
            <w:tcBorders>
              <w:left w:val="single" w:sz="8" w:color="auto"/>
            </w:tcBorders>
            <w:gridSpan w:val="3"/>
          </w:tcPr>
          <w:p>
            <w:pPr>
              <w:ind w:left="120"/>
              <w:spacing w:after="0" w:line="243" w:lineRule="exact"/>
              <w:rPr>
                <w:sz w:val="20"/>
                <w:szCs w:val="20"/>
                <w:color w:val="auto"/>
              </w:rPr>
            </w:pPr>
            <w:r>
              <w:rPr>
                <w:rFonts w:ascii="Arial" w:cs="Arial" w:eastAsia="Arial" w:hAnsi="Arial"/>
                <w:sz w:val="22"/>
                <w:szCs w:val="22"/>
                <w:color w:val="auto"/>
              </w:rPr>
              <w:t>2722 Michelson Drive, Suite 100</w:t>
            </w:r>
          </w:p>
        </w:tc>
        <w:tc>
          <w:tcPr>
            <w:tcW w:w="16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r>
      <w:tr>
        <w:trPr>
          <w:trHeight w:val="264"/>
        </w:trPr>
        <w:tc>
          <w:tcPr>
            <w:tcW w:w="35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Irvine, CA 92612</w:t>
            </w:r>
          </w:p>
        </w:tc>
        <w:tc>
          <w:tcPr>
            <w:tcW w:w="16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r>
      <w:tr>
        <w:trPr>
          <w:trHeight w:val="463"/>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w w:val="94"/>
              </w:rPr>
              <w:t>Viant Technology Equity Plan LLC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3,316,908 Class B Units</w:t>
            </w:r>
          </w:p>
        </w:tc>
      </w:tr>
      <w:tr>
        <w:trPr>
          <w:trHeight w:val="428"/>
        </w:trPr>
        <w:tc>
          <w:tcPr>
            <w:tcW w:w="354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color w:val="auto"/>
              </w:rPr>
              <w:t>c/o Viant Technology Inc.</w:t>
            </w:r>
          </w:p>
        </w:tc>
        <w:tc>
          <w:tcPr>
            <w:tcW w:w="16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r>
      <w:tr>
        <w:trPr>
          <w:trHeight w:val="243"/>
        </w:trPr>
        <w:tc>
          <w:tcPr>
            <w:tcW w:w="3540" w:type="dxa"/>
            <w:vAlign w:val="bottom"/>
            <w:tcBorders>
              <w:left w:val="single" w:sz="8" w:color="auto"/>
            </w:tcBorders>
            <w:gridSpan w:val="3"/>
          </w:tcPr>
          <w:p>
            <w:pPr>
              <w:ind w:left="120"/>
              <w:spacing w:after="0" w:line="243" w:lineRule="exact"/>
              <w:rPr>
                <w:sz w:val="20"/>
                <w:szCs w:val="20"/>
                <w:color w:val="auto"/>
              </w:rPr>
            </w:pPr>
            <w:r>
              <w:rPr>
                <w:rFonts w:ascii="Arial" w:cs="Arial" w:eastAsia="Arial" w:hAnsi="Arial"/>
                <w:sz w:val="22"/>
                <w:szCs w:val="22"/>
                <w:color w:val="auto"/>
              </w:rPr>
              <w:t>2722 Michelson Drive, Suite 100</w:t>
            </w:r>
          </w:p>
        </w:tc>
        <w:tc>
          <w:tcPr>
            <w:tcW w:w="16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Borders>
              <w:right w:val="single" w:sz="8" w:color="auto"/>
            </w:tcBorders>
          </w:tcPr>
          <w:p>
            <w:pPr>
              <w:spacing w:after="0"/>
              <w:rPr>
                <w:sz w:val="21"/>
                <w:szCs w:val="21"/>
                <w:color w:val="auto"/>
              </w:rPr>
            </w:pPr>
          </w:p>
        </w:tc>
      </w:tr>
      <w:tr>
        <w:trPr>
          <w:trHeight w:val="264"/>
        </w:trPr>
        <w:tc>
          <w:tcPr>
            <w:tcW w:w="354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color w:val="auto"/>
              </w:rPr>
              <w:t>Irvine, CA 92612</w:t>
            </w:r>
          </w:p>
        </w:tc>
        <w:tc>
          <w:tcPr>
            <w:tcW w:w="16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40"/>
          </w:cols>
          <w:pgMar w:left="340" w:top="521"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5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TAX RECEIVABLE AGREEMENT (EXCHANGES)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954405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80"/>
        </w:trPr>
        <w:tc>
          <w:tcPr>
            <w:tcW w:w="206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Arial" w:cs="Arial" w:eastAsia="Arial" w:hAnsi="Arial"/>
                <w:sz w:val="22"/>
                <w:szCs w:val="22"/>
                <w:b w:val="1"/>
                <w:bCs w:val="1"/>
                <w:color w:val="auto"/>
              </w:rPr>
              <w:t>Table of Contents</w:t>
            </w:r>
          </w:p>
        </w:tc>
        <w:tc>
          <w:tcPr>
            <w:tcW w:w="560" w:type="dxa"/>
            <w:vAlign w:val="bottom"/>
          </w:tcPr>
          <w:p>
            <w:pPr>
              <w:spacing w:after="0"/>
              <w:rPr>
                <w:sz w:val="24"/>
                <w:szCs w:val="24"/>
                <w:color w:val="auto"/>
              </w:rPr>
            </w:pPr>
          </w:p>
        </w:tc>
      </w:tr>
      <w:tr>
        <w:trPr>
          <w:trHeight w:val="476"/>
        </w:trPr>
        <w:tc>
          <w:tcPr>
            <w:tcW w:w="20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w w:val="93"/>
              </w:rPr>
              <w:t>Page</w:t>
            </w:r>
          </w:p>
        </w:tc>
      </w:tr>
      <w:tr>
        <w:trPr>
          <w:trHeight w:val="490"/>
        </w:trPr>
        <w:tc>
          <w:tcPr>
            <w:tcW w:w="10680" w:type="dxa"/>
            <w:vAlign w:val="bottom"/>
            <w:gridSpan w:val="2"/>
          </w:tcPr>
          <w:p>
            <w:pPr>
              <w:spacing w:after="0"/>
              <w:rPr>
                <w:sz w:val="20"/>
                <w:szCs w:val="20"/>
                <w:color w:val="auto"/>
              </w:rPr>
            </w:pPr>
            <w:r>
              <w:rPr>
                <w:rFonts w:ascii="Arial" w:cs="Arial" w:eastAsia="Arial" w:hAnsi="Arial"/>
                <w:sz w:val="22"/>
                <w:szCs w:val="22"/>
                <w:color w:val="auto"/>
              </w:rPr>
              <w:t>ARTICLE I DETERMINATION OF REALIZED TAX BENEFIT</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2</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1.01</w:t>
            </w:r>
          </w:p>
        </w:tc>
        <w:tc>
          <w:tcPr>
            <w:tcW w:w="8620" w:type="dxa"/>
            <w:vAlign w:val="bottom"/>
          </w:tcPr>
          <w:p>
            <w:pPr>
              <w:ind w:left="400"/>
              <w:spacing w:after="0"/>
              <w:rPr>
                <w:sz w:val="20"/>
                <w:szCs w:val="20"/>
                <w:color w:val="auto"/>
              </w:rPr>
            </w:pPr>
            <w:r>
              <w:rPr>
                <w:rFonts w:ascii="Arial" w:cs="Arial" w:eastAsia="Arial" w:hAnsi="Arial"/>
                <w:sz w:val="22"/>
                <w:szCs w:val="22"/>
                <w:color w:val="auto"/>
              </w:rPr>
              <w:t>Realized Tax Benefit and Realized Tax Detriment</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2</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1.02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Assumptions, Conventions, and Principles for Calculation</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97"/>
              </w:rPr>
              <w:t>2</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1.03</w:t>
            </w:r>
          </w:p>
        </w:tc>
        <w:tc>
          <w:tcPr>
            <w:tcW w:w="8620" w:type="dxa"/>
            <w:vAlign w:val="bottom"/>
          </w:tcPr>
          <w:p>
            <w:pPr>
              <w:ind w:left="400"/>
              <w:spacing w:after="0"/>
              <w:rPr>
                <w:sz w:val="20"/>
                <w:szCs w:val="20"/>
                <w:color w:val="auto"/>
              </w:rPr>
            </w:pPr>
            <w:r>
              <w:rPr>
                <w:rFonts w:ascii="Arial" w:cs="Arial" w:eastAsia="Arial" w:hAnsi="Arial"/>
                <w:sz w:val="22"/>
                <w:szCs w:val="22"/>
                <w:color w:val="auto"/>
              </w:rPr>
              <w:t>Procedures Relating to Calculation of Tax Benefits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3</w:t>
            </w:r>
          </w:p>
        </w:tc>
      </w:tr>
      <w:tr>
        <w:trPr>
          <w:trHeight w:val="486"/>
        </w:trPr>
        <w:tc>
          <w:tcPr>
            <w:tcW w:w="10680" w:type="dxa"/>
            <w:vAlign w:val="bottom"/>
            <w:gridSpan w:val="2"/>
          </w:tcPr>
          <w:p>
            <w:pPr>
              <w:spacing w:after="0"/>
              <w:rPr>
                <w:sz w:val="20"/>
                <w:szCs w:val="20"/>
                <w:color w:val="auto"/>
              </w:rPr>
            </w:pPr>
            <w:r>
              <w:rPr>
                <w:rFonts w:ascii="Arial" w:cs="Arial" w:eastAsia="Arial" w:hAnsi="Arial"/>
                <w:sz w:val="22"/>
                <w:szCs w:val="22"/>
                <w:color w:val="auto"/>
              </w:rPr>
              <w:t>ARTICLE II TAX BENEFIT PAYMENTS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4</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2.01</w:t>
            </w:r>
          </w:p>
        </w:tc>
        <w:tc>
          <w:tcPr>
            <w:tcW w:w="8620" w:type="dxa"/>
            <w:vAlign w:val="bottom"/>
          </w:tcPr>
          <w:p>
            <w:pPr>
              <w:ind w:left="400"/>
              <w:spacing w:after="0"/>
              <w:rPr>
                <w:sz w:val="20"/>
                <w:szCs w:val="20"/>
                <w:color w:val="auto"/>
              </w:rPr>
            </w:pPr>
            <w:r>
              <w:rPr>
                <w:rFonts w:ascii="Arial" w:cs="Arial" w:eastAsia="Arial" w:hAnsi="Arial"/>
                <w:sz w:val="22"/>
                <w:szCs w:val="22"/>
                <w:color w:val="auto"/>
              </w:rPr>
              <w:t>Payments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4</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2.02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No Duplicative Payments</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97"/>
              </w:rPr>
              <w:t>5</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2.03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Proportionate Payments and Coordination of Benefits</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97"/>
              </w:rPr>
              <w:t>5</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2.04</w:t>
            </w:r>
          </w:p>
        </w:tc>
        <w:tc>
          <w:tcPr>
            <w:tcW w:w="8620" w:type="dxa"/>
            <w:vAlign w:val="bottom"/>
          </w:tcPr>
          <w:p>
            <w:pPr>
              <w:ind w:left="400"/>
              <w:spacing w:after="0"/>
              <w:rPr>
                <w:sz w:val="20"/>
                <w:szCs w:val="20"/>
                <w:color w:val="auto"/>
              </w:rPr>
            </w:pPr>
            <w:r>
              <w:rPr>
                <w:rFonts w:ascii="Arial" w:cs="Arial" w:eastAsia="Arial" w:hAnsi="Arial"/>
                <w:sz w:val="22"/>
                <w:szCs w:val="22"/>
                <w:color w:val="auto"/>
              </w:rPr>
              <w:t>No Escrow or Clawback; Reduction of Future Payments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486"/>
        </w:trPr>
        <w:tc>
          <w:tcPr>
            <w:tcW w:w="10680" w:type="dxa"/>
            <w:vAlign w:val="bottom"/>
            <w:gridSpan w:val="2"/>
          </w:tcPr>
          <w:p>
            <w:pPr>
              <w:spacing w:after="0"/>
              <w:rPr>
                <w:sz w:val="20"/>
                <w:szCs w:val="20"/>
                <w:color w:val="auto"/>
              </w:rPr>
            </w:pPr>
            <w:r>
              <w:rPr>
                <w:rFonts w:ascii="Arial" w:cs="Arial" w:eastAsia="Arial" w:hAnsi="Arial"/>
                <w:sz w:val="22"/>
                <w:szCs w:val="22"/>
                <w:color w:val="auto"/>
              </w:rPr>
              <w:t>ARTICLE III TERMINATION</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3.01</w:t>
            </w:r>
          </w:p>
        </w:tc>
        <w:tc>
          <w:tcPr>
            <w:tcW w:w="8620" w:type="dxa"/>
            <w:vAlign w:val="bottom"/>
          </w:tcPr>
          <w:p>
            <w:pPr>
              <w:ind w:left="400"/>
              <w:spacing w:after="0"/>
              <w:rPr>
                <w:sz w:val="20"/>
                <w:szCs w:val="20"/>
                <w:color w:val="auto"/>
              </w:rPr>
            </w:pPr>
            <w:r>
              <w:rPr>
                <w:rFonts w:ascii="Arial" w:cs="Arial" w:eastAsia="Arial" w:hAnsi="Arial"/>
                <w:sz w:val="22"/>
                <w:szCs w:val="22"/>
                <w:color w:val="auto"/>
              </w:rPr>
              <w:t>Early Termination Events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3.02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Early Termination Notice and Early Termination Schedule</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97"/>
              </w:rPr>
              <w:t>7</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3.03</w:t>
            </w:r>
          </w:p>
        </w:tc>
        <w:tc>
          <w:tcPr>
            <w:tcW w:w="8620" w:type="dxa"/>
            <w:vAlign w:val="bottom"/>
          </w:tcPr>
          <w:p>
            <w:pPr>
              <w:ind w:left="400"/>
              <w:spacing w:after="0"/>
              <w:rPr>
                <w:sz w:val="20"/>
                <w:szCs w:val="20"/>
                <w:color w:val="auto"/>
              </w:rPr>
            </w:pPr>
            <w:r>
              <w:rPr>
                <w:rFonts w:ascii="Arial" w:cs="Arial" w:eastAsia="Arial" w:hAnsi="Arial"/>
                <w:sz w:val="22"/>
                <w:szCs w:val="22"/>
                <w:color w:val="auto"/>
              </w:rPr>
              <w:t>Early Termination Payment</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8</w:t>
            </w:r>
          </w:p>
        </w:tc>
      </w:tr>
      <w:tr>
        <w:trPr>
          <w:trHeight w:val="486"/>
        </w:trPr>
        <w:tc>
          <w:tcPr>
            <w:tcW w:w="10680" w:type="dxa"/>
            <w:vAlign w:val="bottom"/>
            <w:gridSpan w:val="2"/>
          </w:tcPr>
          <w:p>
            <w:pPr>
              <w:spacing w:after="0"/>
              <w:rPr>
                <w:sz w:val="20"/>
                <w:szCs w:val="20"/>
                <w:color w:val="auto"/>
              </w:rPr>
            </w:pPr>
            <w:r>
              <w:rPr>
                <w:rFonts w:ascii="Arial" w:cs="Arial" w:eastAsia="Arial" w:hAnsi="Arial"/>
                <w:sz w:val="22"/>
                <w:szCs w:val="22"/>
                <w:color w:val="auto"/>
              </w:rPr>
              <w:t>ARTICLE IV SUBORDINATION AND LATE PAYMENTS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4.01</w:t>
            </w:r>
          </w:p>
        </w:tc>
        <w:tc>
          <w:tcPr>
            <w:tcW w:w="8620" w:type="dxa"/>
            <w:vAlign w:val="bottom"/>
          </w:tcPr>
          <w:p>
            <w:pPr>
              <w:ind w:left="400"/>
              <w:spacing w:after="0"/>
              <w:rPr>
                <w:sz w:val="20"/>
                <w:szCs w:val="20"/>
                <w:color w:val="auto"/>
              </w:rPr>
            </w:pPr>
            <w:r>
              <w:rPr>
                <w:rFonts w:ascii="Arial" w:cs="Arial" w:eastAsia="Arial" w:hAnsi="Arial"/>
                <w:sz w:val="22"/>
                <w:szCs w:val="22"/>
                <w:color w:val="auto"/>
              </w:rPr>
              <w:t>Subordination</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4.02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Late Payments by the Corporation</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97"/>
              </w:rPr>
              <w:t>9</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4.03</w:t>
            </w:r>
          </w:p>
        </w:tc>
        <w:tc>
          <w:tcPr>
            <w:tcW w:w="8620" w:type="dxa"/>
            <w:vAlign w:val="bottom"/>
          </w:tcPr>
          <w:p>
            <w:pPr>
              <w:ind w:left="400"/>
              <w:spacing w:after="0"/>
              <w:rPr>
                <w:sz w:val="20"/>
                <w:szCs w:val="20"/>
                <w:color w:val="auto"/>
              </w:rPr>
            </w:pPr>
            <w:r>
              <w:rPr>
                <w:rFonts w:ascii="Arial" w:cs="Arial" w:eastAsia="Arial" w:hAnsi="Arial"/>
                <w:sz w:val="22"/>
                <w:szCs w:val="22"/>
                <w:color w:val="auto"/>
              </w:rPr>
              <w:t>Manner of Payment</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486"/>
        </w:trPr>
        <w:tc>
          <w:tcPr>
            <w:tcW w:w="10680" w:type="dxa"/>
            <w:vAlign w:val="bottom"/>
            <w:gridSpan w:val="2"/>
          </w:tcPr>
          <w:p>
            <w:pPr>
              <w:spacing w:after="0"/>
              <w:rPr>
                <w:sz w:val="20"/>
                <w:szCs w:val="20"/>
                <w:color w:val="auto"/>
              </w:rPr>
            </w:pPr>
            <w:r>
              <w:rPr>
                <w:rFonts w:ascii="Arial" w:cs="Arial" w:eastAsia="Arial" w:hAnsi="Arial"/>
                <w:sz w:val="22"/>
                <w:szCs w:val="22"/>
                <w:color w:val="auto"/>
              </w:rPr>
              <w:t>ARTICLE V PREPARATION OF TAX RETURNS; COVENANTS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5.01</w:t>
            </w:r>
          </w:p>
        </w:tc>
        <w:tc>
          <w:tcPr>
            <w:tcW w:w="8620" w:type="dxa"/>
            <w:vAlign w:val="bottom"/>
          </w:tcPr>
          <w:p>
            <w:pPr>
              <w:ind w:left="400"/>
              <w:spacing w:after="0"/>
              <w:rPr>
                <w:sz w:val="20"/>
                <w:szCs w:val="20"/>
                <w:color w:val="auto"/>
              </w:rPr>
            </w:pPr>
            <w:r>
              <w:rPr>
                <w:rFonts w:ascii="Arial" w:cs="Arial" w:eastAsia="Arial" w:hAnsi="Arial"/>
                <w:sz w:val="22"/>
                <w:szCs w:val="22"/>
                <w:color w:val="auto"/>
                <w:w w:val="99"/>
              </w:rPr>
              <w:t>No Participation by TRA Holder in the Corporation’s and the Company’s Tax Matters</w:t>
            </w:r>
          </w:p>
        </w:tc>
        <w:tc>
          <w:tcPr>
            <w:tcW w:w="56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5.02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Consistency</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10</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5.03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Cooperation</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10</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5.04</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Section 754 Election</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10</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5.05</w:t>
            </w:r>
          </w:p>
        </w:tc>
        <w:tc>
          <w:tcPr>
            <w:tcW w:w="8620" w:type="dxa"/>
            <w:vAlign w:val="bottom"/>
          </w:tcPr>
          <w:p>
            <w:pPr>
              <w:ind w:left="400"/>
              <w:spacing w:after="0"/>
              <w:rPr>
                <w:sz w:val="20"/>
                <w:szCs w:val="20"/>
                <w:color w:val="auto"/>
              </w:rPr>
            </w:pPr>
            <w:r>
              <w:rPr>
                <w:rFonts w:ascii="Arial" w:cs="Arial" w:eastAsia="Arial" w:hAnsi="Arial"/>
                <w:sz w:val="22"/>
                <w:szCs w:val="22"/>
                <w:color w:val="auto"/>
              </w:rPr>
              <w:t>Available Cash</w:t>
            </w:r>
          </w:p>
        </w:tc>
        <w:tc>
          <w:tcPr>
            <w:tcW w:w="560" w:type="dxa"/>
            <w:vAlign w:val="bottom"/>
          </w:tcPr>
          <w:p>
            <w:pPr>
              <w:jc w:val="center"/>
              <w:spacing w:after="0"/>
              <w:rPr>
                <w:sz w:val="20"/>
                <w:szCs w:val="20"/>
                <w:color w:val="auto"/>
              </w:rPr>
            </w:pPr>
            <w:r>
              <w:rPr>
                <w:rFonts w:ascii="Arial" w:cs="Arial" w:eastAsia="Arial" w:hAnsi="Arial"/>
                <w:sz w:val="22"/>
                <w:szCs w:val="22"/>
                <w:color w:val="auto"/>
                <w:w w:val="89"/>
              </w:rPr>
              <w:t>10</w:t>
            </w:r>
          </w:p>
        </w:tc>
      </w:tr>
      <w:tr>
        <w:trPr>
          <w:trHeight w:val="486"/>
        </w:trPr>
        <w:tc>
          <w:tcPr>
            <w:tcW w:w="10680" w:type="dxa"/>
            <w:vAlign w:val="bottom"/>
            <w:gridSpan w:val="2"/>
          </w:tcPr>
          <w:p>
            <w:pPr>
              <w:spacing w:after="0"/>
              <w:rPr>
                <w:sz w:val="20"/>
                <w:szCs w:val="20"/>
                <w:color w:val="auto"/>
              </w:rPr>
            </w:pPr>
            <w:r>
              <w:rPr>
                <w:rFonts w:ascii="Arial" w:cs="Arial" w:eastAsia="Arial" w:hAnsi="Arial"/>
                <w:sz w:val="22"/>
                <w:szCs w:val="22"/>
                <w:color w:val="auto"/>
              </w:rPr>
              <w:t>ARTICLE VI MISCELLANEOUS</w:t>
            </w:r>
          </w:p>
        </w:tc>
        <w:tc>
          <w:tcPr>
            <w:tcW w:w="560" w:type="dxa"/>
            <w:vAlign w:val="bottom"/>
          </w:tcPr>
          <w:p>
            <w:pPr>
              <w:jc w:val="center"/>
              <w:spacing w:after="0"/>
              <w:rPr>
                <w:sz w:val="20"/>
                <w:szCs w:val="20"/>
                <w:color w:val="auto"/>
              </w:rPr>
            </w:pPr>
            <w:r>
              <w:rPr>
                <w:rFonts w:ascii="Arial" w:cs="Arial" w:eastAsia="Arial" w:hAnsi="Arial"/>
                <w:sz w:val="22"/>
                <w:szCs w:val="22"/>
                <w:color w:val="auto"/>
                <w:w w:val="81"/>
              </w:rPr>
              <w:t>11</w:t>
            </w:r>
          </w:p>
        </w:tc>
      </w:tr>
      <w:tr>
        <w:trPr>
          <w:trHeight w:val="455"/>
        </w:trPr>
        <w:tc>
          <w:tcPr>
            <w:tcW w:w="2060" w:type="dxa"/>
            <w:vAlign w:val="bottom"/>
          </w:tcPr>
          <w:p>
            <w:pPr>
              <w:ind w:left="580"/>
              <w:spacing w:after="0"/>
              <w:rPr>
                <w:sz w:val="20"/>
                <w:szCs w:val="20"/>
                <w:color w:val="auto"/>
              </w:rPr>
            </w:pPr>
            <w:r>
              <w:rPr>
                <w:rFonts w:ascii="Arial" w:cs="Arial" w:eastAsia="Arial" w:hAnsi="Arial"/>
                <w:sz w:val="22"/>
                <w:szCs w:val="22"/>
                <w:color w:val="auto"/>
              </w:rPr>
              <w:t>Section 6.01</w:t>
            </w:r>
          </w:p>
        </w:tc>
        <w:tc>
          <w:tcPr>
            <w:tcW w:w="8620" w:type="dxa"/>
            <w:vAlign w:val="bottom"/>
          </w:tcPr>
          <w:p>
            <w:pPr>
              <w:ind w:left="400"/>
              <w:spacing w:after="0"/>
              <w:rPr>
                <w:sz w:val="20"/>
                <w:szCs w:val="20"/>
                <w:color w:val="auto"/>
              </w:rPr>
            </w:pPr>
            <w:r>
              <w:rPr>
                <w:rFonts w:ascii="Arial" w:cs="Arial" w:eastAsia="Arial" w:hAnsi="Arial"/>
                <w:sz w:val="22"/>
                <w:szCs w:val="22"/>
                <w:color w:val="auto"/>
              </w:rPr>
              <w:t>Notices</w:t>
            </w:r>
          </w:p>
        </w:tc>
        <w:tc>
          <w:tcPr>
            <w:tcW w:w="560" w:type="dxa"/>
            <w:vAlign w:val="bottom"/>
          </w:tcPr>
          <w:p>
            <w:pPr>
              <w:jc w:val="center"/>
              <w:spacing w:after="0"/>
              <w:rPr>
                <w:sz w:val="20"/>
                <w:szCs w:val="20"/>
                <w:color w:val="auto"/>
              </w:rPr>
            </w:pPr>
            <w:r>
              <w:rPr>
                <w:rFonts w:ascii="Arial" w:cs="Arial" w:eastAsia="Arial" w:hAnsi="Arial"/>
                <w:sz w:val="22"/>
                <w:szCs w:val="22"/>
                <w:color w:val="auto"/>
                <w:w w:val="81"/>
              </w:rPr>
              <w:t>11</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Counterparts</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12</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Entire Agreement</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12</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6.04</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Governing Law</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12</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6.05</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Severability</w:t>
            </w:r>
          </w:p>
        </w:tc>
        <w:tc>
          <w:tcPr>
            <w:tcW w:w="560" w:type="dxa"/>
            <w:vAlign w:val="bottom"/>
          </w:tcPr>
          <w:p>
            <w:pPr>
              <w:jc w:val="center"/>
              <w:spacing w:after="0" w:line="243" w:lineRule="exact"/>
              <w:rPr>
                <w:sz w:val="20"/>
                <w:szCs w:val="20"/>
                <w:color w:val="auto"/>
              </w:rPr>
            </w:pPr>
            <w:r>
              <w:rPr>
                <w:rFonts w:ascii="Arial" w:cs="Arial" w:eastAsia="Arial" w:hAnsi="Arial"/>
                <w:sz w:val="22"/>
                <w:szCs w:val="22"/>
                <w:color w:val="auto"/>
                <w:w w:val="89"/>
              </w:rPr>
              <w:t>12</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6.06</w:t>
            </w:r>
          </w:p>
        </w:tc>
        <w:tc>
          <w:tcPr>
            <w:tcW w:w="8620" w:type="dxa"/>
            <w:vAlign w:val="bottom"/>
          </w:tcPr>
          <w:p>
            <w:pPr>
              <w:ind w:left="400"/>
              <w:spacing w:after="0"/>
              <w:rPr>
                <w:sz w:val="20"/>
                <w:szCs w:val="20"/>
                <w:color w:val="auto"/>
              </w:rPr>
            </w:pPr>
            <w:r>
              <w:rPr>
                <w:rFonts w:ascii="Arial" w:cs="Arial" w:eastAsia="Arial" w:hAnsi="Arial"/>
                <w:sz w:val="22"/>
                <w:szCs w:val="22"/>
                <w:color w:val="auto"/>
              </w:rPr>
              <w:t>Assignment; Amendments; Waiver of Compliance; Successors</w:t>
            </w:r>
          </w:p>
        </w:tc>
        <w:tc>
          <w:tcPr>
            <w:tcW w:w="560" w:type="dxa"/>
            <w:vAlign w:val="bottom"/>
          </w:tcPr>
          <w:p>
            <w:pPr>
              <w:jc w:val="center"/>
              <w:spacing w:after="0"/>
              <w:rPr>
                <w:sz w:val="20"/>
                <w:szCs w:val="20"/>
                <w:color w:val="auto"/>
              </w:rPr>
            </w:pPr>
            <w:r>
              <w:rPr>
                <w:rFonts w:ascii="Arial" w:cs="Arial" w:eastAsia="Arial" w:hAnsi="Arial"/>
                <w:sz w:val="22"/>
                <w:szCs w:val="22"/>
                <w:color w:val="auto"/>
                <w:w w:val="89"/>
              </w:rPr>
              <w:t>13</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53"/>
        </w:trPr>
        <w:tc>
          <w:tcPr>
            <w:tcW w:w="2060" w:type="dxa"/>
            <w:vAlign w:val="bottom"/>
          </w:tcPr>
          <w:p>
            <w:pPr>
              <w:ind w:left="580"/>
              <w:spacing w:after="0"/>
              <w:rPr>
                <w:sz w:val="20"/>
                <w:szCs w:val="20"/>
                <w:color w:val="auto"/>
              </w:rPr>
            </w:pPr>
            <w:r>
              <w:rPr>
                <w:rFonts w:ascii="Arial" w:cs="Arial" w:eastAsia="Arial" w:hAnsi="Arial"/>
                <w:sz w:val="22"/>
                <w:szCs w:val="22"/>
                <w:color w:val="auto"/>
              </w:rPr>
              <w:t>Section 6.07</w:t>
            </w:r>
          </w:p>
        </w:tc>
        <w:tc>
          <w:tcPr>
            <w:tcW w:w="8400" w:type="dxa"/>
            <w:vAlign w:val="bottom"/>
          </w:tcPr>
          <w:p>
            <w:pPr>
              <w:ind w:left="400"/>
              <w:spacing w:after="0"/>
              <w:rPr>
                <w:sz w:val="20"/>
                <w:szCs w:val="20"/>
                <w:color w:val="auto"/>
              </w:rPr>
            </w:pPr>
            <w:r>
              <w:rPr>
                <w:rFonts w:ascii="Arial" w:cs="Arial" w:eastAsia="Arial" w:hAnsi="Arial"/>
                <w:sz w:val="22"/>
                <w:szCs w:val="22"/>
                <w:color w:val="auto"/>
              </w:rPr>
              <w:t>Titles and Subtitles</w:t>
            </w:r>
          </w:p>
        </w:tc>
        <w:tc>
          <w:tcPr>
            <w:tcW w:w="6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6.08</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Dispute Resolution</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6.09</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Indemnification of the TRA Representative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6.10</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Withholding</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6.11</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w w:val="93"/>
              </w:rPr>
              <w:t>Admission of the Corporation into a Consolidated Group; Transfers of Corporate Assets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6.12</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Confidentiality</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6.13</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LLC Agreement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2060" w:type="dxa"/>
            <w:vAlign w:val="bottom"/>
          </w:tcPr>
          <w:p>
            <w:pPr>
              <w:ind w:left="580"/>
              <w:spacing w:after="0" w:line="243" w:lineRule="exact"/>
              <w:rPr>
                <w:sz w:val="20"/>
                <w:szCs w:val="20"/>
                <w:color w:val="auto"/>
              </w:rPr>
            </w:pPr>
            <w:r>
              <w:rPr>
                <w:rFonts w:ascii="Arial" w:cs="Arial" w:eastAsia="Arial" w:hAnsi="Arial"/>
                <w:sz w:val="22"/>
                <w:szCs w:val="22"/>
                <w:color w:val="auto"/>
              </w:rPr>
              <w:t>Section 6.14</w:t>
            </w:r>
          </w:p>
        </w:tc>
        <w:tc>
          <w:tcPr>
            <w:tcW w:w="8400" w:type="dxa"/>
            <w:vAlign w:val="bottom"/>
          </w:tcPr>
          <w:p>
            <w:pPr>
              <w:ind w:left="400"/>
              <w:spacing w:after="0" w:line="243" w:lineRule="exact"/>
              <w:rPr>
                <w:sz w:val="20"/>
                <w:szCs w:val="20"/>
                <w:color w:val="auto"/>
              </w:rPr>
            </w:pPr>
            <w:r>
              <w:rPr>
                <w:rFonts w:ascii="Arial" w:cs="Arial" w:eastAsia="Arial" w:hAnsi="Arial"/>
                <w:sz w:val="22"/>
                <w:szCs w:val="22"/>
                <w:color w:val="auto"/>
              </w:rPr>
              <w:t>Joinder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4"/>
        </w:trPr>
        <w:tc>
          <w:tcPr>
            <w:tcW w:w="2060" w:type="dxa"/>
            <w:vAlign w:val="bottom"/>
          </w:tcPr>
          <w:p>
            <w:pPr>
              <w:ind w:left="580"/>
              <w:spacing w:after="0"/>
              <w:rPr>
                <w:sz w:val="20"/>
                <w:szCs w:val="20"/>
                <w:color w:val="auto"/>
              </w:rPr>
            </w:pPr>
            <w:r>
              <w:rPr>
                <w:rFonts w:ascii="Arial" w:cs="Arial" w:eastAsia="Arial" w:hAnsi="Arial"/>
                <w:sz w:val="22"/>
                <w:szCs w:val="22"/>
                <w:color w:val="auto"/>
              </w:rPr>
              <w:t>Section 6.15</w:t>
            </w:r>
          </w:p>
        </w:tc>
        <w:tc>
          <w:tcPr>
            <w:tcW w:w="8400" w:type="dxa"/>
            <w:vAlign w:val="bottom"/>
          </w:tcPr>
          <w:p>
            <w:pPr>
              <w:ind w:left="400"/>
              <w:spacing w:after="0"/>
              <w:rPr>
                <w:sz w:val="20"/>
                <w:szCs w:val="20"/>
                <w:color w:val="auto"/>
              </w:rPr>
            </w:pPr>
            <w:r>
              <w:rPr>
                <w:rFonts w:ascii="Arial" w:cs="Arial" w:eastAsia="Arial" w:hAnsi="Arial"/>
                <w:sz w:val="22"/>
                <w:szCs w:val="22"/>
                <w:color w:val="auto"/>
              </w:rPr>
              <w:t>Survival</w:t>
            </w:r>
          </w:p>
        </w:tc>
        <w:tc>
          <w:tcPr>
            <w:tcW w:w="6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10460" w:type="dxa"/>
            <w:vAlign w:val="bottom"/>
            <w:gridSpan w:val="2"/>
          </w:tcPr>
          <w:p>
            <w:pPr>
              <w:spacing w:after="0"/>
              <w:rPr>
                <w:sz w:val="20"/>
                <w:szCs w:val="20"/>
                <w:color w:val="auto"/>
              </w:rPr>
            </w:pPr>
            <w:r>
              <w:rPr>
                <w:rFonts w:ascii="Arial" w:cs="Arial" w:eastAsia="Arial" w:hAnsi="Arial"/>
                <w:sz w:val="22"/>
                <w:szCs w:val="22"/>
                <w:color w:val="auto"/>
              </w:rPr>
              <w:t>ARTICLE VII DEFINITIONS</w:t>
            </w:r>
          </w:p>
        </w:tc>
        <w:tc>
          <w:tcPr>
            <w:tcW w:w="600" w:type="dxa"/>
            <w:vAlign w:val="bottom"/>
          </w:tcPr>
          <w:p>
            <w:pPr>
              <w:jc w:val="right"/>
              <w:spacing w:after="0"/>
              <w:rPr>
                <w:sz w:val="20"/>
                <w:szCs w:val="20"/>
                <w:color w:val="auto"/>
              </w:rPr>
            </w:pPr>
            <w:r>
              <w:rPr>
                <w:rFonts w:ascii="Arial" w:cs="Arial" w:eastAsia="Arial" w:hAnsi="Arial"/>
                <w:sz w:val="22"/>
                <w:szCs w:val="22"/>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351" w:right="519" w:bottom="1440" w:gutter="0" w:footer="0" w:header="0"/>
        </w:sectPr>
      </w:pPr>
    </w:p>
    <w:bookmarkStart w:id="249" w:name="page250"/>
    <w:bookmarkEnd w:id="249"/>
    <w:p>
      <w:pPr>
        <w:jc w:val="center"/>
        <w:ind w:right="-39"/>
        <w:spacing w:after="0"/>
        <w:rPr>
          <w:sz w:val="20"/>
          <w:szCs w:val="20"/>
          <w:color w:val="auto"/>
        </w:rPr>
      </w:pPr>
      <w:r>
        <w:rPr>
          <w:rFonts w:ascii="Arial" w:cs="Arial" w:eastAsia="Arial" w:hAnsi="Arial"/>
          <w:sz w:val="22"/>
          <w:szCs w:val="22"/>
          <w:b w:val="1"/>
          <w:bCs w:val="1"/>
          <w:color w:val="auto"/>
        </w:rPr>
        <w:t>TAX RECEIVABLE AGREEMENT (EXCHANGES)</w:t>
      </w:r>
    </w:p>
    <w:p>
      <w:pPr>
        <w:spacing w:after="0" w:line="206" w:lineRule="exact"/>
        <w:rPr>
          <w:sz w:val="20"/>
          <w:szCs w:val="20"/>
          <w:color w:val="auto"/>
        </w:rPr>
      </w:pPr>
    </w:p>
    <w:p>
      <w:pPr>
        <w:ind w:right="300" w:firstLine="864"/>
        <w:spacing w:after="0" w:line="251" w:lineRule="auto"/>
        <w:rPr>
          <w:sz w:val="20"/>
          <w:szCs w:val="20"/>
          <w:color w:val="auto"/>
        </w:rPr>
      </w:pPr>
      <w:r>
        <w:rPr>
          <w:rFonts w:ascii="Arial" w:cs="Arial" w:eastAsia="Arial" w:hAnsi="Arial"/>
          <w:sz w:val="21"/>
          <w:szCs w:val="21"/>
          <w:color w:val="auto"/>
        </w:rPr>
        <w:t>This TAX RECEIVABLE AGREEMENT (EXCHANGES)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February 9, 2021, is entered into by and among Viant Technology Inc., a Delaware corporation (Viant Technology Inc. and any of its Subsidiaries classified as a corporation for U.S. federal income tax purposes, and any successor thereto, the “</w:t>
      </w:r>
      <w:r>
        <w:rPr>
          <w:rFonts w:ascii="Arial" w:cs="Arial" w:eastAsia="Arial" w:hAnsi="Arial"/>
          <w:sz w:val="21"/>
          <w:szCs w:val="21"/>
          <w:b w:val="1"/>
          <w:bCs w:val="1"/>
          <w:color w:val="auto"/>
        </w:rPr>
        <w:t>Corporation</w:t>
      </w:r>
      <w:r>
        <w:rPr>
          <w:rFonts w:ascii="Arial" w:cs="Arial" w:eastAsia="Arial" w:hAnsi="Arial"/>
          <w:sz w:val="21"/>
          <w:szCs w:val="21"/>
          <w:color w:val="auto"/>
        </w:rPr>
        <w:t>”), Viant Technology LLC, a Delaware limited liability company that is classified as a partnership for U.S. federal income tax purposes (the “</w:t>
      </w:r>
      <w:r>
        <w:rPr>
          <w:rFonts w:ascii="Arial" w:cs="Arial" w:eastAsia="Arial" w:hAnsi="Arial"/>
          <w:sz w:val="21"/>
          <w:szCs w:val="21"/>
          <w:b w:val="1"/>
          <w:bCs w:val="1"/>
          <w:color w:val="auto"/>
        </w:rPr>
        <w:t>Company</w:t>
      </w:r>
      <w:r>
        <w:rPr>
          <w:rFonts w:ascii="Arial" w:cs="Arial" w:eastAsia="Arial" w:hAnsi="Arial"/>
          <w:sz w:val="21"/>
          <w:szCs w:val="21"/>
          <w:color w:val="auto"/>
        </w:rPr>
        <w:t>”), each of the TRA Holders, and the TRA Representative.</w:t>
      </w:r>
    </w:p>
    <w:p>
      <w:pPr>
        <w:spacing w:after="0" w:line="16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TRA Holders hold units of membership interest in the Company (“</w:t>
      </w:r>
      <w:r>
        <w:rPr>
          <w:rFonts w:ascii="Arial" w:cs="Arial" w:eastAsia="Arial" w:hAnsi="Arial"/>
          <w:sz w:val="22"/>
          <w:szCs w:val="22"/>
          <w:b w:val="1"/>
          <w:bCs w:val="1"/>
          <w:color w:val="auto"/>
        </w:rPr>
        <w:t>Units</w:t>
      </w:r>
      <w:r>
        <w:rPr>
          <w:rFonts w:ascii="Arial" w:cs="Arial" w:eastAsia="Arial" w:hAnsi="Arial"/>
          <w:sz w:val="22"/>
          <w:szCs w:val="22"/>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Corporation is the managing member of the Company;</w:t>
      </w:r>
    </w:p>
    <w:p>
      <w:pPr>
        <w:spacing w:after="0" w:line="206" w:lineRule="exact"/>
        <w:rPr>
          <w:sz w:val="20"/>
          <w:szCs w:val="20"/>
          <w:color w:val="auto"/>
        </w:rPr>
      </w:pPr>
    </w:p>
    <w:p>
      <w:pPr>
        <w:ind w:right="20" w:firstLine="864"/>
        <w:spacing w:after="0" w:line="238" w:lineRule="auto"/>
        <w:rPr>
          <w:sz w:val="20"/>
          <w:szCs w:val="20"/>
          <w:color w:val="auto"/>
        </w:rPr>
      </w:pPr>
      <w:r>
        <w:rPr>
          <w:rFonts w:ascii="Arial" w:cs="Arial" w:eastAsia="Arial" w:hAnsi="Arial"/>
          <w:sz w:val="22"/>
          <w:szCs w:val="22"/>
          <w:color w:val="auto"/>
        </w:rPr>
        <w:t>WHEREAS, the Company and the Corporation have undertaken the transactions described in the registration statement on Form S-1 publicly filed with the Securities and Exchange Commission on January 15, 2021 (Registration No. 333-252117), as amended before the date of this Agreement, including the initial public offering of shares of Class A common stock (the “</w:t>
      </w:r>
      <w:r>
        <w:rPr>
          <w:rFonts w:ascii="Arial" w:cs="Arial" w:eastAsia="Arial" w:hAnsi="Arial"/>
          <w:sz w:val="22"/>
          <w:szCs w:val="22"/>
          <w:b w:val="1"/>
          <w:bCs w:val="1"/>
          <w:color w:val="auto"/>
        </w:rPr>
        <w:t>Class A Shares</w:t>
      </w:r>
      <w:r>
        <w:rPr>
          <w:rFonts w:ascii="Arial" w:cs="Arial" w:eastAsia="Arial" w:hAnsi="Arial"/>
          <w:sz w:val="22"/>
          <w:szCs w:val="22"/>
          <w:color w:val="auto"/>
        </w:rPr>
        <w:t>”) by the Corporation (the “</w:t>
      </w:r>
      <w:r>
        <w:rPr>
          <w:rFonts w:ascii="Arial" w:cs="Arial" w:eastAsia="Arial" w:hAnsi="Arial"/>
          <w:sz w:val="22"/>
          <w:szCs w:val="22"/>
          <w:b w:val="1"/>
          <w:bCs w:val="1"/>
          <w:color w:val="auto"/>
        </w:rPr>
        <w:t>IPO</w:t>
      </w:r>
      <w:r>
        <w:rPr>
          <w:rFonts w:ascii="Arial" w:cs="Arial" w:eastAsia="Arial" w:hAnsi="Arial"/>
          <w:sz w:val="22"/>
          <w:szCs w:val="22"/>
          <w:color w:val="auto"/>
        </w:rPr>
        <w:t>”);</w:t>
      </w:r>
    </w:p>
    <w:p>
      <w:pPr>
        <w:spacing w:after="0" w:line="185"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WHEREAS, the Units, if any, other than those owned by the Corporation, are exchangeable with the Company or the Corporation in certain circumstances for Class A Shares and/or cash pursuant to the exchange provisions of the Second Amended and Restated Limited Liability Company Agreement of the Company (the “</w:t>
      </w:r>
      <w:r>
        <w:rPr>
          <w:rFonts w:ascii="Arial" w:cs="Arial" w:eastAsia="Arial" w:hAnsi="Arial"/>
          <w:sz w:val="21"/>
          <w:szCs w:val="21"/>
          <w:b w:val="1"/>
          <w:bCs w:val="1"/>
          <w:color w:val="auto"/>
        </w:rPr>
        <w:t>LLC Agreement</w:t>
      </w:r>
      <w:r>
        <w:rPr>
          <w:rFonts w:ascii="Arial" w:cs="Arial" w:eastAsia="Arial" w:hAnsi="Arial"/>
          <w:sz w:val="21"/>
          <w:szCs w:val="21"/>
          <w:color w:val="auto"/>
        </w:rPr>
        <w:t>”) (each such exchange by a TRA Holder, an “</w:t>
      </w:r>
      <w:r>
        <w:rPr>
          <w:rFonts w:ascii="Arial" w:cs="Arial" w:eastAsia="Arial" w:hAnsi="Arial"/>
          <w:sz w:val="21"/>
          <w:szCs w:val="21"/>
          <w:b w:val="1"/>
          <w:bCs w:val="1"/>
          <w:color w:val="auto"/>
        </w:rPr>
        <w:t>Exchange</w:t>
      </w:r>
      <w:r>
        <w:rPr>
          <w:rFonts w:ascii="Arial" w:cs="Arial" w:eastAsia="Arial" w:hAnsi="Arial"/>
          <w:sz w:val="21"/>
          <w:szCs w:val="21"/>
          <w:color w:val="auto"/>
        </w:rPr>
        <w:t>,” and the date of any Exchange, an “</w:t>
      </w:r>
      <w:r>
        <w:rPr>
          <w:rFonts w:ascii="Arial" w:cs="Arial" w:eastAsia="Arial" w:hAnsi="Arial"/>
          <w:sz w:val="21"/>
          <w:szCs w:val="21"/>
          <w:b w:val="1"/>
          <w:bCs w:val="1"/>
          <w:color w:val="auto"/>
        </w:rPr>
        <w:t>Exchange Date</w:t>
      </w:r>
      <w:r>
        <w:rPr>
          <w:rFonts w:ascii="Arial" w:cs="Arial" w:eastAsia="Arial" w:hAnsi="Arial"/>
          <w:sz w:val="21"/>
          <w:szCs w:val="21"/>
          <w:color w:val="auto"/>
        </w:rPr>
        <w:t>”);</w:t>
      </w:r>
    </w:p>
    <w:p>
      <w:pPr>
        <w:spacing w:after="0" w:line="174" w:lineRule="exact"/>
        <w:rPr>
          <w:sz w:val="20"/>
          <w:szCs w:val="20"/>
          <w:color w:val="auto"/>
        </w:rPr>
      </w:pPr>
    </w:p>
    <w:p>
      <w:pPr>
        <w:ind w:right="120" w:firstLine="864"/>
        <w:spacing w:after="0" w:line="238" w:lineRule="auto"/>
        <w:rPr>
          <w:sz w:val="20"/>
          <w:szCs w:val="20"/>
          <w:color w:val="auto"/>
        </w:rPr>
      </w:pPr>
      <w:r>
        <w:rPr>
          <w:rFonts w:ascii="Arial" w:cs="Arial" w:eastAsia="Arial" w:hAnsi="Arial"/>
          <w:sz w:val="22"/>
          <w:szCs w:val="22"/>
          <w:color w:val="auto"/>
        </w:rPr>
        <w:t>WHEREAS, each of the Company and any of its direct or indirect Subsidiaries classified as partnerships for United States federal income tax purposes shall have in effect an election under section 754 of the Code for each Taxable Year in which an Exchange occurs, which election is intended to result in an adjustment to the tax basis of the assets owned by the Company and such Subsidiaries, solely with respect to the Corporation;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liability of the Corporation in respect of Taxes may be reduced by the Tax Assets;</w:t>
      </w:r>
    </w:p>
    <w:p>
      <w:pPr>
        <w:spacing w:after="0" w:line="206" w:lineRule="exact"/>
        <w:rPr>
          <w:sz w:val="20"/>
          <w:szCs w:val="20"/>
          <w:color w:val="auto"/>
        </w:rPr>
      </w:pPr>
    </w:p>
    <w:p>
      <w:pPr>
        <w:ind w:right="80" w:firstLine="864"/>
        <w:spacing w:after="0" w:line="250" w:lineRule="auto"/>
        <w:rPr>
          <w:sz w:val="20"/>
          <w:szCs w:val="20"/>
          <w:color w:val="auto"/>
        </w:rPr>
      </w:pPr>
      <w:r>
        <w:rPr>
          <w:rFonts w:ascii="Arial" w:cs="Arial" w:eastAsia="Arial" w:hAnsi="Arial"/>
          <w:sz w:val="22"/>
          <w:szCs w:val="22"/>
          <w:color w:val="auto"/>
        </w:rPr>
        <w:t>WHEREAS, the parties to this Agreement desire to make certain arrangements with respect to the benefits attributable to the effect of the Tax Assets on the liability for Taxes of the Corporation;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in consideration of the foregoing and the respective covenants and agreements set forth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and intending to be legally bound hereby, the undersigned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50" w:name="page251"/>
    <w:bookmarkEnd w:id="250"/>
    <w:p>
      <w:pPr>
        <w:jc w:val="center"/>
        <w:ind w:right="-39"/>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DETERMINATION OF REALIZED TAX BENEFIT</w:t>
      </w:r>
    </w:p>
    <w:p>
      <w:pPr>
        <w:spacing w:after="0" w:line="182" w:lineRule="exact"/>
        <w:rPr>
          <w:sz w:val="20"/>
          <w:szCs w:val="20"/>
          <w:color w:val="auto"/>
        </w:rPr>
      </w:pPr>
    </w:p>
    <w:p>
      <w:pPr>
        <w:ind w:firstLine="864"/>
        <w:spacing w:after="0" w:line="247" w:lineRule="auto"/>
        <w:rPr>
          <w:sz w:val="20"/>
          <w:szCs w:val="20"/>
          <w:color w:val="auto"/>
        </w:rPr>
      </w:pPr>
      <w:r>
        <w:rPr>
          <w:rFonts w:ascii="Arial" w:cs="Arial" w:eastAsia="Arial" w:hAnsi="Arial"/>
          <w:sz w:val="21"/>
          <w:szCs w:val="21"/>
          <w:b w:val="1"/>
          <w:bCs w:val="1"/>
          <w:color w:val="auto"/>
        </w:rPr>
        <w:t xml:space="preserve">Section 1.01 </w:t>
      </w:r>
      <w:r>
        <w:rPr>
          <w:rFonts w:ascii="Arial" w:cs="Arial" w:eastAsia="Arial" w:hAnsi="Arial"/>
          <w:sz w:val="21"/>
          <w:szCs w:val="21"/>
          <w:u w:val="single" w:color="auto"/>
          <w:color w:val="auto"/>
        </w:rPr>
        <w:t>Realized Tax Benefit and Realized Tax Detriment</w:t>
      </w:r>
      <w:r>
        <w:rPr>
          <w:rFonts w:ascii="Arial" w:cs="Arial" w:eastAsia="Arial" w:hAnsi="Arial"/>
          <w:sz w:val="21"/>
          <w:szCs w:val="21"/>
          <w:color w:val="auto"/>
        </w:rPr>
        <w:t>. Except as otherwise expressly provided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parties intend that, for a Taxable Year, the excess, if any, of (a) the Hypothetical Tax Liability over the Actual Tax Liability (the “</w:t>
      </w:r>
      <w:r>
        <w:rPr>
          <w:rFonts w:ascii="Arial" w:cs="Arial" w:eastAsia="Arial" w:hAnsi="Arial"/>
          <w:sz w:val="21"/>
          <w:szCs w:val="21"/>
          <w:b w:val="1"/>
          <w:bCs w:val="1"/>
          <w:color w:val="auto"/>
        </w:rPr>
        <w:t>Realized Tax Benefit”)</w:t>
      </w:r>
      <w:r>
        <w:rPr>
          <w:rFonts w:ascii="Arial" w:cs="Arial" w:eastAsia="Arial" w:hAnsi="Arial"/>
          <w:sz w:val="21"/>
          <w:szCs w:val="21"/>
          <w:color w:val="auto"/>
        </w:rPr>
        <w:t xml:space="preserve"> or (b) the Actual Tax Liability over the Hypothetical Tax Liability (the “</w:t>
      </w:r>
      <w:r>
        <w:rPr>
          <w:rFonts w:ascii="Arial" w:cs="Arial" w:eastAsia="Arial" w:hAnsi="Arial"/>
          <w:sz w:val="21"/>
          <w:szCs w:val="21"/>
          <w:b w:val="1"/>
          <w:bCs w:val="1"/>
          <w:color w:val="auto"/>
        </w:rPr>
        <w:t>Realized Tax</w:t>
      </w:r>
      <w:r>
        <w:rPr>
          <w:rFonts w:ascii="Arial" w:cs="Arial" w:eastAsia="Arial" w:hAnsi="Arial"/>
          <w:sz w:val="21"/>
          <w:szCs w:val="21"/>
          <w:color w:val="auto"/>
        </w:rPr>
        <w:t xml:space="preserve"> </w:t>
      </w:r>
      <w:r>
        <w:rPr>
          <w:rFonts w:ascii="Arial" w:cs="Arial" w:eastAsia="Arial" w:hAnsi="Arial"/>
          <w:sz w:val="21"/>
          <w:szCs w:val="21"/>
          <w:b w:val="1"/>
          <w:bCs w:val="1"/>
          <w:color w:val="auto"/>
        </w:rPr>
        <w:t>Detriment</w:t>
      </w:r>
      <w:r>
        <w:rPr>
          <w:rFonts w:ascii="Arial" w:cs="Arial" w:eastAsia="Arial" w:hAnsi="Arial"/>
          <w:sz w:val="21"/>
          <w:szCs w:val="21"/>
          <w:color w:val="auto"/>
        </w:rPr>
        <w:t>”) shall measure the decrease or increase (respectively) in the Actual Tax Liability for such Taxable Year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attributable to the Tax Assets, determined using a “with and without” methodology (that is, treating the Tax Assets as the last tax attributes used in such Taxable Year). If all or a portion of the Actual Tax Liability for the Taxable Year arises as a result of an audit by a Taxing Authority of any Taxable Year, such liability shall not be included in determining the Realized Tax Benefit or Realized Tax Detriment unless and until there has been a Determination.</w:t>
      </w:r>
    </w:p>
    <w:p>
      <w:pPr>
        <w:spacing w:after="0" w:line="172" w:lineRule="exact"/>
        <w:rPr>
          <w:sz w:val="20"/>
          <w:szCs w:val="20"/>
          <w:color w:val="auto"/>
        </w:rPr>
      </w:pPr>
    </w:p>
    <w:p>
      <w:pPr>
        <w:ind w:right="240" w:firstLine="864"/>
        <w:spacing w:after="0" w:line="239"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u w:val="single" w:color="auto"/>
          <w:color w:val="auto"/>
        </w:rPr>
        <w:t>Assumptions, Conventions, and Principles for Calculation</w:t>
      </w:r>
      <w:r>
        <w:rPr>
          <w:rFonts w:ascii="Arial" w:cs="Arial" w:eastAsia="Arial" w:hAnsi="Arial"/>
          <w:sz w:val="22"/>
          <w:szCs w:val="22"/>
          <w:color w:val="auto"/>
        </w:rPr>
        <w:t>. The Actual Tax Liability shall be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tax liability of the Corporation as reflected on the relevant Corporate Tax Return, using such reasonable methods as the Corporation determines;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Corporation shall use the following assumptions, conventions, and principles in making the determination:</w:t>
      </w:r>
    </w:p>
    <w:p>
      <w:pPr>
        <w:spacing w:after="0" w:line="186" w:lineRule="exact"/>
        <w:rPr>
          <w:sz w:val="20"/>
          <w:szCs w:val="20"/>
          <w:color w:val="auto"/>
        </w:rPr>
      </w:pPr>
    </w:p>
    <w:p>
      <w:pPr>
        <w:jc w:val="both"/>
        <w:ind w:left="880" w:right="20" w:firstLine="789"/>
        <w:spacing w:after="0" w:line="282" w:lineRule="auto"/>
        <w:tabs>
          <w:tab w:leader="none" w:pos="256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Treatment of Tax Benefit Payments</w:t>
      </w:r>
      <w:r>
        <w:rPr>
          <w:rFonts w:ascii="Arial" w:cs="Arial" w:eastAsia="Arial" w:hAnsi="Arial"/>
          <w:sz w:val="19"/>
          <w:szCs w:val="19"/>
          <w:color w:val="auto"/>
        </w:rPr>
        <w:t>. Tax Benefit Payments (other than amounts accounted for as Imputed Interest) shall (i) be treated as positive (or upward) purchase price adjustments that give rise to further Basis Adjustments to Adjusted Assets for the Corporation and (ii) have the effect of creating additional Basis Adjustments to Adjusted Assets for the Corporation in the year of payment, and, as a result, such additional Basis Adjustments shall be incorporated into the current year calculation and into future year calculations, as appropriate.</w:t>
      </w:r>
    </w:p>
    <w:p>
      <w:pPr>
        <w:spacing w:after="0" w:line="147" w:lineRule="exact"/>
        <w:rPr>
          <w:rFonts w:ascii="Arial" w:cs="Arial" w:eastAsia="Arial" w:hAnsi="Arial"/>
          <w:sz w:val="19"/>
          <w:szCs w:val="19"/>
          <w:color w:val="auto"/>
        </w:rPr>
      </w:pPr>
    </w:p>
    <w:p>
      <w:pPr>
        <w:ind w:left="880" w:right="160" w:firstLine="789"/>
        <w:spacing w:after="0" w:line="297" w:lineRule="auto"/>
        <w:tabs>
          <w:tab w:leader="none" w:pos="2577"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Imputed Interest</w:t>
      </w:r>
      <w:r>
        <w:rPr>
          <w:rFonts w:ascii="Arial" w:cs="Arial" w:eastAsia="Arial" w:hAnsi="Arial"/>
          <w:sz w:val="19"/>
          <w:szCs w:val="19"/>
          <w:color w:val="auto"/>
        </w:rPr>
        <w:t>. The Actual Tax Liability shall take into account the deduction of the portion of each Tax Benefit Payment that is accounted for as Imputed Interest under the Code due to the characterization of such Tax Benefit Payments as additional consideration payable by the Corporation for the Units acquired in an Exchange.</w:t>
      </w:r>
    </w:p>
    <w:p>
      <w:pPr>
        <w:spacing w:after="0" w:line="133" w:lineRule="exact"/>
        <w:rPr>
          <w:rFonts w:ascii="Arial" w:cs="Arial" w:eastAsia="Arial" w:hAnsi="Arial"/>
          <w:sz w:val="19"/>
          <w:szCs w:val="19"/>
          <w:color w:val="auto"/>
        </w:rPr>
      </w:pPr>
    </w:p>
    <w:p>
      <w:pPr>
        <w:ind w:left="880" w:right="160" w:firstLine="789"/>
        <w:spacing w:after="0" w:line="282" w:lineRule="auto"/>
        <w:tabs>
          <w:tab w:leader="none" w:pos="256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Carryovers and Carrybacks</w:t>
      </w:r>
      <w:r>
        <w:rPr>
          <w:rFonts w:ascii="Arial" w:cs="Arial" w:eastAsia="Arial" w:hAnsi="Arial"/>
          <w:sz w:val="19"/>
          <w:szCs w:val="19"/>
          <w:color w:val="auto"/>
        </w:rPr>
        <w:t>. Carryovers or carrybacks of any Tax Items attributable to the Tax Assets shall be considered to be subject to the rules of the Code and the Treasury Regulations governing the use, limitation and expiration of carryovers or carrybacks of the relevant type. If a carryover or carryback of any Tax Item includes a portion that is attributable to a Tax Asset and another portion that is not, the portion attributable to the Tax Asset shall be considered to be used in accordance with the “with and without” methodology.</w:t>
      </w:r>
    </w:p>
    <w:p>
      <w:pPr>
        <w:spacing w:after="0" w:line="147" w:lineRule="exact"/>
        <w:rPr>
          <w:rFonts w:ascii="Arial" w:cs="Arial" w:eastAsia="Arial" w:hAnsi="Arial"/>
          <w:sz w:val="19"/>
          <w:szCs w:val="19"/>
          <w:color w:val="auto"/>
        </w:rPr>
      </w:pPr>
    </w:p>
    <w:p>
      <w:pPr>
        <w:ind w:left="880" w:right="160" w:firstLine="789"/>
        <w:spacing w:after="0" w:line="297" w:lineRule="auto"/>
        <w:tabs>
          <w:tab w:leader="none" w:pos="2577"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State and Local Taxes</w:t>
      </w:r>
      <w:r>
        <w:rPr>
          <w:rFonts w:ascii="Arial" w:cs="Arial" w:eastAsia="Arial" w:hAnsi="Arial"/>
          <w:sz w:val="19"/>
          <w:szCs w:val="19"/>
          <w:color w:val="auto"/>
        </w:rPr>
        <w:t>. For purposes of calculating the Actual Tax Liability with respect to a Taxable Year, it shall be assumed that the Corporation’s state and local Tax liability (the “</w:t>
      </w:r>
      <w:r>
        <w:rPr>
          <w:rFonts w:ascii="Arial" w:cs="Arial" w:eastAsia="Arial" w:hAnsi="Arial"/>
          <w:sz w:val="19"/>
          <w:szCs w:val="19"/>
          <w:b w:val="1"/>
          <w:bCs w:val="1"/>
          <w:color w:val="auto"/>
        </w:rPr>
        <w:t>Assumed SALT Liability</w:t>
      </w:r>
      <w:r>
        <w:rPr>
          <w:rFonts w:ascii="Arial" w:cs="Arial" w:eastAsia="Arial" w:hAnsi="Arial"/>
          <w:sz w:val="19"/>
          <w:szCs w:val="19"/>
          <w:color w:val="auto"/>
        </w:rPr>
        <w:t>”) equals the product of (i) the taxable income and gain determined for the Taxable Year in accordance with this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51" w:name="page252"/>
    <w:bookmarkEnd w:id="251"/>
    <w:p>
      <w:pPr>
        <w:spacing w:after="0" w:line="238" w:lineRule="auto"/>
        <w:rPr>
          <w:sz w:val="20"/>
          <w:szCs w:val="20"/>
          <w:color w:val="auto"/>
        </w:rPr>
      </w:pPr>
      <w:r>
        <w:rPr>
          <w:rFonts w:ascii="Arial" w:cs="Arial" w:eastAsia="Arial" w:hAnsi="Arial"/>
          <w:sz w:val="22"/>
          <w:szCs w:val="22"/>
          <w:color w:val="auto"/>
        </w:rPr>
        <w:t>Agreement and (ii) five percent (5%) or such other percentage as the Company reasonably determines from time to time reflects its blended state and local tax rate (using the apportionment factors set forth on the relevant Corporate Tax Returns for that Taxable Year unless otherwise determined by the Corporation after consultation with the TRA Representative).</w:t>
      </w:r>
    </w:p>
    <w:p>
      <w:pPr>
        <w:spacing w:after="0" w:line="185" w:lineRule="exact"/>
        <w:rPr>
          <w:sz w:val="20"/>
          <w:szCs w:val="20"/>
          <w:color w:val="auto"/>
        </w:rPr>
      </w:pPr>
    </w:p>
    <w:p>
      <w:pPr>
        <w:ind w:right="20" w:firstLine="789"/>
        <w:spacing w:after="0"/>
        <w:tabs>
          <w:tab w:leader="none" w:pos="168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Treatment of State and Local and Non-United States Taxes</w:t>
      </w:r>
      <w:r>
        <w:rPr>
          <w:rFonts w:ascii="Arial" w:cs="Arial" w:eastAsia="Arial" w:hAnsi="Arial"/>
          <w:sz w:val="22"/>
          <w:szCs w:val="22"/>
          <w:color w:val="auto"/>
        </w:rPr>
        <w:t xml:space="preserve">. The provisions of this Agreement, including the assumption, conventions, and principles with respect to the determination of income and gain, shall apply to state and local and non-United States tax matters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0"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u w:val="single" w:color="auto"/>
          <w:color w:val="auto"/>
        </w:rPr>
        <w:t>Procedures Relating to Calculation of Tax Benefits</w:t>
      </w:r>
      <w:r>
        <w:rPr>
          <w:rFonts w:ascii="Arial" w:cs="Arial" w:eastAsia="Arial" w:hAnsi="Arial"/>
          <w:sz w:val="19"/>
          <w:szCs w:val="19"/>
          <w:color w:val="auto"/>
        </w:rPr>
        <w:t>.</w:t>
      </w:r>
    </w:p>
    <w:p>
      <w:pPr>
        <w:spacing w:after="0" w:line="212" w:lineRule="exact"/>
        <w:rPr>
          <w:sz w:val="20"/>
          <w:szCs w:val="20"/>
          <w:color w:val="auto"/>
        </w:rPr>
      </w:pPr>
    </w:p>
    <w:p>
      <w:pPr>
        <w:ind w:left="1680" w:hanging="891"/>
        <w:spacing w:after="0"/>
        <w:tabs>
          <w:tab w:leader="none" w:pos="168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Preparation and Delivery of Exchange Basis Schedule and Tax Benefit Schedule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firstLine="726"/>
        <w:spacing w:after="0" w:line="274" w:lineRule="auto"/>
        <w:tabs>
          <w:tab w:leader="none" w:pos="2443"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Exchange Basis Schedule</w:t>
      </w:r>
      <w:r>
        <w:rPr>
          <w:rFonts w:ascii="Arial" w:cs="Arial" w:eastAsia="Arial" w:hAnsi="Arial"/>
          <w:sz w:val="19"/>
          <w:szCs w:val="19"/>
          <w:color w:val="auto"/>
        </w:rPr>
        <w:t>. Within 120 days after the filing of the U.S. federal income Tax Return of the Company for each Taxable Year in which any Exchange has occurred, the Corporation shall deliver to the TRA Representative a schedule (the “</w:t>
      </w:r>
      <w:r>
        <w:rPr>
          <w:rFonts w:ascii="Arial" w:cs="Arial" w:eastAsia="Arial" w:hAnsi="Arial"/>
          <w:sz w:val="19"/>
          <w:szCs w:val="19"/>
          <w:b w:val="1"/>
          <w:bCs w:val="1"/>
          <w:color w:val="auto"/>
        </w:rPr>
        <w:t>Exchange Basis Schedule</w:t>
      </w:r>
      <w:r>
        <w:rPr>
          <w:rFonts w:ascii="Arial" w:cs="Arial" w:eastAsia="Arial" w:hAnsi="Arial"/>
          <w:sz w:val="19"/>
          <w:szCs w:val="19"/>
          <w:color w:val="auto"/>
        </w:rPr>
        <w:t>”) that shows, in reasonable detail, (A) the actual common tax basis of the Adjusted Assets as of each Exchange Date, (B) the Basis Adjustment with respect to the Adjusted Assets as a result of the Exchanges effected in such Taxable Year and all prior Taxable Years ending after the date of this Agreement, calculated (1) in the aggregate and (2) with respect to Exchanges by each TRA Holder, (C) the period or periods, if any, over which the common tax basis of the Adjusted Assets are amortizable and/or depreciable, and (D) the period or periods, if any, over which each Basis Adjustment is amortizable and/or depreciable.</w:t>
      </w:r>
    </w:p>
    <w:p>
      <w:pPr>
        <w:spacing w:after="0" w:line="158" w:lineRule="exact"/>
        <w:rPr>
          <w:rFonts w:ascii="Arial" w:cs="Arial" w:eastAsia="Arial" w:hAnsi="Arial"/>
          <w:sz w:val="19"/>
          <w:szCs w:val="19"/>
          <w:color w:val="auto"/>
        </w:rPr>
      </w:pPr>
    </w:p>
    <w:p>
      <w:pPr>
        <w:ind w:left="860" w:firstLine="726"/>
        <w:spacing w:after="0" w:line="282" w:lineRule="auto"/>
        <w:tabs>
          <w:tab w:leader="none" w:pos="2503"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Tax Benefit Schedule</w:t>
      </w:r>
      <w:r>
        <w:rPr>
          <w:rFonts w:ascii="Arial" w:cs="Arial" w:eastAsia="Arial" w:hAnsi="Arial"/>
          <w:sz w:val="19"/>
          <w:szCs w:val="19"/>
          <w:color w:val="auto"/>
        </w:rPr>
        <w:t>. Within 120 days after the filing of the U.S. federal income Tax Return of the Corporation for any Taxable Year ending after the date of this Agreement, the Corporation shall provide to the TRA Representative either (A) a schedule showing, in reasonable detail, the calculation of the Realized Tax Benefit or Realized Tax Detriment for such Taxable Year (a “</w:t>
      </w:r>
      <w:r>
        <w:rPr>
          <w:rFonts w:ascii="Arial" w:cs="Arial" w:eastAsia="Arial" w:hAnsi="Arial"/>
          <w:sz w:val="19"/>
          <w:szCs w:val="19"/>
          <w:b w:val="1"/>
          <w:bCs w:val="1"/>
          <w:color w:val="auto"/>
        </w:rPr>
        <w:t>Tax Benefit Schedule</w:t>
      </w:r>
      <w:r>
        <w:rPr>
          <w:rFonts w:ascii="Arial" w:cs="Arial" w:eastAsia="Arial" w:hAnsi="Arial"/>
          <w:sz w:val="19"/>
          <w:szCs w:val="19"/>
          <w:color w:val="auto"/>
        </w:rPr>
        <w:t>”), or, (B) if there is no Realized Tax Benefit or Realized Tax Detriment for that Taxable Year, notice to that effect.</w:t>
      </w:r>
    </w:p>
    <w:p>
      <w:pPr>
        <w:spacing w:after="0" w:line="147" w:lineRule="exact"/>
        <w:rPr>
          <w:rFonts w:ascii="Arial" w:cs="Arial" w:eastAsia="Arial" w:hAnsi="Arial"/>
          <w:sz w:val="19"/>
          <w:szCs w:val="19"/>
          <w:color w:val="auto"/>
        </w:rPr>
      </w:pPr>
    </w:p>
    <w:p>
      <w:pPr>
        <w:ind w:left="860" w:right="20" w:firstLine="726"/>
        <w:spacing w:after="0" w:line="277" w:lineRule="auto"/>
        <w:tabs>
          <w:tab w:leader="none" w:pos="2563"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Supporting Material; Review Right</w:t>
      </w:r>
      <w:r>
        <w:rPr>
          <w:rFonts w:ascii="Arial" w:cs="Arial" w:eastAsia="Arial" w:hAnsi="Arial"/>
          <w:sz w:val="19"/>
          <w:szCs w:val="19"/>
          <w:color w:val="auto"/>
        </w:rPr>
        <w:t xml:space="preserve">. Each time the Corporation delivers to a TRA Representative an Exchange Basis Schedule or a Tax Benefit Schedule, including any Amended Schedule delivered pursuant to </w:t>
      </w:r>
      <w:r>
        <w:rPr>
          <w:rFonts w:ascii="Arial" w:cs="Arial" w:eastAsia="Arial" w:hAnsi="Arial"/>
          <w:sz w:val="19"/>
          <w:szCs w:val="19"/>
          <w:u w:val="single" w:color="auto"/>
          <w:color w:val="auto"/>
        </w:rPr>
        <w:t>Section 1.03(c)</w:t>
      </w:r>
      <w:r>
        <w:rPr>
          <w:rFonts w:ascii="Arial" w:cs="Arial" w:eastAsia="Arial" w:hAnsi="Arial"/>
          <w:sz w:val="19"/>
          <w:szCs w:val="19"/>
          <w:color w:val="auto"/>
        </w:rPr>
        <w:t>, the Corporation shall also deliver to the TRA Representative schedules and work papers providing reasonable detail regarding the preparation of the schedule and a Supporting Letter confirming the calculations and allow the TRA Representative reasonable access, at no cost to the TRA Representative, to the appropriate representatives at the Corporation and, if applicable, the Advisory Firm in connection with a review of such schedules or workpapers.</w:t>
      </w:r>
    </w:p>
    <w:p>
      <w:pPr>
        <w:spacing w:after="0" w:line="15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577" w:right="379" w:bottom="1440" w:gutter="0" w:footer="0" w:header="0"/>
        </w:sectPr>
      </w:pPr>
    </w:p>
    <w:bookmarkStart w:id="252" w:name="page253"/>
    <w:bookmarkEnd w:id="252"/>
    <w:p>
      <w:pPr>
        <w:ind w:left="860" w:firstLine="726"/>
        <w:spacing w:after="0" w:line="236" w:lineRule="auto"/>
        <w:tabs>
          <w:tab w:leader="none" w:pos="2551"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Provision of Information to TRA Holders</w:t>
      </w:r>
      <w:r>
        <w:rPr>
          <w:rFonts w:ascii="Arial" w:cs="Arial" w:eastAsia="Arial" w:hAnsi="Arial"/>
          <w:sz w:val="22"/>
          <w:szCs w:val="22"/>
          <w:color w:val="auto"/>
        </w:rPr>
        <w:t>. Upon the reasonable request of a TRA Holder, the TRA Representative shall provide to that TRA Holder, in a reasonably prompt manner, such information that the TRA Representative receives pursuant to this Agreement (including the schedules described in this Section 1.03), but only to the extent that the TRA Representative determines that such information is relevant and relates to that TRA Holder.</w:t>
      </w:r>
    </w:p>
    <w:p>
      <w:pPr>
        <w:spacing w:after="0" w:line="187" w:lineRule="exact"/>
        <w:rPr>
          <w:rFonts w:ascii="Arial" w:cs="Arial" w:eastAsia="Arial" w:hAnsi="Arial"/>
          <w:sz w:val="22"/>
          <w:szCs w:val="22"/>
          <w:color w:val="auto"/>
        </w:rPr>
      </w:pPr>
    </w:p>
    <w:p>
      <w:pPr>
        <w:ind w:right="360" w:firstLine="789"/>
        <w:spacing w:after="0" w:line="276" w:lineRule="auto"/>
        <w:tabs>
          <w:tab w:leader="none" w:pos="1697"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Objection to, and Finalization of, Exchange Basis Schedule and Tax Benefit Schedule</w:t>
      </w:r>
      <w:r>
        <w:rPr>
          <w:rFonts w:ascii="Arial" w:cs="Arial" w:eastAsia="Arial" w:hAnsi="Arial"/>
          <w:sz w:val="19"/>
          <w:szCs w:val="19"/>
          <w:color w:val="auto"/>
        </w:rPr>
        <w:t xml:space="preserve">. Each Exchange Basis Schedule or Tax Benefit Schedule, including any Amended Schedule delivered pursuant to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1.03(c)</w:t>
      </w:r>
      <w:r>
        <w:rPr>
          <w:rFonts w:ascii="Arial" w:cs="Arial" w:eastAsia="Arial" w:hAnsi="Arial"/>
          <w:sz w:val="19"/>
          <w:szCs w:val="19"/>
          <w:color w:val="auto"/>
        </w:rPr>
        <w:t>, shall become final and binding on all parties unless the TRA Representative, within 30 days after receiving an Exchange Basis Schedule or a Tax Benefit Schedule, provides the Corporation with notice of a material objection to such schedule made in good faith (an “</w:t>
      </w:r>
      <w:r>
        <w:rPr>
          <w:rFonts w:ascii="Arial" w:cs="Arial" w:eastAsia="Arial" w:hAnsi="Arial"/>
          <w:sz w:val="19"/>
          <w:szCs w:val="19"/>
          <w:b w:val="1"/>
          <w:bCs w:val="1"/>
          <w:color w:val="auto"/>
        </w:rPr>
        <w:t>Objection Notice</w:t>
      </w:r>
      <w:r>
        <w:rPr>
          <w:rFonts w:ascii="Arial" w:cs="Arial" w:eastAsia="Arial" w:hAnsi="Arial"/>
          <w:sz w:val="19"/>
          <w:szCs w:val="19"/>
          <w:color w:val="auto"/>
        </w:rPr>
        <w:t xml:space="preserve">”). If the Corporation and the TRA Representative are unable to successfully resolve the issues raised in the Objection Notice within 30 days after receipt by the Corporation of the Objection Notice, the Corporation and the TRA Representative shall employ the dispute resolution procedures as described in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of this Agreement (the “</w:t>
      </w:r>
      <w:r>
        <w:rPr>
          <w:rFonts w:ascii="Arial" w:cs="Arial" w:eastAsia="Arial" w:hAnsi="Arial"/>
          <w:sz w:val="19"/>
          <w:szCs w:val="19"/>
          <w:b w:val="1"/>
          <w:bCs w:val="1"/>
          <w:color w:val="auto"/>
        </w:rPr>
        <w:t>Dispute Resolution Procedures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right="60" w:firstLine="789"/>
        <w:spacing w:after="0" w:line="273" w:lineRule="auto"/>
        <w:tabs>
          <w:tab w:leader="none" w:pos="1685"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Amendment of Exchange Basis Schedule and Tax Benefit Schedule</w:t>
      </w:r>
      <w:r>
        <w:rPr>
          <w:rFonts w:ascii="Arial" w:cs="Arial" w:eastAsia="Arial" w:hAnsi="Arial"/>
          <w:sz w:val="19"/>
          <w:szCs w:val="19"/>
          <w:color w:val="auto"/>
        </w:rPr>
        <w:t xml:space="preserve">. After finalization of an Exchange Basis Schedule or a Tax Benefit Schedule in accordance with </w:t>
      </w:r>
      <w:r>
        <w:rPr>
          <w:rFonts w:ascii="Arial" w:cs="Arial" w:eastAsia="Arial" w:hAnsi="Arial"/>
          <w:sz w:val="19"/>
          <w:szCs w:val="19"/>
          <w:u w:val="single" w:color="auto"/>
          <w:color w:val="auto"/>
        </w:rPr>
        <w:t>Section 1.03(b)</w:t>
      </w:r>
      <w:r>
        <w:rPr>
          <w:rFonts w:ascii="Arial" w:cs="Arial" w:eastAsia="Arial" w:hAnsi="Arial"/>
          <w:sz w:val="19"/>
          <w:szCs w:val="19"/>
          <w:color w:val="auto"/>
        </w:rPr>
        <w:t>, any Exchange Basis Schedule or Tax Benefit Schedule may be amended from time to time by the Corporation (i) to correct material inaccuracies in any such schedule, (ii) to reflect a material change in the Realized Tax Benefit or Realized Tax Detriment for such Taxable Year attributable to either a carryback or carryforward of a Tax Item to such Taxable Year or to an amended Tax Return filed with respect to such Taxable Year, (iii) to adjust the Exchange Basis Schedule to take into account payments made pursuant to this Agreement, (iv) to comply with the Arbitrators’ determination under the Dispute Resolution Procedures, or (v) in connection with a Determination affecting such schedule (such schedule, an “</w:t>
      </w:r>
      <w:r>
        <w:rPr>
          <w:rFonts w:ascii="Arial" w:cs="Arial" w:eastAsia="Arial" w:hAnsi="Arial"/>
          <w:sz w:val="19"/>
          <w:szCs w:val="19"/>
          <w:b w:val="1"/>
          <w:bCs w:val="1"/>
          <w:color w:val="auto"/>
        </w:rPr>
        <w:t>Amended Schedule</w:t>
      </w:r>
      <w:r>
        <w:rPr>
          <w:rFonts w:ascii="Arial" w:cs="Arial" w:eastAsia="Arial" w:hAnsi="Arial"/>
          <w:sz w:val="19"/>
          <w:szCs w:val="19"/>
          <w:color w:val="auto"/>
        </w:rPr>
        <w:t xml:space="preserve">”). Any Amended Schedule shall be subject to the finalization procedures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1.03(b</w:t>
      </w:r>
      <w:r>
        <w:rPr>
          <w:rFonts w:ascii="Arial" w:cs="Arial" w:eastAsia="Arial" w:hAnsi="Arial"/>
          <w:sz w:val="19"/>
          <w:szCs w:val="19"/>
          <w:color w:val="auto"/>
        </w:rPr>
        <w:t xml:space="preserve">) and the Dispute Resolution Procedures set forth in </w:t>
      </w:r>
      <w:r>
        <w:rPr>
          <w:rFonts w:ascii="Arial" w:cs="Arial" w:eastAsia="Arial" w:hAnsi="Arial"/>
          <w:sz w:val="19"/>
          <w:szCs w:val="19"/>
          <w:u w:val="single" w:color="auto"/>
          <w:color w:val="auto"/>
        </w:rPr>
        <w:t>Section 6.08</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-3252470</wp:posOffset>
            </wp:positionV>
            <wp:extent cx="6858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35"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TAX BENEFIT PAYMENTS</w:t>
      </w:r>
    </w:p>
    <w:p>
      <w:pPr>
        <w:spacing w:after="0" w:line="182"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212" w:lineRule="exact"/>
        <w:rPr>
          <w:sz w:val="20"/>
          <w:szCs w:val="20"/>
          <w:color w:val="auto"/>
        </w:rPr>
      </w:pPr>
    </w:p>
    <w:p>
      <w:pPr>
        <w:ind w:right="240" w:firstLine="789"/>
        <w:spacing w:after="0" w:line="277" w:lineRule="auto"/>
        <w:tabs>
          <w:tab w:leader="none" w:pos="1685"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The Corporation shall pay to each TRA Holder for each Taxable Year the Tax Benefit Payment that is attributable to that TRA Holder at the times set forth in </w:t>
      </w:r>
      <w:r>
        <w:rPr>
          <w:rFonts w:ascii="Arial" w:cs="Arial" w:eastAsia="Arial" w:hAnsi="Arial"/>
          <w:sz w:val="19"/>
          <w:szCs w:val="19"/>
          <w:u w:val="single" w:color="auto"/>
          <w:color w:val="auto"/>
        </w:rPr>
        <w:t>Section 2.01(c)</w:t>
      </w:r>
      <w:r>
        <w:rPr>
          <w:rFonts w:ascii="Arial" w:cs="Arial" w:eastAsia="Arial" w:hAnsi="Arial"/>
          <w:sz w:val="19"/>
          <w:szCs w:val="19"/>
          <w:color w:val="auto"/>
        </w:rPr>
        <w:t>. For purposes of this Section 2.01(a), the amount of a Tax Benefit Payment that is attributable to a TRA Holder shall be determined by multiplying (i) the aggregate Tax Benefit Payment for the Taxable Year that arose directly or indirectly as a result of any Exchange by any TRA Holder or as a result of any payments under this Agreement to any TRA Holder by (ii) a fraction (x) the numerator of which is the aggregate amount of all Tax Benefit Items available for use in the Taxable Year that arose directly or indirectly as a result of an Exchange by the TRA Holder or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-669290</wp:posOffset>
            </wp:positionV>
            <wp:extent cx="8382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577" w:right="379" w:bottom="1440" w:gutter="0" w:footer="0" w:header="0"/>
        </w:sectPr>
      </w:pPr>
    </w:p>
    <w:bookmarkStart w:id="253" w:name="page254"/>
    <w:bookmarkEnd w:id="253"/>
    <w:p>
      <w:pPr>
        <w:ind w:left="880" w:right="140"/>
        <w:spacing w:after="0" w:line="297" w:lineRule="auto"/>
        <w:rPr>
          <w:sz w:val="20"/>
          <w:szCs w:val="20"/>
          <w:color w:val="auto"/>
        </w:rPr>
      </w:pPr>
      <w:r>
        <w:rPr>
          <w:rFonts w:ascii="Arial" w:cs="Arial" w:eastAsia="Arial" w:hAnsi="Arial"/>
          <w:sz w:val="19"/>
          <w:szCs w:val="19"/>
          <w:color w:val="auto"/>
        </w:rPr>
        <w:t>a result of payments to such TRA Holder under this Agreement and (y) the denominator of which is the aggregate amount of all Tax Benefit Items available for use in the Taxable Year that arose directly or indirectly as a result of any Exchange by any TRA Holder or as a result of any payments under this Agreement to any TRA Holder.</w:t>
      </w:r>
    </w:p>
    <w:p>
      <w:pPr>
        <w:spacing w:after="0" w:line="134" w:lineRule="exact"/>
        <w:rPr>
          <w:sz w:val="20"/>
          <w:szCs w:val="20"/>
          <w:color w:val="auto"/>
        </w:rPr>
      </w:pPr>
    </w:p>
    <w:p>
      <w:pPr>
        <w:jc w:val="both"/>
        <w:ind w:left="880" w:right="220" w:firstLine="789"/>
        <w:spacing w:after="0"/>
        <w:tabs>
          <w:tab w:leader="none" w:pos="2577"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Determination of Tax Assets</w:t>
      </w:r>
      <w:r>
        <w:rPr>
          <w:rFonts w:ascii="Arial" w:cs="Arial" w:eastAsia="Arial" w:hAnsi="Arial"/>
          <w:sz w:val="22"/>
          <w:szCs w:val="22"/>
          <w:color w:val="auto"/>
        </w:rPr>
        <w:t>. The Tax Assets shall be determined separately with respect to each separate Exchange, on a Unit-by-Unit basis by reference to the Exchange of a Unit and the resulting Tax Assets with respect to the Corporation.</w:t>
      </w:r>
    </w:p>
    <w:p>
      <w:pPr>
        <w:spacing w:after="0" w:line="186" w:lineRule="exact"/>
        <w:rPr>
          <w:rFonts w:ascii="Arial" w:cs="Arial" w:eastAsia="Arial" w:hAnsi="Arial"/>
          <w:sz w:val="22"/>
          <w:szCs w:val="22"/>
          <w:color w:val="auto"/>
        </w:rPr>
      </w:pPr>
    </w:p>
    <w:p>
      <w:pPr>
        <w:ind w:left="880" w:right="160" w:firstLine="789"/>
        <w:spacing w:after="0" w:line="282" w:lineRule="auto"/>
        <w:tabs>
          <w:tab w:leader="none" w:pos="2565"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Timing of Tax Benefit Payments</w:t>
      </w:r>
      <w:r>
        <w:rPr>
          <w:rFonts w:ascii="Arial" w:cs="Arial" w:eastAsia="Arial" w:hAnsi="Arial"/>
          <w:sz w:val="19"/>
          <w:szCs w:val="19"/>
          <w:color w:val="auto"/>
        </w:rPr>
        <w:t xml:space="preserve">. The Corporation shall make each Tax Benefit Payment not later than 10 days after a Tax Benefit Schedule delivered to the TRA Representative becomes final in accordance with Section 1.03(b). The Corporation may, but is not required to, make one or more estimated payments at other times during the Taxable Year and reduce future payments so that the total amount paid to a TRA Holder in respect of a Taxable Year equals the amount calculated with respect to such Taxable Year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880" w:right="80" w:firstLine="789"/>
        <w:spacing w:after="0" w:line="275" w:lineRule="auto"/>
        <w:tabs>
          <w:tab w:leader="none" w:pos="2577"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Optional Cap on Payments</w:t>
      </w:r>
      <w:r>
        <w:rPr>
          <w:rFonts w:ascii="Arial" w:cs="Arial" w:eastAsia="Arial" w:hAnsi="Arial"/>
          <w:sz w:val="19"/>
          <w:szCs w:val="19"/>
          <w:color w:val="auto"/>
        </w:rPr>
        <w:t>. Notwithstanding any provision of this Agreement to the contrary, any TRA Holder may elect with respect to any Exchange to limit the aggregate Tax Benefit Payments made to such TRA Holder in respect of that Exchange to a specified dollar amount, a specified percentage of the amount realized by the TRA Holder with respect to the Exchange, or a specified portion of the Basis Adjustment with respect to the Adjusted Assets as a result of the Exchange. The TRA Holder shall exercise its rights under the preceding sentence by including a notice of its desire to impose such a limit and the specified limitation and such other details as may be reasonably necessary (including whether such limitation includes the Additional Amounts in respect of any such Exchange) in the Exchange Notice delivered in accordance with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-1729105</wp:posOffset>
            </wp:positionV>
            <wp:extent cx="8458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31" w:lineRule="exact"/>
        <w:rPr>
          <w:sz w:val="20"/>
          <w:szCs w:val="20"/>
          <w:color w:val="auto"/>
        </w:rPr>
      </w:pPr>
    </w:p>
    <w:p>
      <w:pPr>
        <w:ind w:right="160" w:firstLine="864"/>
        <w:spacing w:after="0" w:line="280" w:lineRule="auto"/>
        <w:rPr>
          <w:sz w:val="20"/>
          <w:szCs w:val="20"/>
          <w:color w:val="auto"/>
        </w:rPr>
      </w:pPr>
      <w:r>
        <w:rPr>
          <w:rFonts w:ascii="Arial" w:cs="Arial" w:eastAsia="Arial" w:hAnsi="Arial"/>
          <w:sz w:val="21"/>
          <w:szCs w:val="21"/>
          <w:b w:val="1"/>
          <w:bCs w:val="1"/>
          <w:color w:val="auto"/>
        </w:rPr>
        <w:t xml:space="preserve">Section 2.02 </w:t>
      </w:r>
      <w:r>
        <w:rPr>
          <w:rFonts w:ascii="Arial" w:cs="Arial" w:eastAsia="Arial" w:hAnsi="Arial"/>
          <w:sz w:val="21"/>
          <w:szCs w:val="21"/>
          <w:u w:val="single" w:color="auto"/>
          <w:color w:val="auto"/>
        </w:rPr>
        <w:t>No Duplicative Payments</w:t>
      </w:r>
      <w:r>
        <w:rPr>
          <w:rFonts w:ascii="Arial" w:cs="Arial" w:eastAsia="Arial" w:hAnsi="Arial"/>
          <w:sz w:val="21"/>
          <w:szCs w:val="21"/>
          <w:color w:val="auto"/>
        </w:rPr>
        <w:t>. The provisions of this Agreement are not intended to, and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to, result in duplicative payment of any amount (including interest) required under this Agreement.</w:t>
      </w:r>
    </w:p>
    <w:p>
      <w:pPr>
        <w:spacing w:after="0" w:line="13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2.03</w:t>
      </w:r>
      <w:r>
        <w:rPr>
          <w:sz w:val="20"/>
          <w:szCs w:val="20"/>
          <w:color w:val="auto"/>
        </w:rPr>
        <w:tab/>
      </w:r>
      <w:r>
        <w:rPr>
          <w:rFonts w:ascii="Arial" w:cs="Arial" w:eastAsia="Arial" w:hAnsi="Arial"/>
          <w:sz w:val="19"/>
          <w:szCs w:val="19"/>
          <w:u w:val="single" w:color="auto"/>
          <w:color w:val="auto"/>
        </w:rPr>
        <w:t>Proportionate Payments; Other Tax Receivable Agreements</w:t>
      </w:r>
      <w:r>
        <w:rPr>
          <w:rFonts w:ascii="Arial" w:cs="Arial" w:eastAsia="Arial" w:hAnsi="Arial"/>
          <w:sz w:val="19"/>
          <w:szCs w:val="19"/>
          <w:color w:val="auto"/>
        </w:rPr>
        <w:t>.</w:t>
      </w:r>
    </w:p>
    <w:p>
      <w:pPr>
        <w:spacing w:after="0" w:line="212" w:lineRule="exact"/>
        <w:rPr>
          <w:sz w:val="20"/>
          <w:szCs w:val="20"/>
          <w:color w:val="auto"/>
        </w:rPr>
      </w:pPr>
    </w:p>
    <w:p>
      <w:pPr>
        <w:ind w:left="880" w:firstLine="789"/>
        <w:spacing w:after="0" w:line="235" w:lineRule="auto"/>
        <w:tabs>
          <w:tab w:leader="none" w:pos="2565"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Tax Assets under Other Tax Receivable Agreements</w:t>
      </w:r>
      <w:r>
        <w:rPr>
          <w:rFonts w:ascii="Arial" w:cs="Arial" w:eastAsia="Arial" w:hAnsi="Arial"/>
          <w:sz w:val="22"/>
          <w:szCs w:val="22"/>
          <w:color w:val="auto"/>
        </w:rPr>
        <w:t xml:space="preserve">. For purposes of determining the amount of any payment under this Agreement, the Tax Assets with respect to all Other Tax Receivable Agreements shall be disregarded. For the avoidance of doubt, and notwithstanding anything to the contrary in this Agreement, in performing the “with and without” calculation descried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the Tax Assets with respect to this Agreement shall be treated as used before any Tax Assets with respect to any Other Tax Receivable Agreements are treated as used in the applicable Taxable Year.</w:t>
      </w:r>
    </w:p>
    <w:p>
      <w:pPr>
        <w:spacing w:after="0" w:line="187" w:lineRule="exact"/>
        <w:rPr>
          <w:rFonts w:ascii="Arial" w:cs="Arial" w:eastAsia="Arial" w:hAnsi="Arial"/>
          <w:sz w:val="22"/>
          <w:szCs w:val="22"/>
          <w:color w:val="auto"/>
        </w:rPr>
      </w:pPr>
    </w:p>
    <w:p>
      <w:pPr>
        <w:jc w:val="both"/>
        <w:ind w:left="880" w:right="100" w:firstLine="789"/>
        <w:spacing w:after="0" w:line="297" w:lineRule="auto"/>
        <w:tabs>
          <w:tab w:leader="none" w:pos="257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Order of Payments</w:t>
      </w:r>
      <w:r>
        <w:rPr>
          <w:rFonts w:ascii="Arial" w:cs="Arial" w:eastAsia="Arial" w:hAnsi="Arial"/>
          <w:sz w:val="19"/>
          <w:szCs w:val="19"/>
          <w:color w:val="auto"/>
        </w:rPr>
        <w:t>. If for any reason (including, but not limited to, the lack of sufficient Available Cash to satisfy the Corporation’s obligations to make all Tax Benefit Payments due in a particular Taxable Year under this Agreement and the Other Tax Receivable Agreements) the Corporation does not fully satisfy its obligations to</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54" w:name="page255"/>
    <w:bookmarkEnd w:id="254"/>
    <w:p>
      <w:pPr>
        <w:ind w:left="880" w:right="40"/>
        <w:spacing w:after="0" w:line="277" w:lineRule="auto"/>
        <w:rPr>
          <w:sz w:val="20"/>
          <w:szCs w:val="20"/>
          <w:color w:val="auto"/>
        </w:rPr>
      </w:pPr>
      <w:r>
        <w:rPr>
          <w:rFonts w:ascii="Arial" w:cs="Arial" w:eastAsia="Arial" w:hAnsi="Arial"/>
          <w:sz w:val="19"/>
          <w:szCs w:val="19"/>
          <w:color w:val="auto"/>
        </w:rPr>
        <w:t xml:space="preserve">make all payments due under this Agreement and the Other Tax Receivable Agreements in a particular Taxable Year, then (i) the TRA Holders shall receive payments under this Agreement in respect of such Taxable Year in the same proportion as they would have received if the Corporation had been able to fully satisfy its payment obligations, without favoring one TRA Holder over the other TRA Holders, and (ii) no payment under this Agreement or the Other Tax Receivable Agreements shall be made in respect of any subsequent Taxable Year until all such payments under this Agreement in respect of the current and all prior Taxable Years have been made in full. Any Other Tax Receivable Agreement shall include such provisions as may be necessary to give effect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46"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b w:val="1"/>
          <w:bCs w:val="1"/>
          <w:color w:val="auto"/>
        </w:rPr>
        <w:t xml:space="preserve">Section 2.04 </w:t>
      </w:r>
      <w:r>
        <w:rPr>
          <w:rFonts w:ascii="Arial" w:cs="Arial" w:eastAsia="Arial" w:hAnsi="Arial"/>
          <w:sz w:val="22"/>
          <w:szCs w:val="22"/>
          <w:u w:val="single" w:color="auto"/>
          <w:color w:val="auto"/>
        </w:rPr>
        <w:t>No Escrow or Clawback; Reduction of Future Payments</w:t>
      </w:r>
      <w:r>
        <w:rPr>
          <w:rFonts w:ascii="Arial" w:cs="Arial" w:eastAsia="Arial" w:hAnsi="Arial"/>
          <w:sz w:val="22"/>
          <w:szCs w:val="22"/>
          <w:color w:val="auto"/>
        </w:rPr>
        <w:t>. No amounts due to a TRA Holder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escrowed, and no TRA Holder shall be required to return any portion of any Tax Benefit Payment previously made to it. No TRA Holder shall be required to make a payment to the Corporation on account of any Realized Tax Detriment. If a TRA Holder receives amounts in excess of its entitlements under this Agreement (including as a result of an audit adjustment or Realized Tax Detriment), future payments under this Agreement shall be reduced until the amount received by the TRA Holder equals the amount the TRA Holder would have received had it not received the amount in excess of such entitlements.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u w:val="single" w:color="auto"/>
          <w:color w:val="auto"/>
        </w:rPr>
        <w:t>Early Termination Events</w:t>
      </w:r>
      <w:r>
        <w:rPr>
          <w:rFonts w:ascii="Arial" w:cs="Arial" w:eastAsia="Arial" w:hAnsi="Arial"/>
          <w:sz w:val="19"/>
          <w:szCs w:val="19"/>
          <w:color w:val="auto"/>
        </w:rPr>
        <w:t>.</w:t>
      </w:r>
    </w:p>
    <w:p>
      <w:pPr>
        <w:spacing w:after="0" w:line="212" w:lineRule="exact"/>
        <w:rPr>
          <w:sz w:val="20"/>
          <w:szCs w:val="20"/>
          <w:color w:val="auto"/>
        </w:rPr>
      </w:pPr>
    </w:p>
    <w:p>
      <w:pPr>
        <w:ind w:left="880" w:right="20" w:firstLine="789"/>
        <w:spacing w:after="0" w:line="246" w:lineRule="auto"/>
        <w:tabs>
          <w:tab w:leader="none" w:pos="2565"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Early Termination Election by Corporation</w:t>
      </w:r>
      <w:r>
        <w:rPr>
          <w:rFonts w:ascii="Arial" w:cs="Arial" w:eastAsia="Arial" w:hAnsi="Arial"/>
          <w:sz w:val="21"/>
          <w:szCs w:val="21"/>
          <w:color w:val="auto"/>
        </w:rPr>
        <w:t xml:space="preserve">. The Corporation may terminate the rights under this Agreement with respect to all or a portion of the Units held (including those previously Exchanged) by all TRA Holders at any time by (A) delivering an Early Termination Notice as provided in </w:t>
      </w:r>
      <w:r>
        <w:rPr>
          <w:rFonts w:ascii="Arial" w:cs="Arial" w:eastAsia="Arial" w:hAnsi="Arial"/>
          <w:sz w:val="21"/>
          <w:szCs w:val="21"/>
          <w:u w:val="single" w:color="auto"/>
          <w:color w:val="auto"/>
        </w:rPr>
        <w:t>Section 3.02(a)</w:t>
      </w:r>
      <w:r>
        <w:rPr>
          <w:rFonts w:ascii="Arial" w:cs="Arial" w:eastAsia="Arial" w:hAnsi="Arial"/>
          <w:sz w:val="21"/>
          <w:szCs w:val="21"/>
          <w:color w:val="auto"/>
        </w:rPr>
        <w:t xml:space="preserve"> and (B) paying the Early Termination Payment as provided in </w:t>
      </w:r>
      <w:r>
        <w:rPr>
          <w:rFonts w:ascii="Arial" w:cs="Arial" w:eastAsia="Arial" w:hAnsi="Arial"/>
          <w:sz w:val="21"/>
          <w:szCs w:val="21"/>
          <w:u w:val="single" w:color="auto"/>
          <w:color w:val="auto"/>
        </w:rPr>
        <w:t>Section 3.03(a)</w:t>
      </w:r>
      <w:r>
        <w:rPr>
          <w:rFonts w:ascii="Arial" w:cs="Arial" w:eastAsia="Arial" w:hAnsi="Arial"/>
          <w:sz w:val="21"/>
          <w:szCs w:val="21"/>
          <w:color w:val="auto"/>
        </w:rPr>
        <w:t>. If the Corporation terminates the rights under this Agreement with respect to less than all of the Units held (or previously held and Exchanged), such termination shall be made among the TRA Holders in such manner that it results in each TRA Holder receiving the same proportion of the Early Termination Payment made at that time as each TRA Holder would have received had the Corporation terminated all of the rights of the TRA Holders under this Agreement at that time.</w:t>
      </w:r>
    </w:p>
    <w:p>
      <w:pPr>
        <w:spacing w:after="0" w:line="179" w:lineRule="exact"/>
        <w:rPr>
          <w:rFonts w:ascii="Arial" w:cs="Arial" w:eastAsia="Arial" w:hAnsi="Arial"/>
          <w:sz w:val="21"/>
          <w:szCs w:val="21"/>
          <w:color w:val="auto"/>
        </w:rPr>
      </w:pPr>
    </w:p>
    <w:p>
      <w:pPr>
        <w:ind w:left="2560" w:hanging="891"/>
        <w:spacing w:after="0"/>
        <w:tabs>
          <w:tab w:leader="none" w:pos="256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Deemed Early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40" w:right="20" w:firstLine="726"/>
        <w:spacing w:after="0" w:line="282" w:lineRule="auto"/>
        <w:tabs>
          <w:tab w:leader="none" w:pos="3323"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Deemed Early Termination Event</w:t>
      </w:r>
      <w:r>
        <w:rPr>
          <w:rFonts w:ascii="Arial" w:cs="Arial" w:eastAsia="Arial" w:hAnsi="Arial"/>
          <w:sz w:val="19"/>
          <w:szCs w:val="19"/>
          <w:color w:val="auto"/>
        </w:rPr>
        <w:t>. If there is a Material Uncured Breach of this Agreement with respect to a TRA Holder or a Change of Control (each, a “</w:t>
      </w:r>
      <w:r>
        <w:rPr>
          <w:rFonts w:ascii="Arial" w:cs="Arial" w:eastAsia="Arial" w:hAnsi="Arial"/>
          <w:sz w:val="19"/>
          <w:szCs w:val="19"/>
          <w:b w:val="1"/>
          <w:bCs w:val="1"/>
          <w:color w:val="auto"/>
        </w:rPr>
        <w:t>Deemed Early Termination Event</w:t>
      </w:r>
      <w:r>
        <w:rPr>
          <w:rFonts w:ascii="Arial" w:cs="Arial" w:eastAsia="Arial" w:hAnsi="Arial"/>
          <w:sz w:val="19"/>
          <w:szCs w:val="19"/>
          <w:color w:val="auto"/>
        </w:rPr>
        <w:t xml:space="preserve">”), (A) the Corporation (or the TRA Representative (with a copy to the Corporation)) shall deliver to the applicable TRA Holder(s) an Early Termination Notice as provided in </w:t>
      </w:r>
      <w:r>
        <w:rPr>
          <w:rFonts w:ascii="Arial" w:cs="Arial" w:eastAsia="Arial" w:hAnsi="Arial"/>
          <w:sz w:val="19"/>
          <w:szCs w:val="19"/>
          <w:u w:val="single" w:color="auto"/>
          <w:color w:val="auto"/>
        </w:rPr>
        <w:t>Section 3.02(a)</w:t>
      </w:r>
      <w:r>
        <w:rPr>
          <w:rFonts w:ascii="Arial" w:cs="Arial" w:eastAsia="Arial" w:hAnsi="Arial"/>
          <w:sz w:val="19"/>
          <w:szCs w:val="19"/>
          <w:color w:val="auto"/>
        </w:rPr>
        <w:t>, and (B) all obligations under this Agreement with respect to the applicable TRA Holder(s) shall be accelerated.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55" w:name="page256"/>
    <w:bookmarkEnd w:id="255"/>
    <w:p>
      <w:pPr>
        <w:ind w:left="860" w:right="260" w:firstLine="726"/>
        <w:spacing w:after="0" w:line="250" w:lineRule="auto"/>
        <w:tabs>
          <w:tab w:leader="none" w:pos="2503"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Payment upon Deemed Early Termination Event</w:t>
      </w:r>
      <w:r>
        <w:rPr>
          <w:rFonts w:ascii="Arial" w:cs="Arial" w:eastAsia="Arial" w:hAnsi="Arial"/>
          <w:sz w:val="22"/>
          <w:szCs w:val="22"/>
          <w:color w:val="auto"/>
        </w:rPr>
        <w:t>. The amount payable to the applicable TRA Holder as a result of that acceleration shall equal the sum of:</w:t>
      </w:r>
    </w:p>
    <w:p>
      <w:pPr>
        <w:spacing w:after="0" w:line="174" w:lineRule="exact"/>
        <w:rPr>
          <w:rFonts w:ascii="Arial" w:cs="Arial" w:eastAsia="Arial" w:hAnsi="Arial"/>
          <w:sz w:val="22"/>
          <w:szCs w:val="22"/>
          <w:color w:val="auto"/>
        </w:rPr>
      </w:pPr>
    </w:p>
    <w:p>
      <w:pPr>
        <w:ind w:left="860" w:firstLine="1092"/>
        <w:spacing w:after="0" w:line="287" w:lineRule="auto"/>
        <w:tabs>
          <w:tab w:leader="none" w:pos="2904"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an Early Termination Payment calculated with respect to such TRA Holder(s) pursuant to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if an Early Termination Notice had been delivered on the date of the Deemed Early Termination Event using the Valuation Assumptions but substituting the phrase “the date of the Deemed Early Termination Event” in each place where the phrase “Early Termination Date” appears;</w:t>
      </w:r>
    </w:p>
    <w:p>
      <w:pPr>
        <w:spacing w:after="0" w:line="142" w:lineRule="exact"/>
        <w:rPr>
          <w:rFonts w:ascii="Arial" w:cs="Arial" w:eastAsia="Arial" w:hAnsi="Arial"/>
          <w:sz w:val="19"/>
          <w:szCs w:val="19"/>
          <w:color w:val="auto"/>
        </w:rPr>
      </w:pPr>
    </w:p>
    <w:p>
      <w:pPr>
        <w:ind w:left="860" w:right="340" w:firstLine="1092"/>
        <w:spacing w:after="0" w:line="250" w:lineRule="auto"/>
        <w:tabs>
          <w:tab w:leader="none" w:pos="28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any Tax Benefit Payment agreed to by the Corporation and such TRA Holder(s) as due and payable but unpaid as of the date of a breach; and</w:t>
      </w:r>
    </w:p>
    <w:p>
      <w:pPr>
        <w:spacing w:after="0" w:line="174" w:lineRule="exact"/>
        <w:rPr>
          <w:rFonts w:ascii="Arial" w:cs="Arial" w:eastAsia="Arial" w:hAnsi="Arial"/>
          <w:sz w:val="22"/>
          <w:szCs w:val="22"/>
          <w:color w:val="auto"/>
        </w:rPr>
      </w:pPr>
    </w:p>
    <w:p>
      <w:pPr>
        <w:ind w:left="860" w:right="60" w:firstLine="1092"/>
        <w:spacing w:after="0"/>
        <w:tabs>
          <w:tab w:leader="none" w:pos="28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any Tax Benefit Payment due to such TRA Holder(s) for the Taxable Year ending with or including the date of the breach (except to the extent that any amounts described in clauses (B) or (C) are included in the amount payable upon early termination).</w:t>
      </w:r>
    </w:p>
    <w:p>
      <w:pPr>
        <w:spacing w:after="0" w:line="186" w:lineRule="exact"/>
        <w:rPr>
          <w:rFonts w:ascii="Arial" w:cs="Arial" w:eastAsia="Arial" w:hAnsi="Arial"/>
          <w:sz w:val="22"/>
          <w:szCs w:val="22"/>
          <w:color w:val="auto"/>
        </w:rPr>
      </w:pPr>
    </w:p>
    <w:p>
      <w:pPr>
        <w:ind w:left="860" w:firstLine="726"/>
        <w:spacing w:after="0" w:line="277" w:lineRule="auto"/>
        <w:tabs>
          <w:tab w:leader="none" w:pos="2563"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Waiver of Deemed Early Termination</w:t>
      </w:r>
      <w:r>
        <w:rPr>
          <w:rFonts w:ascii="Arial" w:cs="Arial" w:eastAsia="Arial" w:hAnsi="Arial"/>
          <w:sz w:val="19"/>
          <w:szCs w:val="19"/>
          <w:color w:val="auto"/>
        </w:rPr>
        <w:t>. A TRA Holder may elect to waive the acceleration of obligations under this Agreement triggered by a Deemed Early Termination Event by submitting a waiver in writing to the Corporation within 30 days after the date of the Early Termination Notice. If a TRA Holder elects to waive the acceleration of obligations pursuant to the preceding sentence, this Agreement shall continue to apply with respect to that TRA Holder as though no Deemed Early Termination Event had occurred, and, if there are any due and unpaid amounts with respect to that TRA Holder, the Corporation shall pay those amounts to the TRA Holder in the manner provided in this Agreement.</w:t>
      </w:r>
    </w:p>
    <w:p>
      <w:pPr>
        <w:spacing w:after="0" w:line="146"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u w:val="single" w:color="auto"/>
          <w:color w:val="auto"/>
        </w:rPr>
        <w:t>Early Termination Notice and Early Termination Schedule</w:t>
      </w:r>
      <w:r>
        <w:rPr>
          <w:rFonts w:ascii="Arial" w:cs="Arial" w:eastAsia="Arial" w:hAnsi="Arial"/>
          <w:sz w:val="19"/>
          <w:szCs w:val="19"/>
          <w:color w:val="auto"/>
        </w:rPr>
        <w:t>.</w:t>
      </w:r>
    </w:p>
    <w:p>
      <w:pPr>
        <w:spacing w:after="0" w:line="212" w:lineRule="exact"/>
        <w:rPr>
          <w:sz w:val="20"/>
          <w:szCs w:val="20"/>
          <w:color w:val="auto"/>
        </w:rPr>
      </w:pPr>
    </w:p>
    <w:p>
      <w:pPr>
        <w:ind w:left="1680" w:hanging="891"/>
        <w:spacing w:after="0"/>
        <w:tabs>
          <w:tab w:leader="none" w:pos="168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Notice; Schedule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right="80" w:firstLine="726"/>
        <w:spacing w:after="0" w:line="274" w:lineRule="auto"/>
        <w:tabs>
          <w:tab w:leader="none" w:pos="2443"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Delivery of Early Termination Notice and Early Termination Schedule</w:t>
      </w:r>
      <w:r>
        <w:rPr>
          <w:rFonts w:ascii="Arial" w:cs="Arial" w:eastAsia="Arial" w:hAnsi="Arial"/>
          <w:sz w:val="19"/>
          <w:szCs w:val="19"/>
          <w:color w:val="auto"/>
        </w:rPr>
        <w:t xml:space="preserve">. If the Corporation chooses to exercise its right of early termination under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above, or if there is a Deemed Early Termination Event under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above, the Corporation shall deliver to each TRA Holder whose rights are being terminated (A) a notice (an “</w:t>
      </w:r>
      <w:r>
        <w:rPr>
          <w:rFonts w:ascii="Arial" w:cs="Arial" w:eastAsia="Arial" w:hAnsi="Arial"/>
          <w:sz w:val="19"/>
          <w:szCs w:val="19"/>
          <w:b w:val="1"/>
          <w:bCs w:val="1"/>
          <w:color w:val="auto"/>
        </w:rPr>
        <w:t>Early Termination Notice</w:t>
      </w:r>
      <w:r>
        <w:rPr>
          <w:rFonts w:ascii="Arial" w:cs="Arial" w:eastAsia="Arial" w:hAnsi="Arial"/>
          <w:sz w:val="19"/>
          <w:szCs w:val="19"/>
          <w:color w:val="auto"/>
        </w:rPr>
        <w:t>”) specifying (x) such early termination and (y) the date on which the termination of rights is to be effective (the “</w:t>
      </w:r>
      <w:r>
        <w:rPr>
          <w:rFonts w:ascii="Arial" w:cs="Arial" w:eastAsia="Arial" w:hAnsi="Arial"/>
          <w:sz w:val="19"/>
          <w:szCs w:val="19"/>
          <w:b w:val="1"/>
          <w:bCs w:val="1"/>
          <w:color w:val="auto"/>
        </w:rPr>
        <w:t>Early Termination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which date shall be not less than 30 days and not more than 120 days after the date of the Early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Notice, and (B) a schedule showing in reasonable detail the calculation of the Early Termination Payment with respect to each TRA Holder (the “</w:t>
      </w:r>
      <w:r>
        <w:rPr>
          <w:rFonts w:ascii="Arial" w:cs="Arial" w:eastAsia="Arial" w:hAnsi="Arial"/>
          <w:sz w:val="19"/>
          <w:szCs w:val="19"/>
          <w:b w:val="1"/>
          <w:bCs w:val="1"/>
          <w:color w:val="auto"/>
        </w:rPr>
        <w:t>Early Termination Schedule</w:t>
      </w:r>
      <w:r>
        <w:rPr>
          <w:rFonts w:ascii="Arial" w:cs="Arial" w:eastAsia="Arial" w:hAnsi="Arial"/>
          <w:sz w:val="19"/>
          <w:szCs w:val="19"/>
          <w:color w:val="auto"/>
        </w:rPr>
        <w:t>”). The Early Termination Notice shall be delivered within 30 days after the Corporation elects to terminate this Agreement or there is a Deemed Early Termination Event.</w:t>
      </w:r>
    </w:p>
    <w:p>
      <w:pPr>
        <w:spacing w:after="0" w:line="200" w:lineRule="exact"/>
        <w:rPr>
          <w:sz w:val="20"/>
          <w:szCs w:val="20"/>
          <w:color w:val="auto"/>
        </w:rPr>
      </w:pPr>
    </w:p>
    <w:p>
      <w:pPr>
        <w:spacing w:after="0" w:line="20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56" w:name="page257"/>
    <w:bookmarkEnd w:id="256"/>
    <w:p>
      <w:pPr>
        <w:ind w:left="860" w:right="80" w:firstLine="726"/>
        <w:spacing w:after="0" w:line="246" w:lineRule="auto"/>
        <w:tabs>
          <w:tab w:leader="none" w:pos="2503" w:val="left"/>
        </w:tabs>
        <w:numPr>
          <w:ilvl w:val="1"/>
          <w:numId w:val="187"/>
        </w:numPr>
        <w:rPr>
          <w:rFonts w:ascii="Arial" w:cs="Arial" w:eastAsia="Arial" w:hAnsi="Arial"/>
          <w:sz w:val="21"/>
          <w:szCs w:val="21"/>
          <w:color w:val="auto"/>
        </w:rPr>
      </w:pPr>
      <w:r>
        <w:rPr>
          <w:rFonts w:ascii="Arial" w:cs="Arial" w:eastAsia="Arial" w:hAnsi="Arial"/>
          <w:sz w:val="21"/>
          <w:szCs w:val="21"/>
          <w:u w:val="single" w:color="auto"/>
          <w:color w:val="auto"/>
        </w:rPr>
        <w:t>Finalization of Early Termination Schedule; Disputes</w:t>
      </w:r>
      <w:r>
        <w:rPr>
          <w:rFonts w:ascii="Arial" w:cs="Arial" w:eastAsia="Arial" w:hAnsi="Arial"/>
          <w:sz w:val="21"/>
          <w:szCs w:val="21"/>
          <w:color w:val="auto"/>
        </w:rPr>
        <w:t xml:space="preserve">. The applicable Early Termination Schedule delivered to a TRA Holder pursuant to </w:t>
      </w:r>
      <w:r>
        <w:rPr>
          <w:rFonts w:ascii="Arial" w:cs="Arial" w:eastAsia="Arial" w:hAnsi="Arial"/>
          <w:sz w:val="21"/>
          <w:szCs w:val="21"/>
          <w:u w:val="single" w:color="auto"/>
          <w:color w:val="auto"/>
        </w:rPr>
        <w:t>Section 3.02(a)(i)</w:t>
      </w:r>
      <w:r>
        <w:rPr>
          <w:rFonts w:ascii="Arial" w:cs="Arial" w:eastAsia="Arial" w:hAnsi="Arial"/>
          <w:sz w:val="21"/>
          <w:szCs w:val="21"/>
          <w:color w:val="auto"/>
        </w:rPr>
        <w:t xml:space="preserve"> shall become final and binding on the Corporation and such TRA Holder unless that TRA Holder, within 30 days after receiving the Early Termination Schedule, provides the Corporation with notice of a material objection to such schedule made in good faith (“</w:t>
      </w:r>
      <w:r>
        <w:rPr>
          <w:rFonts w:ascii="Arial" w:cs="Arial" w:eastAsia="Arial" w:hAnsi="Arial"/>
          <w:sz w:val="21"/>
          <w:szCs w:val="21"/>
          <w:b w:val="1"/>
          <w:bCs w:val="1"/>
          <w:color w:val="auto"/>
        </w:rPr>
        <w:t>Material Objection Notice</w:t>
      </w:r>
      <w:r>
        <w:rPr>
          <w:rFonts w:ascii="Arial" w:cs="Arial" w:eastAsia="Arial" w:hAnsi="Arial"/>
          <w:sz w:val="21"/>
          <w:szCs w:val="21"/>
          <w:color w:val="auto"/>
        </w:rPr>
        <w:t xml:space="preserve">”). If the Corporation and such TRA Holder are unable to successfully resolve the issues raised in the Material Objection Notice within 30 days after receipt by the Corporation of the Material Objection Notice, the Corporation and the TRA Holder shall employ the Dispute Resolution Procedures set forth in </w:t>
      </w:r>
      <w:r>
        <w:rPr>
          <w:rFonts w:ascii="Arial" w:cs="Arial" w:eastAsia="Arial" w:hAnsi="Arial"/>
          <w:sz w:val="21"/>
          <w:szCs w:val="21"/>
          <w:u w:val="single" w:color="auto"/>
          <w:color w:val="auto"/>
        </w:rPr>
        <w:t>Section 6.08</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860" w:right="640" w:firstLine="726"/>
        <w:spacing w:after="0"/>
        <w:tabs>
          <w:tab w:leader="none" w:pos="2563" w:val="left"/>
        </w:tabs>
        <w:numPr>
          <w:ilvl w:val="1"/>
          <w:numId w:val="187"/>
        </w:numPr>
        <w:rPr>
          <w:rFonts w:ascii="Arial" w:cs="Arial" w:eastAsia="Arial" w:hAnsi="Arial"/>
          <w:sz w:val="22"/>
          <w:szCs w:val="22"/>
          <w:color w:val="auto"/>
        </w:rPr>
      </w:pPr>
      <w:r>
        <w:rPr>
          <w:rFonts w:ascii="Arial" w:cs="Arial" w:eastAsia="Arial" w:hAnsi="Arial"/>
          <w:sz w:val="22"/>
          <w:szCs w:val="22"/>
          <w:u w:val="single" w:color="auto"/>
          <w:color w:val="auto"/>
        </w:rPr>
        <w:t>Withdrawal of Early Termination Notice</w:t>
      </w:r>
      <w:r>
        <w:rPr>
          <w:rFonts w:ascii="Arial" w:cs="Arial" w:eastAsia="Arial" w:hAnsi="Arial"/>
          <w:sz w:val="22"/>
          <w:szCs w:val="22"/>
          <w:color w:val="auto"/>
        </w:rPr>
        <w:t>. The Corporation may withdraw an Early Termination Notice before the Early Termination Payment is due and payable to any applicable TRA Holder(s).</w:t>
      </w:r>
    </w:p>
    <w:p>
      <w:pPr>
        <w:spacing w:after="0" w:line="186" w:lineRule="exact"/>
        <w:rPr>
          <w:rFonts w:ascii="Arial" w:cs="Arial" w:eastAsia="Arial" w:hAnsi="Arial"/>
          <w:sz w:val="22"/>
          <w:szCs w:val="22"/>
          <w:color w:val="auto"/>
        </w:rPr>
      </w:pPr>
    </w:p>
    <w:p>
      <w:pPr>
        <w:ind w:right="60" w:firstLine="789"/>
        <w:spacing w:after="0" w:line="235" w:lineRule="auto"/>
        <w:tabs>
          <w:tab w:leader="none" w:pos="1697"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Amendment of Early Termination Schedule</w:t>
      </w:r>
      <w:r>
        <w:rPr>
          <w:rFonts w:ascii="Arial" w:cs="Arial" w:eastAsia="Arial" w:hAnsi="Arial"/>
          <w:sz w:val="22"/>
          <w:szCs w:val="22"/>
          <w:color w:val="auto"/>
        </w:rPr>
        <w:t xml:space="preserve">. After finalization of an Early Termination Schedule in accordance with </w:t>
      </w:r>
      <w:r>
        <w:rPr>
          <w:rFonts w:ascii="Arial" w:cs="Arial" w:eastAsia="Arial" w:hAnsi="Arial"/>
          <w:sz w:val="22"/>
          <w:szCs w:val="22"/>
          <w:u w:val="single" w:color="auto"/>
          <w:color w:val="auto"/>
        </w:rPr>
        <w:t>Section 3.02(a)(ii)</w:t>
      </w:r>
      <w:r>
        <w:rPr>
          <w:rFonts w:ascii="Arial" w:cs="Arial" w:eastAsia="Arial" w:hAnsi="Arial"/>
          <w:sz w:val="22"/>
          <w:szCs w:val="22"/>
          <w:color w:val="auto"/>
        </w:rPr>
        <w:t xml:space="preserve">, any Early Termination Schedule may be amended by the Corporation at any time before the Early Termination Payment is made (i) in connection with a Determination affecting such schedule, (ii) to correct material inaccuracies in any such schedule, or (iii) to comply with the Arbitrators’ determination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6.08</w:t>
      </w:r>
      <w:r>
        <w:rPr>
          <w:rFonts w:ascii="Arial" w:cs="Arial" w:eastAsia="Arial" w:hAnsi="Arial"/>
          <w:sz w:val="22"/>
          <w:szCs w:val="22"/>
          <w:color w:val="auto"/>
        </w:rPr>
        <w:t xml:space="preserve">. Any amendment shall be subject to the procedures of </w:t>
      </w:r>
      <w:r>
        <w:rPr>
          <w:rFonts w:ascii="Arial" w:cs="Arial" w:eastAsia="Arial" w:hAnsi="Arial"/>
          <w:sz w:val="22"/>
          <w:szCs w:val="22"/>
          <w:u w:val="single" w:color="auto"/>
          <w:color w:val="auto"/>
        </w:rPr>
        <w:t>Section 3.02(a)(ii)</w:t>
      </w:r>
      <w:r>
        <w:rPr>
          <w:rFonts w:ascii="Arial" w:cs="Arial" w:eastAsia="Arial" w:hAnsi="Arial"/>
          <w:sz w:val="22"/>
          <w:szCs w:val="22"/>
          <w:color w:val="auto"/>
        </w:rPr>
        <w:t xml:space="preserve"> and the Dispute Resolution Procedures set forth in </w:t>
      </w:r>
      <w:r>
        <w:rPr>
          <w:rFonts w:ascii="Arial" w:cs="Arial" w:eastAsia="Arial" w:hAnsi="Arial"/>
          <w:sz w:val="22"/>
          <w:szCs w:val="22"/>
          <w:u w:val="single" w:color="auto"/>
          <w:color w:val="auto"/>
        </w:rPr>
        <w:t>Section 6.08</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3.03</w:t>
      </w:r>
      <w:r>
        <w:rPr>
          <w:sz w:val="20"/>
          <w:szCs w:val="20"/>
          <w:color w:val="auto"/>
        </w:rPr>
        <w:tab/>
      </w:r>
      <w:r>
        <w:rPr>
          <w:rFonts w:ascii="Arial" w:cs="Arial" w:eastAsia="Arial" w:hAnsi="Arial"/>
          <w:sz w:val="19"/>
          <w:szCs w:val="19"/>
          <w:u w:val="single" w:color="auto"/>
          <w:color w:val="auto"/>
        </w:rPr>
        <w:t>Early Termination Payment</w:t>
      </w:r>
      <w:r>
        <w:rPr>
          <w:rFonts w:ascii="Arial" w:cs="Arial" w:eastAsia="Arial" w:hAnsi="Arial"/>
          <w:sz w:val="19"/>
          <w:szCs w:val="19"/>
          <w:color w:val="auto"/>
        </w:rPr>
        <w:t>.</w:t>
      </w:r>
    </w:p>
    <w:p>
      <w:pPr>
        <w:spacing w:after="0" w:line="212" w:lineRule="exact"/>
        <w:rPr>
          <w:sz w:val="20"/>
          <w:szCs w:val="20"/>
          <w:color w:val="auto"/>
        </w:rPr>
      </w:pPr>
    </w:p>
    <w:p>
      <w:pPr>
        <w:ind w:firstLine="789"/>
        <w:spacing w:after="0" w:line="246" w:lineRule="auto"/>
        <w:tabs>
          <w:tab w:leader="none" w:pos="1685"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Amount and Timing of Early Termination Payment</w:t>
      </w:r>
      <w:r>
        <w:rPr>
          <w:rFonts w:ascii="Arial" w:cs="Arial" w:eastAsia="Arial" w:hAnsi="Arial"/>
          <w:sz w:val="21"/>
          <w:szCs w:val="21"/>
          <w:color w:val="auto"/>
        </w:rPr>
        <w:t xml:space="preserve">. The payment due to a TRA Holder in connection with an early termination described in </w:t>
      </w:r>
      <w:r>
        <w:rPr>
          <w:rFonts w:ascii="Arial" w:cs="Arial" w:eastAsia="Arial" w:hAnsi="Arial"/>
          <w:sz w:val="21"/>
          <w:szCs w:val="21"/>
          <w:u w:val="single" w:color="auto"/>
          <w:color w:val="auto"/>
        </w:rPr>
        <w:t>Section 3.01(a)</w:t>
      </w:r>
      <w:r>
        <w:rPr>
          <w:rFonts w:ascii="Arial" w:cs="Arial" w:eastAsia="Arial" w:hAnsi="Arial"/>
          <w:sz w:val="21"/>
          <w:szCs w:val="21"/>
          <w:color w:val="auto"/>
        </w:rPr>
        <w:t xml:space="preserve"> (the “</w:t>
      </w:r>
      <w:r>
        <w:rPr>
          <w:rFonts w:ascii="Arial" w:cs="Arial" w:eastAsia="Arial" w:hAnsi="Arial"/>
          <w:sz w:val="21"/>
          <w:szCs w:val="21"/>
          <w:b w:val="1"/>
          <w:bCs w:val="1"/>
          <w:color w:val="auto"/>
        </w:rPr>
        <w:t>Early Termination Payment</w:t>
      </w:r>
      <w:r>
        <w:rPr>
          <w:rFonts w:ascii="Arial" w:cs="Arial" w:eastAsia="Arial" w:hAnsi="Arial"/>
          <w:sz w:val="21"/>
          <w:szCs w:val="21"/>
          <w:color w:val="auto"/>
        </w:rPr>
        <w:t xml:space="preserve">”) shall be an amount equal to the present value, discounted at the Early Termination Rate as of the Early Termination Date, of all Tax Benefit Payments that the Corporation would be required to pay to the TRA Holder beginning from the Early Termination Date and assuming that the Valuation Assumptions are applied. Not later than 10 days after an Early Termination Schedule delivered to a TRA Holder becomes final in accordance with </w:t>
      </w:r>
      <w:r>
        <w:rPr>
          <w:rFonts w:ascii="Arial" w:cs="Arial" w:eastAsia="Arial" w:hAnsi="Arial"/>
          <w:sz w:val="21"/>
          <w:szCs w:val="21"/>
          <w:u w:val="single" w:color="auto"/>
          <w:color w:val="auto"/>
        </w:rPr>
        <w:t>Section 3.02(a)(ii)</w:t>
      </w:r>
      <w:r>
        <w:rPr>
          <w:rFonts w:ascii="Arial" w:cs="Arial" w:eastAsia="Arial" w:hAnsi="Arial"/>
          <w:sz w:val="21"/>
          <w:szCs w:val="21"/>
          <w:color w:val="auto"/>
        </w:rPr>
        <w:t>, the Corporation shall pay to the TRA Holder the Early Termination Payment due to that TRA Holder.</w:t>
      </w:r>
    </w:p>
    <w:p>
      <w:pPr>
        <w:spacing w:after="0" w:line="184" w:lineRule="exact"/>
        <w:rPr>
          <w:rFonts w:ascii="Arial" w:cs="Arial" w:eastAsia="Arial" w:hAnsi="Arial"/>
          <w:sz w:val="21"/>
          <w:szCs w:val="21"/>
          <w:color w:val="auto"/>
        </w:rPr>
      </w:pPr>
    </w:p>
    <w:p>
      <w:pPr>
        <w:ind w:right="100" w:firstLine="789"/>
        <w:spacing w:after="0" w:line="273" w:lineRule="auto"/>
        <w:tabs>
          <w:tab w:leader="none" w:pos="1697"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Effect of Early Termination Payment</w:t>
      </w:r>
      <w:r>
        <w:rPr>
          <w:rFonts w:ascii="Arial" w:cs="Arial" w:eastAsia="Arial" w:hAnsi="Arial"/>
          <w:sz w:val="19"/>
          <w:szCs w:val="19"/>
          <w:color w:val="auto"/>
        </w:rPr>
        <w:t xml:space="preserve">. Upon payment of the Early Termination Payment by the Corporation under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neither the TRA Holder nor the Corporation shall have any further rights or obligations under this Agreement in respect of the Units (including those previously Exchanged) with respect to which the rights under this Agreement have been terminated in accordance with </w:t>
      </w:r>
      <w:r>
        <w:rPr>
          <w:rFonts w:ascii="Arial" w:cs="Arial" w:eastAsia="Arial" w:hAnsi="Arial"/>
          <w:sz w:val="19"/>
          <w:szCs w:val="19"/>
          <w:u w:val="single" w:color="auto"/>
          <w:color w:val="auto"/>
        </w:rPr>
        <w:t>Section 3.01</w:t>
      </w:r>
      <w:r>
        <w:rPr>
          <w:rFonts w:ascii="Arial" w:cs="Arial" w:eastAsia="Arial" w:hAnsi="Arial"/>
          <w:sz w:val="19"/>
          <w:szCs w:val="19"/>
          <w:color w:val="auto"/>
        </w:rPr>
        <w:t>, other than for any (i) payment under this Agreement that is due and payable but has not been paid as of the Early Termination Notice and (ii) Tax Benefit Payment due for the Taxable Year ending with or including the date of the Early Termination Notice (except to the extent that the amount described in clause (ii) is included in the Early Termination Payment). For the avoidance of doubt, if an Exchange occurs after the Corporation has made an Early Termination Payments with respect to all Units (including those previously Exchanged), the Corporation shall have no obligations under this Agreement with respect to such Exchange other than any obligations described in clause (i) or (ii) of the preceding sentence.</w:t>
      </w:r>
    </w:p>
    <w:p>
      <w:pPr>
        <w:spacing w:after="0" w:line="16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SUBORDINATION AND LATE PAYMENTS</w:t>
      </w:r>
    </w:p>
    <w:p>
      <w:pPr>
        <w:spacing w:after="0" w:line="182" w:lineRule="exact"/>
        <w:rPr>
          <w:sz w:val="20"/>
          <w:szCs w:val="20"/>
          <w:color w:val="auto"/>
        </w:rPr>
      </w:pPr>
    </w:p>
    <w:p>
      <w:pPr>
        <w:ind w:right="40" w:firstLine="864"/>
        <w:spacing w:after="0" w:line="278" w:lineRule="auto"/>
        <w:rPr>
          <w:sz w:val="20"/>
          <w:szCs w:val="20"/>
          <w:color w:val="auto"/>
        </w:rPr>
      </w:pPr>
      <w:r>
        <w:rPr>
          <w:rFonts w:ascii="Arial" w:cs="Arial" w:eastAsia="Arial" w:hAnsi="Arial"/>
          <w:sz w:val="19"/>
          <w:szCs w:val="19"/>
          <w:b w:val="1"/>
          <w:bCs w:val="1"/>
          <w:color w:val="auto"/>
        </w:rPr>
        <w:t xml:space="preserve">Section 4.01 </w:t>
      </w:r>
      <w:r>
        <w:rPr>
          <w:rFonts w:ascii="Arial" w:cs="Arial" w:eastAsia="Arial" w:hAnsi="Arial"/>
          <w:sz w:val="19"/>
          <w:szCs w:val="19"/>
          <w:u w:val="single" w:color="auto"/>
          <w:color w:val="auto"/>
        </w:rPr>
        <w:t>Subordination</w:t>
      </w:r>
      <w:r>
        <w:rPr>
          <w:rFonts w:ascii="Arial" w:cs="Arial" w:eastAsia="Arial" w:hAnsi="Arial"/>
          <w:sz w:val="19"/>
          <w:szCs w:val="19"/>
          <w:color w:val="auto"/>
        </w:rPr>
        <w:t>. Any Tax Benefit Payment or Early Termination Payment required to be paid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to a TRA Holder under this Agreement shall rank subordinate and junior in right of payment to any principal, interest or other amounts due and payable in respect of any current or future obligations in respect of indebtedness for borrowed money of the Corporation and its Subsidiaries and shall, except as otherwise provided in this Agreement with respect to Other Tax Receivable Agreements,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all current or future unsecured obligations of the Corporation that are not principal, interest or other amounts due and payable in respect of any current or future obligations in respect of indebtedness for borrowed money of the Corporation and its Subsidiaries and shall be senior to equity interests in the Corporation.</w:t>
      </w:r>
    </w:p>
    <w:p>
      <w:pPr>
        <w:spacing w:after="0" w:line="145" w:lineRule="exact"/>
        <w:rPr>
          <w:sz w:val="20"/>
          <w:szCs w:val="20"/>
          <w:color w:val="auto"/>
        </w:rPr>
      </w:pPr>
    </w:p>
    <w:p>
      <w:pPr>
        <w:ind w:right="60" w:firstLine="864"/>
        <w:spacing w:after="0" w:line="280" w:lineRule="auto"/>
        <w:rPr>
          <w:sz w:val="20"/>
          <w:szCs w:val="20"/>
          <w:color w:val="auto"/>
        </w:rPr>
      </w:pPr>
      <w:r>
        <w:rPr>
          <w:rFonts w:ascii="Arial" w:cs="Arial" w:eastAsia="Arial" w:hAnsi="Arial"/>
          <w:sz w:val="19"/>
          <w:szCs w:val="19"/>
          <w:b w:val="1"/>
          <w:bCs w:val="1"/>
          <w:color w:val="auto"/>
        </w:rPr>
        <w:t xml:space="preserve">Section 4.02 </w:t>
      </w:r>
      <w:r>
        <w:rPr>
          <w:rFonts w:ascii="Arial" w:cs="Arial" w:eastAsia="Arial" w:hAnsi="Arial"/>
          <w:sz w:val="19"/>
          <w:szCs w:val="19"/>
          <w:u w:val="single" w:color="auto"/>
          <w:color w:val="auto"/>
        </w:rPr>
        <w:t>Late Payments by the Corporation</w:t>
      </w:r>
      <w:r>
        <w:rPr>
          <w:rFonts w:ascii="Arial" w:cs="Arial" w:eastAsia="Arial" w:hAnsi="Arial"/>
          <w:sz w:val="19"/>
          <w:szCs w:val="19"/>
          <w:color w:val="auto"/>
        </w:rPr>
        <w:t>. The amount of all or any portion of any amount due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this Agreement that is not paid to any TRA Holder when due shall be payable, together with any interest thereon computed at the Default Rate commencing from the date on which such payment was due and payable. Notwithstanding the preceding sentence, the Default Rate shall not apply (and the Agreed Rate shall apply) to any late payment that is late solely as a result of (a) a prohibition, restriction or covenant under any credit agreement, loan agreement, note, indenture or other agreement governing indebtedness of the Company or any of its Subsidiaries or the Corporation or (b) restrictions under applicable law.</w:t>
      </w:r>
    </w:p>
    <w:p>
      <w:pPr>
        <w:spacing w:after="0" w:line="145"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19"/>
          <w:szCs w:val="19"/>
          <w:u w:val="single" w:color="auto"/>
          <w:color w:val="auto"/>
        </w:rPr>
        <w:t>Manner of Payment</w:t>
      </w:r>
      <w:r>
        <w:rPr>
          <w:rFonts w:ascii="Arial" w:cs="Arial" w:eastAsia="Arial" w:hAnsi="Arial"/>
          <w:sz w:val="19"/>
          <w:szCs w:val="19"/>
          <w:color w:val="auto"/>
        </w:rPr>
        <w:t>. All payments required to be made to a TRA Holder pursuant to this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Agreement will be made by electronic payment to a bank account previously designated and owned by such TRA Holder or, if no such account has been designated, by check payable to such TRA Holder.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PREPARATION OF TAX RETURNS; COVENANTS</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u w:val="single" w:color="auto"/>
          <w:color w:val="auto"/>
        </w:rPr>
        <w:t>No Participation by TRA Holder in the Corporation’s and the Company’s Tax Matters</w:t>
      </w:r>
      <w:r>
        <w:rPr>
          <w:rFonts w:ascii="Arial" w:cs="Arial" w:eastAsia="Arial" w:hAnsi="Arial"/>
          <w:sz w:val="19"/>
          <w:szCs w:val="19"/>
          <w:color w:val="auto"/>
        </w:rPr>
        <w:t>.</w:t>
      </w:r>
    </w:p>
    <w:p>
      <w:pPr>
        <w:spacing w:after="0" w:line="212" w:lineRule="exact"/>
        <w:rPr>
          <w:sz w:val="20"/>
          <w:szCs w:val="20"/>
          <w:color w:val="auto"/>
        </w:rPr>
      </w:pPr>
    </w:p>
    <w:p>
      <w:pPr>
        <w:jc w:val="both"/>
        <w:ind w:left="880" w:right="300" w:firstLine="789"/>
        <w:spacing w:after="0" w:line="238" w:lineRule="auto"/>
        <w:tabs>
          <w:tab w:leader="none" w:pos="2565"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xml:space="preserve">. Except as otherwise provided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the Corporation shall have full responsibility for, and sole discretion over, all Tax matters concerning the Corporation and the Company, including, without limitation, the preparation, filing and amending of any Tax Return and defending, contesting or settling any issue pertaining to Taxes.</w:t>
      </w:r>
    </w:p>
    <w:p>
      <w:pPr>
        <w:spacing w:after="0" w:line="184" w:lineRule="exact"/>
        <w:rPr>
          <w:rFonts w:ascii="Arial" w:cs="Arial" w:eastAsia="Arial" w:hAnsi="Arial"/>
          <w:sz w:val="22"/>
          <w:szCs w:val="22"/>
          <w:color w:val="auto"/>
        </w:rPr>
      </w:pPr>
    </w:p>
    <w:p>
      <w:pPr>
        <w:jc w:val="both"/>
        <w:ind w:left="880" w:right="140" w:firstLine="789"/>
        <w:spacing w:after="0" w:line="238" w:lineRule="auto"/>
        <w:tabs>
          <w:tab w:leader="none" w:pos="2577"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Notification of TRA Representative</w:t>
      </w:r>
      <w:r>
        <w:rPr>
          <w:rFonts w:ascii="Arial" w:cs="Arial" w:eastAsia="Arial" w:hAnsi="Arial"/>
          <w:sz w:val="22"/>
          <w:szCs w:val="22"/>
          <w:color w:val="auto"/>
        </w:rPr>
        <w:t>. The Corporation shall notify the TRA Representative of, and keep the TRA Representative reasonably informed with respect to, the portion of any audit of the Corporation and the Company by a Taxing Authority the outcome of which is reasonably expected to affect the TRA Holders’ rights and obligations under this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58" w:name="page259"/>
    <w:bookmarkEnd w:id="258"/>
    <w:p>
      <w:pPr>
        <w:ind w:firstLine="864"/>
        <w:spacing w:after="0" w:line="247" w:lineRule="auto"/>
        <w:rPr>
          <w:sz w:val="20"/>
          <w:szCs w:val="20"/>
          <w:color w:val="auto"/>
        </w:rPr>
      </w:pPr>
      <w:r>
        <w:rPr>
          <w:rFonts w:ascii="Arial" w:cs="Arial" w:eastAsia="Arial" w:hAnsi="Arial"/>
          <w:sz w:val="21"/>
          <w:szCs w:val="21"/>
          <w:b w:val="1"/>
          <w:bCs w:val="1"/>
          <w:color w:val="auto"/>
        </w:rPr>
        <w:t xml:space="preserve">Section 5.02 </w:t>
      </w:r>
      <w:r>
        <w:rPr>
          <w:rFonts w:ascii="Arial" w:cs="Arial" w:eastAsia="Arial" w:hAnsi="Arial"/>
          <w:sz w:val="21"/>
          <w:szCs w:val="21"/>
          <w:u w:val="single" w:color="auto"/>
          <w:color w:val="auto"/>
        </w:rPr>
        <w:t>Consistency</w:t>
      </w:r>
      <w:r>
        <w:rPr>
          <w:rFonts w:ascii="Arial" w:cs="Arial" w:eastAsia="Arial" w:hAnsi="Arial"/>
          <w:sz w:val="21"/>
          <w:szCs w:val="21"/>
          <w:color w:val="auto"/>
        </w:rPr>
        <w:t>. The Corporation and the TRA Holders agree to report and cause to be reported for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including U.S. federal, state, local and foreign tax purposes and financial reporting purposes, all tax-related items (including without limitation the Basis Adjustment and each Tax Benefit Payment) in a manner consistent with that specified by the Corporation in any schedule provided by or on behalf of the Corporation under this Agreement unless the Corporation or a TRA Holder receives a written opinion from an Advisory Firm that reporting in such manner will result in an imposition of penalties pursuant to the Code. Any Dispute concerning such written opinion shall be subject to the Dispute Resolution Procedures set forth in </w:t>
      </w:r>
      <w:r>
        <w:rPr>
          <w:rFonts w:ascii="Arial" w:cs="Arial" w:eastAsia="Arial" w:hAnsi="Arial"/>
          <w:sz w:val="21"/>
          <w:szCs w:val="21"/>
          <w:u w:val="single" w:color="auto"/>
          <w:color w:val="auto"/>
        </w:rPr>
        <w:t>Section 6.08</w:t>
      </w:r>
      <w:r>
        <w:rPr>
          <w:rFonts w:ascii="Arial" w:cs="Arial" w:eastAsia="Arial" w:hAnsi="Arial"/>
          <w:sz w:val="21"/>
          <w:szCs w:val="21"/>
          <w:color w:val="auto"/>
        </w:rPr>
        <w:t>.</w:t>
      </w:r>
    </w:p>
    <w:p>
      <w:pPr>
        <w:spacing w:after="0" w:line="177" w:lineRule="exact"/>
        <w:rPr>
          <w:sz w:val="20"/>
          <w:szCs w:val="20"/>
          <w:color w:val="auto"/>
        </w:rPr>
      </w:pPr>
    </w:p>
    <w:p>
      <w:pPr>
        <w:ind w:firstLine="864"/>
        <w:spacing w:after="0" w:line="246" w:lineRule="auto"/>
        <w:rPr>
          <w:sz w:val="20"/>
          <w:szCs w:val="20"/>
          <w:color w:val="auto"/>
        </w:rPr>
      </w:pPr>
      <w:r>
        <w:rPr>
          <w:rFonts w:ascii="Arial" w:cs="Arial" w:eastAsia="Arial" w:hAnsi="Arial"/>
          <w:sz w:val="21"/>
          <w:szCs w:val="21"/>
          <w:b w:val="1"/>
          <w:bCs w:val="1"/>
          <w:color w:val="auto"/>
        </w:rPr>
        <w:t xml:space="preserve">Section 5.03 </w:t>
      </w:r>
      <w:r>
        <w:rPr>
          <w:rFonts w:ascii="Arial" w:cs="Arial" w:eastAsia="Arial" w:hAnsi="Arial"/>
          <w:sz w:val="21"/>
          <w:szCs w:val="21"/>
          <w:u w:val="single" w:color="auto"/>
          <w:color w:val="auto"/>
        </w:rPr>
        <w:t>Cooperation</w:t>
      </w:r>
      <w:r>
        <w:rPr>
          <w:rFonts w:ascii="Arial" w:cs="Arial" w:eastAsia="Arial" w:hAnsi="Arial"/>
          <w:sz w:val="21"/>
          <w:szCs w:val="21"/>
          <w:color w:val="auto"/>
        </w:rPr>
        <w:t>. Each TRA Holder shall (a) furnish to the Corporation in a timely manner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documents and other materials, not to include such TRA Holder’s personal Tax Returns, as the Corporation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Corporation and its representatives to provide explanations of documents and materials and such other information as the Corporation or its representatives may reasonably request in connection with any of the matters described in clause (a) of this </w:t>
      </w:r>
      <w:r>
        <w:rPr>
          <w:rFonts w:ascii="Arial" w:cs="Arial" w:eastAsia="Arial" w:hAnsi="Arial"/>
          <w:sz w:val="21"/>
          <w:szCs w:val="21"/>
          <w:u w:val="single" w:color="auto"/>
          <w:color w:val="auto"/>
        </w:rPr>
        <w:t>Section 5.03</w:t>
      </w:r>
      <w:r>
        <w:rPr>
          <w:rFonts w:ascii="Arial" w:cs="Arial" w:eastAsia="Arial" w:hAnsi="Arial"/>
          <w:sz w:val="21"/>
          <w:szCs w:val="21"/>
          <w:color w:val="auto"/>
        </w:rPr>
        <w:t xml:space="preserve">, and (c) reasonably cooperate in connection with any such matter. The Corporation shall reimburse each TRA Holder for any reasonable and documented third-party costs and expenses incurred by the TRA Holder in complying with this </w:t>
      </w:r>
      <w:r>
        <w:rPr>
          <w:rFonts w:ascii="Arial" w:cs="Arial" w:eastAsia="Arial" w:hAnsi="Arial"/>
          <w:sz w:val="21"/>
          <w:szCs w:val="21"/>
          <w:u w:val="single" w:color="auto"/>
          <w:color w:val="auto"/>
        </w:rPr>
        <w:t>Section 5.03</w:t>
      </w:r>
      <w:r>
        <w:rPr>
          <w:rFonts w:ascii="Arial" w:cs="Arial" w:eastAsia="Arial" w:hAnsi="Arial"/>
          <w:sz w:val="21"/>
          <w:szCs w:val="21"/>
          <w:color w:val="auto"/>
        </w:rPr>
        <w:t>.</w:t>
      </w:r>
    </w:p>
    <w:p>
      <w:pPr>
        <w:spacing w:after="0" w:line="175" w:lineRule="exact"/>
        <w:rPr>
          <w:sz w:val="20"/>
          <w:szCs w:val="20"/>
          <w:color w:val="auto"/>
        </w:rPr>
      </w:pPr>
    </w:p>
    <w:p>
      <w:pPr>
        <w:ind w:firstLine="864"/>
        <w:spacing w:after="0" w:line="234" w:lineRule="auto"/>
        <w:rPr>
          <w:sz w:val="20"/>
          <w:szCs w:val="20"/>
          <w:color w:val="auto"/>
        </w:rPr>
      </w:pPr>
      <w:r>
        <w:rPr>
          <w:rFonts w:ascii="Arial" w:cs="Arial" w:eastAsia="Arial" w:hAnsi="Arial"/>
          <w:sz w:val="22"/>
          <w:szCs w:val="22"/>
          <w:b w:val="1"/>
          <w:bCs w:val="1"/>
          <w:color w:val="auto"/>
        </w:rPr>
        <w:t xml:space="preserve">Section 5.04 </w:t>
      </w:r>
      <w:r>
        <w:rPr>
          <w:rFonts w:ascii="Arial" w:cs="Arial" w:eastAsia="Arial" w:hAnsi="Arial"/>
          <w:sz w:val="22"/>
          <w:szCs w:val="22"/>
          <w:u w:val="single" w:color="auto"/>
          <w:color w:val="auto"/>
        </w:rPr>
        <w:t>Section 754 Election</w:t>
      </w:r>
      <w:r>
        <w:rPr>
          <w:rFonts w:ascii="Arial" w:cs="Arial" w:eastAsia="Arial" w:hAnsi="Arial"/>
          <w:sz w:val="22"/>
          <w:szCs w:val="22"/>
          <w:color w:val="auto"/>
        </w:rPr>
        <w:t>. The Corporation shall (i) ensure that, on and after the date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continuing throughout the term of this Agreement, the Company and each of its Subsidiaries that is classified as a partnership for U.S. federal income Tax purposes shall have in effect an election pursuant to section 754 of the Code (and any similar provisions of applicable U.S. state or local law) and (ii) use commercially reasonable efforts to ensure that, on and after the date of this Agreement and continuing throughout the term of this Agreement, any entity in which the Company holds a direct or indirect interest that is classified as a partnership for U.S. federal income Tax purposes that is not a “Subsidiary” as defined in this Agreement will have in effect an election pursuant to Section 754 of the Code (and any similar provisions of applicable U.S. state or local law).</w:t>
      </w:r>
    </w:p>
    <w:p>
      <w:pPr>
        <w:spacing w:after="0" w:line="187" w:lineRule="exact"/>
        <w:rPr>
          <w:sz w:val="20"/>
          <w:szCs w:val="20"/>
          <w:color w:val="auto"/>
        </w:rPr>
      </w:pPr>
    </w:p>
    <w:p>
      <w:pPr>
        <w:ind w:right="180" w:firstLine="864"/>
        <w:spacing w:after="0" w:line="275" w:lineRule="auto"/>
        <w:rPr>
          <w:sz w:val="20"/>
          <w:szCs w:val="20"/>
          <w:color w:val="auto"/>
        </w:rPr>
      </w:pPr>
      <w:r>
        <w:rPr>
          <w:rFonts w:ascii="Arial" w:cs="Arial" w:eastAsia="Arial" w:hAnsi="Arial"/>
          <w:sz w:val="19"/>
          <w:szCs w:val="19"/>
          <w:b w:val="1"/>
          <w:bCs w:val="1"/>
          <w:color w:val="auto"/>
        </w:rPr>
        <w:t xml:space="preserve">Section 5.05 </w:t>
      </w:r>
      <w:r>
        <w:rPr>
          <w:rFonts w:ascii="Arial" w:cs="Arial" w:eastAsia="Arial" w:hAnsi="Arial"/>
          <w:sz w:val="19"/>
          <w:szCs w:val="19"/>
          <w:u w:val="single" w:color="auto"/>
          <w:color w:val="auto"/>
        </w:rPr>
        <w:t>Available Cash</w:t>
      </w:r>
      <w:r>
        <w:rPr>
          <w:rFonts w:ascii="Arial" w:cs="Arial" w:eastAsia="Arial" w:hAnsi="Arial"/>
          <w:sz w:val="19"/>
          <w:szCs w:val="19"/>
          <w:color w:val="auto"/>
        </w:rPr>
        <w:t>. The Corporation shall use commercially reasonable efforts to ensure that it has</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Available Cash to make all payments due under this Agreement, including using commercially reasonable efforts to cause the Company to make distributions to the Corporation to make such payments so long as such distributions do not violate</w:t>
      </w:r>
    </w:p>
    <w:p>
      <w:pPr>
        <w:spacing w:after="0" w:line="2" w:lineRule="exact"/>
        <w:rPr>
          <w:sz w:val="20"/>
          <w:szCs w:val="20"/>
          <w:color w:val="auto"/>
        </w:rPr>
      </w:pPr>
    </w:p>
    <w:p>
      <w:pPr>
        <w:ind w:right="420" w:firstLine="8"/>
        <w:spacing w:after="0" w:line="308" w:lineRule="auto"/>
        <w:tabs>
          <w:tab w:leader="none" w:pos="29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 prohibition, restriction or covenant under any credit agreement, loan agreement, note, indenture or other agreement governing indebtedness of the Company or any of its Subsidiaries or the Corporation or (b) restrictions under applicable law.</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firstLine="864"/>
        <w:spacing w:after="0" w:line="283" w:lineRule="auto"/>
        <w:rPr>
          <w:sz w:val="20"/>
          <w:szCs w:val="20"/>
          <w:color w:val="auto"/>
        </w:rPr>
      </w:pPr>
      <w:r>
        <w:rPr>
          <w:rFonts w:ascii="Arial" w:cs="Arial" w:eastAsia="Arial" w:hAnsi="Arial"/>
          <w:sz w:val="19"/>
          <w:szCs w:val="19"/>
          <w:b w:val="1"/>
          <w:bCs w:val="1"/>
          <w:color w:val="auto"/>
        </w:rPr>
        <w:t xml:space="preserve">Section 6.01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claims, demands and other communications with respect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deemed duly given and received (a) on the date of delivery if delivered personally, or by e-mail if sent on a Business Day (or otherwise on the next Business Day) or (b) on the first Business Day following the date of dispatch if delivered by a nationally recognized next-day courier service. All notices under this Agreement shall be delivered as set forth below, or pursuant to such other instructions as may be designated in writing by the party to receive such notice: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Corporation, to:</w:t>
      </w:r>
    </w:p>
    <w:p>
      <w:pPr>
        <w:spacing w:after="0" w:line="23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Viant Technology Inc.</w:t>
      </w:r>
    </w:p>
    <w:p>
      <w:pPr>
        <w:ind w:left="1740"/>
        <w:spacing w:after="0" w:line="238" w:lineRule="auto"/>
        <w:rPr>
          <w:sz w:val="20"/>
          <w:szCs w:val="20"/>
          <w:color w:val="auto"/>
        </w:rPr>
      </w:pPr>
      <w:r>
        <w:rPr>
          <w:rFonts w:ascii="Arial" w:cs="Arial" w:eastAsia="Arial" w:hAnsi="Arial"/>
          <w:sz w:val="22"/>
          <w:szCs w:val="22"/>
          <w:color w:val="auto"/>
        </w:rPr>
        <w:t>2722 Michelson Drive, Suite 100</w:t>
      </w:r>
    </w:p>
    <w:p>
      <w:pPr>
        <w:ind w:left="1740"/>
        <w:spacing w:after="0" w:line="230" w:lineRule="auto"/>
        <w:rPr>
          <w:sz w:val="20"/>
          <w:szCs w:val="20"/>
          <w:color w:val="auto"/>
        </w:rPr>
      </w:pPr>
      <w:r>
        <w:rPr>
          <w:rFonts w:ascii="Arial" w:cs="Arial" w:eastAsia="Arial" w:hAnsi="Arial"/>
          <w:sz w:val="22"/>
          <w:szCs w:val="22"/>
          <w:color w:val="auto"/>
        </w:rPr>
        <w:t>Irvine, CA 92612</w:t>
      </w:r>
    </w:p>
    <w:p>
      <w:pPr>
        <w:ind w:left="1740"/>
        <w:spacing w:after="0" w:line="231" w:lineRule="auto"/>
        <w:rPr>
          <w:sz w:val="20"/>
          <w:szCs w:val="20"/>
          <w:color w:val="auto"/>
        </w:rPr>
      </w:pPr>
      <w:r>
        <w:rPr>
          <w:rFonts w:ascii="Arial" w:cs="Arial" w:eastAsia="Arial" w:hAnsi="Arial"/>
          <w:sz w:val="22"/>
          <w:szCs w:val="22"/>
          <w:color w:val="auto"/>
        </w:rPr>
        <w:t>Phone (949) 861-8888</w:t>
      </w:r>
    </w:p>
    <w:p>
      <w:pPr>
        <w:ind w:left="1740"/>
        <w:spacing w:after="0" w:line="230" w:lineRule="auto"/>
        <w:rPr>
          <w:sz w:val="20"/>
          <w:szCs w:val="20"/>
          <w:color w:val="auto"/>
        </w:rPr>
      </w:pPr>
      <w:r>
        <w:rPr>
          <w:rFonts w:ascii="Arial" w:cs="Arial" w:eastAsia="Arial" w:hAnsi="Arial"/>
          <w:sz w:val="22"/>
          <w:szCs w:val="22"/>
          <w:color w:val="auto"/>
        </w:rPr>
        <w:t>Attention: Larry Madden, CFO</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E-mail: lmadden@viantinc.com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Gibson, Dunn &amp; Crutcher LLP</w:t>
      </w:r>
    </w:p>
    <w:p>
      <w:pPr>
        <w:ind w:left="1740"/>
        <w:spacing w:after="0" w:line="238" w:lineRule="auto"/>
        <w:rPr>
          <w:sz w:val="20"/>
          <w:szCs w:val="20"/>
          <w:color w:val="auto"/>
        </w:rPr>
      </w:pPr>
      <w:r>
        <w:rPr>
          <w:rFonts w:ascii="Arial" w:cs="Arial" w:eastAsia="Arial" w:hAnsi="Arial"/>
          <w:sz w:val="22"/>
          <w:szCs w:val="22"/>
          <w:color w:val="auto"/>
        </w:rPr>
        <w:t>200 Park Avenue</w:t>
      </w:r>
    </w:p>
    <w:p>
      <w:pPr>
        <w:ind w:left="1740"/>
        <w:spacing w:after="0" w:line="230" w:lineRule="auto"/>
        <w:rPr>
          <w:sz w:val="20"/>
          <w:szCs w:val="20"/>
          <w:color w:val="auto"/>
        </w:rPr>
      </w:pPr>
      <w:r>
        <w:rPr>
          <w:rFonts w:ascii="Arial" w:cs="Arial" w:eastAsia="Arial" w:hAnsi="Arial"/>
          <w:sz w:val="22"/>
          <w:szCs w:val="22"/>
          <w:color w:val="auto"/>
        </w:rPr>
        <w:t>New York, NY 10166-0193</w:t>
      </w:r>
    </w:p>
    <w:p>
      <w:pPr>
        <w:ind w:left="1740"/>
        <w:spacing w:after="0" w:line="231" w:lineRule="auto"/>
        <w:rPr>
          <w:sz w:val="20"/>
          <w:szCs w:val="20"/>
          <w:color w:val="auto"/>
        </w:rPr>
      </w:pPr>
      <w:r>
        <w:rPr>
          <w:rFonts w:ascii="Arial" w:cs="Arial" w:eastAsia="Arial" w:hAnsi="Arial"/>
          <w:sz w:val="22"/>
          <w:szCs w:val="22"/>
          <w:color w:val="auto"/>
        </w:rPr>
        <w:t>Phone: +1.212.351.2340</w:t>
      </w:r>
    </w:p>
    <w:p>
      <w:pPr>
        <w:ind w:left="1740"/>
        <w:spacing w:after="0" w:line="230" w:lineRule="auto"/>
        <w:rPr>
          <w:sz w:val="20"/>
          <w:szCs w:val="20"/>
          <w:color w:val="auto"/>
        </w:rPr>
      </w:pPr>
      <w:r>
        <w:rPr>
          <w:rFonts w:ascii="Arial" w:cs="Arial" w:eastAsia="Arial" w:hAnsi="Arial"/>
          <w:sz w:val="22"/>
          <w:szCs w:val="22"/>
          <w:color w:val="auto"/>
        </w:rPr>
        <w:t>Fax: +1.212.351.5220</w:t>
      </w:r>
    </w:p>
    <w:p>
      <w:pPr>
        <w:ind w:left="1740"/>
        <w:spacing w:after="0" w:line="231" w:lineRule="auto"/>
        <w:rPr>
          <w:sz w:val="20"/>
          <w:szCs w:val="20"/>
          <w:color w:val="auto"/>
        </w:rPr>
      </w:pPr>
      <w:r>
        <w:rPr>
          <w:rFonts w:ascii="Arial" w:cs="Arial" w:eastAsia="Arial" w:hAnsi="Arial"/>
          <w:sz w:val="22"/>
          <w:szCs w:val="22"/>
          <w:color w:val="auto"/>
        </w:rPr>
        <w:t>Attention: Eric Sloan and John Williams</w:t>
      </w:r>
    </w:p>
    <w:p>
      <w:pPr>
        <w:ind w:left="1740"/>
        <w:spacing w:after="0" w:line="230"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esloan@gibsondunn.com</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2"/>
          <w:szCs w:val="22"/>
          <w:u w:val="single" w:color="auto"/>
          <w:color w:val="auto"/>
        </w:rPr>
        <w:t>jwilliams@gibsondunn.com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Viant Technology LLC</w:t>
      </w:r>
    </w:p>
    <w:p>
      <w:pPr>
        <w:ind w:left="1740"/>
        <w:spacing w:after="0" w:line="238" w:lineRule="auto"/>
        <w:rPr>
          <w:sz w:val="20"/>
          <w:szCs w:val="20"/>
          <w:color w:val="auto"/>
        </w:rPr>
      </w:pPr>
      <w:r>
        <w:rPr>
          <w:rFonts w:ascii="Arial" w:cs="Arial" w:eastAsia="Arial" w:hAnsi="Arial"/>
          <w:sz w:val="22"/>
          <w:szCs w:val="22"/>
          <w:color w:val="auto"/>
        </w:rPr>
        <w:t>2722 Michelson Drive, Suite 100</w:t>
      </w:r>
    </w:p>
    <w:p>
      <w:pPr>
        <w:ind w:left="1740"/>
        <w:spacing w:after="0" w:line="230" w:lineRule="auto"/>
        <w:rPr>
          <w:sz w:val="20"/>
          <w:szCs w:val="20"/>
          <w:color w:val="auto"/>
        </w:rPr>
      </w:pPr>
      <w:r>
        <w:rPr>
          <w:rFonts w:ascii="Arial" w:cs="Arial" w:eastAsia="Arial" w:hAnsi="Arial"/>
          <w:sz w:val="22"/>
          <w:szCs w:val="22"/>
          <w:color w:val="auto"/>
        </w:rPr>
        <w:t>Irvine, CA 92612</w:t>
      </w:r>
    </w:p>
    <w:p>
      <w:pPr>
        <w:ind w:left="1740"/>
        <w:spacing w:after="0" w:line="231" w:lineRule="auto"/>
        <w:rPr>
          <w:sz w:val="20"/>
          <w:szCs w:val="20"/>
          <w:color w:val="auto"/>
        </w:rPr>
      </w:pPr>
      <w:r>
        <w:rPr>
          <w:rFonts w:ascii="Arial" w:cs="Arial" w:eastAsia="Arial" w:hAnsi="Arial"/>
          <w:sz w:val="22"/>
          <w:szCs w:val="22"/>
          <w:color w:val="auto"/>
        </w:rPr>
        <w:t>Phone (949) 861-8888</w:t>
      </w:r>
    </w:p>
    <w:p>
      <w:pPr>
        <w:ind w:left="1740"/>
        <w:spacing w:after="0" w:line="230" w:lineRule="auto"/>
        <w:rPr>
          <w:sz w:val="20"/>
          <w:szCs w:val="20"/>
          <w:color w:val="auto"/>
        </w:rPr>
      </w:pPr>
      <w:r>
        <w:rPr>
          <w:rFonts w:ascii="Arial" w:cs="Arial" w:eastAsia="Arial" w:hAnsi="Arial"/>
          <w:sz w:val="22"/>
          <w:szCs w:val="22"/>
          <w:color w:val="auto"/>
        </w:rPr>
        <w:t>Attention: Larry Madden, CFO</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E-mail: lmadden@viantinc.com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Gibson, Dunn &amp; Crutcher LLP</w:t>
      </w:r>
    </w:p>
    <w:p>
      <w:pPr>
        <w:ind w:left="1740"/>
        <w:spacing w:after="0" w:line="238" w:lineRule="auto"/>
        <w:rPr>
          <w:sz w:val="20"/>
          <w:szCs w:val="20"/>
          <w:color w:val="auto"/>
        </w:rPr>
      </w:pPr>
      <w:r>
        <w:rPr>
          <w:rFonts w:ascii="Arial" w:cs="Arial" w:eastAsia="Arial" w:hAnsi="Arial"/>
          <w:sz w:val="22"/>
          <w:szCs w:val="22"/>
          <w:color w:val="auto"/>
        </w:rPr>
        <w:t>200 Park Avenue</w:t>
      </w:r>
    </w:p>
    <w:p>
      <w:pPr>
        <w:ind w:left="1740"/>
        <w:spacing w:after="0" w:line="230" w:lineRule="auto"/>
        <w:rPr>
          <w:sz w:val="20"/>
          <w:szCs w:val="20"/>
          <w:color w:val="auto"/>
        </w:rPr>
      </w:pPr>
      <w:r>
        <w:rPr>
          <w:rFonts w:ascii="Arial" w:cs="Arial" w:eastAsia="Arial" w:hAnsi="Arial"/>
          <w:sz w:val="22"/>
          <w:szCs w:val="22"/>
          <w:color w:val="auto"/>
        </w:rPr>
        <w:t>New York, NY 10166-0193</w:t>
      </w:r>
    </w:p>
    <w:p>
      <w:pPr>
        <w:ind w:left="1740"/>
        <w:spacing w:after="0" w:line="231" w:lineRule="auto"/>
        <w:rPr>
          <w:sz w:val="20"/>
          <w:szCs w:val="20"/>
          <w:color w:val="auto"/>
        </w:rPr>
      </w:pPr>
      <w:r>
        <w:rPr>
          <w:rFonts w:ascii="Arial" w:cs="Arial" w:eastAsia="Arial" w:hAnsi="Arial"/>
          <w:sz w:val="22"/>
          <w:szCs w:val="22"/>
          <w:color w:val="auto"/>
        </w:rPr>
        <w:t>Phone: +1.212.351.2340</w:t>
      </w:r>
    </w:p>
    <w:p>
      <w:pPr>
        <w:ind w:left="1740"/>
        <w:spacing w:after="0" w:line="230" w:lineRule="auto"/>
        <w:rPr>
          <w:sz w:val="20"/>
          <w:szCs w:val="20"/>
          <w:color w:val="auto"/>
        </w:rPr>
      </w:pPr>
      <w:r>
        <w:rPr>
          <w:rFonts w:ascii="Arial" w:cs="Arial" w:eastAsia="Arial" w:hAnsi="Arial"/>
          <w:sz w:val="22"/>
          <w:szCs w:val="22"/>
          <w:color w:val="auto"/>
        </w:rPr>
        <w:t>Fax: +1.212.351.5220</w:t>
      </w:r>
    </w:p>
    <w:p>
      <w:pPr>
        <w:ind w:left="1740"/>
        <w:spacing w:after="0" w:line="231" w:lineRule="auto"/>
        <w:rPr>
          <w:sz w:val="20"/>
          <w:szCs w:val="20"/>
          <w:color w:val="auto"/>
        </w:rPr>
      </w:pPr>
      <w:r>
        <w:rPr>
          <w:rFonts w:ascii="Arial" w:cs="Arial" w:eastAsia="Arial" w:hAnsi="Arial"/>
          <w:sz w:val="22"/>
          <w:szCs w:val="22"/>
          <w:color w:val="auto"/>
        </w:rPr>
        <w:t>Attention: Eric Sloan and John Williams</w:t>
      </w:r>
    </w:p>
    <w:p>
      <w:pPr>
        <w:ind w:left="17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esloan@gibsondunn.com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60" w:name="page261"/>
    <w:bookmarkEnd w:id="260"/>
    <w:p>
      <w:pPr>
        <w:ind w:left="2640"/>
        <w:spacing w:after="0"/>
        <w:rPr>
          <w:sz w:val="20"/>
          <w:szCs w:val="20"/>
          <w:color w:val="auto"/>
        </w:rPr>
      </w:pPr>
      <w:r>
        <w:rPr>
          <w:rFonts w:ascii="Arial" w:cs="Arial" w:eastAsia="Arial" w:hAnsi="Arial"/>
          <w:sz w:val="22"/>
          <w:szCs w:val="22"/>
          <w:u w:val="single" w:color="auto"/>
          <w:color w:val="auto"/>
        </w:rPr>
        <w:t>jwilliams@gibsondunn.com</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TRA Representative, to:</w:t>
      </w:r>
    </w:p>
    <w:p>
      <w:pPr>
        <w:spacing w:after="0" w:line="206" w:lineRule="exact"/>
        <w:rPr>
          <w:sz w:val="20"/>
          <w:szCs w:val="20"/>
          <w:color w:val="auto"/>
        </w:rPr>
      </w:pPr>
    </w:p>
    <w:p>
      <w:pPr>
        <w:ind w:left="1740" w:right="200"/>
        <w:spacing w:after="0" w:line="250" w:lineRule="auto"/>
        <w:rPr>
          <w:sz w:val="20"/>
          <w:szCs w:val="20"/>
          <w:color w:val="auto"/>
        </w:rPr>
      </w:pPr>
      <w:r>
        <w:rPr>
          <w:rFonts w:ascii="Arial" w:cs="Arial" w:eastAsia="Arial" w:hAnsi="Arial"/>
          <w:sz w:val="22"/>
          <w:szCs w:val="22"/>
          <w:color w:val="auto"/>
        </w:rPr>
        <w:t>the address provided to the Corporation at the time of the TRA Representative’s appointment in accordance with the definition of “TRA Representative.”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TRA Holder(s),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address set forth for such TRA Holder in the records of the Company.</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 xml:space="preserve">Any party may change its address by giving the other party written notice of its new address, fax number, or e-mail address in the manner set forth in this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9" w:lineRule="exact"/>
        <w:rPr>
          <w:sz w:val="20"/>
          <w:szCs w:val="20"/>
          <w:color w:val="auto"/>
        </w:rPr>
      </w:pPr>
    </w:p>
    <w:p>
      <w:pPr>
        <w:ind w:right="40" w:firstLine="864"/>
        <w:spacing w:after="0" w:line="235" w:lineRule="auto"/>
        <w:rPr>
          <w:sz w:val="20"/>
          <w:szCs w:val="20"/>
          <w:color w:val="auto"/>
        </w:rPr>
      </w:pPr>
      <w:r>
        <w:rPr>
          <w:rFonts w:ascii="Arial" w:cs="Arial" w:eastAsia="Arial" w:hAnsi="Arial"/>
          <w:sz w:val="22"/>
          <w:szCs w:val="22"/>
          <w:b w:val="1"/>
          <w:bCs w:val="1"/>
          <w:color w:val="auto"/>
        </w:rPr>
        <w:t xml:space="preserve">Section 6.02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all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one and the same agreement and shall become effective when one or more counterparts have been signed by each of the parties and delivered to the other parties, it being understood that all parties need not sign the same counterpart. This Agreement may be executed in two or more counterparts by manual, electronic or facsimile signature, each of which shall be deemed an original, but all of which together shall constitute one and the same instrument. Delivery of an executed signature page to this Agreement by electronic transmission or facsimile transmission shall be as effective as delivery of a manually signed counterpart of this Agreement.</w:t>
      </w:r>
    </w:p>
    <w:p>
      <w:pPr>
        <w:spacing w:after="0" w:line="183"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b w:val="1"/>
          <w:bCs w:val="1"/>
          <w:color w:val="auto"/>
        </w:rPr>
        <w:t xml:space="preserve">Section 6.03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provisions of this Agreement, the LLC Agreement and the other writings</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 Except as expressly provided herein, this Agreement does not create any rights, claims or benefits inuring to any person that is not a party hereto nor create or establish any third party beneficiary hereto.</w:t>
      </w:r>
    </w:p>
    <w:p>
      <w:pPr>
        <w:spacing w:after="0" w:line="182" w:lineRule="exact"/>
        <w:rPr>
          <w:sz w:val="20"/>
          <w:szCs w:val="20"/>
          <w:color w:val="auto"/>
        </w:rPr>
      </w:pPr>
    </w:p>
    <w:p>
      <w:pPr>
        <w:jc w:val="both"/>
        <w:ind w:right="100" w:firstLine="864"/>
        <w:spacing w:after="0" w:line="243" w:lineRule="auto"/>
        <w:rPr>
          <w:sz w:val="20"/>
          <w:szCs w:val="20"/>
          <w:color w:val="auto"/>
        </w:rPr>
      </w:pPr>
      <w:r>
        <w:rPr>
          <w:rFonts w:ascii="Arial" w:cs="Arial" w:eastAsia="Arial" w:hAnsi="Arial"/>
          <w:sz w:val="22"/>
          <w:szCs w:val="22"/>
          <w:b w:val="1"/>
          <w:bCs w:val="1"/>
          <w:color w:val="auto"/>
        </w:rPr>
        <w:t xml:space="preserve">Section 6.04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Delaware (and, to the extent applicable, federal law), without regard to the conflicts of laws principles thereof that would mandate the application of the laws of another jurisdiction.</w:t>
      </w:r>
    </w:p>
    <w:p>
      <w:pPr>
        <w:spacing w:after="0" w:line="177"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b w:val="1"/>
          <w:bCs w:val="1"/>
          <w:color w:val="auto"/>
        </w:rPr>
        <w:t xml:space="preserve">Section 6.05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of such provision to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In addition, if any court of competent jurisdiction determines that any provision of this Agreement is invalid or unenforceable as written, each Person party hereto shall take all necessary action to cause this Agreement to be amended so as to provide, to the maximum extent reasonably possible, that the purposes of the Agreement can be realized, and to modify this Agreement to the minimum extent reasonably possible.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61" w:name="page262"/>
    <w:bookmarkEnd w:id="261"/>
    <w:p>
      <w:pPr>
        <w:spacing w:after="0"/>
        <w:tabs>
          <w:tab w:leader="none" w:pos="1720" w:val="left"/>
        </w:tabs>
        <w:rPr>
          <w:sz w:val="20"/>
          <w:szCs w:val="20"/>
          <w:color w:val="auto"/>
        </w:rPr>
      </w:pPr>
      <w:r>
        <w:rPr>
          <w:rFonts w:ascii="Arial" w:cs="Arial" w:eastAsia="Arial" w:hAnsi="Arial"/>
          <w:sz w:val="22"/>
          <w:szCs w:val="22"/>
          <w:b w:val="1"/>
          <w:bCs w:val="1"/>
          <w:color w:val="auto"/>
        </w:rPr>
        <w:t>Section 6.06</w:t>
      </w:r>
      <w:r>
        <w:rPr>
          <w:sz w:val="20"/>
          <w:szCs w:val="20"/>
          <w:color w:val="auto"/>
        </w:rPr>
        <w:tab/>
      </w:r>
      <w:r>
        <w:rPr>
          <w:rFonts w:ascii="Arial" w:cs="Arial" w:eastAsia="Arial" w:hAnsi="Arial"/>
          <w:sz w:val="19"/>
          <w:szCs w:val="19"/>
          <w:u w:val="single" w:color="auto"/>
          <w:color w:val="auto"/>
        </w:rPr>
        <w:t>Assignment; Amendments; Waiver of Compliance; Successors and Assigns</w:t>
      </w:r>
      <w:r>
        <w:rPr>
          <w:rFonts w:ascii="Arial" w:cs="Arial" w:eastAsia="Arial" w:hAnsi="Arial"/>
          <w:sz w:val="19"/>
          <w:szCs w:val="19"/>
          <w:color w:val="auto"/>
        </w:rPr>
        <w:t>.</w:t>
      </w:r>
    </w:p>
    <w:p>
      <w:pPr>
        <w:spacing w:after="0" w:line="212" w:lineRule="exact"/>
        <w:rPr>
          <w:sz w:val="20"/>
          <w:szCs w:val="20"/>
          <w:color w:val="auto"/>
        </w:rPr>
      </w:pPr>
    </w:p>
    <w:p>
      <w:pPr>
        <w:ind w:firstLine="789"/>
        <w:spacing w:after="0" w:line="272" w:lineRule="auto"/>
        <w:tabs>
          <w:tab w:leader="none" w:pos="1685"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No TRA Holder may, directly or indirectly, assign or otherwise transfer its rights under this Agreement to any person without the express prior written consent of the Corporation,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Corporation may withhold, condition, or delay its consent in its sole discretion to any transfer by a TRA Holder (i) if the TRA Holder is an original signatory to this Agreement and that TRA Holder seeks to transfer a portion of its rights, in the aggregate, to more than three transferees, and (ii) if the TRA Holder is not an original signatory to this Agreement and that TRA Holder seeks to transfer less than all of its rights. Notwithstanding the provisions of the preceding sentence, to the extent Units are transferred in accordance with the terms of the LLC Agreement, the transferring TRA Holder may assign to the transferee all, but not less than all, of that TRA Holder’s rights under this Agreement with respect to such transferred Units, but only if such transferee executes and delivers a joinder to this Agreement agreeing to become a “TRA Holder” for all purposes of this Agreement (except as otherwise provided in such joinder), with such joinder being, in form and substance, reasonably satisfactory to the Corporation.</w:t>
      </w:r>
    </w:p>
    <w:p>
      <w:pPr>
        <w:spacing w:after="0" w:line="160" w:lineRule="exact"/>
        <w:rPr>
          <w:rFonts w:ascii="Arial" w:cs="Arial" w:eastAsia="Arial" w:hAnsi="Arial"/>
          <w:sz w:val="19"/>
          <w:szCs w:val="19"/>
          <w:color w:val="auto"/>
        </w:rPr>
      </w:pPr>
    </w:p>
    <w:p>
      <w:pPr>
        <w:ind w:left="1680" w:hanging="891"/>
        <w:spacing w:after="0"/>
        <w:tabs>
          <w:tab w:leader="none" w:pos="168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firstLine="726"/>
        <w:spacing w:after="0" w:line="279" w:lineRule="auto"/>
        <w:tabs>
          <w:tab w:leader="none" w:pos="2443" w:val="left"/>
        </w:tabs>
        <w:numPr>
          <w:ilvl w:val="1"/>
          <w:numId w:val="192"/>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No provision of this Agreement may be amended unless such amendment is approved in writing by the Corporation, the Company, and the TRA Holders who would be entitled to receive at least two-thirds of the Early Termination Payments payable to all TRA Holders (as determined by the Corporation) if the Corporation had exercised its right of early termination under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on the date of the most recent Exchange prior to such amendment (excluding, for purposes of this sentence, all payments made to any TRA Holder pursuant to this Agreement since the date of such most recent Exchange).</w:t>
      </w:r>
    </w:p>
    <w:p>
      <w:pPr>
        <w:spacing w:after="0" w:line="150" w:lineRule="exact"/>
        <w:rPr>
          <w:rFonts w:ascii="Arial" w:cs="Arial" w:eastAsia="Arial" w:hAnsi="Arial"/>
          <w:sz w:val="19"/>
          <w:szCs w:val="19"/>
          <w:color w:val="auto"/>
        </w:rPr>
      </w:pPr>
    </w:p>
    <w:p>
      <w:pPr>
        <w:ind w:left="860" w:right="60" w:firstLine="726"/>
        <w:spacing w:after="0" w:line="282" w:lineRule="auto"/>
        <w:tabs>
          <w:tab w:leader="none" w:pos="2503" w:val="left"/>
        </w:tabs>
        <w:numPr>
          <w:ilvl w:val="1"/>
          <w:numId w:val="192"/>
        </w:numPr>
        <w:rPr>
          <w:rFonts w:ascii="Arial" w:cs="Arial" w:eastAsia="Arial" w:hAnsi="Arial"/>
          <w:sz w:val="19"/>
          <w:szCs w:val="19"/>
          <w:color w:val="auto"/>
        </w:rPr>
      </w:pPr>
      <w:r>
        <w:rPr>
          <w:rFonts w:ascii="Arial" w:cs="Arial" w:eastAsia="Arial" w:hAnsi="Arial"/>
          <w:sz w:val="19"/>
          <w:szCs w:val="19"/>
          <w:u w:val="single" w:color="auto"/>
          <w:color w:val="auto"/>
        </w:rPr>
        <w:t>Amendments with Disproportionate Adverse Effect</w:t>
      </w:r>
      <w:r>
        <w:rPr>
          <w:rFonts w:ascii="Arial" w:cs="Arial" w:eastAsia="Arial" w:hAnsi="Arial"/>
          <w:sz w:val="19"/>
          <w:szCs w:val="19"/>
          <w:color w:val="auto"/>
        </w:rPr>
        <w:t xml:space="preserve">. Notwithstanding the provisions of Section 6.06(b)(i), if a proposed amendment would have a disproportionate adverse effect on the payments one or more TRA Holders will or may receive under this Agreement, such amendment shall not be effective unless at least two-thirds of the TRA Holders who would be disproportionately adversely affected (with such two-thirds threshold being measured as set forth in </w:t>
      </w:r>
      <w:r>
        <w:rPr>
          <w:rFonts w:ascii="Arial" w:cs="Arial" w:eastAsia="Arial" w:hAnsi="Arial"/>
          <w:sz w:val="19"/>
          <w:szCs w:val="19"/>
          <w:u w:val="single" w:color="auto"/>
          <w:color w:val="auto"/>
        </w:rPr>
        <w:t>Section 6.06(b)(i)</w:t>
      </w:r>
      <w:r>
        <w:rPr>
          <w:rFonts w:ascii="Arial" w:cs="Arial" w:eastAsia="Arial" w:hAnsi="Arial"/>
          <w:sz w:val="19"/>
          <w:szCs w:val="19"/>
          <w:color w:val="auto"/>
        </w:rPr>
        <w:t>) consent in writing to that amendment.</w:t>
      </w:r>
    </w:p>
    <w:p>
      <w:pPr>
        <w:spacing w:after="0" w:line="147" w:lineRule="exact"/>
        <w:rPr>
          <w:rFonts w:ascii="Arial" w:cs="Arial" w:eastAsia="Arial" w:hAnsi="Arial"/>
          <w:sz w:val="19"/>
          <w:szCs w:val="19"/>
          <w:color w:val="auto"/>
        </w:rPr>
      </w:pPr>
    </w:p>
    <w:p>
      <w:pPr>
        <w:jc w:val="both"/>
        <w:ind w:right="20" w:firstLine="789"/>
        <w:spacing w:after="0" w:line="249" w:lineRule="auto"/>
        <w:tabs>
          <w:tab w:leader="none" w:pos="1685"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Waiver of Compliance</w:t>
      </w:r>
      <w:r>
        <w:rPr>
          <w:rFonts w:ascii="Arial" w:cs="Arial" w:eastAsia="Arial" w:hAnsi="Arial"/>
          <w:sz w:val="21"/>
          <w:szCs w:val="21"/>
          <w:color w:val="auto"/>
        </w:rPr>
        <w:t>. 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-1407160</wp:posOffset>
            </wp:positionV>
            <wp:extent cx="9753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571" w:right="359" w:bottom="1440" w:gutter="0" w:footer="0" w:header="0"/>
        </w:sectPr>
      </w:pPr>
    </w:p>
    <w:bookmarkStart w:id="262" w:name="page263"/>
    <w:bookmarkEnd w:id="262"/>
    <w:p>
      <w:pPr>
        <w:ind w:left="880" w:right="60" w:firstLine="789"/>
        <w:spacing w:after="0" w:line="234" w:lineRule="auto"/>
        <w:tabs>
          <w:tab w:leader="none" w:pos="2577"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provided herein, all of the terms and provisions of this Agreement shall be binding upon, shall inure to the benefit of and shall be enforceable by the respective successors and permitted assigns of the parties hereto. The Corporation shall require and cause any direct or indirect successor (whether by purchase, merger, consolidation, division, conversion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85" w:lineRule="exact"/>
        <w:rPr>
          <w:sz w:val="20"/>
          <w:szCs w:val="20"/>
          <w:color w:val="auto"/>
        </w:rPr>
      </w:pPr>
    </w:p>
    <w:p>
      <w:pPr>
        <w:ind w:right="1040" w:firstLine="864"/>
        <w:spacing w:after="0" w:line="256" w:lineRule="auto"/>
        <w:rPr>
          <w:sz w:val="20"/>
          <w:szCs w:val="20"/>
          <w:color w:val="auto"/>
        </w:rPr>
      </w:pPr>
      <w:r>
        <w:rPr>
          <w:rFonts w:ascii="Arial" w:cs="Arial" w:eastAsia="Arial" w:hAnsi="Arial"/>
          <w:sz w:val="22"/>
          <w:szCs w:val="22"/>
          <w:b w:val="1"/>
          <w:bCs w:val="1"/>
          <w:color w:val="auto"/>
        </w:rPr>
        <w:t xml:space="preserve">Section 6.07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of the sections and subsections of this Agreement are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are not to be considered in construing this Agreement.</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6.08</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ind w:left="880" w:right="120" w:firstLine="789"/>
        <w:spacing w:after="0" w:line="236" w:lineRule="auto"/>
        <w:tabs>
          <w:tab w:leader="none" w:pos="2565"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Disputes as to Interpretation and Calculations</w:t>
      </w:r>
      <w:r>
        <w:rPr>
          <w:rFonts w:ascii="Arial" w:cs="Arial" w:eastAsia="Arial" w:hAnsi="Arial"/>
          <w:sz w:val="22"/>
          <w:szCs w:val="22"/>
          <w:color w:val="auto"/>
        </w:rPr>
        <w:t xml:space="preserve">. Any Dispute as to the interpretation of, or calculations required by, this Agreement shall be resolved by the Corporation in its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resolution shall reflect a reasonable interpretation of the provisions of this Agreement, consistent with the goal that the provisions of this Agreement result in the TRA Holders receiving eighty-five percent (85%) of the Cumulative Net Realized Tax Benefit and the Additional Amount thereon.</w:t>
      </w:r>
    </w:p>
    <w:p>
      <w:pPr>
        <w:spacing w:after="0" w:line="187" w:lineRule="exact"/>
        <w:rPr>
          <w:rFonts w:ascii="Arial" w:cs="Arial" w:eastAsia="Arial" w:hAnsi="Arial"/>
          <w:sz w:val="22"/>
          <w:szCs w:val="22"/>
          <w:color w:val="auto"/>
        </w:rPr>
      </w:pPr>
    </w:p>
    <w:p>
      <w:pPr>
        <w:ind w:left="880" w:firstLine="789"/>
        <w:spacing w:after="0" w:line="273" w:lineRule="auto"/>
        <w:tabs>
          <w:tab w:leader="none" w:pos="2577"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Dispute Resolution; Arbitration</w:t>
      </w:r>
      <w:r>
        <w:rPr>
          <w:rFonts w:ascii="Arial" w:cs="Arial" w:eastAsia="Arial" w:hAnsi="Arial"/>
          <w:sz w:val="19"/>
          <w:szCs w:val="19"/>
          <w:color w:val="auto"/>
        </w:rPr>
        <w:t xml:space="preserve">. Except for the matters in </w:t>
      </w:r>
      <w:r>
        <w:rPr>
          <w:rFonts w:ascii="Arial" w:cs="Arial" w:eastAsia="Arial" w:hAnsi="Arial"/>
          <w:sz w:val="19"/>
          <w:szCs w:val="19"/>
          <w:u w:val="single" w:color="auto"/>
          <w:color w:val="auto"/>
        </w:rPr>
        <w:t>Section 6.08(a)</w:t>
      </w:r>
      <w:r>
        <w:rPr>
          <w:rFonts w:ascii="Arial" w:cs="Arial" w:eastAsia="Arial" w:hAnsi="Arial"/>
          <w:sz w:val="19"/>
          <w:szCs w:val="19"/>
          <w:color w:val="auto"/>
        </w:rPr>
        <w:t>, the parties shall negotiate in good faith to resolve any dispute, controversy, or claim arising out of or in connection with this Agreement, or the interpretation, breach, termination or validity thereof (“</w:t>
      </w:r>
      <w:r>
        <w:rPr>
          <w:rFonts w:ascii="Arial" w:cs="Arial" w:eastAsia="Arial" w:hAnsi="Arial"/>
          <w:sz w:val="19"/>
          <w:szCs w:val="19"/>
          <w:b w:val="1"/>
          <w:bCs w:val="1"/>
          <w:color w:val="auto"/>
        </w:rPr>
        <w:t>Dispute</w:t>
      </w:r>
      <w:r>
        <w:rPr>
          <w:rFonts w:ascii="Arial" w:cs="Arial" w:eastAsia="Arial" w:hAnsi="Arial"/>
          <w:sz w:val="19"/>
          <w:szCs w:val="19"/>
          <w:color w:val="auto"/>
        </w:rPr>
        <w:t>”). To the extent any Dispute is not resolved through good faith negotiations, Disputes shall be finally resolved by arbitration before a panel of three independent tax lawyers at major law firms who are resident in Los Angeles, California and are mutually acceptable to the parties (the “</w:t>
      </w:r>
      <w:r>
        <w:rPr>
          <w:rFonts w:ascii="Arial" w:cs="Arial" w:eastAsia="Arial" w:hAnsi="Arial"/>
          <w:sz w:val="19"/>
          <w:szCs w:val="19"/>
          <w:b w:val="1"/>
          <w:bCs w:val="1"/>
          <w:color w:val="auto"/>
        </w:rPr>
        <w:t>Arbitrators</w:t>
      </w:r>
      <w:r>
        <w:rPr>
          <w:rFonts w:ascii="Arial" w:cs="Arial" w:eastAsia="Arial" w:hAnsi="Arial"/>
          <w:sz w:val="19"/>
          <w:szCs w:val="19"/>
          <w:color w:val="auto"/>
        </w:rPr>
        <w:t xml:space="preserve">”). The Arbitrators, with the consent of the parties, may, or, at the direction of the parties, shall, delegate some or all of the issues under dispute (including Disputes under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w:t>
      </w:r>
      <w:r>
        <w:rPr>
          <w:rFonts w:ascii="Arial" w:cs="Arial" w:eastAsia="Arial" w:hAnsi="Arial"/>
          <w:sz w:val="19"/>
          <w:szCs w:val="19"/>
          <w:color w:val="auto"/>
        </w:rPr>
        <w:t>) to a nationally recognized accounting firm selected by the Arbitrators and agreed to by the parties. Notwithstanding anything to the contrary in this Agreement, the TRA Representative shall represent the interests of any TRA Holder(s) in any Dispute and no TRA Holder shall individually have the right to participate in any proceeding.</w:t>
      </w:r>
    </w:p>
    <w:p>
      <w:pPr>
        <w:spacing w:after="0" w:line="160" w:lineRule="exact"/>
        <w:rPr>
          <w:rFonts w:ascii="Arial" w:cs="Arial" w:eastAsia="Arial" w:hAnsi="Arial"/>
          <w:sz w:val="19"/>
          <w:szCs w:val="19"/>
          <w:color w:val="auto"/>
        </w:rPr>
      </w:pPr>
    </w:p>
    <w:p>
      <w:pPr>
        <w:ind w:left="880" w:right="80" w:firstLine="789"/>
        <w:spacing w:after="0" w:line="277" w:lineRule="auto"/>
        <w:tabs>
          <w:tab w:leader="none" w:pos="2565"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Selection of Arbitrators; Timing</w:t>
      </w:r>
      <w:r>
        <w:rPr>
          <w:rFonts w:ascii="Arial" w:cs="Arial" w:eastAsia="Arial" w:hAnsi="Arial"/>
          <w:sz w:val="19"/>
          <w:szCs w:val="19"/>
          <w:color w:val="auto"/>
        </w:rPr>
        <w:t>. There shall be three Arbitrators who shall be appointed by the parties within 20 days of receipt by a party of a copy of the demand for arbitration. The Corporation shall appoint one arbitrator and the TRA Representative shall appoint one arbitrator (with the appointment being subject, in each case, to the reasonable objection of the other party), and the parties shall jointly appoint the third arbitrator. If any of the Arbitrators is not appointed within 20 days, and the parties have not agreed to extend the 20-day time period, such arbitrator shall be appointed by JAMS in accordance with the listing, striking and ranking procedure in the JAMS Comprehensive Arbitration Rules and Procedures, with each party being given 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63" w:name="page264"/>
    <w:bookmarkEnd w:id="263"/>
    <w:p>
      <w:pPr>
        <w:ind w:right="180"/>
        <w:spacing w:after="0" w:line="287" w:lineRule="auto"/>
        <w:rPr>
          <w:sz w:val="20"/>
          <w:szCs w:val="20"/>
          <w:color w:val="auto"/>
        </w:rPr>
      </w:pPr>
      <w:r>
        <w:rPr>
          <w:rFonts w:ascii="Arial" w:cs="Arial" w:eastAsia="Arial" w:hAnsi="Arial"/>
          <w:sz w:val="19"/>
          <w:szCs w:val="19"/>
          <w:color w:val="auto"/>
        </w:rPr>
        <w:t>limited number of strikes, except for cause. Any arbitrator appointed by JAMS shall be a retired judge or a practicing attorney with no less than fifteen years of experience with corporate and partnership tax matters and an experienced arbitrator. In rendering an award, the Arbitrators shall be required to follow the laws of the state of Delaware, notwithstanding any Delaware choice-of-law rules. The costs of arbitration shall be split equally between the parties.</w:t>
      </w:r>
    </w:p>
    <w:p>
      <w:pPr>
        <w:spacing w:after="0" w:line="143" w:lineRule="exact"/>
        <w:rPr>
          <w:sz w:val="20"/>
          <w:szCs w:val="20"/>
          <w:color w:val="auto"/>
        </w:rPr>
      </w:pPr>
    </w:p>
    <w:p>
      <w:pPr>
        <w:ind w:right="60" w:firstLine="789"/>
        <w:spacing w:after="0" w:line="246" w:lineRule="auto"/>
        <w:tabs>
          <w:tab w:leader="none" w:pos="1697"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Arbitration Award; Damages; Attorney Fees</w:t>
      </w:r>
      <w:r>
        <w:rPr>
          <w:rFonts w:ascii="Arial" w:cs="Arial" w:eastAsia="Arial" w:hAnsi="Arial"/>
          <w:sz w:val="21"/>
          <w:szCs w:val="21"/>
          <w:color w:val="auto"/>
        </w:rPr>
        <w:t>. The arbitral award shall be in writing and shall state the findings of fact and conclusions of law on which it is based. The Arbitrators shall not be permitted to award punitive, non-economic, or any non-compensatory damages. The award shall be final and binding upon the parties and shall be the sole and exclusive remedy between the parties regarding any claims, counterclaims, issues, or accounting presented to the Arbitrators. Judgment upon the award may be entered in any court having jurisdiction over any party or any of its assets. Any costs or fees (including all attorneys’ fees and expenses) incident to enforcing the award shall be charged against the party resisting such enforcement. Each party shall bear its own attorneys fees incurred in the underlying arbitration.</w:t>
      </w:r>
    </w:p>
    <w:p>
      <w:pPr>
        <w:spacing w:after="0" w:line="179" w:lineRule="exact"/>
        <w:rPr>
          <w:rFonts w:ascii="Arial" w:cs="Arial" w:eastAsia="Arial" w:hAnsi="Arial"/>
          <w:sz w:val="21"/>
          <w:szCs w:val="21"/>
          <w:color w:val="auto"/>
        </w:rPr>
      </w:pPr>
    </w:p>
    <w:p>
      <w:pPr>
        <w:ind w:firstLine="789"/>
        <w:spacing w:after="0" w:line="273" w:lineRule="auto"/>
        <w:tabs>
          <w:tab w:leader="none" w:pos="1685"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Disputes shall be resolved in a confidential manner. The Arbitrators shall agree to hold any information received during the arbitration in the strictest of confidence and shall not disclose to any non-party the existence, contents or results of the arbitration or any other information about such arbitration. The parties to the arbitration shall not disclose any information about the evidence adduced or the documents produced by the other party in the arbitration proceedings or about the existence, contents or results of the proceeding except as may be required by law, regulatory or governmental authority or as may be necessary in an action in aid of arbitration or for enforcement of an arbitral award. Before making any disclosure permitted by the preceding sentence (other than private disclosure to financial regulatory authorities), the party intending to make such disclosure shall use reasonable efforts to give the other party reasonable written notice of the intended disclosure and afford the other party a reasonable opportunity to protect its interests.</w:t>
      </w:r>
    </w:p>
    <w:p>
      <w:pPr>
        <w:spacing w:after="0" w:line="160" w:lineRule="exact"/>
        <w:rPr>
          <w:rFonts w:ascii="Arial" w:cs="Arial" w:eastAsia="Arial" w:hAnsi="Arial"/>
          <w:sz w:val="19"/>
          <w:szCs w:val="19"/>
          <w:color w:val="auto"/>
        </w:rPr>
      </w:pPr>
    </w:p>
    <w:p>
      <w:pPr>
        <w:ind w:right="20" w:firstLine="789"/>
        <w:spacing w:after="0" w:line="246" w:lineRule="auto"/>
        <w:tabs>
          <w:tab w:leader="none" w:pos="1661"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Discovery</w:t>
      </w:r>
      <w:r>
        <w:rPr>
          <w:rFonts w:ascii="Arial" w:cs="Arial" w:eastAsia="Arial" w:hAnsi="Arial"/>
          <w:sz w:val="21"/>
          <w:szCs w:val="21"/>
          <w:color w:val="auto"/>
        </w:rPr>
        <w:t>. Barring extraordinary circumstances (as determined in the sole discretion of the Arbitrators), discovery shall be limited to pre-hearing disclosure of documents that each side shall present in support of its case, and non-privileged documents essential to a matter of import in the proceeding for which a party has demonstrated a substantial need. The parties agree that they shall produce to each other all such requested non-privileged documents, except documents objected to and with respect to which a ruling has been or shall be sought from the Arbitrators. The parties agree that information from the Corporate Tax Return (including by way of a redacted Corporate Tax Return) shall be sufficient, and that the Corporation shall not be compelled to produce any unredacted Tax Returns. There will be no depositions or live witness testimony.</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64" w:name="page265"/>
    <w:bookmarkEnd w:id="264"/>
    <w:p>
      <w:pPr>
        <w:ind w:right="160" w:firstLine="864"/>
        <w:spacing w:after="0" w:line="251" w:lineRule="auto"/>
        <w:rPr>
          <w:sz w:val="20"/>
          <w:szCs w:val="20"/>
          <w:color w:val="auto"/>
        </w:rPr>
      </w:pPr>
      <w:r>
        <w:rPr>
          <w:rFonts w:ascii="Arial" w:cs="Arial" w:eastAsia="Arial" w:hAnsi="Arial"/>
          <w:sz w:val="21"/>
          <w:szCs w:val="21"/>
          <w:b w:val="1"/>
          <w:bCs w:val="1"/>
          <w:color w:val="auto"/>
        </w:rPr>
        <w:t xml:space="preserve">Section 6.09 </w:t>
      </w:r>
      <w:r>
        <w:rPr>
          <w:rFonts w:ascii="Arial" w:cs="Arial" w:eastAsia="Arial" w:hAnsi="Arial"/>
          <w:sz w:val="21"/>
          <w:szCs w:val="21"/>
          <w:u w:val="single" w:color="auto"/>
          <w:color w:val="auto"/>
        </w:rPr>
        <w:t>Indemnification of the TRA Representative</w:t>
      </w:r>
      <w:r>
        <w:rPr>
          <w:rFonts w:ascii="Arial" w:cs="Arial" w:eastAsia="Arial" w:hAnsi="Arial"/>
          <w:sz w:val="21"/>
          <w:szCs w:val="21"/>
          <w:color w:val="auto"/>
        </w:rPr>
        <w:t>. The Corporation shall pay, or to the extent the TRA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Representative pays, indemnify and reimburse, to the fullest extent permitted by applicable law, the TRA Representative for all costs and expenses, including legal and accounting fees (as such fees are incurred) and any other costs arising from claims in connection with the TRA Representative’s duties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the TRA Representative must have acted reasonably and in good faith in incurring such expenses and costs.</w:t>
      </w:r>
    </w:p>
    <w:p>
      <w:pPr>
        <w:spacing w:after="0" w:line="168"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b w:val="1"/>
          <w:bCs w:val="1"/>
          <w:color w:val="auto"/>
        </w:rPr>
        <w:t xml:space="preserve">Section 6.10 </w:t>
      </w: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deduct and withhold from any payment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this Agreement such amounts, if any, as the Corporation is required to deduct and withhold with respect to the making of such payment under the Code, or any provision of state, local or foreign tax law. To the extent that amounts are so withheld and are (or, when due, will be) paid over to the appropriate Taxing Authority by the Corporation, such withheld amounts shall be treated for all purposes of this Agreement as having been paid to the TRA Holder. Each TRA Holder shall provide such necessary tax forms, in form and substance reasonably acceptable to the Corporation, as the Corporation may request from time to time. Before any withholding is made pursuant to this </w:t>
      </w:r>
      <w:r>
        <w:rPr>
          <w:rFonts w:ascii="Arial" w:cs="Arial" w:eastAsia="Arial" w:hAnsi="Arial"/>
          <w:sz w:val="19"/>
          <w:szCs w:val="19"/>
          <w:u w:val="single" w:color="auto"/>
          <w:color w:val="auto"/>
        </w:rPr>
        <w:t>Section 6.10</w:t>
      </w:r>
      <w:r>
        <w:rPr>
          <w:rFonts w:ascii="Arial" w:cs="Arial" w:eastAsia="Arial" w:hAnsi="Arial"/>
          <w:sz w:val="19"/>
          <w:szCs w:val="19"/>
          <w:color w:val="auto"/>
        </w:rPr>
        <w:t>, the Corporation shall use commercially reasonable efforts to (a) notify a TRA Holder and (b) cooperate with such TRA Holder to avoid such withholding, unless the TRA Holder has failed to comply with the provisions of the preceding sentence.</w:t>
      </w:r>
    </w:p>
    <w:p>
      <w:pPr>
        <w:spacing w:after="0" w:line="15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6.11</w:t>
      </w:r>
      <w:r>
        <w:rPr>
          <w:sz w:val="20"/>
          <w:szCs w:val="20"/>
          <w:color w:val="auto"/>
        </w:rPr>
        <w:tab/>
      </w:r>
      <w:r>
        <w:rPr>
          <w:rFonts w:ascii="Arial" w:cs="Arial" w:eastAsia="Arial" w:hAnsi="Arial"/>
          <w:sz w:val="19"/>
          <w:szCs w:val="19"/>
          <w:u w:val="single" w:color="auto"/>
          <w:color w:val="auto"/>
        </w:rPr>
        <w:t>Admission of the Corporation into a Consolidated Group; Transfers of Corporate Assets</w:t>
      </w:r>
      <w:r>
        <w:rPr>
          <w:rFonts w:ascii="Arial" w:cs="Arial" w:eastAsia="Arial" w:hAnsi="Arial"/>
          <w:sz w:val="19"/>
          <w:szCs w:val="19"/>
          <w:color w:val="auto"/>
        </w:rPr>
        <w:t>.</w:t>
      </w:r>
    </w:p>
    <w:p>
      <w:pPr>
        <w:spacing w:after="0" w:line="212" w:lineRule="exact"/>
        <w:rPr>
          <w:sz w:val="20"/>
          <w:szCs w:val="20"/>
          <w:color w:val="auto"/>
        </w:rPr>
      </w:pPr>
    </w:p>
    <w:p>
      <w:pPr>
        <w:ind w:left="880" w:right="200" w:firstLine="789"/>
        <w:spacing w:after="0" w:line="248" w:lineRule="auto"/>
        <w:tabs>
          <w:tab w:leader="none" w:pos="2565"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Admission of the Corporation into a Consolidated Group</w:t>
      </w:r>
      <w:r>
        <w:rPr>
          <w:rFonts w:ascii="Arial" w:cs="Arial" w:eastAsia="Arial" w:hAnsi="Arial"/>
          <w:sz w:val="21"/>
          <w:szCs w:val="21"/>
          <w:color w:val="auto"/>
        </w:rPr>
        <w:t>. If the Corporation is or becomes a member of an affiliated or consolidated group of corporations that files a consolidated income Tax Return pursuant to sections 1501 et seq. of the Code or any corresponding provisions of state, local or foreign law (a “</w:t>
      </w:r>
      <w:r>
        <w:rPr>
          <w:rFonts w:ascii="Arial" w:cs="Arial" w:eastAsia="Arial" w:hAnsi="Arial"/>
          <w:sz w:val="21"/>
          <w:szCs w:val="21"/>
          <w:b w:val="1"/>
          <w:bCs w:val="1"/>
          <w:color w:val="auto"/>
        </w:rPr>
        <w:t>Consolidated</w:t>
      </w:r>
      <w:r>
        <w:rPr>
          <w:rFonts w:ascii="Arial" w:cs="Arial" w:eastAsia="Arial" w:hAnsi="Arial"/>
          <w:sz w:val="21"/>
          <w:szCs w:val="21"/>
          <w:color w:val="auto"/>
        </w:rPr>
        <w:t xml:space="preserve"> </w:t>
      </w:r>
      <w:r>
        <w:rPr>
          <w:rFonts w:ascii="Arial" w:cs="Arial" w:eastAsia="Arial" w:hAnsi="Arial"/>
          <w:sz w:val="21"/>
          <w:szCs w:val="21"/>
          <w:b w:val="1"/>
          <w:bCs w:val="1"/>
          <w:color w:val="auto"/>
        </w:rPr>
        <w:t>Group</w:t>
      </w:r>
      <w:r>
        <w:rPr>
          <w:rFonts w:ascii="Arial" w:cs="Arial" w:eastAsia="Arial" w:hAnsi="Arial"/>
          <w:sz w:val="21"/>
          <w:szCs w:val="21"/>
          <w:color w:val="auto"/>
        </w:rPr>
        <w:t>”), then: (i) the provisions of this Agreement shall be applied with respect to the group as a whole; and (ii) Tax</w:t>
      </w:r>
      <w:r>
        <w:rPr>
          <w:rFonts w:ascii="Arial" w:cs="Arial" w:eastAsia="Arial" w:hAnsi="Arial"/>
          <w:sz w:val="21"/>
          <w:szCs w:val="21"/>
          <w:b w:val="1"/>
          <w:bCs w:val="1"/>
          <w:color w:val="auto"/>
        </w:rPr>
        <w:t xml:space="preserve"> </w:t>
      </w:r>
      <w:r>
        <w:rPr>
          <w:rFonts w:ascii="Arial" w:cs="Arial" w:eastAsia="Arial" w:hAnsi="Arial"/>
          <w:sz w:val="21"/>
          <w:szCs w:val="21"/>
          <w:color w:val="auto"/>
        </w:rPr>
        <w:t>Benefit Payments, Early Termination Payments and other applicable items in this Agreement shall be computed with reference to the consolidated taxable income of the group as a whole.</w:t>
      </w:r>
    </w:p>
    <w:p>
      <w:pPr>
        <w:spacing w:after="0" w:line="176" w:lineRule="exact"/>
        <w:rPr>
          <w:rFonts w:ascii="Arial" w:cs="Arial" w:eastAsia="Arial" w:hAnsi="Arial"/>
          <w:sz w:val="21"/>
          <w:szCs w:val="21"/>
          <w:color w:val="auto"/>
        </w:rPr>
      </w:pPr>
    </w:p>
    <w:p>
      <w:pPr>
        <w:ind w:left="2560" w:hanging="891"/>
        <w:spacing w:after="0"/>
        <w:tabs>
          <w:tab w:leader="none" w:pos="25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Transfers of Assets by Corporation</w:t>
      </w:r>
      <w:r>
        <w:rPr>
          <w:rFonts w:ascii="Arial" w:cs="Arial" w:eastAsia="Arial" w:hAnsi="Arial"/>
          <w:sz w:val="22"/>
          <w:szCs w:val="22"/>
          <w:color w:val="auto"/>
        </w:rPr>
        <w:t>.</w:t>
      </w:r>
    </w:p>
    <w:p>
      <w:pPr>
        <w:spacing w:after="0" w:line="206" w:lineRule="exact"/>
        <w:rPr>
          <w:sz w:val="20"/>
          <w:szCs w:val="20"/>
          <w:color w:val="auto"/>
        </w:rPr>
      </w:pPr>
    </w:p>
    <w:p>
      <w:pPr>
        <w:ind w:left="1740" w:firstLine="726"/>
        <w:spacing w:after="0" w:line="236" w:lineRule="auto"/>
        <w:tabs>
          <w:tab w:leader="none" w:pos="3323"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If the Company or any of its Subsidiaries or the Corporation transfers one or more assets to a corporation with which the transferor does not file a consolidated Tax Return pursuant to section 1501 et. seq. of the Code, then, for purposes of calculating the amount of any payment due under this Agreement, the transferor shall be treated as having disposed of such asset(s) in a fully taxable transaction on the date of the transfer.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5" w:name="page266"/>
    <w:bookmarkEnd w:id="265"/>
    <w:p>
      <w:pPr>
        <w:ind w:left="2500" w:hanging="914"/>
        <w:spacing w:after="0"/>
        <w:tabs>
          <w:tab w:leader="none" w:pos="250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Rules of Application</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6.11(b)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60" w:right="40" w:firstLine="1092"/>
        <w:spacing w:after="0"/>
        <w:tabs>
          <w:tab w:leader="none" w:pos="2904" w:val="left"/>
        </w:tabs>
        <w:numPr>
          <w:ilvl w:val="1"/>
          <w:numId w:val="198"/>
        </w:numPr>
        <w:rPr>
          <w:rFonts w:ascii="Arial" w:cs="Arial" w:eastAsia="Arial" w:hAnsi="Arial"/>
          <w:sz w:val="22"/>
          <w:szCs w:val="22"/>
          <w:color w:val="010000"/>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6.11(b)(ii)(B)</w:t>
      </w:r>
      <w:r>
        <w:rPr>
          <w:rFonts w:ascii="Arial" w:cs="Arial" w:eastAsia="Arial" w:hAnsi="Arial"/>
          <w:sz w:val="22"/>
          <w:szCs w:val="22"/>
          <w:color w:val="auto"/>
        </w:rPr>
        <w:t>, the consideration deemed to be received by the transferor in the transaction shall be deemed to equal the fair market value of the transferred asset(s) (taking into account the principles of section 7701(g) of the Code);</w:t>
      </w:r>
    </w:p>
    <w:p>
      <w:pPr>
        <w:spacing w:after="0" w:line="186" w:lineRule="exact"/>
        <w:rPr>
          <w:rFonts w:ascii="Arial" w:cs="Arial" w:eastAsia="Arial" w:hAnsi="Arial"/>
          <w:sz w:val="22"/>
          <w:szCs w:val="22"/>
          <w:color w:val="010000"/>
        </w:rPr>
      </w:pPr>
    </w:p>
    <w:p>
      <w:pPr>
        <w:ind w:left="860" w:firstLine="1092"/>
        <w:spacing w:after="0" w:line="287" w:lineRule="auto"/>
        <w:tabs>
          <w:tab w:leader="none" w:pos="2893" w:val="left"/>
        </w:tabs>
        <w:numPr>
          <w:ilvl w:val="1"/>
          <w:numId w:val="198"/>
        </w:numPr>
        <w:rPr>
          <w:rFonts w:ascii="Arial" w:cs="Arial" w:eastAsia="Arial" w:hAnsi="Arial"/>
          <w:sz w:val="19"/>
          <w:szCs w:val="19"/>
          <w:color w:val="010000"/>
        </w:rPr>
      </w:pPr>
      <w:r>
        <w:rPr>
          <w:rFonts w:ascii="Arial" w:cs="Arial" w:eastAsia="Arial" w:hAnsi="Arial"/>
          <w:sz w:val="19"/>
          <w:szCs w:val="19"/>
          <w:color w:val="auto"/>
        </w:rPr>
        <w:t>The consideration deemed to be received by the transferor in exchange for a partnership interest shall be deemed to equal the fair market value of the partnership interest increased by any liabilities (as defined in Treasury Regulation § 1.752-1(a)(4)) of the partnership allocated to the transferor with regard to such transferred interest under section 752 of the Code immediately after the transfer; and</w:t>
      </w:r>
    </w:p>
    <w:p>
      <w:pPr>
        <w:spacing w:after="0" w:line="142" w:lineRule="exact"/>
        <w:rPr>
          <w:rFonts w:ascii="Arial" w:cs="Arial" w:eastAsia="Arial" w:hAnsi="Arial"/>
          <w:sz w:val="19"/>
          <w:szCs w:val="19"/>
          <w:color w:val="010000"/>
        </w:rPr>
      </w:pPr>
    </w:p>
    <w:p>
      <w:pPr>
        <w:ind w:left="860" w:right="240" w:firstLine="1092"/>
        <w:spacing w:after="0" w:line="297" w:lineRule="auto"/>
        <w:tabs>
          <w:tab w:leader="none" w:pos="2893" w:val="left"/>
        </w:tabs>
        <w:numPr>
          <w:ilvl w:val="1"/>
          <w:numId w:val="198"/>
        </w:numPr>
        <w:rPr>
          <w:rFonts w:ascii="Arial" w:cs="Arial" w:eastAsia="Arial" w:hAnsi="Arial"/>
          <w:sz w:val="19"/>
          <w:szCs w:val="19"/>
          <w:color w:val="010000"/>
        </w:rPr>
      </w:pPr>
      <w:r>
        <w:rPr>
          <w:rFonts w:ascii="Arial" w:cs="Arial" w:eastAsia="Arial" w:hAnsi="Arial"/>
          <w:sz w:val="19"/>
          <w:szCs w:val="19"/>
          <w:color w:val="auto"/>
        </w:rPr>
        <w:t>A transfer to a “corporation” (other than the Corporation) includes a transfer to any entity or arrangement classified as a corporation for U.S. federal income tax purposes, and “partnership” includes any entity or arrangement classified as a partnership for U.S. federal income tax purposes.</w:t>
      </w:r>
    </w:p>
    <w:p>
      <w:pPr>
        <w:spacing w:after="0" w:line="12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6.12</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2" w:lineRule="exact"/>
        <w:rPr>
          <w:sz w:val="20"/>
          <w:szCs w:val="20"/>
          <w:color w:val="auto"/>
        </w:rPr>
      </w:pPr>
    </w:p>
    <w:p>
      <w:pPr>
        <w:ind w:right="40" w:firstLine="789"/>
        <w:spacing w:after="0" w:line="277" w:lineRule="auto"/>
        <w:tabs>
          <w:tab w:leader="none" w:pos="1685"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Each TRA Holder and assignee acknowledges and agrees that the information of the Corporation is confidential and, except in the course of performing any duties as necessary for the Corporation and its Affiliates, as required by law or legal process or to enforce the terms of this Agreement, shall keep and retain in the strictest confidence and not disclose to any Person any confidential matters or information of the Corporation, its Affiliates and successors and the other TRA Holders acquired pursuant to this Agreement, including marketing, investment, performance data, credit and financial information and other business affairs of the Corporation, its Affiliates and successors and the other TRA Holders.</w:t>
      </w:r>
    </w:p>
    <w:p>
      <w:pPr>
        <w:spacing w:after="0" w:line="151" w:lineRule="exact"/>
        <w:rPr>
          <w:rFonts w:ascii="Arial" w:cs="Arial" w:eastAsia="Arial" w:hAnsi="Arial"/>
          <w:sz w:val="19"/>
          <w:szCs w:val="19"/>
          <w:color w:val="auto"/>
        </w:rPr>
      </w:pPr>
    </w:p>
    <w:p>
      <w:pPr>
        <w:ind w:firstLine="789"/>
        <w:spacing w:after="0" w:line="273" w:lineRule="auto"/>
        <w:tabs>
          <w:tab w:leader="none" w:pos="1697"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shall not apply to (i) any information that has been made publicly available by the Corporation or any of its Affiliates, becomes public knowledge (except as a result of an act of such TRA Holder in violation of this Agreement) or is generally known to the business community and (ii) the disclosure of information to the extent necessary for a TRA Holder to prepare and file his or her Tax Returns, to respond to any inquiries regarding such Tax Returns from any Taxing Authority or to prosecute or defend any action, proceeding or audit by any Taxing Authority with respect to such Tax Returns. Notwithstanding anything to the contrary in this Section 6.12, each TRA Holder and assignee (and each employee, representative or other agent of such TRA Holder or assignee, as applicable) may disclose to any and all Persons, without limitation of any kind, the tax treatment and tax structure of (x) the Corporation, the Company, the TRA Holders and their Affiliates and (y) any of their transactions, and all materials of any kind (including opinions or other tax analyses) that are provided to the TRA Holders relating to such tax treatment and tax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-509270</wp:posOffset>
            </wp:positionV>
            <wp:extent cx="6858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8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577" w:right="379" w:bottom="1440" w:gutter="0" w:footer="0" w:header="0"/>
        </w:sectPr>
      </w:pPr>
    </w:p>
    <w:bookmarkStart w:id="266" w:name="page267"/>
    <w:bookmarkEnd w:id="266"/>
    <w:p>
      <w:pPr>
        <w:ind w:left="880" w:right="20" w:firstLine="789"/>
        <w:spacing w:after="0" w:line="277" w:lineRule="auto"/>
        <w:tabs>
          <w:tab w:leader="none" w:pos="256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If a TRA Holder or assignee commits a breach, or threatens to commit a breach, of any of the provisions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the Corporation shall have the right and remedy to have the provisions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specifically enforced by injunctive relief or otherwise by any court of competent jurisdiction without the need to post any bond or other security, it being acknowledged and agreed that any such breach or threatened breach shall cause irreparable injury to the Corporation or any of its Affiliates or the other TRA Holders and that money damages alone shall not provide an adequate remedy to such Persons. Such rights and remedies shall be in addition to, and not in lieu of, any other rights and remedies available at law or in equity.</w:t>
      </w:r>
    </w:p>
    <w:p>
      <w:pPr>
        <w:spacing w:after="0" w:line="146" w:lineRule="exact"/>
        <w:rPr>
          <w:sz w:val="20"/>
          <w:szCs w:val="20"/>
          <w:color w:val="auto"/>
        </w:rPr>
      </w:pPr>
    </w:p>
    <w:p>
      <w:pPr>
        <w:ind w:right="320" w:firstLine="864"/>
        <w:spacing w:after="0" w:line="300" w:lineRule="auto"/>
        <w:rPr>
          <w:sz w:val="20"/>
          <w:szCs w:val="20"/>
          <w:color w:val="auto"/>
        </w:rPr>
      </w:pPr>
      <w:r>
        <w:rPr>
          <w:rFonts w:ascii="Arial" w:cs="Arial" w:eastAsia="Arial" w:hAnsi="Arial"/>
          <w:sz w:val="19"/>
          <w:szCs w:val="19"/>
          <w:b w:val="1"/>
          <w:bCs w:val="1"/>
          <w:color w:val="auto"/>
        </w:rPr>
        <w:t xml:space="preserve">Section 6.13 </w:t>
      </w:r>
      <w:r>
        <w:rPr>
          <w:rFonts w:ascii="Arial" w:cs="Arial" w:eastAsia="Arial" w:hAnsi="Arial"/>
          <w:sz w:val="19"/>
          <w:szCs w:val="19"/>
          <w:u w:val="single" w:color="auto"/>
          <w:color w:val="auto"/>
        </w:rPr>
        <w:t>LLC Agreement</w:t>
      </w:r>
      <w:r>
        <w:rPr>
          <w:rFonts w:ascii="Arial" w:cs="Arial" w:eastAsia="Arial" w:hAnsi="Arial"/>
          <w:sz w:val="19"/>
          <w:szCs w:val="19"/>
          <w:color w:val="auto"/>
        </w:rPr>
        <w:t>. For U.S. federal income Tax purposes, to the extent this Agreement imposes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upon the Company or a member of the Company, this Agreement shall be treated as part of the LLC Agreement as described in section 761(c) of the Code and sections 1.704-1(b)(2)(ii)(h) and 1.761-1(c) of the Treasury Regulations.</w:t>
      </w:r>
    </w:p>
    <w:p>
      <w:pPr>
        <w:spacing w:after="0" w:line="126" w:lineRule="exact"/>
        <w:rPr>
          <w:sz w:val="20"/>
          <w:szCs w:val="20"/>
          <w:color w:val="auto"/>
        </w:rPr>
      </w:pPr>
    </w:p>
    <w:p>
      <w:pPr>
        <w:ind w:firstLine="864"/>
        <w:spacing w:after="0" w:line="239" w:lineRule="auto"/>
        <w:rPr>
          <w:sz w:val="20"/>
          <w:szCs w:val="20"/>
          <w:color w:val="auto"/>
        </w:rPr>
      </w:pPr>
      <w:r>
        <w:rPr>
          <w:rFonts w:ascii="Arial" w:cs="Arial" w:eastAsia="Arial" w:hAnsi="Arial"/>
          <w:sz w:val="22"/>
          <w:szCs w:val="22"/>
          <w:b w:val="1"/>
          <w:bCs w:val="1"/>
          <w:color w:val="auto"/>
        </w:rPr>
        <w:t xml:space="preserve">Section 6.14 </w:t>
      </w:r>
      <w:r>
        <w:rPr>
          <w:rFonts w:ascii="Arial" w:cs="Arial" w:eastAsia="Arial" w:hAnsi="Arial"/>
          <w:sz w:val="22"/>
          <w:szCs w:val="22"/>
          <w:u w:val="single" w:color="auto"/>
          <w:color w:val="auto"/>
        </w:rPr>
        <w:t>Joinder</w:t>
      </w:r>
      <w:r>
        <w:rPr>
          <w:rFonts w:ascii="Arial" w:cs="Arial" w:eastAsia="Arial" w:hAnsi="Arial"/>
          <w:sz w:val="22"/>
          <w:szCs w:val="22"/>
          <w:color w:val="auto"/>
        </w:rPr>
        <w:t>. The Company shall have the power and authority (but not the obligation) to permit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who becomes a member of the Company to execute and deliver a joinder to this Agreement promptly upon acquisition of membership interests in the Company by such Person, and such Person shall be treated as a “TRA Holder” for all purposes of this Agreement.</w:t>
      </w:r>
    </w:p>
    <w:p>
      <w:pPr>
        <w:spacing w:after="0" w:line="180" w:lineRule="exact"/>
        <w:rPr>
          <w:sz w:val="20"/>
          <w:szCs w:val="20"/>
          <w:color w:val="auto"/>
        </w:rPr>
      </w:pPr>
    </w:p>
    <w:p>
      <w:pPr>
        <w:ind w:right="160" w:firstLine="864"/>
        <w:spacing w:after="0" w:line="243" w:lineRule="auto"/>
        <w:rPr>
          <w:sz w:val="20"/>
          <w:szCs w:val="20"/>
          <w:color w:val="auto"/>
        </w:rPr>
      </w:pPr>
      <w:r>
        <w:rPr>
          <w:rFonts w:ascii="Arial" w:cs="Arial" w:eastAsia="Arial" w:hAnsi="Arial"/>
          <w:sz w:val="22"/>
          <w:szCs w:val="22"/>
          <w:b w:val="1"/>
          <w:bCs w:val="1"/>
          <w:color w:val="auto"/>
        </w:rPr>
        <w:t xml:space="preserve">Section 6.15 </w:t>
      </w:r>
      <w:r>
        <w:rPr>
          <w:rFonts w:ascii="Arial" w:cs="Arial" w:eastAsia="Arial" w:hAnsi="Arial"/>
          <w:sz w:val="22"/>
          <w:szCs w:val="22"/>
          <w:u w:val="single" w:color="auto"/>
          <w:color w:val="auto"/>
        </w:rPr>
        <w:t>Survival</w:t>
      </w:r>
      <w:r>
        <w:rPr>
          <w:rFonts w:ascii="Arial" w:cs="Arial" w:eastAsia="Arial" w:hAnsi="Arial"/>
          <w:sz w:val="22"/>
          <w:szCs w:val="22"/>
          <w:color w:val="auto"/>
        </w:rPr>
        <w:t>. If this Agreement is terminated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color w:val="auto"/>
        </w:rPr>
        <w:t>, this Agreement shall become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void and of no further force and effect, except for the provisions set forth in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6.12</w:t>
      </w:r>
      <w:r>
        <w:rPr>
          <w:rFonts w:ascii="Arial" w:cs="Arial" w:eastAsia="Arial" w:hAnsi="Arial"/>
          <w:sz w:val="22"/>
          <w:szCs w:val="22"/>
          <w:color w:val="auto"/>
        </w:rPr>
        <w:t>, and this Section 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858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80" w:firstLine="864"/>
        <w:spacing w:after="0" w:line="250" w:lineRule="auto"/>
        <w:rPr>
          <w:sz w:val="20"/>
          <w:szCs w:val="20"/>
          <w:color w:val="auto"/>
        </w:rPr>
      </w:pPr>
      <w:r>
        <w:rPr>
          <w:rFonts w:ascii="Arial" w:cs="Arial" w:eastAsia="Arial" w:hAnsi="Arial"/>
          <w:sz w:val="22"/>
          <w:szCs w:val="22"/>
          <w:color w:val="auto"/>
        </w:rPr>
        <w:t xml:space="preserve">As used in this Agreement, the terms set forth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have the following meanings (such meanings to be equally applicable to both the singular and plural forms of the terms defined).</w:t>
      </w:r>
    </w:p>
    <w:p>
      <w:pPr>
        <w:spacing w:after="0" w:line="169" w:lineRule="exact"/>
        <w:rPr>
          <w:sz w:val="20"/>
          <w:szCs w:val="20"/>
          <w:color w:val="auto"/>
        </w:rPr>
      </w:pPr>
    </w:p>
    <w:p>
      <w:pPr>
        <w:ind w:right="6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Actual Tax Liability</w:t>
      </w:r>
      <w:r>
        <w:rPr>
          <w:rFonts w:ascii="Arial" w:cs="Arial" w:eastAsia="Arial" w:hAnsi="Arial"/>
          <w:sz w:val="22"/>
          <w:szCs w:val="22"/>
          <w:color w:val="auto"/>
        </w:rPr>
        <w:t xml:space="preserve">” means, with respect a Taxable Year, the liability of the Corporation for taxes as reflected on the relevant Corporate Tax Return, calculated and modified in accordance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62" w:lineRule="exact"/>
        <w:rPr>
          <w:sz w:val="20"/>
          <w:szCs w:val="20"/>
          <w:color w:val="auto"/>
        </w:rPr>
      </w:pPr>
    </w:p>
    <w:p>
      <w:pPr>
        <w:ind w:right="100"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Amount</w:t>
      </w:r>
      <w:r>
        <w:rPr>
          <w:rFonts w:ascii="Arial" w:cs="Arial" w:eastAsia="Arial" w:hAnsi="Arial"/>
          <w:sz w:val="19"/>
          <w:szCs w:val="19"/>
          <w:color w:val="auto"/>
        </w:rPr>
        <w:t>” for a given Taxable Year shall be the additional amount (calculated in the same manner as interest) payable on the Net Tax Benefit for such Taxable Year calculated at the Agreed Rate from the due date (without extensions) for filing the Corporate Tax Return with respect to Taxes for the most recently ended Taxable Year until the date on which the payment is required to be made. In the case of a Tax Benefit Payment made in respect of an Amended Schedule, the “</w:t>
      </w:r>
      <w:r>
        <w:rPr>
          <w:rFonts w:ascii="Arial" w:cs="Arial" w:eastAsia="Arial" w:hAnsi="Arial"/>
          <w:sz w:val="19"/>
          <w:szCs w:val="19"/>
          <w:b w:val="1"/>
          <w:bCs w:val="1"/>
          <w:color w:val="auto"/>
        </w:rPr>
        <w:t>Additional Amount</w:t>
      </w:r>
      <w:r>
        <w:rPr>
          <w:rFonts w:ascii="Arial" w:cs="Arial" w:eastAsia="Arial" w:hAnsi="Arial"/>
          <w:sz w:val="19"/>
          <w:szCs w:val="19"/>
          <w:color w:val="auto"/>
        </w:rPr>
        <w:t xml:space="preserve">” shall equal the additional amount (calculated in the same manner as interest) payable on the Net Tax Benefit for such Taxable Year calculated at the Agreed Rate from the date of such Amended Schedule becoming final in accordance with </w:t>
      </w:r>
      <w:r>
        <w:rPr>
          <w:rFonts w:ascii="Arial" w:cs="Arial" w:eastAsia="Arial" w:hAnsi="Arial"/>
          <w:sz w:val="19"/>
          <w:szCs w:val="19"/>
          <w:u w:val="single" w:color="auto"/>
          <w:color w:val="auto"/>
        </w:rPr>
        <w:t>Section 1.03(b)</w:t>
      </w:r>
      <w:r>
        <w:rPr>
          <w:rFonts w:ascii="Arial" w:cs="Arial" w:eastAsia="Arial" w:hAnsi="Arial"/>
          <w:sz w:val="19"/>
          <w:szCs w:val="19"/>
          <w:color w:val="auto"/>
        </w:rPr>
        <w:t xml:space="preserve"> until the date on which the payment is required to be made, reduced to account for any payment of Additional Amount made in respect of the original Tax Benefit Schedule. Except to the extent that it is treated as Imputed Interest, the Additional Amount shall be treated as additional consideration for Tax purposes.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67" w:name="page268"/>
    <w:bookmarkEnd w:id="26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Asset</w:t>
      </w:r>
      <w:r>
        <w:rPr>
          <w:rFonts w:ascii="Arial" w:cs="Arial" w:eastAsia="Arial" w:hAnsi="Arial"/>
          <w:sz w:val="22"/>
          <w:szCs w:val="22"/>
          <w:color w:val="auto"/>
        </w:rPr>
        <w:t>” means any asset with respect to which a Basis Adjustment is made.</w:t>
      </w:r>
    </w:p>
    <w:p>
      <w:pPr>
        <w:spacing w:after="0" w:line="206" w:lineRule="exact"/>
        <w:rPr>
          <w:sz w:val="20"/>
          <w:szCs w:val="20"/>
          <w:color w:val="auto"/>
        </w:rPr>
      </w:pPr>
    </w:p>
    <w:p>
      <w:pPr>
        <w:ind w:right="54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Advisory Firm</w:t>
      </w:r>
      <w:r>
        <w:rPr>
          <w:rFonts w:ascii="Arial" w:cs="Arial" w:eastAsia="Arial" w:hAnsi="Arial"/>
          <w:sz w:val="22"/>
          <w:szCs w:val="22"/>
          <w:color w:val="auto"/>
        </w:rPr>
        <w:t>” means any accounting firm or any law firm, in each case, that is nationally recognized as being expert in Tax matters and that is agreed to by the Board.</w:t>
      </w:r>
    </w:p>
    <w:p>
      <w:pPr>
        <w:spacing w:after="0" w:line="162" w:lineRule="exact"/>
        <w:rPr>
          <w:sz w:val="20"/>
          <w:szCs w:val="20"/>
          <w:color w:val="auto"/>
        </w:rPr>
      </w:pPr>
    </w:p>
    <w:p>
      <w:pPr>
        <w:ind w:right="78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right="28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Rate</w:t>
      </w:r>
      <w:r>
        <w:rPr>
          <w:rFonts w:ascii="Arial" w:cs="Arial" w:eastAsia="Arial" w:hAnsi="Arial"/>
          <w:sz w:val="22"/>
          <w:szCs w:val="22"/>
          <w:color w:val="auto"/>
        </w:rPr>
        <w:t xml:space="preserve">” means the Secured Overnight Financing Rate, as reported by the </w:t>
      </w:r>
      <w:r>
        <w:rPr>
          <w:rFonts w:ascii="Arial" w:cs="Arial" w:eastAsia="Arial" w:hAnsi="Arial"/>
          <w:sz w:val="22"/>
          <w:szCs w:val="22"/>
          <w:i w:val="1"/>
          <w:iCs w:val="1"/>
          <w:color w:val="auto"/>
        </w:rPr>
        <w:t>Wall Street Journal</w:t>
      </w:r>
      <w:r>
        <w:rPr>
          <w:rFonts w:ascii="Arial" w:cs="Arial" w:eastAsia="Arial" w:hAnsi="Arial"/>
          <w:sz w:val="22"/>
          <w:szCs w:val="22"/>
          <w:color w:val="auto"/>
        </w:rPr>
        <w:t xml:space="preserve"> (“</w:t>
      </w:r>
      <w:r>
        <w:rPr>
          <w:rFonts w:ascii="Arial" w:cs="Arial" w:eastAsia="Arial" w:hAnsi="Arial"/>
          <w:sz w:val="22"/>
          <w:szCs w:val="22"/>
          <w:b w:val="1"/>
          <w:bCs w:val="1"/>
          <w:color w:val="auto"/>
        </w:rPr>
        <w:t>SOFR</w:t>
      </w:r>
      <w:r>
        <w:rPr>
          <w:rFonts w:ascii="Arial" w:cs="Arial" w:eastAsia="Arial" w:hAnsi="Arial"/>
          <w:sz w:val="22"/>
          <w:szCs w:val="22"/>
          <w:color w:val="auto"/>
        </w:rPr>
        <w:t>”) plus 300 basis points.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defined in the preamble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Amended Schedule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1.03(c)</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Arbitrators</w:t>
      </w:r>
      <w:r>
        <w:rPr>
          <w:rFonts w:ascii="Arial" w:cs="Arial" w:eastAsia="Arial" w:hAnsi="Arial"/>
          <w:sz w:val="22"/>
          <w:szCs w:val="22"/>
          <w:color w:val="auto"/>
        </w:rPr>
        <w:t>” is defined in Section 6.08(b)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Assumed SALT Liability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w:t>
      </w:r>
      <w:r>
        <w:rPr>
          <w:rFonts w:ascii="Arial" w:cs="Arial" w:eastAsia="Arial" w:hAnsi="Arial"/>
          <w:sz w:val="22"/>
          <w:szCs w:val="22"/>
          <w:color w:val="auto"/>
        </w:rPr>
        <w:t>.</w:t>
      </w:r>
    </w:p>
    <w:p>
      <w:pPr>
        <w:spacing w:after="0" w:line="206" w:lineRule="exact"/>
        <w:rPr>
          <w:sz w:val="20"/>
          <w:szCs w:val="20"/>
          <w:color w:val="auto"/>
        </w:rPr>
      </w:pPr>
    </w:p>
    <w:p>
      <w:pPr>
        <w:ind w:firstLine="86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Cash</w:t>
      </w:r>
      <w:r>
        <w:rPr>
          <w:rFonts w:ascii="Arial" w:cs="Arial" w:eastAsia="Arial" w:hAnsi="Arial"/>
          <w:sz w:val="19"/>
          <w:szCs w:val="19"/>
          <w:color w:val="auto"/>
        </w:rPr>
        <w:t>” means all cash and cash equivalents of the Corporation on hand, less (i) the amount of cash reserves reasonably established in good faith by the Corporation to provide for the proper conduct of business of the Corporation (including paying creditors) and (ii) any amount the Corporation cannot pay to a TRA Holder by reason of (A) a prohibition, restriction or covenant under any credit agreement, loan agreement, note, indenture or other agreement governing indebtedness of the Company or any of its Subsidiaries or the Corporation or (B) restrictions under applicable law.</w:t>
      </w:r>
    </w:p>
    <w:p>
      <w:pPr>
        <w:spacing w:after="0" w:line="143" w:lineRule="exact"/>
        <w:rPr>
          <w:sz w:val="20"/>
          <w:szCs w:val="20"/>
          <w:color w:val="auto"/>
        </w:rPr>
      </w:pPr>
    </w:p>
    <w:p>
      <w:pPr>
        <w:ind w:right="1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Basis Adjustment</w:t>
      </w:r>
      <w:r>
        <w:rPr>
          <w:rFonts w:ascii="Arial" w:cs="Arial" w:eastAsia="Arial" w:hAnsi="Arial"/>
          <w:sz w:val="22"/>
          <w:szCs w:val="22"/>
          <w:color w:val="auto"/>
        </w:rPr>
        <w:t>” means any adjustment under sections 732, 734(b), 743(b), or 1012 of the Code (as applicable) as a result of an Exchange by a TRA Holder.</w:t>
      </w:r>
    </w:p>
    <w:p>
      <w:pPr>
        <w:spacing w:after="0" w:line="162" w:lineRule="exact"/>
        <w:rPr>
          <w:sz w:val="20"/>
          <w:szCs w:val="20"/>
          <w:color w:val="auto"/>
        </w:rPr>
      </w:pPr>
    </w:p>
    <w:p>
      <w:pPr>
        <w:ind w:right="54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w:t>
      </w:r>
      <w:r>
        <w:rPr>
          <w:rFonts w:ascii="Arial" w:cs="Arial" w:eastAsia="Arial" w:hAnsi="Arial"/>
          <w:sz w:val="22"/>
          <w:szCs w:val="22"/>
          <w:color w:val="auto"/>
        </w:rPr>
        <w:t>” (including correlative terms) shall have the meaning ascribed to that term in Rule 13d-3 promulgated under the Securities Exchange Act of 1934.</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Corporation.</w:t>
      </w:r>
    </w:p>
    <w:p>
      <w:pPr>
        <w:spacing w:after="0" w:line="206" w:lineRule="exact"/>
        <w:rPr>
          <w:sz w:val="20"/>
          <w:szCs w:val="20"/>
          <w:color w:val="auto"/>
        </w:rPr>
      </w:pPr>
    </w:p>
    <w:p>
      <w:pPr>
        <w:ind w:right="1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any other day on which commercial banks located in New York City, New York are authorized or required to close.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 events:</w:t>
      </w:r>
    </w:p>
    <w:p>
      <w:pPr>
        <w:spacing w:after="0" w:line="212" w:lineRule="exact"/>
        <w:rPr>
          <w:sz w:val="20"/>
          <w:szCs w:val="20"/>
          <w:color w:val="auto"/>
        </w:rPr>
      </w:pPr>
    </w:p>
    <w:p>
      <w:pPr>
        <w:ind w:left="880" w:right="100" w:firstLine="789"/>
        <w:spacing w:after="0" w:line="236" w:lineRule="auto"/>
        <w:tabs>
          <w:tab w:leader="none" w:pos="256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Person or any group of Persons acting together which would constitute a “group” for purposes of Section 13(d) of the Securities Exchange Act of 1934, or any successor provisions thereto, excluding any Qualified Transferee or any group of Qualified Transferees, becomes the Beneficial Owner, directly or indirectly, of securities of the Corporation representing more than fifty percent (50%) of the combined voting power of the Corporation’s then outstanding voting securities;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68" w:name="page269"/>
    <w:bookmarkEnd w:id="268"/>
    <w:p>
      <w:pPr>
        <w:ind w:left="880" w:right="180" w:firstLine="789"/>
        <w:spacing w:after="0" w:line="277" w:lineRule="auto"/>
        <w:tabs>
          <w:tab w:leader="none" w:pos="257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directors of the Corporation then serving: (i) individuals who, on the IPO Date, constitute the Board, and (ii) any new director (other than a director whose initial assumption of office is in connection with an actual or threatened election contest, including but not limited to a consent solicitation) whose appointment by the Board or nomination for election by the Corporation’s shareholders was approved or recommended by a vote of at least two-thirds (2/3) of the directors then still in office who either were directors on the IPO Date or whose appointment or nomination for election was previously so approved or recommended by the directors referred to in this clause (ii); or</w:t>
      </w:r>
    </w:p>
    <w:p>
      <w:pPr>
        <w:spacing w:after="0" w:line="151" w:lineRule="exact"/>
        <w:rPr>
          <w:rFonts w:ascii="Arial" w:cs="Arial" w:eastAsia="Arial" w:hAnsi="Arial"/>
          <w:sz w:val="19"/>
          <w:szCs w:val="19"/>
          <w:color w:val="auto"/>
        </w:rPr>
      </w:pPr>
    </w:p>
    <w:p>
      <w:pPr>
        <w:ind w:left="880" w:right="120" w:firstLine="789"/>
        <w:spacing w:after="0" w:line="275" w:lineRule="auto"/>
        <w:tabs>
          <w:tab w:leader="none" w:pos="256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Corporation or any direct or indirect Subsidiary of the Corporation with any other corporation or other entity, and, immediately after the consummation of such merger or consolidation, either (i) the members of the Board immediately prior to the merger or consolidation do not constitute at least a majority of the board of directors of the company surviving the merger or, if the surviving company is a Subsidiary, the ultimate parent thereof, or (ii) all of the Persons who were the respective Beneficial Owners of the voting securities of the Corporation immediately prior to such merger or consolidation do not Beneficially Own, directly or indirectly, more than fifty percent (50%) of the combined voting power of the then-outstanding voting securities of the Person resulting from such merger or consolidation; or</w:t>
      </w:r>
    </w:p>
    <w:p>
      <w:pPr>
        <w:spacing w:after="0" w:line="157" w:lineRule="exact"/>
        <w:rPr>
          <w:rFonts w:ascii="Arial" w:cs="Arial" w:eastAsia="Arial" w:hAnsi="Arial"/>
          <w:sz w:val="19"/>
          <w:szCs w:val="19"/>
          <w:color w:val="auto"/>
        </w:rPr>
      </w:pPr>
    </w:p>
    <w:p>
      <w:pPr>
        <w:ind w:left="880" w:right="60" w:firstLine="789"/>
        <w:spacing w:after="0" w:line="246" w:lineRule="auto"/>
        <w:tabs>
          <w:tab w:leader="none" w:pos="257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shareholders of the Corporation approve a plan of complete liquidation or dissolution of the Corporation, or there is consummated an agreement or series of related agreements for the sale or other disposition, directly or indirectly, by the Corporation of all or substantially all of the Corporation’s assets, other than the sale or other disposition by the Corporation of all or substantially all of the Corporation’s assets to an entity, more than fifty percent (50%) of the combined voting power of the voting securities of which are Beneficially Owned by shareholders of the Corporation in substantially the same proportions as their Beneficial Ownership of such securities of the Corporation immediately before such sale.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Shares</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is defined in the preamble to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Group</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6.11(a)</w:t>
      </w:r>
      <w:r>
        <w:rPr>
          <w:rFonts w:ascii="Arial" w:cs="Arial" w:eastAsia="Arial" w:hAnsi="Arial"/>
          <w:sz w:val="22"/>
          <w:szCs w:val="22"/>
          <w:color w:val="auto"/>
        </w:rPr>
        <w:t>.</w:t>
      </w:r>
    </w:p>
    <w:p>
      <w:pPr>
        <w:spacing w:after="0" w:line="206"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Tax Return</w:t>
      </w:r>
      <w:r>
        <w:rPr>
          <w:rFonts w:ascii="Arial" w:cs="Arial" w:eastAsia="Arial" w:hAnsi="Arial"/>
          <w:sz w:val="22"/>
          <w:szCs w:val="22"/>
          <w:color w:val="auto"/>
        </w:rPr>
        <w:t>” means a Tax Return of the Corporation.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Corporation</w:t>
      </w:r>
      <w:r>
        <w:rPr>
          <w:rFonts w:ascii="Arial" w:cs="Arial" w:eastAsia="Arial" w:hAnsi="Arial"/>
          <w:sz w:val="22"/>
          <w:szCs w:val="22"/>
          <w:color w:val="auto"/>
        </w:rPr>
        <w:t>” is defined in the preamble of this Agreement.</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269" w:name="page270"/>
    <w:bookmarkEnd w:id="269"/>
    <w:p>
      <w:pPr>
        <w:ind w:right="80"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Cumulative Net Realized Tax Benefit</w:t>
      </w:r>
      <w:r>
        <w:rPr>
          <w:rFonts w:ascii="Arial" w:cs="Arial" w:eastAsia="Arial" w:hAnsi="Arial"/>
          <w:sz w:val="22"/>
          <w:szCs w:val="22"/>
          <w:color w:val="auto"/>
        </w:rPr>
        <w:t>” for a Taxable Year means the excess, if any, of (a) the cumulative amount of Realized Tax Benefits for all Taxable Years of the Corporation, including such Taxable Year, over (b) the cumulative amount of Realized Tax Detriments, if any, for the same period. The Realized Tax Benefit and Realized Tax Detriment for each Taxable Year shall be determined based on the most recent Tax Benefit Schedule or Amended Schedule, if any, in existence at the time of such determination.</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day</w:t>
      </w:r>
      <w:r>
        <w:rPr>
          <w:rFonts w:ascii="Arial" w:cs="Arial" w:eastAsia="Arial" w:hAnsi="Arial"/>
          <w:sz w:val="22"/>
          <w:szCs w:val="22"/>
          <w:color w:val="auto"/>
        </w:rPr>
        <w:t>” means a calendar day.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Deemed Early Termination Event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3.01(b)(i)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Rate</w:t>
      </w:r>
      <w:r>
        <w:rPr>
          <w:rFonts w:ascii="Arial" w:cs="Arial" w:eastAsia="Arial" w:hAnsi="Arial"/>
          <w:sz w:val="22"/>
          <w:szCs w:val="22"/>
          <w:color w:val="auto"/>
        </w:rPr>
        <w:t>” means SOFR plus 500 basis points.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Depreciation</w:t>
      </w:r>
      <w:r>
        <w:rPr>
          <w:rFonts w:ascii="Arial" w:cs="Arial" w:eastAsia="Arial" w:hAnsi="Arial"/>
          <w:sz w:val="22"/>
          <w:szCs w:val="22"/>
          <w:color w:val="auto"/>
        </w:rPr>
        <w:t>” means depreciation, amortization, or other similar deductions for recovery of cost or basis.</w:t>
      </w:r>
    </w:p>
    <w:p>
      <w:pPr>
        <w:spacing w:after="0" w:line="206" w:lineRule="exact"/>
        <w:rPr>
          <w:sz w:val="20"/>
          <w:szCs w:val="20"/>
          <w:color w:val="auto"/>
        </w:rPr>
      </w:pPr>
    </w:p>
    <w:p>
      <w:pPr>
        <w:jc w:val="both"/>
        <w:ind w:right="14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Determination</w:t>
      </w:r>
      <w:r>
        <w:rPr>
          <w:rFonts w:ascii="Arial" w:cs="Arial" w:eastAsia="Arial" w:hAnsi="Arial"/>
          <w:sz w:val="22"/>
          <w:szCs w:val="22"/>
          <w:color w:val="auto"/>
        </w:rPr>
        <w:t>” shall have the meaning ascribed to such term in section 1313(a) of the Code or similar provision of state or local tax law, as applicable, or any other event (including the execution of a Form 870-AD) that finally and conclusively establishes the amount of any liability for Tax.</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6.08(b)</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 Resolution Procedures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1.03(b)</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Termination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3.02(a)(i)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Termination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3.02(a)(i)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Termination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3.03(a)</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Termination Rate</w:t>
      </w:r>
      <w:r>
        <w:rPr>
          <w:rFonts w:ascii="Arial" w:cs="Arial" w:eastAsia="Arial" w:hAnsi="Arial"/>
          <w:sz w:val="22"/>
          <w:szCs w:val="22"/>
          <w:color w:val="auto"/>
        </w:rPr>
        <w:t>” means the lesser of (i) 6.5% and (ii) SOFR plus 400 basis points.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Termination Schedule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3.02(a)(i)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right="36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w:t>
      </w:r>
      <w:r>
        <w:rPr>
          <w:rFonts w:ascii="Arial" w:cs="Arial" w:eastAsia="Arial" w:hAnsi="Arial"/>
          <w:sz w:val="22"/>
          <w:szCs w:val="22"/>
          <w:color w:val="auto"/>
        </w:rPr>
        <w:t>” is defined in the recitals of this Agreement, and “Exchanged” and “Exchanging” shall have correlative meanings.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Basis Schedule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Date</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2.1(a)(ii)</w:t>
      </w:r>
      <w:r>
        <w:rPr>
          <w:rFonts w:ascii="Arial" w:cs="Arial" w:eastAsia="Arial" w:hAnsi="Arial"/>
          <w:sz w:val="22"/>
          <w:szCs w:val="22"/>
          <w:color w:val="auto"/>
        </w:rPr>
        <w:t xml:space="preserve"> of the Exchange Agreement.</w:t>
      </w:r>
    </w:p>
    <w:p>
      <w:pPr>
        <w:spacing w:after="0" w:line="206" w:lineRule="exact"/>
        <w:rPr>
          <w:sz w:val="20"/>
          <w:szCs w:val="20"/>
          <w:color w:val="auto"/>
        </w:rPr>
      </w:pPr>
    </w:p>
    <w:p>
      <w:pPr>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Hypothetical Tax Liability</w:t>
      </w:r>
      <w:r>
        <w:rPr>
          <w:rFonts w:ascii="Arial" w:cs="Arial" w:eastAsia="Arial" w:hAnsi="Arial"/>
          <w:sz w:val="21"/>
          <w:szCs w:val="21"/>
          <w:color w:val="auto"/>
        </w:rPr>
        <w:t xml:space="preserve">” means, with respect to any Taxable Year, the amount that would be the liability for Taxes of the Corporation if such liability were calculated using the same methods, elections, conventions and similar practices used on the relevant Corporate Tax Return (and/or Tax Return of the Company), as determined in accordance with </w:t>
      </w:r>
      <w:r>
        <w:rPr>
          <w:rFonts w:ascii="Arial" w:cs="Arial" w:eastAsia="Arial" w:hAnsi="Arial"/>
          <w:sz w:val="21"/>
          <w:szCs w:val="21"/>
          <w:u w:val="single" w:color="auto"/>
          <w:color w:val="auto"/>
        </w:rPr>
        <w:t>Section 1.02</w:t>
      </w:r>
      <w:r>
        <w:rPr>
          <w:rFonts w:ascii="Arial" w:cs="Arial" w:eastAsia="Arial" w:hAnsi="Arial"/>
          <w:sz w:val="21"/>
          <w:szCs w:val="21"/>
          <w:color w:val="auto"/>
        </w:rPr>
        <w:t>, except that all Tax Assets shall be disregarded. For the avoidance of doubt, the Assumed SALT Liability used to determine the Hypothetical Tax Liability shall be calculated by disregarding all Tax Assets.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70" w:name="page271"/>
    <w:bookmarkEnd w:id="270"/>
    <w:p>
      <w:pPr>
        <w:ind w:right="10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Imputed Interest</w:t>
      </w:r>
      <w:r>
        <w:rPr>
          <w:rFonts w:ascii="Arial" w:cs="Arial" w:eastAsia="Arial" w:hAnsi="Arial"/>
          <w:sz w:val="22"/>
          <w:szCs w:val="22"/>
          <w:color w:val="auto"/>
        </w:rPr>
        <w:t>” means any interest imputed under sections 1272, 1274, or 483 or other provision of the Code with respect to the Corporation’s payment obligations under this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 Date</w:t>
      </w:r>
      <w:r>
        <w:rPr>
          <w:rFonts w:ascii="Arial" w:cs="Arial" w:eastAsia="Arial" w:hAnsi="Arial"/>
          <w:sz w:val="22"/>
          <w:szCs w:val="22"/>
          <w:color w:val="auto"/>
        </w:rPr>
        <w:t>” means the date of the IPO.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LLC Agreement</w:t>
      </w:r>
      <w:r>
        <w:rPr>
          <w:rFonts w:ascii="Arial" w:cs="Arial" w:eastAsia="Arial" w:hAnsi="Arial"/>
          <w:sz w:val="22"/>
          <w:szCs w:val="22"/>
          <w:color w:val="auto"/>
        </w:rPr>
        <w:t>” is defined in the recitals of this Agreement.</w:t>
      </w:r>
    </w:p>
    <w:p>
      <w:pPr>
        <w:spacing w:after="0" w:line="206" w:lineRule="exact"/>
        <w:rPr>
          <w:sz w:val="20"/>
          <w:szCs w:val="20"/>
          <w:color w:val="auto"/>
        </w:rPr>
      </w:pPr>
    </w:p>
    <w:p>
      <w:pPr>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Value</w:t>
      </w:r>
      <w:r>
        <w:rPr>
          <w:rFonts w:ascii="Arial" w:cs="Arial" w:eastAsia="Arial" w:hAnsi="Arial"/>
          <w:sz w:val="19"/>
          <w:szCs w:val="19"/>
          <w:color w:val="auto"/>
        </w:rPr>
        <w:t xml:space="preserve">” means the closing price of the Class A Shares on the applicable Exchange Date on the national securities exchange or interdealer quotation system on which the Class A Shares are then traded or listed, as reported by the </w:t>
      </w:r>
      <w:r>
        <w:rPr>
          <w:rFonts w:ascii="Arial" w:cs="Arial" w:eastAsia="Arial" w:hAnsi="Arial"/>
          <w:sz w:val="19"/>
          <w:szCs w:val="19"/>
          <w:i w:val="1"/>
          <w:iCs w:val="1"/>
          <w:color w:val="auto"/>
        </w:rPr>
        <w:t>Wall</w:t>
      </w:r>
      <w:r>
        <w:rPr>
          <w:rFonts w:ascii="Arial" w:cs="Arial" w:eastAsia="Arial" w:hAnsi="Arial"/>
          <w:sz w:val="19"/>
          <w:szCs w:val="19"/>
          <w:color w:val="auto"/>
        </w:rPr>
        <w:t xml:space="preserve"> </w:t>
      </w:r>
      <w:r>
        <w:rPr>
          <w:rFonts w:ascii="Arial" w:cs="Arial" w:eastAsia="Arial" w:hAnsi="Arial"/>
          <w:sz w:val="19"/>
          <w:szCs w:val="19"/>
          <w:i w:val="1"/>
          <w:iCs w:val="1"/>
          <w:color w:val="auto"/>
        </w:rPr>
        <w:t>Street Journal</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closing price is not reported by the</w:t>
      </w:r>
      <w:r>
        <w:rPr>
          <w:rFonts w:ascii="Arial" w:cs="Arial" w:eastAsia="Arial" w:hAnsi="Arial"/>
          <w:sz w:val="19"/>
          <w:szCs w:val="19"/>
          <w:i w:val="1"/>
          <w:iCs w:val="1"/>
          <w:color w:val="auto"/>
        </w:rPr>
        <w:t xml:space="preserve"> Wall Street Journal </w:t>
      </w:r>
      <w:r>
        <w:rPr>
          <w:rFonts w:ascii="Arial" w:cs="Arial" w:eastAsia="Arial" w:hAnsi="Arial"/>
          <w:sz w:val="19"/>
          <w:szCs w:val="19"/>
          <w:color w:val="auto"/>
        </w:rPr>
        <w:t>for the applicable Exchange Date, then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“Market Value” means the closing price of the Class A Shares on the Business Day immediately preceding such Exchange Date on the national securities exchange or interdealer quotation system on which the Class A Shares are then traded or listed, as reported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Class A Shares are not then listed on a national securities exchange or interdealer quotation system, “Market Value” means the cash consideration paid for Class A Shares, or the fair market value of the other property delivered for Class A Shares, as determined by the Board in good faith.</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Objection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Uncured Breach</w:t>
      </w:r>
      <w:r>
        <w:rPr>
          <w:rFonts w:ascii="Arial" w:cs="Arial" w:eastAsia="Arial" w:hAnsi="Arial"/>
          <w:sz w:val="22"/>
          <w:szCs w:val="22"/>
          <w:color w:val="auto"/>
        </w:rPr>
        <w:t>” means the occurrence of any of the following events:</w:t>
      </w:r>
    </w:p>
    <w:p>
      <w:pPr>
        <w:spacing w:after="0" w:line="212" w:lineRule="exact"/>
        <w:rPr>
          <w:sz w:val="20"/>
          <w:szCs w:val="20"/>
          <w:color w:val="auto"/>
        </w:rPr>
      </w:pPr>
    </w:p>
    <w:p>
      <w:pPr>
        <w:ind w:left="880" w:firstLine="789"/>
        <w:spacing w:after="0"/>
        <w:tabs>
          <w:tab w:leader="none" w:pos="256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Corporation fails to make any payment required by this Agreement within 180 days after the due date for that payment (except for a failure to make any payment due pursuant to this Agreement as a result of a lack of Available Cash);</w:t>
      </w:r>
    </w:p>
    <w:p>
      <w:pPr>
        <w:spacing w:after="0" w:line="186" w:lineRule="exact"/>
        <w:rPr>
          <w:rFonts w:ascii="Arial" w:cs="Arial" w:eastAsia="Arial" w:hAnsi="Arial"/>
          <w:sz w:val="22"/>
          <w:szCs w:val="22"/>
          <w:color w:val="auto"/>
        </w:rPr>
      </w:pPr>
    </w:p>
    <w:p>
      <w:pPr>
        <w:ind w:left="880" w:right="300" w:firstLine="789"/>
        <w:spacing w:after="0" w:line="250" w:lineRule="auto"/>
        <w:tabs>
          <w:tab w:leader="none" w:pos="257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this Agreement is rejected in a case commenced under the Bankruptcy Code and the Corporation does not cure the rejection within 90 days after such rejection; or</w:t>
      </w:r>
    </w:p>
    <w:p>
      <w:pPr>
        <w:spacing w:after="0" w:line="174" w:lineRule="exact"/>
        <w:rPr>
          <w:rFonts w:ascii="Arial" w:cs="Arial" w:eastAsia="Arial" w:hAnsi="Arial"/>
          <w:sz w:val="22"/>
          <w:szCs w:val="22"/>
          <w:color w:val="auto"/>
        </w:rPr>
      </w:pPr>
    </w:p>
    <w:p>
      <w:pPr>
        <w:jc w:val="both"/>
        <w:ind w:left="880" w:right="180" w:firstLine="789"/>
        <w:spacing w:after="0" w:line="257" w:lineRule="auto"/>
        <w:tabs>
          <w:tab w:leader="none" w:pos="2565"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Corporation breaches any of its material obligations under this Agreement other than an event described in clause (a) or (b) with respect to one or more TRA Holders and the Corporation does not cure such breach within 90 days after receipt of notice of such breach from such TRA Holder(s).</w:t>
      </w:r>
    </w:p>
    <w:p>
      <w:pPr>
        <w:spacing w:after="0" w:line="163" w:lineRule="exact"/>
        <w:rPr>
          <w:sz w:val="20"/>
          <w:szCs w:val="20"/>
          <w:color w:val="auto"/>
        </w:rPr>
      </w:pPr>
    </w:p>
    <w:p>
      <w:pPr>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Tax Benefit</w:t>
      </w:r>
      <w:r>
        <w:rPr>
          <w:rFonts w:ascii="Arial" w:cs="Arial" w:eastAsia="Arial" w:hAnsi="Arial"/>
          <w:sz w:val="21"/>
          <w:szCs w:val="21"/>
          <w:color w:val="auto"/>
        </w:rPr>
        <w:t xml:space="preserve">” means, for each Taxable Year, the amount equal to the excess, if any, of eighty-five percent (85%) of the Cumulative Net Realized Tax Benefit as of the end of such Taxable Year over the total amount of payments previously made under </w:t>
      </w:r>
      <w:r>
        <w:rPr>
          <w:rFonts w:ascii="Arial" w:cs="Arial" w:eastAsia="Arial" w:hAnsi="Arial"/>
          <w:sz w:val="21"/>
          <w:szCs w:val="21"/>
          <w:u w:val="single" w:color="auto"/>
          <w:color w:val="auto"/>
        </w:rPr>
        <w:t>Section 2.01</w:t>
      </w:r>
      <w:r>
        <w:rPr>
          <w:rFonts w:ascii="Arial" w:cs="Arial" w:eastAsia="Arial" w:hAnsi="Arial"/>
          <w:sz w:val="21"/>
          <w:szCs w:val="21"/>
          <w:color w:val="auto"/>
        </w:rPr>
        <w:t>, excluding payments attributable to any Additional Amount.</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Objection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right="90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 Receivable Agreements</w:t>
      </w:r>
      <w:r>
        <w:rPr>
          <w:rFonts w:ascii="Arial" w:cs="Arial" w:eastAsia="Arial" w:hAnsi="Arial"/>
          <w:sz w:val="22"/>
          <w:szCs w:val="22"/>
          <w:color w:val="auto"/>
        </w:rPr>
        <w:t>” means any tax receivable agreements entered into after the date of this Agreement by the Corporation with respect to Units.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1" w:name="page272"/>
    <w:bookmarkEnd w:id="271"/>
    <w:p>
      <w:pPr>
        <w:ind w:right="28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Transferee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the LLC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Realized Tax Benefit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Realized Tax Detriment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 is defined in the definition of “Agreed Rate.”</w:t>
      </w:r>
    </w:p>
    <w:p>
      <w:pPr>
        <w:spacing w:after="0" w:line="206" w:lineRule="exact"/>
        <w:rPr>
          <w:sz w:val="20"/>
          <w:szCs w:val="20"/>
          <w:color w:val="auto"/>
        </w:rPr>
      </w:pPr>
    </w:p>
    <w:p>
      <w:pPr>
        <w:ind w:right="16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Subsidiaries</w:t>
      </w:r>
      <w:r>
        <w:rPr>
          <w:rFonts w:ascii="Arial" w:cs="Arial" w:eastAsia="Arial" w:hAnsi="Arial"/>
          <w:sz w:val="22"/>
          <w:szCs w:val="22"/>
          <w:color w:val="auto"/>
        </w:rPr>
        <w:t>” means, with respect to any Person, as of any date of determination, any other Person as to which such Person, owns, directly or indirectly, or otherwise Controls more than 50% of the voting shares or other similar interests or the sole general partner interest or managing member or similar interest of such Person.</w:t>
      </w:r>
    </w:p>
    <w:p>
      <w:pPr>
        <w:spacing w:after="0" w:line="177" w:lineRule="exact"/>
        <w:rPr>
          <w:sz w:val="20"/>
          <w:szCs w:val="20"/>
          <w:color w:val="auto"/>
        </w:rPr>
      </w:pPr>
    </w:p>
    <w:p>
      <w:pPr>
        <w:ind w:right="80"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Supporting Letter</w:t>
      </w:r>
      <w:r>
        <w:rPr>
          <w:rFonts w:ascii="Arial" w:cs="Arial" w:eastAsia="Arial" w:hAnsi="Arial"/>
          <w:sz w:val="22"/>
          <w:szCs w:val="22"/>
          <w:color w:val="auto"/>
        </w:rPr>
        <w:t xml:space="preserve">” means a letter prepared by the Corporation, one or more of its employees, or an Advisory Firm that states that the relevant schedules to be provided to the TRA Representative pursuant to </w:t>
      </w:r>
      <w:r>
        <w:rPr>
          <w:rFonts w:ascii="Arial" w:cs="Arial" w:eastAsia="Arial" w:hAnsi="Arial"/>
          <w:sz w:val="22"/>
          <w:szCs w:val="22"/>
          <w:u w:val="single" w:color="auto"/>
          <w:color w:val="auto"/>
        </w:rPr>
        <w:t>Section 1.03(a)(iii)</w:t>
      </w:r>
      <w:r>
        <w:rPr>
          <w:rFonts w:ascii="Arial" w:cs="Arial" w:eastAsia="Arial" w:hAnsi="Arial"/>
          <w:sz w:val="22"/>
          <w:szCs w:val="22"/>
          <w:color w:val="auto"/>
        </w:rPr>
        <w:t xml:space="preserve"> were prepared in a manner that is consistent with the terms of this Agreement and, to the extent not expressly provided in this Agreement, on a reasonable basis in light of the facts and law in existence on the date such schedules were delivered by the Corporation to the TRA Representative.</w:t>
      </w:r>
    </w:p>
    <w:p>
      <w:pPr>
        <w:spacing w:after="0" w:line="182" w:lineRule="exact"/>
        <w:rPr>
          <w:sz w:val="20"/>
          <w:szCs w:val="20"/>
          <w:color w:val="auto"/>
        </w:rPr>
      </w:pPr>
    </w:p>
    <w:p>
      <w:pPr>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Assets</w:t>
      </w:r>
      <w:r>
        <w:rPr>
          <w:rFonts w:ascii="Arial" w:cs="Arial" w:eastAsia="Arial" w:hAnsi="Arial"/>
          <w:sz w:val="19"/>
          <w:szCs w:val="19"/>
          <w:color w:val="auto"/>
        </w:rPr>
        <w:t>” means (a) the Basis Adjustments, (b) Imputed Interest, and (c) any other item of loss, deduction or credit, including carrybacks and carryforwards, attributable to any item described in clauses (a) and (b) of this definition.</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Benefit Items</w:t>
      </w:r>
      <w:r>
        <w:rPr>
          <w:rFonts w:ascii="Arial" w:cs="Arial" w:eastAsia="Arial" w:hAnsi="Arial"/>
          <w:sz w:val="22"/>
          <w:szCs w:val="22"/>
          <w:color w:val="auto"/>
        </w:rPr>
        <w:t>” means</w:t>
      </w:r>
    </w:p>
    <w:p>
      <w:pPr>
        <w:spacing w:after="0" w:line="212" w:lineRule="exact"/>
        <w:rPr>
          <w:sz w:val="20"/>
          <w:szCs w:val="20"/>
          <w:color w:val="auto"/>
        </w:rPr>
      </w:pPr>
    </w:p>
    <w:p>
      <w:pPr>
        <w:ind w:left="2560" w:hanging="891"/>
        <w:spacing w:after="0"/>
        <w:tabs>
          <w:tab w:leader="none" w:pos="256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deduction to the Corporation for Depreciation arising in respect of one or more Basis</w:t>
      </w:r>
    </w:p>
    <w:p>
      <w:pPr>
        <w:spacing w:after="0" w:line="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Adjustments;</w:t>
      </w:r>
    </w:p>
    <w:p>
      <w:pPr>
        <w:spacing w:after="0" w:line="188" w:lineRule="exact"/>
        <w:rPr>
          <w:rFonts w:ascii="Arial" w:cs="Arial" w:eastAsia="Arial" w:hAnsi="Arial"/>
          <w:sz w:val="22"/>
          <w:szCs w:val="22"/>
          <w:color w:val="auto"/>
        </w:rPr>
      </w:pPr>
    </w:p>
    <w:p>
      <w:pPr>
        <w:ind w:left="880" w:right="80" w:firstLine="789"/>
        <w:spacing w:after="0" w:line="250" w:lineRule="auto"/>
        <w:tabs>
          <w:tab w:leader="none" w:pos="257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reduction in gain or increase in loss to the Corporation upon the disposition of an Adjusted Asset that arises in respect of one or more Basis Adjustments;</w:t>
      </w:r>
    </w:p>
    <w:p>
      <w:pPr>
        <w:spacing w:after="0" w:line="174" w:lineRule="exact"/>
        <w:rPr>
          <w:rFonts w:ascii="Arial" w:cs="Arial" w:eastAsia="Arial" w:hAnsi="Arial"/>
          <w:sz w:val="22"/>
          <w:szCs w:val="22"/>
          <w:color w:val="auto"/>
        </w:rPr>
      </w:pPr>
    </w:p>
    <w:p>
      <w:pPr>
        <w:ind w:left="880" w:right="440" w:firstLine="789"/>
        <w:spacing w:after="0" w:line="250" w:lineRule="auto"/>
        <w:tabs>
          <w:tab w:leader="none" w:pos="2565"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deduction to the Corporation of Imputed Interest that arises in respect of payments under this Agreement made to a TRA Holder; or</w:t>
      </w:r>
    </w:p>
    <w:p>
      <w:pPr>
        <w:spacing w:after="0" w:line="174" w:lineRule="exact"/>
        <w:rPr>
          <w:rFonts w:ascii="Arial" w:cs="Arial" w:eastAsia="Arial" w:hAnsi="Arial"/>
          <w:sz w:val="22"/>
          <w:szCs w:val="22"/>
          <w:color w:val="auto"/>
        </w:rPr>
      </w:pPr>
    </w:p>
    <w:p>
      <w:pPr>
        <w:ind w:left="880" w:right="140" w:firstLine="789"/>
        <w:spacing w:after="0" w:line="250" w:lineRule="auto"/>
        <w:tabs>
          <w:tab w:leader="none" w:pos="257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other item of loss, deduction or credit, including carrybacks and carryforwards, attributable to any item described in clauses (a) – (c) of this definition.</w:t>
      </w:r>
    </w:p>
    <w:p>
      <w:pPr>
        <w:spacing w:after="0" w:line="169" w:lineRule="exact"/>
        <w:rPr>
          <w:sz w:val="20"/>
          <w:szCs w:val="20"/>
          <w:color w:val="auto"/>
        </w:rPr>
      </w:pPr>
    </w:p>
    <w:p>
      <w:pPr>
        <w:ind w:right="16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Benefit Payment</w:t>
      </w:r>
      <w:r>
        <w:rPr>
          <w:rFonts w:ascii="Arial" w:cs="Arial" w:eastAsia="Arial" w:hAnsi="Arial"/>
          <w:sz w:val="22"/>
          <w:szCs w:val="22"/>
          <w:color w:val="auto"/>
        </w:rPr>
        <w:t>” means, for each Taxable Year, an amount, not less than zero, equal to the sum of the Net Tax Benefit and the Additional Amount.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Benefit Schedule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1.03(a)(ii)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Items</w:t>
      </w:r>
      <w:r>
        <w:rPr>
          <w:rFonts w:ascii="Arial" w:cs="Arial" w:eastAsia="Arial" w:hAnsi="Arial"/>
          <w:sz w:val="22"/>
          <w:szCs w:val="22"/>
          <w:color w:val="auto"/>
        </w:rPr>
        <w:t>” means any item of income, gain, loss, deduction, or credit.</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72" w:name="page273"/>
    <w:bookmarkEnd w:id="272"/>
    <w:p>
      <w:pPr>
        <w:ind w:right="20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77" w:lineRule="exact"/>
        <w:rPr>
          <w:sz w:val="20"/>
          <w:szCs w:val="20"/>
          <w:color w:val="auto"/>
        </w:rPr>
      </w:pPr>
    </w:p>
    <w:p>
      <w:pPr>
        <w:jc w:val="both"/>
        <w:ind w:right="2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Taxable Year</w:t>
      </w:r>
      <w:r>
        <w:rPr>
          <w:rFonts w:ascii="Arial" w:cs="Arial" w:eastAsia="Arial" w:hAnsi="Arial"/>
          <w:sz w:val="19"/>
          <w:szCs w:val="19"/>
          <w:color w:val="auto"/>
        </w:rPr>
        <w:t>” means, for the Corporation or the Company, as the case may be, a taxable year as defined in section 441(b) of the Code or comparable section of state or local tax law, as applicable, ending on or after the closing date of the IPO.</w:t>
      </w:r>
    </w:p>
    <w:p>
      <w:pPr>
        <w:spacing w:after="0" w:line="94" w:lineRule="exact"/>
        <w:rPr>
          <w:sz w:val="20"/>
          <w:szCs w:val="20"/>
          <w:color w:val="auto"/>
        </w:rPr>
      </w:pPr>
    </w:p>
    <w:p>
      <w:pPr>
        <w:ind w:firstLine="864"/>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means any and all U.S. federal, state, and local taxes, assessments, or similar charges that are based on or measured with respect to net income or profits (including any franchise taxes based on or measured with respect to net income or profits), and any interest, penalties, or additions related to such amounts imposed in respect thereof under applicable law.</w:t>
      </w:r>
    </w:p>
    <w:p>
      <w:pPr>
        <w:spacing w:after="0" w:line="126" w:lineRule="exact"/>
        <w:rPr>
          <w:sz w:val="20"/>
          <w:szCs w:val="20"/>
          <w:color w:val="auto"/>
        </w:rPr>
      </w:pPr>
    </w:p>
    <w:p>
      <w:pPr>
        <w:ind w:right="18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 of the Corporation</w:t>
      </w:r>
      <w:r>
        <w:rPr>
          <w:rFonts w:ascii="Arial" w:cs="Arial" w:eastAsia="Arial" w:hAnsi="Arial"/>
          <w:sz w:val="22"/>
          <w:szCs w:val="22"/>
          <w:color w:val="auto"/>
        </w:rPr>
        <w:t>” means the Taxes of the Corporation and/or the Company, but only with respect to Taxes imposed on the Company and allocable to the Corporation for such Taxable Year.</w:t>
      </w:r>
    </w:p>
    <w:p>
      <w:pPr>
        <w:spacing w:after="0" w:line="162" w:lineRule="exact"/>
        <w:rPr>
          <w:sz w:val="20"/>
          <w:szCs w:val="20"/>
          <w:color w:val="auto"/>
        </w:rPr>
      </w:pPr>
    </w:p>
    <w:p>
      <w:pPr>
        <w:ind w:right="10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Taxing Authority</w:t>
      </w:r>
      <w:r>
        <w:rPr>
          <w:rFonts w:ascii="Arial" w:cs="Arial" w:eastAsia="Arial" w:hAnsi="Arial"/>
          <w:sz w:val="22"/>
          <w:szCs w:val="22"/>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7" w:lineRule="exact"/>
        <w:rPr>
          <w:sz w:val="20"/>
          <w:szCs w:val="20"/>
          <w:color w:val="auto"/>
        </w:rPr>
      </w:pPr>
    </w:p>
    <w:p>
      <w:pPr>
        <w:ind w:right="10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 Holder</w:t>
      </w:r>
      <w:r>
        <w:rPr>
          <w:rFonts w:ascii="Arial" w:cs="Arial" w:eastAsia="Arial" w:hAnsi="Arial"/>
          <w:sz w:val="22"/>
          <w:szCs w:val="22"/>
          <w:color w:val="auto"/>
        </w:rPr>
        <w:t>” means any Person (other than the Corporation, its Subsidiaries, and the TRA Representative, solely in their capacity as TRA Representative) that is a party to this Agreement.</w:t>
      </w:r>
    </w:p>
    <w:p>
      <w:pPr>
        <w:spacing w:after="0" w:line="162"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 Representative</w:t>
      </w:r>
      <w:r>
        <w:rPr>
          <w:rFonts w:ascii="Arial" w:cs="Arial" w:eastAsia="Arial" w:hAnsi="Arial"/>
          <w:sz w:val="19"/>
          <w:szCs w:val="19"/>
          <w:color w:val="auto"/>
        </w:rPr>
        <w:t>” means Jessica Schilling or, if she is unable or unwilling to serve as the TRA Representative, David Sincich or, if he is unable or unwilling to serve as the TRA Representative, Larry Madden. If none of Jessica Schilling, David Sincich or Larry Madden is able or willing to serve as the TRA Representative, or if the Corporation determines in good faith that it is in the TRA Holders’ best interests to replace the then-serving TRA Representative, the Corporation shall notify the TRA Holders and give them 45 days to elect a new TRA Representative by majority vote based on Units held directly or indirectly by the TRA Holders (or such TRA Holder’s predecessor(s)) immediately before the IPO Date. The Corporation shall have the right (but not the obligation) to determine the rules and procedures that will govern the election process. If the TRA Holders are unable to elect a TRA Representative within 45 days of receipt of notice from the Corporation, the Corporation shall appoint a TRA Holder to serve as the TRA Representative. For the avoidance of doubt, there shall be only one TRA Representative at any time. Solely for the purposes of this definition, the term “TRA Holder” shall mean the Persons who are TRA Holders under both this Agreement and the Other Tax Receivable Agreements.</w:t>
      </w:r>
    </w:p>
    <w:p>
      <w:pPr>
        <w:spacing w:after="0" w:line="155" w:lineRule="exact"/>
        <w:rPr>
          <w:sz w:val="20"/>
          <w:szCs w:val="20"/>
          <w:color w:val="auto"/>
        </w:rPr>
      </w:pPr>
    </w:p>
    <w:p>
      <w:pPr>
        <w:ind w:right="8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means the final, temporary, and proposed regulations under the Code promulgated from time to time (including corresponding provisions and succeeding provisions) as in effect for the relevant taxable period.</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Units</w:t>
      </w:r>
      <w:r>
        <w:rPr>
          <w:rFonts w:ascii="Arial" w:cs="Arial" w:eastAsia="Arial" w:hAnsi="Arial"/>
          <w:sz w:val="22"/>
          <w:szCs w:val="22"/>
          <w:color w:val="auto"/>
        </w:rPr>
        <w:t>” is defined in the recitals of this Agreement.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Assumptions</w:t>
      </w:r>
      <w:r>
        <w:rPr>
          <w:rFonts w:ascii="Arial" w:cs="Arial" w:eastAsia="Arial" w:hAnsi="Arial"/>
          <w:sz w:val="22"/>
          <w:szCs w:val="22"/>
          <w:color w:val="auto"/>
        </w:rPr>
        <w:t>” means, as of an Early Termination Date, the assumptions that</w:t>
      </w:r>
    </w:p>
    <w:p>
      <w:pPr>
        <w:spacing w:after="0" w:line="212" w:lineRule="exact"/>
        <w:rPr>
          <w:sz w:val="20"/>
          <w:szCs w:val="20"/>
          <w:color w:val="auto"/>
        </w:rPr>
      </w:pPr>
    </w:p>
    <w:p>
      <w:pPr>
        <w:ind w:right="420" w:firstLine="789"/>
        <w:spacing w:after="0" w:line="274" w:lineRule="auto"/>
        <w:tabs>
          <w:tab w:leader="none" w:pos="1685" w:val="left"/>
        </w:tabs>
        <w:numPr>
          <w:ilvl w:val="0"/>
          <w:numId w:val="205"/>
        </w:numPr>
        <w:rPr>
          <w:rFonts w:ascii="Arial" w:cs="Arial" w:eastAsia="Arial" w:hAnsi="Arial"/>
          <w:sz w:val="21"/>
          <w:szCs w:val="21"/>
          <w:color w:val="auto"/>
        </w:rPr>
      </w:pPr>
      <w:r>
        <w:rPr>
          <w:rFonts w:ascii="Arial" w:cs="Arial" w:eastAsia="Arial" w:hAnsi="Arial"/>
          <w:sz w:val="21"/>
          <w:szCs w:val="21"/>
          <w:color w:val="auto"/>
        </w:rPr>
        <w:t>in each Taxable Year ending on or after such Early Termination Date, the Corporation will have taxable income sufficient to fully use the Tax Assets arising in such Taxable Year;</w:t>
      </w:r>
    </w:p>
    <w:p>
      <w:pPr>
        <w:spacing w:after="0" w:line="150" w:lineRule="exact"/>
        <w:rPr>
          <w:rFonts w:ascii="Arial" w:cs="Arial" w:eastAsia="Arial" w:hAnsi="Arial"/>
          <w:sz w:val="21"/>
          <w:szCs w:val="21"/>
          <w:color w:val="auto"/>
        </w:rPr>
      </w:pPr>
    </w:p>
    <w:p>
      <w:pPr>
        <w:ind w:right="40" w:firstLine="789"/>
        <w:spacing w:after="0" w:line="297" w:lineRule="auto"/>
        <w:tabs>
          <w:tab w:leader="none" w:pos="1661"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any items of loss, deduction or credit generated by a Basis Adjustment or Imputed Interest arising in a Taxable Year preceding the Taxable Year that includes an Early Termination Date will be used by the Corporation ratably from such Taxable Year through the earlier of (i) the scheduled expiration of such Tax Item or (ii) 15 years;</w:t>
      </w:r>
    </w:p>
    <w:p>
      <w:pPr>
        <w:spacing w:after="0" w:line="133" w:lineRule="exact"/>
        <w:rPr>
          <w:rFonts w:ascii="Arial" w:cs="Arial" w:eastAsia="Arial" w:hAnsi="Arial"/>
          <w:sz w:val="19"/>
          <w:szCs w:val="19"/>
          <w:color w:val="auto"/>
        </w:rPr>
      </w:pPr>
    </w:p>
    <w:p>
      <w:pPr>
        <w:ind w:right="20" w:firstLine="789"/>
        <w:spacing w:after="0" w:line="328" w:lineRule="auto"/>
        <w:tabs>
          <w:tab w:leader="none" w:pos="1697"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if, at the Early Termination Date, there are Units that have not been Exchanged, then each such Unit shall be deemed to be Exchanged for the Market Value of the Class A Shares on the Early Termination Date;</w:t>
      </w:r>
    </w:p>
    <w:p>
      <w:pPr>
        <w:spacing w:after="0" w:line="104" w:lineRule="exact"/>
        <w:rPr>
          <w:rFonts w:ascii="Arial" w:cs="Arial" w:eastAsia="Arial" w:hAnsi="Arial"/>
          <w:sz w:val="19"/>
          <w:szCs w:val="19"/>
          <w:color w:val="auto"/>
        </w:rPr>
      </w:pPr>
    </w:p>
    <w:p>
      <w:pPr>
        <w:ind w:right="500" w:firstLine="789"/>
        <w:spacing w:after="0"/>
        <w:tabs>
          <w:tab w:leader="none" w:pos="169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any non-amortizable assets are deemed to be disposed of in a fully taxable transaction for U.S. federal income Tax purposes on the fifteenth anniversary of the earlier of the Basis Adjustment and the Early Termination Date; and</w:t>
      </w:r>
    </w:p>
    <w:p>
      <w:pPr>
        <w:spacing w:after="0" w:line="186" w:lineRule="exact"/>
        <w:rPr>
          <w:rFonts w:ascii="Arial" w:cs="Arial" w:eastAsia="Arial" w:hAnsi="Arial"/>
          <w:sz w:val="22"/>
          <w:szCs w:val="22"/>
          <w:color w:val="auto"/>
        </w:rPr>
      </w:pPr>
    </w:p>
    <w:p>
      <w:pPr>
        <w:ind w:firstLine="789"/>
        <w:spacing w:after="0" w:line="236" w:lineRule="auto"/>
        <w:tabs>
          <w:tab w:leader="none" w:pos="164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federal income tax rates and state and local income tax rates that will be in effect for each such Taxable Year will be those specified for each such Taxable Year by the Code and other law as in effect on the Early Termination Date, taking into account any scheduled or imminent tax rate increases. For the avoidance of doubt, an “imminent” tax rate increase is one for which both the amount and the effective time can be determined with reasonable accuracy.</w:t>
      </w:r>
    </w:p>
    <w:p>
      <w:pPr>
        <w:spacing w:after="0" w:line="18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49"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1"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In witness whereof, the undersigned have executed this Agreement as of the date first set forth above.</w:t>
      </w:r>
    </w:p>
    <w:p>
      <w:pPr>
        <w:spacing w:after="0" w:line="22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THE CORPORATION:</w:t>
      </w:r>
    </w:p>
    <w:p>
      <w:pPr>
        <w:spacing w:after="0" w:line="239"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Viant Technology Inc.</w:t>
      </w:r>
    </w:p>
    <w:p>
      <w:pPr>
        <w:spacing w:after="0" w:line="233" w:lineRule="exact"/>
        <w:rPr>
          <w:sz w:val="20"/>
          <w:szCs w:val="20"/>
          <w:color w:val="auto"/>
        </w:rPr>
      </w:pPr>
    </w:p>
    <w:tbl>
      <w:tblPr>
        <w:tblLayout w:type="fixed"/>
        <w:tblInd w:w="4740" w:type="dxa"/>
        <w:tblCellMar>
          <w:top w:w="0" w:type="dxa"/>
          <w:left w:w="0" w:type="dxa"/>
          <w:bottom w:w="0" w:type="dxa"/>
          <w:right w:w="0" w:type="dxa"/>
        </w:tblCellMar>
      </w:tblPr>
      <w:tr>
        <w:trPr>
          <w:trHeight w:val="264"/>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2"/>
                <w:szCs w:val="22"/>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Larry Madden</w:t>
            </w:r>
          </w:p>
        </w:tc>
      </w:tr>
      <w:tr>
        <w:trPr>
          <w:trHeight w:val="215"/>
        </w:trPr>
        <w:tc>
          <w:tcPr>
            <w:tcW w:w="6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140" w:type="dxa"/>
            <w:vAlign w:val="bottom"/>
          </w:tcPr>
          <w:p>
            <w:pPr>
              <w:spacing w:after="0"/>
              <w:rPr>
                <w:sz w:val="18"/>
                <w:szCs w:val="18"/>
                <w:color w:val="auto"/>
              </w:rPr>
            </w:pPr>
          </w:p>
        </w:tc>
        <w:tc>
          <w:tcPr>
            <w:tcW w:w="4800" w:type="dxa"/>
            <w:vAlign w:val="bottom"/>
          </w:tcPr>
          <w:p>
            <w:pPr>
              <w:spacing w:after="0" w:line="216" w:lineRule="exact"/>
              <w:rPr>
                <w:sz w:val="20"/>
                <w:szCs w:val="20"/>
                <w:color w:val="auto"/>
              </w:rPr>
            </w:pPr>
            <w:r>
              <w:rPr>
                <w:rFonts w:ascii="Arial" w:cs="Arial" w:eastAsia="Arial" w:hAnsi="Arial"/>
                <w:sz w:val="22"/>
                <w:szCs w:val="22"/>
                <w:color w:val="auto"/>
              </w:rPr>
              <w:t>Larry Madden</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14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86"/>
        </w:trPr>
        <w:tc>
          <w:tcPr>
            <w:tcW w:w="5620" w:type="dxa"/>
            <w:vAlign w:val="bottom"/>
            <w:gridSpan w:val="3"/>
          </w:tcPr>
          <w:p>
            <w:pPr>
              <w:spacing w:after="0"/>
              <w:rPr>
                <w:sz w:val="20"/>
                <w:szCs w:val="20"/>
                <w:color w:val="auto"/>
              </w:rPr>
            </w:pPr>
            <w:r>
              <w:rPr>
                <w:rFonts w:ascii="Arial" w:cs="Arial" w:eastAsia="Arial" w:hAnsi="Arial"/>
                <w:sz w:val="22"/>
                <w:szCs w:val="22"/>
                <w:b w:val="1"/>
                <w:bCs w:val="1"/>
                <w:color w:val="auto"/>
              </w:rPr>
              <w:t>THE COMPANY:</w:t>
            </w:r>
          </w:p>
        </w:tc>
      </w:tr>
      <w:tr>
        <w:trPr>
          <w:trHeight w:val="486"/>
        </w:trPr>
        <w:tc>
          <w:tcPr>
            <w:tcW w:w="5620" w:type="dxa"/>
            <w:vAlign w:val="bottom"/>
            <w:gridSpan w:val="3"/>
          </w:tcPr>
          <w:p>
            <w:pPr>
              <w:spacing w:after="0"/>
              <w:rPr>
                <w:sz w:val="20"/>
                <w:szCs w:val="20"/>
                <w:color w:val="auto"/>
              </w:rPr>
            </w:pPr>
            <w:r>
              <w:rPr>
                <w:rFonts w:ascii="Arial" w:cs="Arial" w:eastAsia="Arial" w:hAnsi="Arial"/>
                <w:sz w:val="22"/>
                <w:szCs w:val="22"/>
                <w:color w:val="auto"/>
              </w:rPr>
              <w:t>Viant Technology LLC</w:t>
            </w:r>
          </w:p>
        </w:tc>
      </w:tr>
      <w:tr>
        <w:trPr>
          <w:trHeight w:val="47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gridSpan w:val="2"/>
          </w:tcPr>
          <w:p>
            <w:pPr>
              <w:ind w:left="100"/>
              <w:spacing w:after="0"/>
              <w:rPr>
                <w:sz w:val="20"/>
                <w:szCs w:val="20"/>
                <w:color w:val="auto"/>
              </w:rPr>
            </w:pPr>
            <w:r>
              <w:rPr>
                <w:rFonts w:ascii="Arial" w:cs="Arial" w:eastAsia="Arial" w:hAnsi="Arial"/>
                <w:sz w:val="22"/>
                <w:szCs w:val="22"/>
                <w:color w:val="auto"/>
              </w:rPr>
              <w:t>Viant Technology Inc., as</w:t>
            </w:r>
          </w:p>
        </w:tc>
      </w:tr>
    </w:tbl>
    <w:p>
      <w:pPr>
        <w:ind w:left="4740"/>
        <w:spacing w:after="0"/>
        <w:rPr>
          <w:sz w:val="20"/>
          <w:szCs w:val="20"/>
          <w:color w:val="auto"/>
        </w:rPr>
      </w:pPr>
      <w:r>
        <w:rPr>
          <w:rFonts w:ascii="Arial" w:cs="Arial" w:eastAsia="Arial" w:hAnsi="Arial"/>
          <w:sz w:val="22"/>
          <w:szCs w:val="22"/>
          <w:color w:val="auto"/>
        </w:rPr>
        <w:t>Managing Member</w:t>
      </w:r>
    </w:p>
    <w:p>
      <w:pPr>
        <w:spacing w:after="0" w:line="215"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6985</wp:posOffset>
            </wp:positionV>
            <wp:extent cx="30772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740"/>
        <w:spacing w:after="0"/>
        <w:tabs>
          <w:tab w:leader="none" w:pos="5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Larry Madden</w:t>
      </w:r>
    </w:p>
    <w:p>
      <w:pPr>
        <w:ind w:left="4740"/>
        <w:spacing w:after="0"/>
        <w:tabs>
          <w:tab w:leader="none" w:pos="5500" w:val="left"/>
        </w:tabs>
        <w:rPr>
          <w:sz w:val="20"/>
          <w:szCs w:val="20"/>
          <w:color w:val="auto"/>
        </w:rPr>
      </w:pPr>
      <w:r>
        <w:rPr>
          <w:rFonts w:ascii="Arial" w:cs="Arial" w:eastAsia="Arial" w:hAnsi="Arial"/>
          <w:sz w:val="22"/>
          <w:szCs w:val="22"/>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634365</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820" w:right="339" w:bottom="1440" w:gutter="0" w:footer="0" w:header="0"/>
        </w:sectPr>
      </w:pPr>
    </w:p>
    <w:bookmarkStart w:id="275" w:name="page276"/>
    <w:bookmarkEnd w:id="275"/>
    <w:p>
      <w:pPr>
        <w:ind w:left="4500"/>
        <w:spacing w:after="0"/>
        <w:rPr>
          <w:sz w:val="20"/>
          <w:szCs w:val="20"/>
          <w:color w:val="auto"/>
        </w:rPr>
      </w:pPr>
      <w:r>
        <w:rPr>
          <w:rFonts w:ascii="Arial" w:cs="Arial" w:eastAsia="Arial" w:hAnsi="Arial"/>
          <w:sz w:val="22"/>
          <w:szCs w:val="22"/>
          <w:b w:val="1"/>
          <w:bCs w:val="1"/>
          <w:color w:val="auto"/>
        </w:rPr>
        <w:t>TRA HOLDERS:</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i w:val="1"/>
          <w:iCs w:val="1"/>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3566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Tim Vanderhook</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2"/>
          <w:szCs w:val="22"/>
          <w:i w:val="1"/>
          <w:iCs w:val="1"/>
          <w:color w:val="auto"/>
        </w:rPr>
        <w:t>/s/ Chris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3566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Chris Vanderhook</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Four Brothers 2 LLC</w:t>
      </w:r>
    </w:p>
    <w:p>
      <w:pPr>
        <w:spacing w:after="0" w:line="233" w:lineRule="exact"/>
        <w:rPr>
          <w:sz w:val="20"/>
          <w:szCs w:val="20"/>
          <w:color w:val="auto"/>
        </w:rPr>
      </w:pPr>
    </w:p>
    <w:p>
      <w:pPr>
        <w:ind w:left="4500"/>
        <w:spacing w:after="0"/>
        <w:tabs>
          <w:tab w:leader="none" w:pos="5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6985</wp:posOffset>
            </wp:positionV>
            <wp:extent cx="30772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500"/>
        <w:spacing w:after="0"/>
        <w:tabs>
          <w:tab w:leader="none" w:pos="5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Tim Vanderhook</w:t>
      </w:r>
    </w:p>
    <w:p>
      <w:pPr>
        <w:ind w:left="4500"/>
        <w:spacing w:after="0"/>
        <w:tabs>
          <w:tab w:leader="none" w:pos="5260" w:val="left"/>
        </w:tabs>
        <w:rPr>
          <w:sz w:val="20"/>
          <w:szCs w:val="20"/>
          <w:color w:val="auto"/>
        </w:rPr>
      </w:pPr>
      <w:r>
        <w:rPr>
          <w:rFonts w:ascii="Arial" w:cs="Arial" w:eastAsia="Arial" w:hAnsi="Arial"/>
          <w:sz w:val="22"/>
          <w:szCs w:val="22"/>
          <w:color w:val="auto"/>
        </w:rPr>
        <w:t>Title:</w:t>
        <w:tab/>
        <w:t>Member</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Viant Technology Equity Plan LLC</w:t>
      </w:r>
    </w:p>
    <w:p>
      <w:pPr>
        <w:spacing w:after="0" w:line="268" w:lineRule="exact"/>
        <w:rPr>
          <w:sz w:val="20"/>
          <w:szCs w:val="20"/>
          <w:color w:val="auto"/>
        </w:rPr>
      </w:pPr>
    </w:p>
    <w:p>
      <w:pPr>
        <w:ind w:left="4500"/>
        <w:spacing w:after="0"/>
        <w:tabs>
          <w:tab w:leader="none" w:pos="5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6985</wp:posOffset>
            </wp:positionV>
            <wp:extent cx="30772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4500"/>
        <w:spacing w:after="0"/>
        <w:tabs>
          <w:tab w:leader="none" w:pos="5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Tim Vanderhook</w:t>
      </w:r>
    </w:p>
    <w:p>
      <w:pPr>
        <w:ind w:left="4500"/>
        <w:spacing w:after="0"/>
        <w:tabs>
          <w:tab w:leader="none" w:pos="5260" w:val="left"/>
        </w:tabs>
        <w:rPr>
          <w:sz w:val="20"/>
          <w:szCs w:val="20"/>
          <w:color w:val="auto"/>
        </w:rPr>
      </w:pPr>
      <w:r>
        <w:rPr>
          <w:rFonts w:ascii="Arial" w:cs="Arial" w:eastAsia="Arial" w:hAnsi="Arial"/>
          <w:sz w:val="22"/>
          <w:szCs w:val="22"/>
          <w:color w:val="auto"/>
        </w:rPr>
        <w:t>Title:</w:t>
        <w:tab/>
        <w:t>Manager</w:t>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TRA REPRESENTATIVE:</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i w:val="1"/>
          <w:iCs w:val="1"/>
          <w:color w:val="auto"/>
        </w:rPr>
        <w:t>/s/ Jessica Schilling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3566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Jessica Schilling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598"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988695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REGISTRATION RIGHTS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VIANT TECHNOLOGY INC.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CERTAIN STOCKHOLDERS</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22"/>
          <w:szCs w:val="22"/>
          <w:b w:val="1"/>
          <w:bCs w:val="1"/>
          <w:color w:val="auto"/>
        </w:rPr>
        <w:t>REGISTRATION RIGHTS AGREEMENT</w:t>
      </w:r>
    </w:p>
    <w:p>
      <w:pPr>
        <w:spacing w:after="0" w:line="212" w:lineRule="exact"/>
        <w:rPr>
          <w:sz w:val="20"/>
          <w:szCs w:val="20"/>
          <w:color w:val="auto"/>
        </w:rPr>
      </w:pPr>
    </w:p>
    <w:p>
      <w:pPr>
        <w:ind w:right="60" w:firstLine="864"/>
        <w:spacing w:after="0" w:line="250" w:lineRule="auto"/>
        <w:rPr>
          <w:sz w:val="20"/>
          <w:szCs w:val="20"/>
          <w:color w:val="auto"/>
        </w:rPr>
      </w:pPr>
      <w:r>
        <w:rPr>
          <w:rFonts w:ascii="Arial" w:cs="Arial" w:eastAsia="Arial" w:hAnsi="Arial"/>
          <w:sz w:val="22"/>
          <w:szCs w:val="22"/>
          <w:color w:val="auto"/>
        </w:rPr>
        <w:t>This REGISTRATION RIGHTS AGREEMENT (as it may be amended from time to time in accordance with the terms hereof,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February 9, 2021, is made by and among:</w:t>
      </w:r>
    </w:p>
    <w:p>
      <w:pPr>
        <w:spacing w:after="0" w:line="175" w:lineRule="exact"/>
        <w:rPr>
          <w:sz w:val="20"/>
          <w:szCs w:val="20"/>
          <w:color w:val="auto"/>
        </w:rPr>
      </w:pPr>
    </w:p>
    <w:p>
      <w:pPr>
        <w:ind w:left="1640" w:hanging="768"/>
        <w:spacing w:after="0"/>
        <w:tabs>
          <w:tab w:leader="none" w:pos="16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Viant Technology Inc., a Delaware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0" w:firstLine="872"/>
        <w:spacing w:after="0" w:line="250" w:lineRule="auto"/>
        <w:tabs>
          <w:tab w:leader="none" w:pos="168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Each Person executing this Agreement on the signature pages hereto (collectively, together with their Permitted Transferees that become party hereto, the “</w:t>
      </w:r>
      <w:r>
        <w:rPr>
          <w:rFonts w:ascii="Arial" w:cs="Arial" w:eastAsia="Arial" w:hAnsi="Arial"/>
          <w:sz w:val="22"/>
          <w:szCs w:val="22"/>
          <w:u w:val="single" w:color="auto"/>
          <w:color w:val="auto"/>
        </w:rPr>
        <w:t>Holders</w:t>
      </w:r>
      <w:r>
        <w:rPr>
          <w:rFonts w:ascii="Arial" w:cs="Arial" w:eastAsia="Arial" w:hAnsi="Arial"/>
          <w:sz w:val="22"/>
          <w:szCs w:val="22"/>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WHEREAS, the Corporation, Viant Technology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Holders have effected, or will effect in connection with the closing of the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of the Corporation’s Class A common stock, par value $0.001 per share (the “</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a series of reorganization transactions (collectively, the “</w:t>
      </w:r>
      <w:r>
        <w:rPr>
          <w:rFonts w:ascii="Arial" w:cs="Arial" w:eastAsia="Arial" w:hAnsi="Arial"/>
          <w:sz w:val="22"/>
          <w:szCs w:val="22"/>
          <w:u w:val="single" w:color="auto"/>
          <w:color w:val="auto"/>
        </w:rPr>
        <w:t>Reorganization Transactions</w:t>
      </w:r>
      <w:r>
        <w:rPr>
          <w:rFonts w:ascii="Arial" w:cs="Arial" w:eastAsia="Arial" w:hAnsi="Arial"/>
          <w:sz w:val="22"/>
          <w:szCs w:val="22"/>
          <w:color w:val="auto"/>
        </w:rPr>
        <w:t>”);</w:t>
      </w:r>
    </w:p>
    <w:p>
      <w:pPr>
        <w:spacing w:after="0" w:line="185"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WHEREAS, after giving effect to the Reorganization Transactions, the Holders Beneficially Own or will Beneficially Own (x) shares of Class A Common Stock and/or (y) shares of the Corporation’s Class B common stock, par value $0.001 per share (the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together with the Class A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Class B units in the Company (“</w:t>
      </w:r>
      <w:r>
        <w:rPr>
          <w:rFonts w:ascii="Arial" w:cs="Arial" w:eastAsia="Arial" w:hAnsi="Arial"/>
          <w:sz w:val="19"/>
          <w:szCs w:val="19"/>
          <w:u w:val="single" w:color="auto"/>
          <w:color w:val="auto"/>
        </w:rPr>
        <w:t>Class B Units</w:t>
      </w:r>
      <w:r>
        <w:rPr>
          <w:rFonts w:ascii="Arial" w:cs="Arial" w:eastAsia="Arial" w:hAnsi="Arial"/>
          <w:sz w:val="19"/>
          <w:szCs w:val="19"/>
          <w:color w:val="auto"/>
        </w:rPr>
        <w:t>”), which Class B Units, subject to certain conditions, are exchangeable from time to time for shares of Class A Common Stock pursuant to the terms of the Second Amended and Restated Limited Liability Company Agreement of the Company (as may be further amended from time to time, the “</w:t>
      </w:r>
      <w:r>
        <w:rPr>
          <w:rFonts w:ascii="Arial" w:cs="Arial" w:eastAsia="Arial" w:hAnsi="Arial"/>
          <w:sz w:val="19"/>
          <w:szCs w:val="19"/>
          <w:u w:val="single" w:color="auto"/>
          <w:color w:val="auto"/>
        </w:rPr>
        <w:t>Company Agreement</w:t>
      </w:r>
      <w:r>
        <w:rPr>
          <w:rFonts w:ascii="Arial" w:cs="Arial" w:eastAsia="Arial" w:hAnsi="Arial"/>
          <w:sz w:val="19"/>
          <w:szCs w:val="19"/>
          <w:color w:val="auto"/>
        </w:rPr>
        <w:t>”); and</w:t>
      </w:r>
    </w:p>
    <w:p>
      <w:pPr>
        <w:spacing w:after="0" w:line="150" w:lineRule="exact"/>
        <w:rPr>
          <w:sz w:val="20"/>
          <w:szCs w:val="20"/>
          <w:color w:val="auto"/>
        </w:rPr>
      </w:pPr>
    </w:p>
    <w:p>
      <w:pPr>
        <w:ind w:right="1000" w:firstLine="864"/>
        <w:spacing w:after="0" w:line="250" w:lineRule="auto"/>
        <w:rPr>
          <w:sz w:val="20"/>
          <w:szCs w:val="20"/>
          <w:color w:val="auto"/>
        </w:rPr>
      </w:pPr>
      <w:r>
        <w:rPr>
          <w:rFonts w:ascii="Arial" w:cs="Arial" w:eastAsia="Arial" w:hAnsi="Arial"/>
          <w:sz w:val="22"/>
          <w:szCs w:val="22"/>
          <w:color w:val="auto"/>
        </w:rPr>
        <w:t>WHEREAS, the parties believe that it is in each of their best interests to set forth their agreements regarding registration rights following the IPO.</w:t>
      </w:r>
    </w:p>
    <w:p>
      <w:pPr>
        <w:spacing w:after="0" w:line="175" w:lineRule="exact"/>
        <w:rPr>
          <w:sz w:val="20"/>
          <w:szCs w:val="20"/>
          <w:color w:val="auto"/>
        </w:rPr>
      </w:pPr>
    </w:p>
    <w:p>
      <w:pPr>
        <w:ind w:right="260" w:firstLine="864"/>
        <w:spacing w:after="0"/>
        <w:rPr>
          <w:sz w:val="20"/>
          <w:szCs w:val="20"/>
          <w:color w:val="auto"/>
        </w:rPr>
      </w:pPr>
      <w:r>
        <w:rPr>
          <w:rFonts w:ascii="Arial" w:cs="Arial" w:eastAsia="Arial" w:hAnsi="Arial"/>
          <w:sz w:val="22"/>
          <w:szCs w:val="22"/>
          <w:color w:val="auto"/>
        </w:rPr>
        <w:t>NOW, THEREFORE, in consideration of the foregoing and the mutual promises, covenants and agreements of the parties hereto, and for other good and valuable consideration, the receipt and sufficiency of which is hereby acknowledged, the parties hereto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EFFECTIVENESS</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upon the Closing.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78" w:name="page279"/>
    <w:bookmarkEnd w:id="278"/>
    <w:p>
      <w:pPr>
        <w:jc w:val="center"/>
        <w:ind w:right="-99"/>
        <w:spacing w:after="0"/>
        <w:rPr>
          <w:sz w:val="20"/>
          <w:szCs w:val="20"/>
          <w:color w:val="auto"/>
        </w:rPr>
      </w:pPr>
      <w:r>
        <w:rPr>
          <w:rFonts w:ascii="Arial" w:cs="Arial" w:eastAsia="Arial" w:hAnsi="Arial"/>
          <w:sz w:val="22"/>
          <w:szCs w:val="22"/>
          <w:b w:val="1"/>
          <w:bCs w:val="1"/>
          <w:color w:val="010000"/>
        </w:rPr>
        <w:t>ARTICLE II</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following meanings:</w:t>
      </w:r>
    </w:p>
    <w:p>
      <w:pPr>
        <w:spacing w:after="0" w:line="206" w:lineRule="exact"/>
        <w:rPr>
          <w:sz w:val="20"/>
          <w:szCs w:val="20"/>
          <w:color w:val="auto"/>
        </w:rPr>
      </w:pPr>
    </w:p>
    <w:p>
      <w:pPr>
        <w:ind w:firstLine="864"/>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Adverse Disclosure</w:t>
      </w:r>
      <w:r>
        <w:rPr>
          <w:rFonts w:ascii="Arial" w:cs="Arial" w:eastAsia="Arial" w:hAnsi="Arial"/>
          <w:sz w:val="22"/>
          <w:szCs w:val="22"/>
          <w:color w:val="auto"/>
        </w:rPr>
        <w:t>” means public disclosure of material non-public information that, in the good faith judgment of the Board of Directors: (i) would be required to be made in any Registration Statement filed with the SEC by the Corporation so that such Registration Statement, from and after its effective date, does not contain an untrue statement of a material fact or omit to state a material fact required to be stated therein or necessary to make the statements therein not misleading; (ii) would reasonably be expected to adversely affect or interfere with any material financing or other material transaction under consideration by the Corporation; or (iii) would not be required to be made at such time but for the filing, effectiveness or continued use of such Registration Statement.</w:t>
      </w:r>
    </w:p>
    <w:p>
      <w:pPr>
        <w:spacing w:after="0" w:line="191" w:lineRule="exact"/>
        <w:rPr>
          <w:sz w:val="20"/>
          <w:szCs w:val="20"/>
          <w:color w:val="auto"/>
        </w:rPr>
      </w:pPr>
    </w:p>
    <w:p>
      <w:pPr>
        <w:ind w:right="120"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specified Person, any Person that directly or indirectly through one or more intermediaries controls, is controlled by or is under common control with, such specified Person. As used in this definition, the term “control” means the possession, directly or indirectly, of the power to direct or cause the direction of the management and policies of a Person, whether through ownership of voting securities, by contract or otherwise.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w:t>
      </w:r>
    </w:p>
    <w:p>
      <w:pPr>
        <w:spacing w:after="0" w:line="206"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has the same meaning given to it in Section 13(d) under the Exchange Act and the rules thereunder, except that, for purposes of this Agreement, no Person shall Beneficially Own any shares of Common Stock to be issued upon the exercise of options, warrants, restricted stock units or similar rights granted pursuant to the Corporation’s equity compensation plans, unless and until such shares are actually issued. The terms “</w:t>
      </w:r>
      <w:r>
        <w:rPr>
          <w:rFonts w:ascii="Arial" w:cs="Arial" w:eastAsia="Arial" w:hAnsi="Arial"/>
          <w:sz w:val="22"/>
          <w:szCs w:val="22"/>
          <w:u w:val="single" w:color="auto"/>
          <w:color w:val="auto"/>
        </w:rPr>
        <w:t>Beneficially Own</w:t>
      </w:r>
      <w:r>
        <w:rPr>
          <w:rFonts w:ascii="Arial" w:cs="Arial" w:eastAsia="Arial" w:hAnsi="Arial"/>
          <w:sz w:val="22"/>
          <w:szCs w:val="22"/>
          <w:color w:val="auto"/>
        </w:rPr>
        <w:t>” and “</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have correlative meanings.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Corporation.</w:t>
      </w:r>
    </w:p>
    <w:p>
      <w:pPr>
        <w:spacing w:after="0" w:line="206"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calendar day other than a Saturday, Sunday or other day on which commercial banks in New York, New York or Los Angeles, California are authorized or required to close.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Units</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IPO.</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279" w:name="page280"/>
    <w:bookmarkEnd w:id="279"/>
    <w:p>
      <w:pPr>
        <w:ind w:right="40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Registrable Securities</w:t>
      </w:r>
      <w:r>
        <w:rPr>
          <w:rFonts w:ascii="Arial" w:cs="Arial" w:eastAsia="Arial" w:hAnsi="Arial"/>
          <w:sz w:val="22"/>
          <w:szCs w:val="22"/>
          <w:color w:val="auto"/>
        </w:rPr>
        <w:t>” means the total number of Registrable Securities as of the Closing, as adjusted for stock splits, recapitalizations and similar transactions.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3.1(c)</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3.1(a)(i)</w:t>
      </w:r>
      <w:r>
        <w:rPr>
          <w:rFonts w:ascii="Arial" w:cs="Arial" w:eastAsia="Arial" w:hAnsi="Arial"/>
          <w:sz w:val="22"/>
          <w:szCs w:val="22"/>
          <w:color w:val="auto"/>
        </w:rPr>
        <w:t>.</w:t>
      </w:r>
    </w:p>
    <w:p>
      <w:pPr>
        <w:spacing w:after="0" w:line="206" w:lineRule="exact"/>
        <w:rPr>
          <w:sz w:val="20"/>
          <w:szCs w:val="20"/>
          <w:color w:val="auto"/>
        </w:rPr>
      </w:pPr>
    </w:p>
    <w:p>
      <w:pPr>
        <w:ind w:right="4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w:t>
      </w:r>
      <w:r>
        <w:rPr>
          <w:rFonts w:ascii="Arial" w:cs="Arial" w:eastAsia="Arial" w:hAnsi="Arial"/>
          <w:sz w:val="19"/>
          <w:szCs w:val="19"/>
          <w:color w:val="auto"/>
        </w:rPr>
        <w:t>” means the exchange of Class B Units, together with an equal number of shares of Class B Common Stock, for shares of Class A Common Stock or cash consideration, as applicable, pursuant to the terms of the Company Agreement.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Free Writing Prospectus</w:t>
      </w:r>
      <w:r>
        <w:rPr>
          <w:rFonts w:ascii="Arial" w:cs="Arial" w:eastAsia="Arial" w:hAnsi="Arial"/>
          <w:sz w:val="22"/>
          <w:szCs w:val="22"/>
          <w:color w:val="auto"/>
        </w:rPr>
        <w:t>” means an issuer free writing prospectus, as defined in Rule 433 under the Securities Act, relating to an offer of the Registrable Securities.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Participation Conditions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right="50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means any Person to whom a Class B Unit Holder has validly transferred Class B Units in accordance with, and not in contravention of, the Company Agreement.</w:t>
      </w:r>
    </w:p>
    <w:p>
      <w:pPr>
        <w:spacing w:after="0" w:line="175" w:lineRule="exact"/>
        <w:rPr>
          <w:sz w:val="20"/>
          <w:szCs w:val="20"/>
          <w:color w:val="auto"/>
        </w:rPr>
      </w:pPr>
    </w:p>
    <w:p>
      <w:pPr>
        <w:ind w:right="54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 limited liability company, a trust, an unincorporated organization, a government or any department or agency thereof or any entity similar to any of the foregoing.</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3.3(a)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Potential Takedown Participan</w:t>
      </w:r>
      <w:r>
        <w:rPr>
          <w:rFonts w:ascii="Arial" w:cs="Arial" w:eastAsia="Arial" w:hAnsi="Arial"/>
          <w:sz w:val="22"/>
          <w:szCs w:val="22"/>
          <w:color w:val="auto"/>
        </w:rPr>
        <w:t xml:space="preserve">t” shall have the meaning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Rata Portion</w:t>
      </w:r>
      <w:r>
        <w:rPr>
          <w:rFonts w:ascii="Arial" w:cs="Arial" w:eastAsia="Arial" w:hAnsi="Arial"/>
          <w:sz w:val="21"/>
          <w:szCs w:val="21"/>
          <w:color w:val="auto"/>
        </w:rPr>
        <w:t>” means, with respect to each Holder requesting that its shares be registered or sold, a number of such shares equal to the aggregate number of Registrable Securities requested to be registered (excluding any shares to be registered or sold for the account of the Corporation) multiplied by a fraction, the numerator of which is the aggregate number of Registrable Securities then held by such Holder, and the denominator of which is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80" w:name="page281"/>
    <w:bookmarkEnd w:id="280"/>
    <w:p>
      <w:pPr>
        <w:ind w:right="220"/>
        <w:spacing w:after="0" w:line="250" w:lineRule="auto"/>
        <w:rPr>
          <w:sz w:val="20"/>
          <w:szCs w:val="20"/>
          <w:color w:val="auto"/>
        </w:rPr>
      </w:pPr>
      <w:r>
        <w:rPr>
          <w:rFonts w:ascii="Arial" w:cs="Arial" w:eastAsia="Arial" w:hAnsi="Arial"/>
          <w:sz w:val="22"/>
          <w:szCs w:val="22"/>
          <w:color w:val="auto"/>
        </w:rPr>
        <w:t>aggregate number of Registrable Securities then held by all Holders requesting that their Registrable Securities be registered or sold.</w:t>
      </w:r>
    </w:p>
    <w:p>
      <w:pPr>
        <w:spacing w:after="0" w:line="175" w:lineRule="exact"/>
        <w:rPr>
          <w:sz w:val="20"/>
          <w:szCs w:val="20"/>
          <w:color w:val="auto"/>
        </w:rPr>
      </w:pPr>
    </w:p>
    <w:p>
      <w:pPr>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xml:space="preserve"> ”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spacing w:after="0" w:line="186" w:lineRule="exact"/>
        <w:rPr>
          <w:sz w:val="20"/>
          <w:szCs w:val="20"/>
          <w:color w:val="auto"/>
        </w:rPr>
      </w:pPr>
    </w:p>
    <w:p>
      <w:pPr>
        <w:ind w:right="54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Offering</w:t>
      </w:r>
      <w:r>
        <w:rPr>
          <w:rFonts w:ascii="Arial" w:cs="Arial" w:eastAsia="Arial" w:hAnsi="Arial"/>
          <w:sz w:val="19"/>
          <w:szCs w:val="19"/>
          <w:color w:val="auto"/>
        </w:rPr>
        <w:t>” means the offer and sale of Registrable Securities for cash pursuant to an effective Registration Statement under the Securities Act (other than a Registration Statement on Form S-4 or Form S-8 or any successor form).</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Holder</w:t>
      </w:r>
      <w:r>
        <w:rPr>
          <w:rFonts w:ascii="Arial" w:cs="Arial" w:eastAsia="Arial" w:hAnsi="Arial"/>
          <w:sz w:val="19"/>
          <w:szCs w:val="19"/>
          <w:color w:val="auto"/>
        </w:rPr>
        <w:t>” means any of (a) any Person party to this Agreement Beneficially Owning at least ____________</w:t>
      </w:r>
    </w:p>
    <w:p>
      <w:pPr>
        <w:spacing w:after="0" w:line="4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Registrable Securities (as such number may be adjusted in respect of any stock dividend, stock split, combination of shares, recapitalization, merger, consolidation or other reorganization), or (b) any Holder that is an executive officer of the Corporation (within the meaning of Rule 3b-7 under the Exchange Act) or a member of the Board of Directors of the Corporation.</w:t>
      </w:r>
    </w:p>
    <w:p>
      <w:pPr>
        <w:spacing w:after="0" w:line="143" w:lineRule="exact"/>
        <w:rPr>
          <w:sz w:val="20"/>
          <w:szCs w:val="20"/>
          <w:color w:val="auto"/>
        </w:rPr>
      </w:pPr>
    </w:p>
    <w:p>
      <w:pPr>
        <w:ind w:right="40"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(i) all shares of Class A Common Stock that are not then subject to vesting or forfeiture to the Corporation, (ii) all shares of Class A Common Stock issued or issuable upon exercise, conversion or exchange of any option, warrant or convertible security (including shares of Class A Common Stock issuable upon an Exchange) not then subject to vesting or forfeiture to the Corporation and (iii) all shares of Class A Common Stock directly or indirectly issued or then issuable with respect to the securities referred to in clauses (i) or (ii) above by way of unit or stock dividend or unit or stock split, or in connection with a combination of units or shares, recapitalization, merger, consolidation or other reorganization.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pursuant to Rule 144,</w:t>
      </w:r>
    </w:p>
    <w:p>
      <w:pPr>
        <w:spacing w:after="0" w:line="1" w:lineRule="exact"/>
        <w:rPr>
          <w:sz w:val="20"/>
          <w:szCs w:val="20"/>
          <w:color w:val="auto"/>
        </w:rPr>
      </w:pPr>
    </w:p>
    <w:p>
      <w:pPr>
        <w:ind w:right="300" w:firstLine="8"/>
        <w:spacing w:after="0" w:line="244" w:lineRule="auto"/>
        <w:tabs>
          <w:tab w:leader="none" w:pos="306" w:val="left"/>
        </w:tabs>
        <w:numPr>
          <w:ilvl w:val="0"/>
          <w:numId w:val="207"/>
        </w:numPr>
        <w:rPr>
          <w:rFonts w:ascii="Arial" w:cs="Arial" w:eastAsia="Arial" w:hAnsi="Arial"/>
          <w:sz w:val="21"/>
          <w:szCs w:val="21"/>
          <w:color w:val="auto"/>
        </w:rPr>
      </w:pPr>
      <w:r>
        <w:rPr>
          <w:rFonts w:ascii="Arial" w:cs="Arial" w:eastAsia="Arial" w:hAnsi="Arial"/>
          <w:sz w:val="21"/>
          <w:szCs w:val="21"/>
          <w:color w:val="auto"/>
        </w:rPr>
        <w:t>such Holder is able to immediately sell such securities (including all shares of Class A Common Stock issuable upon Exchange, subject to the conditions on Exchange set forth in Article XII of the Company Agreement) under Rule 144 without any volume or manner of sale restrictions thereunder, as determined in the reasonable opinion of the Corporation (it being understood that a written opinion of the Corporation’s outside legal counsel to the effect that such securities may be so offered and sold, and that any restrictive legends on the securities may be removed, shall be conclusive evidence this clause has been satisfied), or (z) such securities shall have ceased to be outstanding.</w:t>
      </w:r>
    </w:p>
    <w:p>
      <w:pPr>
        <w:spacing w:after="0" w:line="183" w:lineRule="exact"/>
        <w:rPr>
          <w:sz w:val="20"/>
          <w:szCs w:val="20"/>
          <w:color w:val="auto"/>
        </w:rPr>
      </w:pPr>
    </w:p>
    <w:p>
      <w:pPr>
        <w:ind w:right="34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w:t>
      </w:r>
      <w:r>
        <w:rPr>
          <w:rFonts w:ascii="Arial" w:cs="Arial" w:eastAsia="Arial" w:hAnsi="Arial"/>
          <w:sz w:val="19"/>
          <w:szCs w:val="19"/>
          <w:color w:val="auto"/>
        </w:rPr>
        <w:t>” means registration under the Securities Act of the offer and sale of shares of Class A Common Stock under a Registration Statement. The terms “</w:t>
      </w:r>
      <w:r>
        <w:rPr>
          <w:rFonts w:ascii="Arial" w:cs="Arial" w:eastAsia="Arial" w:hAnsi="Arial"/>
          <w:sz w:val="19"/>
          <w:szCs w:val="19"/>
          <w:u w:val="single" w:color="auto"/>
          <w:color w:val="auto"/>
        </w:rPr>
        <w:t>register</w:t>
      </w:r>
      <w:r>
        <w:rPr>
          <w:rFonts w:ascii="Arial" w:cs="Arial" w:eastAsia="Arial" w:hAnsi="Arial"/>
          <w:sz w:val="19"/>
          <w:szCs w:val="19"/>
          <w:color w:val="auto"/>
        </w:rPr>
        <w:t>,” “</w:t>
      </w:r>
      <w:r>
        <w:rPr>
          <w:rFonts w:ascii="Arial" w:cs="Arial" w:eastAsia="Arial" w:hAnsi="Arial"/>
          <w:sz w:val="19"/>
          <w:szCs w:val="19"/>
          <w:u w:val="single" w:color="auto"/>
          <w:color w:val="auto"/>
        </w:rPr>
        <w:t>registered</w:t>
      </w:r>
      <w:r>
        <w:rPr>
          <w:rFonts w:ascii="Arial" w:cs="Arial" w:eastAsia="Arial" w:hAnsi="Arial"/>
          <w:sz w:val="19"/>
          <w:szCs w:val="19"/>
          <w:color w:val="auto"/>
        </w:rPr>
        <w:t>” and “</w:t>
      </w:r>
      <w:r>
        <w:rPr>
          <w:rFonts w:ascii="Arial" w:cs="Arial" w:eastAsia="Arial" w:hAnsi="Arial"/>
          <w:sz w:val="19"/>
          <w:szCs w:val="19"/>
          <w:u w:val="single" w:color="auto"/>
          <w:color w:val="auto"/>
        </w:rPr>
        <w:t>registering</w:t>
      </w:r>
      <w:r>
        <w:rPr>
          <w:rFonts w:ascii="Arial" w:cs="Arial" w:eastAsia="Arial" w:hAnsi="Arial"/>
          <w:sz w:val="19"/>
          <w:szCs w:val="19"/>
          <w:color w:val="auto"/>
        </w:rPr>
        <w:t>” shall have correlative meanings.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3.8</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81" w:name="page282"/>
    <w:bookmarkEnd w:id="281"/>
    <w:p>
      <w:pPr>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means any registration statement of the Corporation filed with, or to be filed with, the SEC under the Securities Act, including the related Prospectus, amendments and supplements to such registration statement (including pre- and post-effective amendments) and all exhibits and material incorporated by reference in such registration statement, other than a registration statement (and related Prospectus) filed on Form S-4 or Form S-8 or any successor forms thereto.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Reorganization Transactions</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right="18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means Rule 144 under the Securities Act (or any successor rule).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S-3 ASR Supplement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ind w:right="6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any successor thereto, and any rules or regulations promulgated thereunder, all as the same shall be in effect from time to time.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Stockholder Information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w:t>
      </w:r>
      <w:r>
        <w:rPr>
          <w:rFonts w:ascii="Arial" w:cs="Arial" w:eastAsia="Arial" w:hAnsi="Arial"/>
          <w:sz w:val="22"/>
          <w:szCs w:val="22"/>
          <w:color w:val="auto"/>
        </w:rPr>
        <w:t>” means any Registration pursuant to Rule 415 under the Securities Act.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3.1(a)(ii)</w:t>
      </w:r>
      <w:r>
        <w:rPr>
          <w:rFonts w:ascii="Arial" w:cs="Arial" w:eastAsia="Arial" w:hAnsi="Arial"/>
          <w:sz w:val="22"/>
          <w:szCs w:val="22"/>
          <w:color w:val="auto"/>
        </w:rPr>
        <w:t>.</w:t>
      </w:r>
    </w:p>
    <w:p>
      <w:pPr>
        <w:spacing w:after="0" w:line="206" w:lineRule="exact"/>
        <w:rPr>
          <w:sz w:val="20"/>
          <w:szCs w:val="20"/>
          <w:color w:val="auto"/>
        </w:rPr>
      </w:pPr>
    </w:p>
    <w:p>
      <w:pPr>
        <w:ind w:right="48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means a Registration Statement filed with the SEC pursuant to Rule 415 under the Securities Act.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Suspension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3.1(f)</w:t>
      </w:r>
      <w:r>
        <w:rPr>
          <w:rFonts w:ascii="Arial" w:cs="Arial" w:eastAsia="Arial" w:hAnsi="Arial"/>
          <w:sz w:val="22"/>
          <w:szCs w:val="22"/>
          <w:color w:val="auto"/>
        </w:rPr>
        <w:t>.</w:t>
      </w:r>
    </w:p>
    <w:p>
      <w:pPr>
        <w:spacing w:after="0" w:line="206"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principal U.S. securities exchange on which the Class A Common Stock is listed or admitted to trading is open for the transaction of business (unless such trading shall have been suspended for the entire day) or, if the Class A Common Stock is not listed or admitted to trading on such an exchange, “</w:t>
      </w:r>
      <w:r>
        <w:rPr>
          <w:rFonts w:ascii="Arial" w:cs="Arial" w:eastAsia="Arial" w:hAnsi="Arial"/>
          <w:sz w:val="22"/>
          <w:szCs w:val="22"/>
          <w:u w:val="single" w:color="auto"/>
          <w:color w:val="auto"/>
        </w:rPr>
        <w:t>Trading Day</w:t>
      </w:r>
      <w:r>
        <w:rPr>
          <w:rFonts w:ascii="Arial" w:cs="Arial" w:eastAsia="Arial" w:hAnsi="Arial"/>
          <w:sz w:val="22"/>
          <w:szCs w:val="22"/>
          <w:color w:val="auto"/>
        </w:rPr>
        <w:t>” shall mean a Business Day.</w:t>
      </w:r>
    </w:p>
    <w:p>
      <w:pPr>
        <w:spacing w:after="0" w:line="185" w:lineRule="exact"/>
        <w:rPr>
          <w:sz w:val="20"/>
          <w:szCs w:val="20"/>
          <w:color w:val="auto"/>
        </w:rPr>
      </w:pPr>
    </w:p>
    <w:p>
      <w:pPr>
        <w:ind w:right="66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with respect to any Registrable Security, any interest therein, or any other securities or equity interests relating thereto, a direct or indirect transfer, sale, exchange,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82" w:name="page283"/>
    <w:bookmarkEnd w:id="282"/>
    <w:p>
      <w:pPr>
        <w:ind w:right="320"/>
        <w:spacing w:after="0"/>
        <w:rPr>
          <w:sz w:val="20"/>
          <w:szCs w:val="20"/>
          <w:color w:val="auto"/>
        </w:rPr>
      </w:pPr>
      <w:r>
        <w:rPr>
          <w:rFonts w:ascii="Arial" w:cs="Arial" w:eastAsia="Arial" w:hAnsi="Arial"/>
          <w:sz w:val="22"/>
          <w:szCs w:val="22"/>
          <w:color w:val="auto"/>
        </w:rPr>
        <w:t>assignment, pledge, hypothecation or other encumbrance or other disposition thereof, including the grant of an option or other right, whether directly or indirectly, whether voluntarily, involuntarily, by operation of law, pursuant to judicial process or otherwise. “</w:t>
      </w:r>
      <w:r>
        <w:rPr>
          <w:rFonts w:ascii="Arial" w:cs="Arial" w:eastAsia="Arial" w:hAnsi="Arial"/>
          <w:sz w:val="22"/>
          <w:szCs w:val="22"/>
          <w:u w:val="single" w:color="auto"/>
          <w:color w:val="auto"/>
        </w:rPr>
        <w:t>Transferred</w:t>
      </w:r>
      <w:r>
        <w:rPr>
          <w:rFonts w:ascii="Arial" w:cs="Arial" w:eastAsia="Arial" w:hAnsi="Arial"/>
          <w:sz w:val="22"/>
          <w:szCs w:val="22"/>
          <w:color w:val="auto"/>
        </w:rPr>
        <w:t>” shall have a correlative meaning.</w:t>
      </w:r>
    </w:p>
    <w:p>
      <w:pPr>
        <w:spacing w:after="0" w:line="186" w:lineRule="exact"/>
        <w:rPr>
          <w:sz w:val="20"/>
          <w:szCs w:val="20"/>
          <w:color w:val="auto"/>
        </w:rPr>
      </w:pPr>
    </w:p>
    <w:p>
      <w:pPr>
        <w:ind w:right="74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Offering</w:t>
      </w:r>
      <w:r>
        <w:rPr>
          <w:rFonts w:ascii="Arial" w:cs="Arial" w:eastAsia="Arial" w:hAnsi="Arial"/>
          <w:sz w:val="22"/>
          <w:szCs w:val="22"/>
          <w:color w:val="auto"/>
        </w:rPr>
        <w:t>” means an underwritten offering, including any bought deal or block sale to a financial institution conducted as an Underwritten Offering.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Underwritten Shelf Takedown</w:t>
      </w:r>
      <w:r>
        <w:rPr>
          <w:rFonts w:ascii="Arial" w:cs="Arial" w:eastAsia="Arial" w:hAnsi="Arial"/>
          <w:sz w:val="19"/>
          <w:szCs w:val="19"/>
          <w:color w:val="auto"/>
        </w:rPr>
        <w:t>” means an Underwritten Offering pursuant to an effective Shelf Registration Statement.</w:t>
      </w:r>
    </w:p>
    <w:p>
      <w:pPr>
        <w:spacing w:after="0" w:line="241" w:lineRule="exact"/>
        <w:rPr>
          <w:sz w:val="20"/>
          <w:szCs w:val="20"/>
          <w:color w:val="auto"/>
        </w:rPr>
      </w:pPr>
    </w:p>
    <w:p>
      <w:pPr>
        <w:ind w:right="420" w:firstLine="86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WKSI</w:t>
      </w:r>
      <w:r>
        <w:rPr>
          <w:rFonts w:ascii="Arial" w:cs="Arial" w:eastAsia="Arial" w:hAnsi="Arial"/>
          <w:sz w:val="21"/>
          <w:szCs w:val="21"/>
          <w:color w:val="auto"/>
        </w:rPr>
        <w:t>” means any Securities Act registrant that is a well-known seasoned issuer as defined in Rule 405 under the Securities Act at the most recent eligibility determination date specified in paragraph (2) of that definition.</w:t>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010000"/>
              </w:rPr>
              <w:t>2.2</w:t>
            </w:r>
          </w:p>
        </w:tc>
        <w:tc>
          <w:tcPr>
            <w:tcW w:w="3040" w:type="dxa"/>
            <w:vAlign w:val="bottom"/>
            <w:gridSpan w:val="2"/>
          </w:tcPr>
          <w:p>
            <w:pPr>
              <w:spacing w:after="0"/>
              <w:rPr>
                <w:sz w:val="20"/>
                <w:szCs w:val="20"/>
                <w:color w:val="auto"/>
              </w:rPr>
            </w:pPr>
            <w:r>
              <w:rPr>
                <w:rFonts w:ascii="Arial" w:cs="Arial" w:eastAsia="Arial" w:hAnsi="Arial"/>
                <w:sz w:val="22"/>
                <w:szCs w:val="22"/>
                <w:color w:val="auto"/>
              </w:rPr>
              <w:t>Other Interpretive Provisions.</w:t>
            </w:r>
          </w:p>
        </w:tc>
        <w:tc>
          <w:tcPr>
            <w:tcW w:w="6360" w:type="dxa"/>
            <w:vAlign w:val="bottom"/>
          </w:tcPr>
          <w:p>
            <w:pPr>
              <w:spacing w:after="0"/>
              <w:rPr>
                <w:sz w:val="21"/>
                <w:szCs w:val="21"/>
                <w:color w:val="auto"/>
              </w:rPr>
            </w:pPr>
          </w:p>
        </w:tc>
      </w:tr>
      <w:tr>
        <w:trPr>
          <w:trHeight w:val="458"/>
        </w:trPr>
        <w:tc>
          <w:tcPr>
            <w:tcW w:w="900" w:type="dxa"/>
            <w:vAlign w:val="bottom"/>
          </w:tcPr>
          <w:p>
            <w:pPr>
              <w:spacing w:after="0"/>
              <w:rPr>
                <w:sz w:val="24"/>
                <w:szCs w:val="24"/>
                <w:color w:val="auto"/>
              </w:rPr>
            </w:pPr>
          </w:p>
        </w:tc>
        <w:tc>
          <w:tcPr>
            <w:tcW w:w="2520" w:type="dxa"/>
            <w:vAlign w:val="bottom"/>
            <w:tcBorders>
              <w:top w:val="single" w:sz="8" w:color="auto"/>
            </w:tcBorders>
          </w:tcPr>
          <w:p>
            <w:pPr>
              <w:ind w:left="680"/>
              <w:spacing w:after="0"/>
              <w:rPr>
                <w:sz w:val="20"/>
                <w:szCs w:val="20"/>
                <w:color w:val="auto"/>
              </w:rPr>
            </w:pPr>
            <w:r>
              <w:rPr>
                <w:rFonts w:ascii="Arial" w:cs="Arial" w:eastAsia="Arial" w:hAnsi="Arial"/>
                <w:sz w:val="22"/>
                <w:szCs w:val="22"/>
                <w:color w:val="010000"/>
              </w:rPr>
              <w:t>(i)</w:t>
            </w:r>
          </w:p>
        </w:tc>
        <w:tc>
          <w:tcPr>
            <w:tcW w:w="520" w:type="dxa"/>
            <w:vAlign w:val="bottom"/>
          </w:tcPr>
          <w:p>
            <w:pPr>
              <w:spacing w:after="0"/>
              <w:rPr>
                <w:sz w:val="24"/>
                <w:szCs w:val="24"/>
                <w:color w:val="auto"/>
              </w:rPr>
            </w:pPr>
          </w:p>
        </w:tc>
        <w:tc>
          <w:tcPr>
            <w:tcW w:w="6360" w:type="dxa"/>
            <w:vAlign w:val="bottom"/>
          </w:tcPr>
          <w:p>
            <w:pPr>
              <w:jc w:val="center"/>
              <w:ind w:left="332"/>
              <w:spacing w:after="0"/>
              <w:rPr>
                <w:sz w:val="20"/>
                <w:szCs w:val="20"/>
                <w:color w:val="auto"/>
              </w:rPr>
            </w:pPr>
            <w:r>
              <w:rPr>
                <w:rFonts w:ascii="Arial" w:cs="Arial" w:eastAsia="Arial" w:hAnsi="Arial"/>
                <w:sz w:val="22"/>
                <w:szCs w:val="22"/>
                <w:color w:val="auto"/>
                <w:w w:val="88"/>
              </w:rPr>
              <w:t>The meanings of defined terms are equally applicable to the singular</w:t>
            </w:r>
          </w:p>
        </w:tc>
      </w:tr>
      <w:tr>
        <w:trPr>
          <w:trHeight w:val="274"/>
        </w:trPr>
        <w:tc>
          <w:tcPr>
            <w:tcW w:w="3940" w:type="dxa"/>
            <w:vAlign w:val="bottom"/>
            <w:gridSpan w:val="3"/>
          </w:tcPr>
          <w:p>
            <w:pPr>
              <w:spacing w:after="0"/>
              <w:rPr>
                <w:sz w:val="20"/>
                <w:szCs w:val="20"/>
                <w:color w:val="auto"/>
              </w:rPr>
            </w:pPr>
            <w:r>
              <w:rPr>
                <w:rFonts w:ascii="Arial" w:cs="Arial" w:eastAsia="Arial" w:hAnsi="Arial"/>
                <w:sz w:val="22"/>
                <w:szCs w:val="22"/>
                <w:color w:val="auto"/>
              </w:rPr>
              <w:t>and plural forms of the defined terms.</w:t>
            </w:r>
          </w:p>
        </w:tc>
        <w:tc>
          <w:tcPr>
            <w:tcW w:w="6360" w:type="dxa"/>
            <w:vAlign w:val="bottom"/>
          </w:tcPr>
          <w:p>
            <w:pPr>
              <w:spacing w:after="0"/>
              <w:rPr>
                <w:sz w:val="23"/>
                <w:szCs w:val="23"/>
                <w:color w:val="auto"/>
              </w:rPr>
            </w:pPr>
          </w:p>
        </w:tc>
      </w:tr>
      <w:tr>
        <w:trPr>
          <w:trHeight w:val="446"/>
        </w:trPr>
        <w:tc>
          <w:tcPr>
            <w:tcW w:w="900" w:type="dxa"/>
            <w:vAlign w:val="bottom"/>
          </w:tcPr>
          <w:p>
            <w:pPr>
              <w:spacing w:after="0"/>
              <w:rPr>
                <w:sz w:val="24"/>
                <w:szCs w:val="24"/>
                <w:color w:val="auto"/>
              </w:rPr>
            </w:pPr>
          </w:p>
        </w:tc>
        <w:tc>
          <w:tcPr>
            <w:tcW w:w="3040" w:type="dxa"/>
            <w:vAlign w:val="bottom"/>
            <w:gridSpan w:val="2"/>
          </w:tcPr>
          <w:p>
            <w:pPr>
              <w:ind w:left="680"/>
              <w:spacing w:after="0"/>
              <w:rPr>
                <w:sz w:val="20"/>
                <w:szCs w:val="20"/>
                <w:color w:val="auto"/>
              </w:rPr>
            </w:pPr>
            <w:r>
              <w:rPr>
                <w:rFonts w:ascii="Arial" w:cs="Arial" w:eastAsia="Arial" w:hAnsi="Arial"/>
                <w:sz w:val="22"/>
                <w:szCs w:val="22"/>
                <w:color w:val="010000"/>
              </w:rPr>
              <w:t>(ii)</w:t>
            </w:r>
          </w:p>
        </w:tc>
        <w:tc>
          <w:tcPr>
            <w:tcW w:w="6360" w:type="dxa"/>
            <w:vAlign w:val="bottom"/>
          </w:tcPr>
          <w:p>
            <w:pPr>
              <w:jc w:val="center"/>
              <w:ind w:left="312"/>
              <w:spacing w:after="0"/>
              <w:rPr>
                <w:sz w:val="20"/>
                <w:szCs w:val="20"/>
                <w:color w:val="auto"/>
              </w:rPr>
            </w:pPr>
            <w:r>
              <w:rPr>
                <w:rFonts w:ascii="Arial" w:cs="Arial" w:eastAsia="Arial" w:hAnsi="Arial"/>
                <w:sz w:val="22"/>
                <w:szCs w:val="22"/>
                <w:color w:val="auto"/>
                <w:w w:val="91"/>
              </w:rPr>
              <w:t>The words “hereof”, “herein”, “hereunder” and similar words refer</w:t>
            </w:r>
          </w:p>
        </w:tc>
      </w:tr>
    </w:tbl>
    <w:p>
      <w:pPr>
        <w:ind w:left="880" w:right="400"/>
        <w:spacing w:after="0" w:line="236" w:lineRule="auto"/>
        <w:rPr>
          <w:sz w:val="20"/>
          <w:szCs w:val="20"/>
          <w:color w:val="auto"/>
        </w:rPr>
      </w:pPr>
      <w:r>
        <w:rPr>
          <w:rFonts w:ascii="Arial" w:cs="Arial" w:eastAsia="Arial" w:hAnsi="Arial"/>
          <w:sz w:val="22"/>
          <w:szCs w:val="22"/>
          <w:color w:val="auto"/>
        </w:rPr>
        <w:t>to this Agreement as a whole and not to any particular provision of this Agreement; and any subsection and section references are to this Agreement unless otherwise specified.</w:t>
      </w:r>
    </w:p>
    <w:p>
      <w:pPr>
        <w:sectPr>
          <w:pgSz w:w="11900" w:h="16838" w:orient="portrait"/>
          <w:cols w:equalWidth="0" w:num="1">
            <w:col w:w="11220"/>
          </w:cols>
          <w:pgMar w:left="320" w:top="577" w:right="359" w:bottom="1440" w:gutter="0" w:footer="0" w:header="0"/>
        </w:sectPr>
      </w:pPr>
    </w:p>
    <w:p>
      <w:pPr>
        <w:spacing w:after="0" w:line="187"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010000"/>
        </w:rPr>
        <w:t>(iii)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The term “including” is not limiting and means “including without</w:t>
      </w:r>
    </w:p>
    <w:p>
      <w:pPr>
        <w:spacing w:after="0" w:line="46" w:lineRule="exact"/>
        <w:rPr>
          <w:sz w:val="20"/>
          <w:szCs w:val="20"/>
          <w:color w:val="auto"/>
        </w:rPr>
      </w:pPr>
    </w:p>
    <w:p>
      <w:pPr>
        <w:sectPr>
          <w:pgSz w:w="11900" w:h="16838" w:orient="portrait"/>
          <w:cols w:equalWidth="0" w:num="2">
            <w:col w:w="4660" w:space="720"/>
            <w:col w:w="5840"/>
          </w:cols>
          <w:pgMar w:left="320" w:top="577" w:right="359" w:bottom="1440" w:gutter="0" w:footer="0" w:header="0"/>
          <w:type w:val="continuous"/>
        </w:sectPr>
      </w:pPr>
    </w:p>
    <w:p>
      <w:pPr>
        <w:ind w:left="880"/>
        <w:spacing w:after="0"/>
        <w:rPr>
          <w:sz w:val="20"/>
          <w:szCs w:val="20"/>
          <w:color w:val="auto"/>
        </w:rPr>
      </w:pPr>
      <w:r>
        <w:rPr>
          <w:rFonts w:ascii="Arial" w:cs="Arial" w:eastAsia="Arial" w:hAnsi="Arial"/>
          <w:sz w:val="22"/>
          <w:szCs w:val="22"/>
          <w:color w:val="auto"/>
        </w:rPr>
        <w:t>limitation.”</w:t>
      </w:r>
    </w:p>
    <w:p>
      <w:pPr>
        <w:spacing w:after="0" w:line="185" w:lineRule="exact"/>
        <w:rPr>
          <w:sz w:val="20"/>
          <w:szCs w:val="20"/>
          <w:color w:val="auto"/>
        </w:rPr>
      </w:pPr>
    </w:p>
    <w:p>
      <w:pPr>
        <w:ind w:left="880" w:right="180" w:firstLine="1594"/>
        <w:spacing w:after="0" w:line="250" w:lineRule="auto"/>
        <w:rPr>
          <w:sz w:val="20"/>
          <w:szCs w:val="20"/>
          <w:color w:val="auto"/>
        </w:rPr>
      </w:pPr>
      <w:r>
        <w:rPr>
          <w:rFonts w:ascii="Arial" w:cs="Arial" w:eastAsia="Arial" w:hAnsi="Arial"/>
          <w:sz w:val="22"/>
          <w:szCs w:val="22"/>
          <w:color w:val="010000"/>
        </w:rPr>
        <w:t xml:space="preserve">(iv) </w:t>
      </w:r>
      <w:r>
        <w:rPr>
          <w:rFonts w:ascii="Arial" w:cs="Arial" w:eastAsia="Arial" w:hAnsi="Arial"/>
          <w:sz w:val="22"/>
          <w:szCs w:val="22"/>
          <w:color w:val="000000"/>
        </w:rPr>
        <w:t>The captions and headings of this Agreement are for convenience</w:t>
      </w:r>
      <w:r>
        <w:rPr>
          <w:rFonts w:ascii="Arial" w:cs="Arial" w:eastAsia="Arial" w:hAnsi="Arial"/>
          <w:sz w:val="22"/>
          <w:szCs w:val="22"/>
          <w:color w:val="010000"/>
        </w:rPr>
        <w:t xml:space="preserve"> </w:t>
      </w:r>
      <w:r>
        <w:rPr>
          <w:rFonts w:ascii="Arial" w:cs="Arial" w:eastAsia="Arial" w:hAnsi="Arial"/>
          <w:sz w:val="22"/>
          <w:szCs w:val="22"/>
          <w:color w:val="000000"/>
        </w:rPr>
        <w:t>of reference only and shall not affect the interpretation of this Agreement.</w:t>
      </w:r>
    </w:p>
    <w:p>
      <w:pPr>
        <w:spacing w:after="0" w:line="175" w:lineRule="exact"/>
        <w:rPr>
          <w:sz w:val="20"/>
          <w:szCs w:val="20"/>
          <w:color w:val="auto"/>
        </w:rPr>
      </w:pPr>
    </w:p>
    <w:p>
      <w:pPr>
        <w:ind w:left="2460"/>
        <w:spacing w:after="0"/>
        <w:tabs>
          <w:tab w:leader="none" w:pos="5300" w:val="left"/>
        </w:tabs>
        <w:rPr>
          <w:sz w:val="20"/>
          <w:szCs w:val="20"/>
          <w:color w:val="auto"/>
        </w:rPr>
      </w:pPr>
      <w:r>
        <w:rPr>
          <w:rFonts w:ascii="Arial" w:cs="Arial" w:eastAsia="Arial" w:hAnsi="Arial"/>
          <w:sz w:val="19"/>
          <w:szCs w:val="19"/>
          <w:color w:val="010000"/>
        </w:rPr>
        <w:t>(v)</w:t>
      </w:r>
      <w:r>
        <w:rPr>
          <w:sz w:val="20"/>
          <w:szCs w:val="20"/>
          <w:color w:val="auto"/>
        </w:rPr>
        <w:tab/>
      </w:r>
      <w:r>
        <w:rPr>
          <w:rFonts w:ascii="Arial" w:cs="Arial" w:eastAsia="Arial" w:hAnsi="Arial"/>
          <w:sz w:val="19"/>
          <w:szCs w:val="19"/>
          <w:color w:val="auto"/>
        </w:rPr>
        <w:t>Whenever the context requires, any pronouns used herein shall</w:t>
      </w:r>
    </w:p>
    <w:p>
      <w:pPr>
        <w:sectPr>
          <w:pgSz w:w="11900" w:h="16838" w:orient="portrait"/>
          <w:cols w:equalWidth="0" w:num="1">
            <w:col w:w="11220"/>
          </w:cols>
          <w:pgMar w:left="320" w:top="577" w:right="35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include the corresponding masculine, feminine or neuter forms.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REGISTRATION RIGHTS</w:t>
      </w:r>
    </w:p>
    <w:p>
      <w:pPr>
        <w:spacing w:after="0" w:line="206" w:lineRule="exact"/>
        <w:rPr>
          <w:sz w:val="20"/>
          <w:szCs w:val="20"/>
          <w:color w:val="auto"/>
        </w:rPr>
      </w:pPr>
    </w:p>
    <w:p>
      <w:pPr>
        <w:jc w:val="both"/>
        <w:ind w:right="240" w:firstLine="864"/>
        <w:spacing w:after="0"/>
        <w:rPr>
          <w:sz w:val="20"/>
          <w:szCs w:val="20"/>
          <w:color w:val="auto"/>
        </w:rPr>
      </w:pPr>
      <w:r>
        <w:rPr>
          <w:rFonts w:ascii="Arial" w:cs="Arial" w:eastAsia="Arial" w:hAnsi="Arial"/>
          <w:sz w:val="22"/>
          <w:szCs w:val="22"/>
          <w:color w:val="auto"/>
        </w:rPr>
        <w:t>The Corporation will perform and comply, and cause each of its subsidiaries to perform and comply, with such of the following provisions as are applicable to them. Each Holder will perform and comply with such of the following provisions as are applicable to such Holder.</w:t>
      </w:r>
    </w:p>
    <w:p>
      <w:pPr>
        <w:spacing w:after="0" w:line="18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19"/>
          <w:szCs w:val="19"/>
          <w:u w:val="single" w:color="auto"/>
          <w:color w:val="auto"/>
        </w:rPr>
        <w:t>Demand Registration</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Request for Demand Registration</w:t>
      </w:r>
      <w:r>
        <w:rPr>
          <w:rFonts w:ascii="Arial" w:cs="Arial" w:eastAsia="Arial" w:hAnsi="Arial"/>
          <w:sz w:val="22"/>
          <w:szCs w:val="22"/>
          <w:color w:val="auto"/>
        </w:rPr>
        <w:t>.</w:t>
      </w:r>
    </w:p>
    <w:p>
      <w:pPr>
        <w:spacing w:after="0" w:line="206" w:lineRule="exact"/>
        <w:rPr>
          <w:sz w:val="20"/>
          <w:szCs w:val="20"/>
          <w:color w:val="auto"/>
        </w:rPr>
      </w:pPr>
    </w:p>
    <w:p>
      <w:pPr>
        <w:ind w:left="880" w:right="80" w:firstLine="1594"/>
        <w:spacing w:after="0"/>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color w:val="000000"/>
        </w:rPr>
        <w:t>Following the first anniversary of the Closing date of the IPO, any</w:t>
      </w:r>
      <w:r>
        <w:rPr>
          <w:rFonts w:ascii="Arial" w:cs="Arial" w:eastAsia="Arial" w:hAnsi="Arial"/>
          <w:sz w:val="22"/>
          <w:szCs w:val="22"/>
          <w:color w:val="010000"/>
        </w:rPr>
        <w:t xml:space="preserve"> </w:t>
      </w:r>
      <w:r>
        <w:rPr>
          <w:rFonts w:ascii="Arial" w:cs="Arial" w:eastAsia="Arial" w:hAnsi="Arial"/>
          <w:sz w:val="22"/>
          <w:szCs w:val="22"/>
          <w:color w:val="000000"/>
        </w:rPr>
        <w:t>Qualified Holder shall have the right, for itself or together with one or more other Qualified Holders, to make a written request from time to time (a “</w:t>
      </w:r>
      <w:r>
        <w:rPr>
          <w:rFonts w:ascii="Arial" w:cs="Arial" w:eastAsia="Arial" w:hAnsi="Arial"/>
          <w:sz w:val="22"/>
          <w:szCs w:val="22"/>
          <w:u w:val="single" w:color="auto"/>
          <w:color w:val="000000"/>
        </w:rPr>
        <w:t>Demand Registration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type w:val="continuous"/>
        </w:sectPr>
      </w:pPr>
    </w:p>
    <w:bookmarkStart w:id="283" w:name="page284"/>
    <w:bookmarkEnd w:id="283"/>
    <w:p>
      <w:pPr>
        <w:ind w:left="860"/>
        <w:spacing w:after="0" w:line="250" w:lineRule="auto"/>
        <w:rPr>
          <w:sz w:val="20"/>
          <w:szCs w:val="20"/>
          <w:color w:val="auto"/>
        </w:rPr>
      </w:pPr>
      <w:r>
        <w:rPr>
          <w:rFonts w:ascii="Arial" w:cs="Arial" w:eastAsia="Arial" w:hAnsi="Arial"/>
          <w:sz w:val="22"/>
          <w:szCs w:val="22"/>
          <w:u w:val="single" w:color="auto"/>
          <w:color w:val="auto"/>
        </w:rPr>
        <w:t>Request</w:t>
      </w:r>
      <w:r>
        <w:rPr>
          <w:rFonts w:ascii="Arial" w:cs="Arial" w:eastAsia="Arial" w:hAnsi="Arial"/>
          <w:sz w:val="22"/>
          <w:szCs w:val="22"/>
          <w:color w:val="auto"/>
        </w:rPr>
        <w:t>”) to the Corporation for Registration of all or part of the Registrable Securities held by that Qualified Holder (a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175" w:lineRule="exact"/>
        <w:rPr>
          <w:sz w:val="20"/>
          <w:szCs w:val="20"/>
          <w:color w:val="auto"/>
        </w:rPr>
      </w:pPr>
    </w:p>
    <w:p>
      <w:pPr>
        <w:ind w:left="860" w:right="160" w:firstLine="1594"/>
        <w:spacing w:after="0" w:line="238" w:lineRule="auto"/>
        <w:rPr>
          <w:sz w:val="20"/>
          <w:szCs w:val="20"/>
          <w:color w:val="auto"/>
        </w:rPr>
      </w:pPr>
      <w:r>
        <w:rPr>
          <w:rFonts w:ascii="Arial" w:cs="Arial" w:eastAsia="Arial" w:hAnsi="Arial"/>
          <w:sz w:val="22"/>
          <w:szCs w:val="22"/>
          <w:color w:val="010000"/>
        </w:rPr>
        <w:t xml:space="preserve">(ii) </w:t>
      </w:r>
      <w:r>
        <w:rPr>
          <w:rFonts w:ascii="Arial" w:cs="Arial" w:eastAsia="Arial" w:hAnsi="Arial"/>
          <w:sz w:val="22"/>
          <w:szCs w:val="22"/>
          <w:color w:val="000000"/>
        </w:rPr>
        <w:t>Each Demand Registration Request shall specify (x) the aggregate</w:t>
      </w:r>
      <w:r>
        <w:rPr>
          <w:rFonts w:ascii="Arial" w:cs="Arial" w:eastAsia="Arial" w:hAnsi="Arial"/>
          <w:sz w:val="22"/>
          <w:szCs w:val="22"/>
          <w:color w:val="010000"/>
        </w:rPr>
        <w:t xml:space="preserve"> </w:t>
      </w:r>
      <w:r>
        <w:rPr>
          <w:rFonts w:ascii="Arial" w:cs="Arial" w:eastAsia="Arial" w:hAnsi="Arial"/>
          <w:sz w:val="22"/>
          <w:szCs w:val="22"/>
          <w:color w:val="000000"/>
        </w:rPr>
        <w:t>amount of Registrable Securities proposed to be registered, (y) the intended method or methods of disposition thereof, and (z) whether the Demand Registration Request is for an Underwritten Offering or a Shelf Registration (a “</w:t>
      </w:r>
      <w:r>
        <w:rPr>
          <w:rFonts w:ascii="Arial" w:cs="Arial" w:eastAsia="Arial" w:hAnsi="Arial"/>
          <w:sz w:val="22"/>
          <w:szCs w:val="22"/>
          <w:u w:val="single" w:color="auto"/>
          <w:color w:val="000000"/>
        </w:rPr>
        <w:t>Shelf</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Registration Request</w:t>
      </w:r>
      <w:r>
        <w:rPr>
          <w:rFonts w:ascii="Arial" w:cs="Arial" w:eastAsia="Arial" w:hAnsi="Arial"/>
          <w:sz w:val="22"/>
          <w:szCs w:val="22"/>
          <w:color w:val="000000"/>
        </w:rPr>
        <w:t>”).</w:t>
      </w:r>
    </w:p>
    <w:p>
      <w:pPr>
        <w:spacing w:after="0" w:line="185" w:lineRule="exact"/>
        <w:rPr>
          <w:sz w:val="20"/>
          <w:szCs w:val="20"/>
          <w:color w:val="auto"/>
        </w:rPr>
      </w:pPr>
    </w:p>
    <w:p>
      <w:pPr>
        <w:ind w:left="860" w:right="60" w:firstLine="1594"/>
        <w:spacing w:after="0" w:line="235" w:lineRule="auto"/>
        <w:rPr>
          <w:sz w:val="20"/>
          <w:szCs w:val="20"/>
          <w:color w:val="auto"/>
        </w:rPr>
      </w:pPr>
      <w:r>
        <w:rPr>
          <w:rFonts w:ascii="Arial" w:cs="Arial" w:eastAsia="Arial" w:hAnsi="Arial"/>
          <w:sz w:val="22"/>
          <w:szCs w:val="22"/>
          <w:color w:val="010000"/>
        </w:rPr>
        <w:t xml:space="preserve">(iii) </w:t>
      </w:r>
      <w:r>
        <w:rPr>
          <w:rFonts w:ascii="Arial" w:cs="Arial" w:eastAsia="Arial" w:hAnsi="Arial"/>
          <w:sz w:val="22"/>
          <w:szCs w:val="22"/>
          <w:color w:val="000000"/>
        </w:rPr>
        <w:t>If a Demand Registration Request is for a Shelf Registration, and</w:t>
      </w:r>
      <w:r>
        <w:rPr>
          <w:rFonts w:ascii="Arial" w:cs="Arial" w:eastAsia="Arial" w:hAnsi="Arial"/>
          <w:sz w:val="22"/>
          <w:szCs w:val="22"/>
          <w:color w:val="010000"/>
        </w:rPr>
        <w:t xml:space="preserve"> </w:t>
      </w:r>
      <w:r>
        <w:rPr>
          <w:rFonts w:ascii="Arial" w:cs="Arial" w:eastAsia="Arial" w:hAnsi="Arial"/>
          <w:sz w:val="22"/>
          <w:szCs w:val="22"/>
          <w:color w:val="000000"/>
        </w:rPr>
        <w:t>the Corporation is eligible to file a Registration Statement on Form S-3, the Corporation shall promptly file with the SEC a Shelf Registration Statement on Form S-3 pursuant to Rule 415 under the Securities Act relating to the offer and sale of Registrable Securities by the Holders from time to time in accordance with the methods of distribution elected by the Qualified Holders Beneficially Owning a majority of Registrable Securities participating in the Registration, subject to all applicable provisions of this Agreement.</w:t>
      </w:r>
    </w:p>
    <w:p>
      <w:pPr>
        <w:spacing w:after="0" w:line="188" w:lineRule="exact"/>
        <w:rPr>
          <w:sz w:val="20"/>
          <w:szCs w:val="20"/>
          <w:color w:val="auto"/>
        </w:rPr>
      </w:pPr>
    </w:p>
    <w:p>
      <w:pPr>
        <w:ind w:left="860" w:right="20" w:firstLine="1594"/>
        <w:spacing w:after="0" w:line="234" w:lineRule="auto"/>
        <w:rPr>
          <w:sz w:val="20"/>
          <w:szCs w:val="20"/>
          <w:color w:val="auto"/>
        </w:rPr>
      </w:pPr>
      <w:r>
        <w:rPr>
          <w:rFonts w:ascii="Arial" w:cs="Arial" w:eastAsia="Arial" w:hAnsi="Arial"/>
          <w:sz w:val="22"/>
          <w:szCs w:val="22"/>
          <w:color w:val="010000"/>
        </w:rPr>
        <w:t xml:space="preserve">(iv) </w:t>
      </w:r>
      <w:r>
        <w:rPr>
          <w:rFonts w:ascii="Arial" w:cs="Arial" w:eastAsia="Arial" w:hAnsi="Arial"/>
          <w:sz w:val="22"/>
          <w:szCs w:val="22"/>
          <w:color w:val="000000"/>
        </w:rPr>
        <w:t>If the Demand Registration Request is for a Shelf Registration and</w:t>
      </w:r>
      <w:r>
        <w:rPr>
          <w:rFonts w:ascii="Arial" w:cs="Arial" w:eastAsia="Arial" w:hAnsi="Arial"/>
          <w:sz w:val="22"/>
          <w:szCs w:val="22"/>
          <w:color w:val="010000"/>
        </w:rPr>
        <w:t xml:space="preserve"> </w:t>
      </w:r>
      <w:r>
        <w:rPr>
          <w:rFonts w:ascii="Arial" w:cs="Arial" w:eastAsia="Arial" w:hAnsi="Arial"/>
          <w:sz w:val="22"/>
          <w:szCs w:val="22"/>
          <w:color w:val="000000"/>
        </w:rPr>
        <w:t>the Corporation is not eligible to file a Registration Statement on Form S-3, the Corporation shall promptly file with the SEC a Shelf Registration Statement on Form S-1 or any other form that the Corporation is then permitted to use pursuant to Rule 415 under the Securities Act (or such other Registration Statement as the Board of Directors may determine to be appropriate) relating to the offer and sale of Registrable Securities by the Holders from time to time in accordance with the methods of distribution elected by the Qualified Holders Beneficially Owning a majority of Registrable Securities participating in the Registration.</w:t>
      </w:r>
    </w:p>
    <w:p>
      <w:pPr>
        <w:spacing w:after="0" w:line="191" w:lineRule="exact"/>
        <w:rPr>
          <w:sz w:val="20"/>
          <w:szCs w:val="20"/>
          <w:color w:val="auto"/>
        </w:rPr>
      </w:pPr>
    </w:p>
    <w:p>
      <w:pPr>
        <w:ind w:left="860" w:right="100" w:firstLine="1594"/>
        <w:spacing w:after="0" w:line="236"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22"/>
          <w:szCs w:val="22"/>
          <w:color w:val="000000"/>
        </w:rPr>
        <w:t>If on the date of the Shelf Registration Request the Corporation is a</w:t>
      </w:r>
      <w:r>
        <w:rPr>
          <w:rFonts w:ascii="Arial" w:cs="Arial" w:eastAsia="Arial" w:hAnsi="Arial"/>
          <w:sz w:val="22"/>
          <w:szCs w:val="22"/>
          <w:color w:val="010000"/>
        </w:rPr>
        <w:t xml:space="preserve"> </w:t>
      </w:r>
      <w:r>
        <w:rPr>
          <w:rFonts w:ascii="Arial" w:cs="Arial" w:eastAsia="Arial" w:hAnsi="Arial"/>
          <w:sz w:val="22"/>
          <w:szCs w:val="22"/>
          <w:color w:val="000000"/>
        </w:rPr>
        <w:t>WKSI, then any Shelf Registration Statement may (if the Board of Directors determines it to be appropriate to do so) include an unspecified amount of Registrable Securities to be sold by unspecified Holders. If on the date of the Shelf Registration Request the Corporation is not a WKSI, then the Shelf Registration Request shall specify the aggregate amount of Registrable Securities to be registered.</w:t>
      </w:r>
    </w:p>
    <w:p>
      <w:pPr>
        <w:spacing w:after="0" w:line="187" w:lineRule="exact"/>
        <w:rPr>
          <w:sz w:val="20"/>
          <w:szCs w:val="20"/>
          <w:color w:val="auto"/>
        </w:rPr>
      </w:pPr>
    </w:p>
    <w:p>
      <w:pPr>
        <w:ind w:left="-20" w:right="20" w:firstLine="1735"/>
        <w:spacing w:after="0" w:line="273" w:lineRule="auto"/>
        <w:tabs>
          <w:tab w:leader="none" w:pos="2607" w:val="left"/>
        </w:tabs>
        <w:numPr>
          <w:ilvl w:val="0"/>
          <w:numId w:val="209"/>
        </w:numPr>
        <w:rPr>
          <w:rFonts w:ascii="Arial" w:cs="Arial" w:eastAsia="Arial" w:hAnsi="Arial"/>
          <w:sz w:val="19"/>
          <w:szCs w:val="19"/>
          <w:color w:val="010000"/>
        </w:rPr>
      </w:pPr>
      <w:r>
        <w:rPr>
          <w:rFonts w:ascii="Arial" w:cs="Arial" w:eastAsia="Arial" w:hAnsi="Arial"/>
          <w:sz w:val="19"/>
          <w:szCs w:val="19"/>
          <w:u w:val="single" w:color="auto"/>
          <w:color w:val="auto"/>
        </w:rPr>
        <w:t>Limitation on Registrations</w:t>
      </w:r>
      <w:r>
        <w:rPr>
          <w:rFonts w:ascii="Arial" w:cs="Arial" w:eastAsia="Arial" w:hAnsi="Arial"/>
          <w:sz w:val="19"/>
          <w:szCs w:val="19"/>
          <w:color w:val="auto"/>
        </w:rPr>
        <w:t>. The Corporation shall not be obligated to take any action to effect any Demand Registration if (i) a Demand Registration or Piggyback Registration was declared effective or an Underwritten Offering was consummated by either the Corporation or any Holders within the preceding 90 days; (ii) the Corporation has filed another Registration Statement (other than on Form S-8 or Form S-4 or any successor thereto) that has not yet become effective; or (iii) the value of the Registrable Securities proposed to be sold by the initiating Qualified Holders, together with the Registrable Securities proposed to be sold by other Holders, is not reasonably expected (in the good faith judgment of the Board of Directors) to yield net proceeds of at least $25 million, or in the case of an Underwritten Offering, of at least $50 million. No Demand Registration Request may cover Registrable Securities that are issuable upon Exchange under and pursuant to the terms of the Company Agreement if the Company Agreement would not, on the date of the Demand Registration Request, then permit such Exchange, except with the approval of the Corporation’s Board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77" w:right="339" w:bottom="1440" w:gutter="0" w:footer="0" w:header="0"/>
        </w:sectPr>
      </w:pPr>
    </w:p>
    <w:bookmarkStart w:id="284" w:name="page285"/>
    <w:bookmarkEnd w:id="284"/>
    <w:p>
      <w:pPr>
        <w:ind w:left="-40" w:right="140" w:firstLine="1735"/>
        <w:spacing w:after="0" w:line="234" w:lineRule="auto"/>
        <w:tabs>
          <w:tab w:leader="none" w:pos="2575" w:val="left"/>
        </w:tabs>
        <w:numPr>
          <w:ilvl w:val="0"/>
          <w:numId w:val="210"/>
        </w:numPr>
        <w:rPr>
          <w:rFonts w:ascii="Arial" w:cs="Arial" w:eastAsia="Arial" w:hAnsi="Arial"/>
          <w:sz w:val="22"/>
          <w:szCs w:val="22"/>
          <w:color w:val="010000"/>
        </w:rPr>
      </w:pPr>
      <w:r>
        <w:rPr>
          <w:rFonts w:ascii="Arial" w:cs="Arial" w:eastAsia="Arial" w:hAnsi="Arial"/>
          <w:sz w:val="22"/>
          <w:szCs w:val="22"/>
          <w:u w:val="single" w:color="auto"/>
          <w:color w:val="auto"/>
        </w:rPr>
        <w:t>Demand Notice</w:t>
      </w:r>
      <w:r>
        <w:rPr>
          <w:rFonts w:ascii="Arial" w:cs="Arial" w:eastAsia="Arial" w:hAnsi="Arial"/>
          <w:sz w:val="22"/>
          <w:szCs w:val="22"/>
          <w:color w:val="auto"/>
        </w:rPr>
        <w:t xml:space="preserve">. Promptly upon receipt of a Demand Registration Request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3.1(a)</w:t>
      </w:r>
      <w:r>
        <w:rPr>
          <w:rFonts w:ascii="Arial" w:cs="Arial" w:eastAsia="Arial" w:hAnsi="Arial"/>
          <w:sz w:val="22"/>
          <w:szCs w:val="22"/>
          <w:color w:val="auto"/>
        </w:rPr>
        <w:t xml:space="preserve"> (but in no event more than ten Business Days thereafter), the Corporation shall deliver a written notice (a “</w:t>
      </w:r>
      <w:r>
        <w:rPr>
          <w:rFonts w:ascii="Arial" w:cs="Arial" w:eastAsia="Arial" w:hAnsi="Arial"/>
          <w:sz w:val="22"/>
          <w:szCs w:val="22"/>
          <w:u w:val="single" w:color="auto"/>
          <w:color w:val="auto"/>
        </w:rPr>
        <w:t>Demand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of the Demand Registration Request to all other Holders offering each such Holder the opportunity to include in the Demand Registration that number of Registrable Securities as the Holder may request in writing. Subject to </w:t>
      </w:r>
      <w:r>
        <w:rPr>
          <w:rFonts w:ascii="Arial" w:cs="Arial" w:eastAsia="Arial" w:hAnsi="Arial"/>
          <w:sz w:val="22"/>
          <w:szCs w:val="22"/>
          <w:u w:val="single" w:color="auto"/>
          <w:color w:val="auto"/>
        </w:rPr>
        <w:t>Sections 3.1(g)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3.1(h)</w:t>
      </w:r>
      <w:r>
        <w:rPr>
          <w:rFonts w:ascii="Arial" w:cs="Arial" w:eastAsia="Arial" w:hAnsi="Arial"/>
          <w:sz w:val="22"/>
          <w:szCs w:val="22"/>
          <w:color w:val="auto"/>
        </w:rPr>
        <w:t>, the Corporation shall include in the Demand Registration all such Registrable Securities with respect to which the Corporation has received written requests for inclusion therein within five Business Days after the date that the Demand Notice was delivered.</w:t>
      </w:r>
    </w:p>
    <w:p>
      <w:pPr>
        <w:spacing w:after="0" w:line="190" w:lineRule="exact"/>
        <w:rPr>
          <w:rFonts w:ascii="Arial" w:cs="Arial" w:eastAsia="Arial" w:hAnsi="Arial"/>
          <w:sz w:val="22"/>
          <w:szCs w:val="22"/>
          <w:color w:val="010000"/>
        </w:rPr>
      </w:pPr>
    </w:p>
    <w:p>
      <w:pPr>
        <w:ind w:left="-40" w:right="20" w:firstLine="1735"/>
        <w:spacing w:after="0" w:line="246" w:lineRule="auto"/>
        <w:tabs>
          <w:tab w:leader="none" w:pos="2587" w:val="left"/>
        </w:tabs>
        <w:numPr>
          <w:ilvl w:val="0"/>
          <w:numId w:val="210"/>
        </w:numPr>
        <w:rPr>
          <w:rFonts w:ascii="Arial" w:cs="Arial" w:eastAsia="Arial" w:hAnsi="Arial"/>
          <w:sz w:val="21"/>
          <w:szCs w:val="21"/>
          <w:color w:val="010000"/>
        </w:rPr>
      </w:pPr>
      <w:r>
        <w:rPr>
          <w:rFonts w:ascii="Arial" w:cs="Arial" w:eastAsia="Arial" w:hAnsi="Arial"/>
          <w:sz w:val="21"/>
          <w:szCs w:val="21"/>
          <w:u w:val="single" w:color="auto"/>
          <w:color w:val="auto"/>
        </w:rPr>
        <w:t>Demand Withdrawal</w:t>
      </w:r>
      <w:r>
        <w:rPr>
          <w:rFonts w:ascii="Arial" w:cs="Arial" w:eastAsia="Arial" w:hAnsi="Arial"/>
          <w:sz w:val="21"/>
          <w:szCs w:val="21"/>
          <w:color w:val="auto"/>
        </w:rPr>
        <w:t xml:space="preserve">. Each Holder that has requested the inclusion of Registrable Securities in a Registration (other than a Registration in connection with a Public Offering) pursuant to </w:t>
      </w:r>
      <w:r>
        <w:rPr>
          <w:rFonts w:ascii="Arial" w:cs="Arial" w:eastAsia="Arial" w:hAnsi="Arial"/>
          <w:sz w:val="21"/>
          <w:szCs w:val="21"/>
          <w:u w:val="single" w:color="auto"/>
          <w:color w:val="auto"/>
        </w:rPr>
        <w:t>Section 3.1(c)</w:t>
      </w:r>
      <w:r>
        <w:rPr>
          <w:rFonts w:ascii="Arial" w:cs="Arial" w:eastAsia="Arial" w:hAnsi="Arial"/>
          <w:sz w:val="21"/>
          <w:szCs w:val="21"/>
          <w:color w:val="auto"/>
        </w:rPr>
        <w:t xml:space="preserve"> may withdraw all or any portion of its Registrable Securities from that Registration at any time prior to the effectiveness of the applicable Registration Statement by delivering written notice to the Corporation. Upon receipt of a notice or notices withdrawing (i) all of the Registrable Securities included in that Registration Statement by the Holder(s) or (ii) a number of such Registrable Securities so as to cause the expected net proceeds to fall below the applicable threshold set forth in </w:t>
      </w:r>
      <w:r>
        <w:rPr>
          <w:rFonts w:ascii="Arial" w:cs="Arial" w:eastAsia="Arial" w:hAnsi="Arial"/>
          <w:sz w:val="21"/>
          <w:szCs w:val="21"/>
          <w:u w:val="single" w:color="auto"/>
          <w:color w:val="auto"/>
        </w:rPr>
        <w:t>Section 3.1(b)</w:t>
      </w:r>
      <w:r>
        <w:rPr>
          <w:rFonts w:ascii="Arial" w:cs="Arial" w:eastAsia="Arial" w:hAnsi="Arial"/>
          <w:sz w:val="21"/>
          <w:szCs w:val="21"/>
          <w:color w:val="auto"/>
        </w:rPr>
        <w:t>, the Corporation shall cease all efforts to secure effectiveness of the applicable Registration Statement or amend the applicable Registration Statement to exclude the withdrawn Registrable Securities.</w:t>
      </w:r>
    </w:p>
    <w:p>
      <w:pPr>
        <w:spacing w:after="0" w:line="179" w:lineRule="exact"/>
        <w:rPr>
          <w:rFonts w:ascii="Arial" w:cs="Arial" w:eastAsia="Arial" w:hAnsi="Arial"/>
          <w:sz w:val="21"/>
          <w:szCs w:val="21"/>
          <w:color w:val="010000"/>
        </w:rPr>
      </w:pPr>
    </w:p>
    <w:p>
      <w:pPr>
        <w:ind w:left="2580" w:hanging="885"/>
        <w:spacing w:after="0"/>
        <w:tabs>
          <w:tab w:leader="none" w:pos="2580" w:val="left"/>
        </w:tabs>
        <w:numPr>
          <w:ilvl w:val="0"/>
          <w:numId w:val="210"/>
        </w:numPr>
        <w:rPr>
          <w:rFonts w:ascii="Arial" w:cs="Arial" w:eastAsia="Arial" w:hAnsi="Arial"/>
          <w:sz w:val="22"/>
          <w:szCs w:val="22"/>
          <w:color w:val="010000"/>
        </w:rPr>
      </w:pPr>
      <w:r>
        <w:rPr>
          <w:rFonts w:ascii="Arial" w:cs="Arial" w:eastAsia="Arial" w:hAnsi="Arial"/>
          <w:sz w:val="22"/>
          <w:szCs w:val="22"/>
          <w:u w:val="single" w:color="auto"/>
          <w:color w:val="auto"/>
        </w:rPr>
        <w:t>Effectiveness</w:t>
      </w:r>
      <w:r>
        <w:rPr>
          <w:rFonts w:ascii="Arial" w:cs="Arial" w:eastAsia="Arial" w:hAnsi="Arial"/>
          <w:sz w:val="22"/>
          <w:szCs w:val="22"/>
          <w:color w:val="auto"/>
        </w:rPr>
        <w:t>.</w:t>
      </w:r>
    </w:p>
    <w:p>
      <w:pPr>
        <w:spacing w:after="0" w:line="206" w:lineRule="exact"/>
        <w:rPr>
          <w:sz w:val="20"/>
          <w:szCs w:val="20"/>
          <w:color w:val="auto"/>
        </w:rPr>
      </w:pPr>
    </w:p>
    <w:p>
      <w:pPr>
        <w:ind w:left="840" w:right="140" w:firstLine="1594"/>
        <w:spacing w:after="0"/>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color w:val="000000"/>
        </w:rPr>
        <w:t>The Corporation shall use commercially reasonable efforts to cause</w:t>
      </w:r>
      <w:r>
        <w:rPr>
          <w:rFonts w:ascii="Arial" w:cs="Arial" w:eastAsia="Arial" w:hAnsi="Arial"/>
          <w:sz w:val="22"/>
          <w:szCs w:val="22"/>
          <w:color w:val="010000"/>
        </w:rPr>
        <w:t xml:space="preserve"> </w:t>
      </w:r>
      <w:r>
        <w:rPr>
          <w:rFonts w:ascii="Arial" w:cs="Arial" w:eastAsia="Arial" w:hAnsi="Arial"/>
          <w:sz w:val="22"/>
          <w:szCs w:val="22"/>
          <w:color w:val="000000"/>
        </w:rPr>
        <w:t>any Registration Statement filed by it pursuant to this Agreement to become effective as promptly as practicable, subject to all applicable provisions of this Agreement.</w:t>
      </w:r>
    </w:p>
    <w:p>
      <w:pPr>
        <w:spacing w:after="0" w:line="186" w:lineRule="exact"/>
        <w:rPr>
          <w:sz w:val="20"/>
          <w:szCs w:val="20"/>
          <w:color w:val="auto"/>
        </w:rPr>
      </w:pPr>
    </w:p>
    <w:p>
      <w:pPr>
        <w:ind w:left="840" w:right="40" w:firstLine="1594"/>
        <w:spacing w:after="0" w:line="245" w:lineRule="auto"/>
        <w:rPr>
          <w:sz w:val="20"/>
          <w:szCs w:val="20"/>
          <w:color w:val="auto"/>
        </w:rPr>
      </w:pPr>
      <w:r>
        <w:rPr>
          <w:rFonts w:ascii="Arial" w:cs="Arial" w:eastAsia="Arial" w:hAnsi="Arial"/>
          <w:sz w:val="21"/>
          <w:szCs w:val="21"/>
          <w:color w:val="010000"/>
        </w:rPr>
        <w:t xml:space="preserve">(ii) </w:t>
      </w:r>
      <w:r>
        <w:rPr>
          <w:rFonts w:ascii="Arial" w:cs="Arial" w:eastAsia="Arial" w:hAnsi="Arial"/>
          <w:sz w:val="21"/>
          <w:szCs w:val="21"/>
          <w:color w:val="000000"/>
        </w:rPr>
        <w:t>The Corporation shall use commercially reasonable efforts to keep</w:t>
      </w:r>
      <w:r>
        <w:rPr>
          <w:rFonts w:ascii="Arial" w:cs="Arial" w:eastAsia="Arial" w:hAnsi="Arial"/>
          <w:sz w:val="21"/>
          <w:szCs w:val="21"/>
          <w:color w:val="010000"/>
        </w:rPr>
        <w:t xml:space="preserve"> </w:t>
      </w:r>
      <w:r>
        <w:rPr>
          <w:rFonts w:ascii="Arial" w:cs="Arial" w:eastAsia="Arial" w:hAnsi="Arial"/>
          <w:sz w:val="21"/>
          <w:szCs w:val="21"/>
          <w:color w:val="000000"/>
        </w:rPr>
        <w:t>any Shelf Registration Statement filed on Form S-3 continuously effective under the Securities Act to permit the Prospectus forming a part of it to be usable by Holders until the earlier of: (A) the date as of which all Registrable Securities have been sold pursuant to that Shelf Registration Statement or another Registration Statement filed under the Securities Act (but in no event prior to the applicable period referred to in Section 4(a)(3) of the Securities Act and Rule 174 thereunder); (B) the date as of which no Holder whose Registrable Securities are registered on such Form S-3 holds Registrable Securities; (C) any date reasonably determined by the Board of Directors of the Corporation to be appropriate, excluding any date that is fewer than 180 days after the effectiveness of the Registration Statement; or (D) the third anniversary of the effectiveness of the Registration Statement.</w:t>
      </w:r>
    </w:p>
    <w:p>
      <w:pPr>
        <w:spacing w:after="0" w:line="184" w:lineRule="exact"/>
        <w:rPr>
          <w:sz w:val="20"/>
          <w:szCs w:val="20"/>
          <w:color w:val="auto"/>
        </w:rPr>
      </w:pPr>
    </w:p>
    <w:p>
      <w:pPr>
        <w:ind w:left="840" w:firstLine="1594"/>
        <w:spacing w:after="0" w:line="234" w:lineRule="auto"/>
        <w:rPr>
          <w:sz w:val="20"/>
          <w:szCs w:val="20"/>
          <w:color w:val="auto"/>
        </w:rPr>
      </w:pPr>
      <w:r>
        <w:rPr>
          <w:rFonts w:ascii="Arial" w:cs="Arial" w:eastAsia="Arial" w:hAnsi="Arial"/>
          <w:sz w:val="22"/>
          <w:szCs w:val="22"/>
          <w:color w:val="010000"/>
        </w:rPr>
        <w:t xml:space="preserve">(iii) </w:t>
      </w:r>
      <w:r>
        <w:rPr>
          <w:rFonts w:ascii="Arial" w:cs="Arial" w:eastAsia="Arial" w:hAnsi="Arial"/>
          <w:sz w:val="22"/>
          <w:szCs w:val="22"/>
          <w:color w:val="000000"/>
        </w:rPr>
        <w:t>If the Registration Statement filed is a Shelf Registration Statement</w:t>
      </w:r>
      <w:r>
        <w:rPr>
          <w:rFonts w:ascii="Arial" w:cs="Arial" w:eastAsia="Arial" w:hAnsi="Arial"/>
          <w:sz w:val="22"/>
          <w:szCs w:val="22"/>
          <w:color w:val="010000"/>
        </w:rPr>
        <w:t xml:space="preserve"> </w:t>
      </w:r>
      <w:r>
        <w:rPr>
          <w:rFonts w:ascii="Arial" w:cs="Arial" w:eastAsia="Arial" w:hAnsi="Arial"/>
          <w:sz w:val="22"/>
          <w:szCs w:val="22"/>
          <w:color w:val="000000"/>
        </w:rPr>
        <w:t xml:space="preserve">on any form other than Form S-3, or if the Registration Statement is filed in connection with an Underwritten Offering, the Corporation shall use commercially reasonable efforts to keep the Registration Statement effective for a period of at least 180 days after the effective date thereof, such other period as the underwriters for any Underwritten Offering may determine to be appropriate, or such shorter period during which all Registrable Securities included in the Registration Statement have actually been sold;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such period shall be extended for a period of time equal to the period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748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577" w:right="359" w:bottom="1440" w:gutter="0" w:footer="0" w:header="0"/>
        </w:sectPr>
      </w:pPr>
    </w:p>
    <w:bookmarkStart w:id="285" w:name="page286"/>
    <w:bookmarkEnd w:id="285"/>
    <w:p>
      <w:pPr>
        <w:ind w:left="860"/>
        <w:spacing w:after="0"/>
        <w:rPr>
          <w:sz w:val="20"/>
          <w:szCs w:val="20"/>
          <w:color w:val="auto"/>
        </w:rPr>
      </w:pPr>
      <w:r>
        <w:rPr>
          <w:rFonts w:ascii="Arial" w:cs="Arial" w:eastAsia="Arial" w:hAnsi="Arial"/>
          <w:sz w:val="22"/>
          <w:szCs w:val="22"/>
          <w:color w:val="auto"/>
        </w:rPr>
        <w:t>Holders of Registrable Securities may be required to refrain from selling any securities included in the Registration Statement at either the request of the Corporation or an underwriter of the Corporation pursuant to the provisions of this Agreement.</w:t>
      </w:r>
    </w:p>
    <w:p>
      <w:pPr>
        <w:spacing w:after="0" w:line="186" w:lineRule="exact"/>
        <w:rPr>
          <w:sz w:val="20"/>
          <w:szCs w:val="20"/>
          <w:color w:val="auto"/>
        </w:rPr>
      </w:pPr>
    </w:p>
    <w:p>
      <w:pPr>
        <w:ind w:left="-20" w:right="20" w:firstLine="1735"/>
        <w:spacing w:after="0" w:line="271" w:lineRule="auto"/>
        <w:tabs>
          <w:tab w:leader="none" w:pos="2571" w:val="left"/>
        </w:tabs>
        <w:numPr>
          <w:ilvl w:val="0"/>
          <w:numId w:val="211"/>
        </w:numPr>
        <w:rPr>
          <w:rFonts w:ascii="Arial" w:cs="Arial" w:eastAsia="Arial" w:hAnsi="Arial"/>
          <w:sz w:val="19"/>
          <w:szCs w:val="19"/>
          <w:color w:val="010000"/>
        </w:rPr>
      </w:pPr>
      <w:r>
        <w:rPr>
          <w:rFonts w:ascii="Arial" w:cs="Arial" w:eastAsia="Arial" w:hAnsi="Arial"/>
          <w:sz w:val="19"/>
          <w:szCs w:val="19"/>
          <w:u w:val="single" w:color="auto"/>
          <w:color w:val="auto"/>
        </w:rPr>
        <w:t>Delay in Filing; Suspension of Registration</w:t>
      </w:r>
      <w:r>
        <w:rPr>
          <w:rFonts w:ascii="Arial" w:cs="Arial" w:eastAsia="Arial" w:hAnsi="Arial"/>
          <w:sz w:val="19"/>
          <w:szCs w:val="19"/>
          <w:color w:val="auto"/>
        </w:rPr>
        <w:t>. If the filing, initial effectiveness or continued use of a Registration Statement at any time would require the Corporation to make an Adverse Disclosure, the Corporation may, upon giving prompt written notice of such action to the Holders, delay the filing or initial effectiveness of, or suspend use of, the Registration Statement (a “</w:t>
      </w:r>
      <w:r>
        <w:rPr>
          <w:rFonts w:ascii="Arial" w:cs="Arial" w:eastAsia="Arial" w:hAnsi="Arial"/>
          <w:sz w:val="19"/>
          <w:szCs w:val="19"/>
          <w:u w:val="single" w:color="auto"/>
          <w:color w:val="auto"/>
        </w:rPr>
        <w:t>Suspension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Corporation shall use all commercially reasonable efforts to avoid exercising a Suspension (i) for a period exceeding 60 days on any one occasion or (ii) for an aggregate of more than 120 days in any 12-month period. In the case of a Suspension, the Holders agree to suspend use of the applicable Prospectus in connection with any sale or purchase, or offer to sell or purchase, Registrable Securities, upon receipt of the notice referred to above. The Corporation shall immediately notify the Holders in writing upon the termination of any Suspension. Such notice shall be confidential information of the Corporation and each Holder shall not disclose to any Person the fact of the Suspension except as required by applicable law, rule or regulation. The Corporation shall, if necessary, amend or supplement the Prospectus so it does not contain any untrue statement or omission and furnish to the Holders such numbers of copies of the Prospectus as so amended or supplemented as the Holders may reasonably request. The Corporation shall, if necessary, supplement or amend the Registration Statement, if required by the registration form used by the Corporation for the Registration Statement or by the instructions applicable to such registration form or by the Securities Act or the rules or regulations promulgated thereunder or as may reasonably be requested by the Holders of a majority of Registrable Securities that are included in such Registration Statement.</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left="-20" w:right="60" w:firstLine="1735"/>
        <w:spacing w:after="0" w:line="273" w:lineRule="auto"/>
        <w:tabs>
          <w:tab w:leader="none" w:pos="2607" w:val="left"/>
        </w:tabs>
        <w:numPr>
          <w:ilvl w:val="0"/>
          <w:numId w:val="211"/>
        </w:numPr>
        <w:rPr>
          <w:rFonts w:ascii="Arial" w:cs="Arial" w:eastAsia="Arial" w:hAnsi="Arial"/>
          <w:sz w:val="19"/>
          <w:szCs w:val="19"/>
          <w:color w:val="010000"/>
        </w:rPr>
      </w:pPr>
      <w:r>
        <w:rPr>
          <w:rFonts w:ascii="Arial" w:cs="Arial" w:eastAsia="Arial" w:hAnsi="Arial"/>
          <w:sz w:val="19"/>
          <w:szCs w:val="19"/>
          <w:u w:val="single" w:color="auto"/>
          <w:color w:val="auto"/>
        </w:rPr>
        <w:t>Priority of Securities Registered Pursuant to Shelf Registrations</w:t>
      </w:r>
      <w:r>
        <w:rPr>
          <w:rFonts w:ascii="Arial" w:cs="Arial" w:eastAsia="Arial" w:hAnsi="Arial"/>
          <w:sz w:val="19"/>
          <w:szCs w:val="19"/>
          <w:color w:val="auto"/>
        </w:rPr>
        <w:t xml:space="preserve">. If the Board of Directors of the Corporation concludes in good faith that the number of securities requested to be included in a Shelf Registration exceeds the number that can be sold without being likely to have an adverse effect on the price, timing or distribution of the securities offered or the market for the securities offered, then the securities to be included in such Registration shall be (i) first, allocated to each Holder that has requested to participate in such Registration an amount equal to the lesser of (x) the number of such Registrable Securities requested to be registered or sold by such Holder, and (y) a number of such shares equal to such Holder’s Pro Rata Portion, and (ii) second, and only if all the securities referred to in clause (i) have been included, the number of other securities that, in the opinion of such managing underwriter or underwriters can be sold without having such adverse effect. If a cutback pursuant to this </w:t>
      </w:r>
      <w:r>
        <w:rPr>
          <w:rFonts w:ascii="Arial" w:cs="Arial" w:eastAsia="Arial" w:hAnsi="Arial"/>
          <w:sz w:val="19"/>
          <w:szCs w:val="19"/>
          <w:u w:val="single" w:color="auto"/>
          <w:color w:val="auto"/>
        </w:rPr>
        <w:t>Section 3.1(g)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3.1(h)</w:t>
      </w:r>
      <w:r>
        <w:rPr>
          <w:rFonts w:ascii="Arial" w:cs="Arial" w:eastAsia="Arial" w:hAnsi="Arial"/>
          <w:sz w:val="19"/>
          <w:szCs w:val="19"/>
          <w:color w:val="auto"/>
        </w:rPr>
        <w:t xml:space="preserve"> would cause an applicable dollar threshold set forth in </w:t>
      </w:r>
      <w:r>
        <w:rPr>
          <w:rFonts w:ascii="Arial" w:cs="Arial" w:eastAsia="Arial" w:hAnsi="Arial"/>
          <w:sz w:val="19"/>
          <w:szCs w:val="19"/>
          <w:u w:val="single" w:color="auto"/>
          <w:color w:val="auto"/>
        </w:rPr>
        <w:t>Section 3.1(b)(iii)</w:t>
      </w:r>
      <w:r>
        <w:rPr>
          <w:rFonts w:ascii="Arial" w:cs="Arial" w:eastAsia="Arial" w:hAnsi="Arial"/>
          <w:sz w:val="19"/>
          <w:szCs w:val="19"/>
          <w:color w:val="auto"/>
        </w:rPr>
        <w:t xml:space="preserve"> not to be met with respect to the Demand Registration, </w:t>
      </w:r>
      <w:r>
        <w:rPr>
          <w:rFonts w:ascii="Arial" w:cs="Arial" w:eastAsia="Arial" w:hAnsi="Arial"/>
          <w:sz w:val="19"/>
          <w:szCs w:val="19"/>
          <w:u w:val="single" w:color="auto"/>
          <w:color w:val="auto"/>
        </w:rPr>
        <w:t>Section 3.1(b)(iii)</w:t>
      </w:r>
      <w:r>
        <w:rPr>
          <w:rFonts w:ascii="Arial" w:cs="Arial" w:eastAsia="Arial" w:hAnsi="Arial"/>
          <w:sz w:val="19"/>
          <w:szCs w:val="19"/>
          <w:color w:val="auto"/>
        </w:rPr>
        <w:t xml:space="preserve"> shall not apply to that Demand Registration.</w:t>
      </w:r>
    </w:p>
    <w:p>
      <w:pPr>
        <w:spacing w:after="0" w:line="160" w:lineRule="exact"/>
        <w:rPr>
          <w:rFonts w:ascii="Arial" w:cs="Arial" w:eastAsia="Arial" w:hAnsi="Arial"/>
          <w:sz w:val="19"/>
          <w:szCs w:val="19"/>
          <w:color w:val="010000"/>
        </w:rPr>
      </w:pPr>
    </w:p>
    <w:p>
      <w:pPr>
        <w:ind w:left="-20" w:right="300" w:firstLine="1735"/>
        <w:spacing w:after="0" w:line="249" w:lineRule="auto"/>
        <w:tabs>
          <w:tab w:leader="none" w:pos="2607" w:val="left"/>
        </w:tabs>
        <w:numPr>
          <w:ilvl w:val="0"/>
          <w:numId w:val="211"/>
        </w:numPr>
        <w:rPr>
          <w:rFonts w:ascii="Arial" w:cs="Arial" w:eastAsia="Arial" w:hAnsi="Arial"/>
          <w:sz w:val="21"/>
          <w:szCs w:val="21"/>
          <w:color w:val="010000"/>
        </w:rPr>
      </w:pPr>
      <w:r>
        <w:rPr>
          <w:rFonts w:ascii="Arial" w:cs="Arial" w:eastAsia="Arial" w:hAnsi="Arial"/>
          <w:sz w:val="21"/>
          <w:szCs w:val="21"/>
          <w:u w:val="single" w:color="auto"/>
          <w:color w:val="auto"/>
        </w:rPr>
        <w:t>Priority of Securities in Underwritten Offerings</w:t>
      </w:r>
      <w:r>
        <w:rPr>
          <w:rFonts w:ascii="Arial" w:cs="Arial" w:eastAsia="Arial" w:hAnsi="Arial"/>
          <w:sz w:val="21"/>
          <w:szCs w:val="21"/>
          <w:color w:val="auto"/>
        </w:rPr>
        <w:t>. If the managing underwriter or underwriters of any proposed Underwritten Offering advise the Corporation in writing that, in its or their opinion, the number of securities requested to be included in the proposed offering exceeds the number that can be sold in that offering without being likely to have an adverse effect on the price, timing or distribution of the securities offered or the market for the securities offered, the number of Registrable Securities to be included shall be (i) first,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77" w:right="339" w:bottom="1440" w:gutter="0" w:footer="0" w:header="0"/>
        </w:sectPr>
      </w:pPr>
    </w:p>
    <w:bookmarkStart w:id="286" w:name="page287"/>
    <w:bookmarkEnd w:id="286"/>
    <w:p>
      <w:pPr>
        <w:ind w:right="40"/>
        <w:spacing w:after="0" w:line="236" w:lineRule="auto"/>
        <w:rPr>
          <w:sz w:val="20"/>
          <w:szCs w:val="20"/>
          <w:color w:val="auto"/>
        </w:rPr>
      </w:pPr>
      <w:r>
        <w:rPr>
          <w:rFonts w:ascii="Arial" w:cs="Arial" w:eastAsia="Arial" w:hAnsi="Arial"/>
          <w:sz w:val="22"/>
          <w:szCs w:val="22"/>
          <w:color w:val="auto"/>
        </w:rPr>
        <w:t>allocated to each Holder that has requested to participate in such Underwritten Offering an amount equal to the lesser of (x) the number of such Registrable Securities requested to be registered or sold by such Holder, and (y) a number of such shares equal to such Holder’s Pro Rata Portion, and (ii) second, and only if all securities referred to in clause (i) have been included, the number of other securities that, in the opinion of such managing underwriter or underwriters, can be sold without having such adverse effect.</w:t>
      </w:r>
    </w:p>
    <w:p>
      <w:pPr>
        <w:spacing w:after="0" w:line="187" w:lineRule="exact"/>
        <w:rPr>
          <w:sz w:val="20"/>
          <w:szCs w:val="20"/>
          <w:color w:val="auto"/>
        </w:rPr>
      </w:pPr>
    </w:p>
    <w:p>
      <w:pPr>
        <w:ind w:firstLine="1735"/>
        <w:spacing w:after="0" w:line="246" w:lineRule="auto"/>
        <w:tabs>
          <w:tab w:leader="none" w:pos="2579" w:val="left"/>
        </w:tabs>
        <w:numPr>
          <w:ilvl w:val="0"/>
          <w:numId w:val="212"/>
        </w:numPr>
        <w:rPr>
          <w:rFonts w:ascii="Arial" w:cs="Arial" w:eastAsia="Arial" w:hAnsi="Arial"/>
          <w:sz w:val="21"/>
          <w:szCs w:val="21"/>
          <w:color w:val="010000"/>
        </w:rPr>
      </w:pPr>
      <w:r>
        <w:rPr>
          <w:rFonts w:ascii="Arial" w:cs="Arial" w:eastAsia="Arial" w:hAnsi="Arial"/>
          <w:sz w:val="21"/>
          <w:szCs w:val="21"/>
          <w:u w:val="single" w:color="auto"/>
          <w:color w:val="auto"/>
        </w:rPr>
        <w:t>Conditions to Participation</w:t>
      </w:r>
      <w:r>
        <w:rPr>
          <w:rFonts w:ascii="Arial" w:cs="Arial" w:eastAsia="Arial" w:hAnsi="Arial"/>
          <w:sz w:val="21"/>
          <w:szCs w:val="21"/>
          <w:color w:val="auto"/>
        </w:rPr>
        <w:t xml:space="preserve">. No Person may participate in any Underwritten Offering hereunder unless that Person agrees to sell the Registrable Securities it desires to have covered by the applicable Registration Statement on the basis provided in any underwriting arrangements in customary form and completes and executes all questionnaires, powers of attorney, indemnities, underwriting agreements, and other documents required under the terms of the underwriting arrangements;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Person shall be required to make representations and warranties other than those related to title and ownership of their shares and as to the accuracy and completeness of statements made in a Registration Statement, Prospectus, offering circular, or other document in reliance upon and conformity with written information furnished to the Corporation or the managing underwriter by such Person.</w:t>
      </w:r>
    </w:p>
    <w:p>
      <w:pPr>
        <w:spacing w:after="0" w:line="179" w:lineRule="exact"/>
        <w:rPr>
          <w:rFonts w:ascii="Arial" w:cs="Arial" w:eastAsia="Arial" w:hAnsi="Arial"/>
          <w:sz w:val="21"/>
          <w:szCs w:val="21"/>
          <w:color w:val="010000"/>
        </w:rPr>
      </w:pPr>
    </w:p>
    <w:p>
      <w:pPr>
        <w:ind w:right="80" w:firstLine="1735"/>
        <w:spacing w:after="0" w:line="238" w:lineRule="auto"/>
        <w:tabs>
          <w:tab w:leader="none" w:pos="2579" w:val="left"/>
        </w:tabs>
        <w:numPr>
          <w:ilvl w:val="0"/>
          <w:numId w:val="212"/>
        </w:numPr>
        <w:rPr>
          <w:rFonts w:ascii="Arial" w:cs="Arial" w:eastAsia="Arial" w:hAnsi="Arial"/>
          <w:sz w:val="22"/>
          <w:szCs w:val="22"/>
          <w:color w:val="010000"/>
        </w:rPr>
      </w:pPr>
      <w:r>
        <w:rPr>
          <w:rFonts w:ascii="Arial" w:cs="Arial" w:eastAsia="Arial" w:hAnsi="Arial"/>
          <w:sz w:val="22"/>
          <w:szCs w:val="22"/>
          <w:u w:val="single" w:color="auto"/>
          <w:color w:val="auto"/>
        </w:rPr>
        <w:t>Resale Rights</w:t>
      </w:r>
      <w:r>
        <w:rPr>
          <w:rFonts w:ascii="Arial" w:cs="Arial" w:eastAsia="Arial" w:hAnsi="Arial"/>
          <w:sz w:val="22"/>
          <w:szCs w:val="22"/>
          <w:color w:val="auto"/>
        </w:rPr>
        <w:t xml:space="preserve">. In the event that a Holder that is a partnership, limited liability company, trust or similar entity requests to participate in a Registration pursuant to this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in connection with a distribution of Registrable Securities to its partners, members or beneficiaries, the Registration shall provide for resale by such partners, members or beneficiaries, if approved by the Board of Directors.</w:t>
      </w:r>
    </w:p>
    <w:p>
      <w:pPr>
        <w:spacing w:after="0" w:line="18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u w:val="single" w:color="auto"/>
          <w:color w:val="auto"/>
        </w:rPr>
        <w:t>Shelf Takedowns</w:t>
      </w:r>
      <w:r>
        <w:rPr>
          <w:rFonts w:ascii="Arial" w:cs="Arial" w:eastAsia="Arial" w:hAnsi="Arial"/>
          <w:sz w:val="19"/>
          <w:szCs w:val="19"/>
          <w:color w:val="auto"/>
        </w:rPr>
        <w:t>.</w:t>
      </w:r>
    </w:p>
    <w:p>
      <w:pPr>
        <w:spacing w:after="0" w:line="206" w:lineRule="exact"/>
        <w:rPr>
          <w:sz w:val="20"/>
          <w:szCs w:val="20"/>
          <w:color w:val="auto"/>
        </w:rPr>
      </w:pPr>
    </w:p>
    <w:p>
      <w:pPr>
        <w:ind w:right="40" w:firstLine="1735"/>
        <w:spacing w:after="0" w:line="275" w:lineRule="auto"/>
        <w:tabs>
          <w:tab w:leader="none" w:pos="2615" w:val="left"/>
        </w:tabs>
        <w:numPr>
          <w:ilvl w:val="0"/>
          <w:numId w:val="213"/>
        </w:numPr>
        <w:rPr>
          <w:rFonts w:ascii="Arial" w:cs="Arial" w:eastAsia="Arial" w:hAnsi="Arial"/>
          <w:sz w:val="19"/>
          <w:szCs w:val="19"/>
          <w:color w:val="010000"/>
        </w:rPr>
      </w:pPr>
      <w:r>
        <w:rPr>
          <w:rFonts w:ascii="Arial" w:cs="Arial" w:eastAsia="Arial" w:hAnsi="Arial"/>
          <w:sz w:val="19"/>
          <w:szCs w:val="19"/>
          <w:color w:val="auto"/>
        </w:rPr>
        <w:t>At any time the Corporation has an effective Shelf Registration Statement with respect to Registrable Securities, a Qualified Holder, by notice to the Corporation specifying the intended method or methods of disposition thereof, may make a written request (a “</w:t>
      </w:r>
      <w:r>
        <w:rPr>
          <w:rFonts w:ascii="Arial" w:cs="Arial" w:eastAsia="Arial" w:hAnsi="Arial"/>
          <w:sz w:val="19"/>
          <w:szCs w:val="19"/>
          <w:u w:val="single" w:color="auto"/>
          <w:color w:val="auto"/>
        </w:rPr>
        <w:t>Shelf Takedown Request</w:t>
      </w:r>
      <w:r>
        <w:rPr>
          <w:rFonts w:ascii="Arial" w:cs="Arial" w:eastAsia="Arial" w:hAnsi="Arial"/>
          <w:sz w:val="19"/>
          <w:szCs w:val="19"/>
          <w:color w:val="auto"/>
        </w:rPr>
        <w:t>”) that (i) the Corporation effect an Underwritten Shelf Takedown of all or a portion of such Qualified Holder’s Registrable Securities that are registered on such Shelf Registration Statement, and as soon as practicable thereafter or (ii) if the Corporation is a WKSI and has filed a Registration Statement on Form S-3ASR, the Corporation file a prospectus supplement with respect to the resale of Registrable Securities held by the Qualified Holder (the “</w:t>
      </w:r>
      <w:r>
        <w:rPr>
          <w:rFonts w:ascii="Arial" w:cs="Arial" w:eastAsia="Arial" w:hAnsi="Arial"/>
          <w:sz w:val="19"/>
          <w:szCs w:val="19"/>
          <w:u w:val="single" w:color="auto"/>
          <w:color w:val="auto"/>
        </w:rPr>
        <w:t>S-3 ASR Supplement</w:t>
      </w:r>
      <w:r>
        <w:rPr>
          <w:rFonts w:ascii="Arial" w:cs="Arial" w:eastAsia="Arial" w:hAnsi="Arial"/>
          <w:sz w:val="19"/>
          <w:szCs w:val="19"/>
          <w:color w:val="auto"/>
        </w:rPr>
        <w:t>”), the Corporation shall amend or supplement the Shelf Registration Statement as necessary for such purpose, subject to all applicable provisions of this Agreement.</w:t>
      </w:r>
    </w:p>
    <w:p>
      <w:pPr>
        <w:spacing w:after="0" w:line="157" w:lineRule="exact"/>
        <w:rPr>
          <w:rFonts w:ascii="Arial" w:cs="Arial" w:eastAsia="Arial" w:hAnsi="Arial"/>
          <w:sz w:val="19"/>
          <w:szCs w:val="19"/>
          <w:color w:val="010000"/>
        </w:rPr>
      </w:pPr>
    </w:p>
    <w:p>
      <w:pPr>
        <w:ind w:right="20" w:firstLine="1735"/>
        <w:spacing w:after="0" w:line="246" w:lineRule="auto"/>
        <w:tabs>
          <w:tab w:leader="none" w:pos="2627" w:val="left"/>
        </w:tabs>
        <w:numPr>
          <w:ilvl w:val="0"/>
          <w:numId w:val="213"/>
        </w:numPr>
        <w:rPr>
          <w:rFonts w:ascii="Arial" w:cs="Arial" w:eastAsia="Arial" w:hAnsi="Arial"/>
          <w:sz w:val="21"/>
          <w:szCs w:val="21"/>
          <w:color w:val="010000"/>
        </w:rPr>
      </w:pPr>
      <w:r>
        <w:rPr>
          <w:rFonts w:ascii="Arial" w:cs="Arial" w:eastAsia="Arial" w:hAnsi="Arial"/>
          <w:sz w:val="21"/>
          <w:szCs w:val="21"/>
          <w:color w:val="auto"/>
        </w:rPr>
        <w:t>Promptly upon receipt of a Shelf Takedown Request (but in no event more than two Business Days thereafter (or such shorter period as may be reasonably requested in connection with an underwritten “block trade”) for any Underwritten Shelf Takedown, the Corporation shall deliver a notice (a “</w:t>
      </w:r>
      <w:r>
        <w:rPr>
          <w:rFonts w:ascii="Arial" w:cs="Arial" w:eastAsia="Arial" w:hAnsi="Arial"/>
          <w:sz w:val="21"/>
          <w:szCs w:val="21"/>
          <w:u w:val="single" w:color="auto"/>
          <w:color w:val="auto"/>
        </w:rPr>
        <w:t>Shelf Takedown Notice</w:t>
      </w:r>
      <w:r>
        <w:rPr>
          <w:rFonts w:ascii="Arial" w:cs="Arial" w:eastAsia="Arial" w:hAnsi="Arial"/>
          <w:sz w:val="21"/>
          <w:szCs w:val="21"/>
          <w:color w:val="auto"/>
        </w:rPr>
        <w:t>”) to each other Holder with Registrable Securities covered by the applicable Registration Statement, or to all other Holders if such Registration Statement is undesignated (each a “</w:t>
      </w:r>
      <w:r>
        <w:rPr>
          <w:rFonts w:ascii="Arial" w:cs="Arial" w:eastAsia="Arial" w:hAnsi="Arial"/>
          <w:sz w:val="21"/>
          <w:szCs w:val="21"/>
          <w:u w:val="single" w:color="auto"/>
          <w:color w:val="auto"/>
        </w:rPr>
        <w:t>Potential Takedown Participant</w:t>
      </w:r>
      <w:r>
        <w:rPr>
          <w:rFonts w:ascii="Arial" w:cs="Arial" w:eastAsia="Arial" w:hAnsi="Arial"/>
          <w:sz w:val="21"/>
          <w:szCs w:val="21"/>
          <w:color w:val="auto"/>
        </w:rPr>
        <w:t>”). The Shelf Takedown Notice shall offer each such Potential Takedown Participant the opportunity to include in any Underwritten Shelf Takedown or the S-3 ASR Supplement such number of Registrable Securities as each such Potential Takedown Participant may request in writing. The Corporation shall include in the Underwritten Shelf Takedown or the S-3 ASR Supplement all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87" w:name="page288"/>
    <w:bookmarkEnd w:id="287"/>
    <w:p>
      <w:pPr>
        <w:ind w:right="20"/>
        <w:spacing w:after="0" w:line="269" w:lineRule="auto"/>
        <w:rPr>
          <w:sz w:val="20"/>
          <w:szCs w:val="20"/>
          <w:color w:val="auto"/>
        </w:rPr>
      </w:pPr>
      <w:r>
        <w:rPr>
          <w:rFonts w:ascii="Arial" w:cs="Arial" w:eastAsia="Arial" w:hAnsi="Arial"/>
          <w:sz w:val="19"/>
          <w:szCs w:val="19"/>
          <w:color w:val="auto"/>
        </w:rPr>
        <w:t xml:space="preserve">such Registrable Securities with respect to which the Corporation has received written requests for inclusion therein within three Business Days (or such shorter period as may be reasonably requested in connection with an underwritten “block trade”) after the date that the Shelf Takedown Notice has been delivered. Any Potential Takedown Participant’s request to participate in an Underwritten Shelf Takedown shall be binding on the Potential Takedown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Potential Takedown Participant that elects to participate may condition its participation on the Underwritten Shelf Takedown being completed within 10 Business Days of its acceptance at a price per share (after giving effect to any underwriters’ discounts or commissions) to such Potential Takedown Participant of not less than ninety percent (90%) (or such lesser percentage specified by such Potential Takedown Participant) of the closing price for the shares on their principal trading market on the Business Day immediately prior to such Potential Takedown Participant’s election to participate (the “</w:t>
      </w:r>
      <w:r>
        <w:rPr>
          <w:rFonts w:ascii="Arial" w:cs="Arial" w:eastAsia="Arial" w:hAnsi="Arial"/>
          <w:sz w:val="19"/>
          <w:szCs w:val="19"/>
          <w:u w:val="single" w:color="auto"/>
          <w:color w:val="auto"/>
        </w:rPr>
        <w:t>Participation</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u w:val="single" w:color="auto"/>
          <w:color w:val="auto"/>
        </w:rPr>
        <w:t>Conditions</w:t>
      </w:r>
      <w:r>
        <w:rPr>
          <w:rFonts w:ascii="Arial" w:cs="Arial" w:eastAsia="Arial" w:hAnsi="Arial"/>
          <w:sz w:val="21"/>
          <w:szCs w:val="21"/>
          <w:color w:val="auto"/>
        </w:rPr>
        <w:t xml:space="preserve">”). Notwithstanding the delivery of any Shelf Takedown Notice, but subject to the Participation Conditions (to the extent applicable), all determinations as to whether to complete any Underwritten Shelf Takedown and as to the timing, manner, price and other terms of any Underwritten Shelf Takedown contemplated by this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shall be determined by the Qualified Holders Beneficially Owning a majority of Registrable Securities participating in the Registration, subject to approval by the Corporation, which shall not be unreasonably withheld, conditioned or delayed.</w:t>
      </w:r>
    </w:p>
    <w:p>
      <w:pPr>
        <w:spacing w:after="0" w:line="18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19"/>
          <w:szCs w:val="19"/>
          <w:u w:val="single" w:color="auto"/>
          <w:color w:val="auto"/>
        </w:rPr>
        <w:t>Piggyback Registration</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70" w:lineRule="auto"/>
        <w:tabs>
          <w:tab w:leader="none" w:pos="2615" w:val="left"/>
        </w:tabs>
        <w:numPr>
          <w:ilvl w:val="0"/>
          <w:numId w:val="214"/>
        </w:numPr>
        <w:rPr>
          <w:rFonts w:ascii="Arial" w:cs="Arial" w:eastAsia="Arial" w:hAnsi="Arial"/>
          <w:sz w:val="19"/>
          <w:szCs w:val="19"/>
          <w:color w:val="010000"/>
        </w:rPr>
      </w:pPr>
      <w:r>
        <w:rPr>
          <w:rFonts w:ascii="Arial" w:cs="Arial" w:eastAsia="Arial" w:hAnsi="Arial"/>
          <w:sz w:val="19"/>
          <w:szCs w:val="19"/>
          <w:u w:val="single" w:color="auto"/>
          <w:color w:val="auto"/>
        </w:rPr>
        <w:t>Participation</w:t>
      </w:r>
      <w:r>
        <w:rPr>
          <w:rFonts w:ascii="Arial" w:cs="Arial" w:eastAsia="Arial" w:hAnsi="Arial"/>
          <w:sz w:val="19"/>
          <w:szCs w:val="19"/>
          <w:color w:val="auto"/>
        </w:rPr>
        <w:t xml:space="preserve">. If the Corporation at any time proposes to file a Registration Statement under the Securities Act or to conduct a Public Offering with respect to any offering of its equity securities for its own account or for the account of any other Persons (other than (i) a Registration under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3.2</w:t>
      </w:r>
      <w:r>
        <w:rPr>
          <w:rFonts w:ascii="Arial" w:cs="Arial" w:eastAsia="Arial" w:hAnsi="Arial"/>
          <w:sz w:val="19"/>
          <w:szCs w:val="19"/>
          <w:color w:val="auto"/>
        </w:rPr>
        <w:t>, (ii) a Registration on Form S-4 or Form S-8 or any successor form to such forms, (iii) a Registration of securities solely relating to an offering and sale to employees or directors of the Corporation or its subsidiaries pursuant to any employee stock plan, employee stock purchase plan, or other employee benefit plan arrangement, (iv) a Registration solely for the registration of securities issuable upon the conversion, exchange or exercise of any then outstanding security of the Corporation or (v) a Registration relating to a dividend reinvestment plan), then as soon as practicable (but in no event less than 10 Business Days prior to the proposed date of filing of such Registration Statement or, in the case of a Public Offering under a Shelf Registration Statement, the anticipated pricing or trade date), the Corporation shall give written notice (a “</w:t>
      </w:r>
      <w:r>
        <w:rPr>
          <w:rFonts w:ascii="Arial" w:cs="Arial" w:eastAsia="Arial" w:hAnsi="Arial"/>
          <w:sz w:val="19"/>
          <w:szCs w:val="19"/>
          <w:u w:val="single" w:color="auto"/>
          <w:color w:val="auto"/>
        </w:rPr>
        <w:t>Piggyback Notice</w:t>
      </w:r>
      <w:r>
        <w:rPr>
          <w:rFonts w:ascii="Arial" w:cs="Arial" w:eastAsia="Arial" w:hAnsi="Arial"/>
          <w:sz w:val="19"/>
          <w:szCs w:val="19"/>
          <w:color w:val="auto"/>
        </w:rPr>
        <w:t>”)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(a “</w:t>
      </w:r>
      <w:r>
        <w:rPr>
          <w:rFonts w:ascii="Arial" w:cs="Arial" w:eastAsia="Arial" w:hAnsi="Arial"/>
          <w:sz w:val="19"/>
          <w:szCs w:val="19"/>
          <w:u w:val="single" w:color="auto"/>
          <w:color w:val="auto"/>
        </w:rPr>
        <w:t>Piggyback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w:t>
      </w:r>
      <w:r>
        <w:rPr>
          <w:rFonts w:ascii="Arial" w:cs="Arial" w:eastAsia="Arial" w:hAnsi="Arial"/>
          <w:sz w:val="19"/>
          <w:szCs w:val="19"/>
          <w:color w:val="auto"/>
        </w:rPr>
        <w:t xml:space="preserve">”). The Corporation shall not be required to provide a Piggyback Notice to Holders of any Registrable Securities that are already registered pursuant to an effective Registration Statement. Subject to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the Corporation shall include in such Registration Statement or in such Public Offering as applicable, all such Registrable Securities that are requested to be included therein within five Business Days after the receipt by such Holder of any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after giving written notice of its intention to register or sell any securities and prior to the effective date of the Registration Statement filed in connection with such Registration, or the pricing or trade date of a Public Offering under a Shelf Registration Statement, the Corporation determines for any reason not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88" w:name="page289"/>
    <w:bookmarkEnd w:id="288"/>
    <w:p>
      <w:pPr>
        <w:ind w:right="60"/>
        <w:spacing w:after="0" w:line="273" w:lineRule="auto"/>
        <w:rPr>
          <w:sz w:val="20"/>
          <w:szCs w:val="20"/>
          <w:color w:val="auto"/>
        </w:rPr>
      </w:pPr>
      <w:r>
        <w:rPr>
          <w:rFonts w:ascii="Arial" w:cs="Arial" w:eastAsia="Arial" w:hAnsi="Arial"/>
          <w:sz w:val="19"/>
          <w:szCs w:val="19"/>
          <w:color w:val="auto"/>
        </w:rPr>
        <w:t xml:space="preserve">register or sell or to delay Registration or the sale of such securities, the Corporation shall give written notice of such determination to each Holder and, thereupon, (i) in the case of a determination not to register or sell, shall be relieved of its obligation to register or sell any Registrable Securities in connection with such Registration or Public Offering (but not from its obligation to pay the Registration Expenses in connection therewith), without prejudice, however, to the rights of any Holders entitled to request that such Registration or sale be effected as a Demand Registration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 an Underwritten Shelf Takedown, as the case may be, and (ii) in the case of a determination to delay Registration or sale, in the absence of a request for a Demand Registration or an Underwritten Shelf Takedown, as the case may be, shall also be permitted to delay registering or selling any Registrable Securities. Any Holder shall have the right to withdraw all or part of its request for inclusion of its Registrable Securities in a Piggyback Registration by giving written notice to the Corporation of its request to withdraw prior to such Registration the securities being registered in such Piggyback Registration.</w:t>
      </w:r>
    </w:p>
    <w:p>
      <w:pPr>
        <w:spacing w:after="0" w:line="161" w:lineRule="exact"/>
        <w:rPr>
          <w:sz w:val="20"/>
          <w:szCs w:val="20"/>
          <w:color w:val="auto"/>
        </w:rPr>
      </w:pPr>
    </w:p>
    <w:p>
      <w:pPr>
        <w:ind w:right="140" w:firstLine="1735"/>
        <w:spacing w:after="0" w:line="272" w:lineRule="auto"/>
        <w:tabs>
          <w:tab w:leader="none" w:pos="2627" w:val="left"/>
        </w:tabs>
        <w:numPr>
          <w:ilvl w:val="0"/>
          <w:numId w:val="215"/>
        </w:numPr>
        <w:rPr>
          <w:rFonts w:ascii="Arial" w:cs="Arial" w:eastAsia="Arial" w:hAnsi="Arial"/>
          <w:sz w:val="19"/>
          <w:szCs w:val="19"/>
          <w:color w:val="010000"/>
        </w:rPr>
      </w:pPr>
      <w:r>
        <w:rPr>
          <w:rFonts w:ascii="Arial" w:cs="Arial" w:eastAsia="Arial" w:hAnsi="Arial"/>
          <w:sz w:val="19"/>
          <w:szCs w:val="19"/>
          <w:u w:val="single" w:color="auto"/>
          <w:color w:val="auto"/>
        </w:rPr>
        <w:t>Priority of Piggyback Registration</w:t>
      </w:r>
      <w:r>
        <w:rPr>
          <w:rFonts w:ascii="Arial" w:cs="Arial" w:eastAsia="Arial" w:hAnsi="Arial"/>
          <w:sz w:val="19"/>
          <w:szCs w:val="19"/>
          <w:color w:val="auto"/>
        </w:rPr>
        <w:t>. If the managing underwriter or underwriters of any proposed offering of Registrable Securities included in a Piggyback Registration informs the Corporation and the participating Holders in writing that, in its or their opinion, the number of securities that such Holders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first, one hundred percent (100%) of the securities that the Corporation proposes to sell, and (ii) second, and only if all the securities referred to in clause (i) have been included, the number of Registrable Securities that, in the opinion of such managing underwriter or underwriters, can be sold without having such adverse effect, with such number to be allocated among the Holders that have requested to participate in such Registration based on an amount equal to the lesser of (x) the number of such Registrable Securities requested to be sold by such Holder, and (y) a number of such shares equal to such Holder’s Pro Rata Portion and (iii) third, and only if all of the Registrable Securities referred to in clause (ii) have been included in such Registration, any other securities eligible for inclusion in such Registration.</w:t>
      </w:r>
    </w:p>
    <w:p>
      <w:pPr>
        <w:spacing w:after="0" w:line="160" w:lineRule="exact"/>
        <w:rPr>
          <w:rFonts w:ascii="Arial" w:cs="Arial" w:eastAsia="Arial" w:hAnsi="Arial"/>
          <w:sz w:val="19"/>
          <w:szCs w:val="19"/>
          <w:color w:val="010000"/>
        </w:rPr>
      </w:pPr>
    </w:p>
    <w:p>
      <w:pPr>
        <w:ind w:right="40" w:firstLine="1735"/>
        <w:spacing w:after="0"/>
        <w:tabs>
          <w:tab w:leader="none" w:pos="2615" w:val="left"/>
        </w:tabs>
        <w:numPr>
          <w:ilvl w:val="0"/>
          <w:numId w:val="215"/>
        </w:numPr>
        <w:rPr>
          <w:rFonts w:ascii="Arial" w:cs="Arial" w:eastAsia="Arial" w:hAnsi="Arial"/>
          <w:sz w:val="22"/>
          <w:szCs w:val="22"/>
          <w:color w:val="010000"/>
        </w:rPr>
      </w:pPr>
      <w:r>
        <w:rPr>
          <w:rFonts w:ascii="Arial" w:cs="Arial" w:eastAsia="Arial" w:hAnsi="Arial"/>
          <w:sz w:val="22"/>
          <w:szCs w:val="22"/>
          <w:u w:val="single" w:color="auto"/>
          <w:color w:val="auto"/>
        </w:rPr>
        <w:t>No Effect on Other Registrations</w:t>
      </w:r>
      <w:r>
        <w:rPr>
          <w:rFonts w:ascii="Arial" w:cs="Arial" w:eastAsia="Arial" w:hAnsi="Arial"/>
          <w:sz w:val="22"/>
          <w:szCs w:val="22"/>
          <w:color w:val="auto"/>
        </w:rPr>
        <w:t xml:space="preserve">. No Registration of Registrable Securities effected pursuant to a request under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shall be deemed to have been effected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 shall relieve the Corporation of its obligations under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86" w:lineRule="exact"/>
        <w:rPr>
          <w:sz w:val="20"/>
          <w:szCs w:val="20"/>
          <w:color w:val="auto"/>
        </w:rPr>
      </w:pPr>
    </w:p>
    <w:p>
      <w:pPr>
        <w:ind w:firstLine="864"/>
        <w:spacing w:after="0" w:line="23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Lock-Up Agreements</w:t>
      </w:r>
      <w:r>
        <w:rPr>
          <w:rFonts w:ascii="Arial" w:cs="Arial" w:eastAsia="Arial" w:hAnsi="Arial"/>
          <w:sz w:val="22"/>
          <w:szCs w:val="22"/>
          <w:color w:val="000000"/>
        </w:rPr>
        <w:t>. In connection with each Registration or sale of Registrable Securities pursuant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3.1</w:t>
      </w:r>
      <w:r>
        <w:rPr>
          <w:rFonts w:ascii="Arial" w:cs="Arial" w:eastAsia="Arial" w:hAnsi="Arial"/>
          <w:sz w:val="22"/>
          <w:szCs w:val="22"/>
          <w:color w:val="000000"/>
        </w:rPr>
        <w:t xml:space="preserve"> or </w:t>
      </w:r>
      <w:r>
        <w:rPr>
          <w:rFonts w:ascii="Arial" w:cs="Arial" w:eastAsia="Arial" w:hAnsi="Arial"/>
          <w:sz w:val="22"/>
          <w:szCs w:val="22"/>
          <w:u w:val="single" w:color="auto"/>
          <w:color w:val="000000"/>
        </w:rPr>
        <w:t>Section 3.3</w:t>
      </w:r>
      <w:r>
        <w:rPr>
          <w:rFonts w:ascii="Arial" w:cs="Arial" w:eastAsia="Arial" w:hAnsi="Arial"/>
          <w:sz w:val="22"/>
          <w:szCs w:val="22"/>
          <w:color w:val="000000"/>
        </w:rPr>
        <w:t xml:space="preserve"> conducted as an Underwritten Offering, each Holder agrees hereby not to, and agrees to execute and deliver a lock-up agreement with the underwriter(s) of such Public Offering restricting such Holder’s right to, (a) Transfer, directly or indirectly, any equity securities of the Corporation held by such Holder or (b) enter into any swap or other arrangement that Transfers to another any of the economic consequences of ownership of such securities during the period commencing on the date of the final Prospectus relating to such Public Offering and ending on the date specified by the underwriters (such period not to exceed 90 days plus such additional period as may be requested by the Corporation or an underwriter due to regulatory restrictions on the publication or other distribution of research reports and analyst recommendations and opinions, if applicable). The terms of such</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89" w:name="page290"/>
    <w:bookmarkEnd w:id="289"/>
    <w:p>
      <w:pPr>
        <w:ind w:right="320"/>
        <w:spacing w:after="0" w:line="250" w:lineRule="auto"/>
        <w:rPr>
          <w:sz w:val="20"/>
          <w:szCs w:val="20"/>
          <w:color w:val="auto"/>
        </w:rPr>
      </w:pPr>
      <w:r>
        <w:rPr>
          <w:rFonts w:ascii="Arial" w:cs="Arial" w:eastAsia="Arial" w:hAnsi="Arial"/>
          <w:sz w:val="22"/>
          <w:szCs w:val="22"/>
          <w:color w:val="auto"/>
        </w:rPr>
        <w:t>lock-up agreements shall be negotiated among the Holders, the Corporation and the underwriters and shall include customary carve-outs from the restrictions on Transfer set forth therein.</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3.5</w:t>
      </w:r>
      <w:r>
        <w:rPr>
          <w:sz w:val="20"/>
          <w:szCs w:val="20"/>
          <w:color w:val="auto"/>
        </w:rPr>
        <w:tab/>
      </w:r>
      <w:r>
        <w:rPr>
          <w:rFonts w:ascii="Arial" w:cs="Arial" w:eastAsia="Arial" w:hAnsi="Arial"/>
          <w:sz w:val="19"/>
          <w:szCs w:val="19"/>
          <w:u w:val="single" w:color="auto"/>
          <w:color w:val="auto"/>
        </w:rPr>
        <w:t>Registration Procedures</w:t>
      </w:r>
      <w:r>
        <w:rPr>
          <w:rFonts w:ascii="Arial" w:cs="Arial" w:eastAsia="Arial" w:hAnsi="Arial"/>
          <w:sz w:val="19"/>
          <w:szCs w:val="19"/>
          <w:color w:val="auto"/>
        </w:rPr>
        <w:t>.</w:t>
      </w:r>
    </w:p>
    <w:p>
      <w:pPr>
        <w:spacing w:after="0" w:line="206" w:lineRule="exact"/>
        <w:rPr>
          <w:sz w:val="20"/>
          <w:szCs w:val="20"/>
          <w:color w:val="auto"/>
        </w:rPr>
      </w:pPr>
    </w:p>
    <w:p>
      <w:pPr>
        <w:jc w:val="both"/>
        <w:ind w:right="100" w:firstLine="1735"/>
        <w:spacing w:after="0" w:line="252" w:lineRule="auto"/>
        <w:tabs>
          <w:tab w:leader="none" w:pos="2615" w:val="left"/>
        </w:tabs>
        <w:numPr>
          <w:ilvl w:val="0"/>
          <w:numId w:val="216"/>
        </w:numPr>
        <w:rPr>
          <w:rFonts w:ascii="Arial" w:cs="Arial" w:eastAsia="Arial" w:hAnsi="Arial"/>
          <w:sz w:val="21"/>
          <w:szCs w:val="21"/>
          <w:color w:val="010000"/>
        </w:rPr>
      </w:pPr>
      <w:r>
        <w:rPr>
          <w:rFonts w:ascii="Arial" w:cs="Arial" w:eastAsia="Arial" w:hAnsi="Arial"/>
          <w:sz w:val="21"/>
          <w:szCs w:val="21"/>
          <w:u w:val="single" w:color="auto"/>
          <w:color w:val="auto"/>
        </w:rPr>
        <w:t>Requirements</w:t>
      </w:r>
      <w:r>
        <w:rPr>
          <w:rFonts w:ascii="Arial" w:cs="Arial" w:eastAsia="Arial" w:hAnsi="Arial"/>
          <w:sz w:val="21"/>
          <w:szCs w:val="21"/>
          <w:color w:val="auto"/>
        </w:rPr>
        <w:t xml:space="preserve">. In connection with the Corporation’s obligations under </w:t>
      </w:r>
      <w:r>
        <w:rPr>
          <w:rFonts w:ascii="Arial" w:cs="Arial" w:eastAsia="Arial" w:hAnsi="Arial"/>
          <w:sz w:val="21"/>
          <w:szCs w:val="21"/>
          <w:u w:val="single" w:color="auto"/>
          <w:color w:val="auto"/>
        </w:rPr>
        <w:t>Sections 3.1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3.3</w:t>
      </w:r>
      <w:r>
        <w:rPr>
          <w:rFonts w:ascii="Arial" w:cs="Arial" w:eastAsia="Arial" w:hAnsi="Arial"/>
          <w:sz w:val="21"/>
          <w:szCs w:val="21"/>
          <w:color w:val="auto"/>
        </w:rPr>
        <w:t>, the Corporation shall use its commercially reasonable efforts to effect such Registration and to permit the sale of such Registrable Securities in accordance with the intended method or methods of distribution thereof as expeditiously as reasonably practicable, and in connection therewith the Corporation shall use its commercially reasonable efforts to:</w:t>
      </w:r>
    </w:p>
    <w:p>
      <w:pPr>
        <w:spacing w:after="0" w:line="174" w:lineRule="exact"/>
        <w:rPr>
          <w:sz w:val="20"/>
          <w:szCs w:val="20"/>
          <w:color w:val="auto"/>
        </w:rPr>
      </w:pPr>
    </w:p>
    <w:p>
      <w:pPr>
        <w:ind w:left="880" w:right="100" w:firstLine="1594"/>
        <w:spacing w:after="0" w:line="273"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color w:val="000000"/>
        </w:rPr>
        <w:t>as promptly as practicable, prepare the required Registration</w:t>
      </w:r>
      <w:r>
        <w:rPr>
          <w:rFonts w:ascii="Arial" w:cs="Arial" w:eastAsia="Arial" w:hAnsi="Arial"/>
          <w:sz w:val="19"/>
          <w:szCs w:val="19"/>
          <w:color w:val="010000"/>
        </w:rPr>
        <w:t xml:space="preserve"> </w:t>
      </w:r>
      <w:r>
        <w:rPr>
          <w:rFonts w:ascii="Arial" w:cs="Arial" w:eastAsia="Arial" w:hAnsi="Arial"/>
          <w:sz w:val="19"/>
          <w:szCs w:val="19"/>
          <w:color w:val="000000"/>
        </w:rPr>
        <w:t xml:space="preserve">Statement, including all exhibits and financial statements required under the Securities Act to be filed therewith and Prospectus, and, before filing a Registration Statement or Prospectus or any amendments or supplements thereto, (x) furnish to the underwriters, if any, and to the Holders of the Registrable Securities covered by such Registration Statement, copies of all documents prepared to be filed, which documents shall be subject to the review of such underwriters and such Holders and their respective counsel, (y) make such changes in such documents concerning the Holders prior to the filing thereof as such Holders, or their counsel, may reasonably request and (z) except in the case of a Registration under </w:t>
      </w:r>
      <w:r>
        <w:rPr>
          <w:rFonts w:ascii="Arial" w:cs="Arial" w:eastAsia="Arial" w:hAnsi="Arial"/>
          <w:sz w:val="19"/>
          <w:szCs w:val="19"/>
          <w:u w:val="single" w:color="auto"/>
          <w:color w:val="000000"/>
        </w:rPr>
        <w:t>Section 3.3</w:t>
      </w:r>
      <w:r>
        <w:rPr>
          <w:rFonts w:ascii="Arial" w:cs="Arial" w:eastAsia="Arial" w:hAnsi="Arial"/>
          <w:sz w:val="19"/>
          <w:szCs w:val="19"/>
          <w:color w:val="000000"/>
        </w:rPr>
        <w:t>, not file any Registration Statement or Prospectus or amendments or supplements thereto to which the Qualified Holders Beneficially Owning a majority of Registrable Securities covered by such Registration Statement, in such capacity, or the underwriters, if any, shall reasonably object;</w:t>
      </w:r>
    </w:p>
    <w:p>
      <w:pPr>
        <w:spacing w:after="0" w:line="161" w:lineRule="exact"/>
        <w:rPr>
          <w:sz w:val="20"/>
          <w:szCs w:val="20"/>
          <w:color w:val="auto"/>
        </w:rPr>
      </w:pPr>
    </w:p>
    <w:p>
      <w:pPr>
        <w:ind w:left="880" w:firstLine="1594"/>
        <w:spacing w:after="0" w:line="275" w:lineRule="auto"/>
        <w:rPr>
          <w:sz w:val="20"/>
          <w:szCs w:val="20"/>
          <w:color w:val="auto"/>
        </w:rPr>
      </w:pPr>
      <w:r>
        <w:rPr>
          <w:rFonts w:ascii="Arial" w:cs="Arial" w:eastAsia="Arial" w:hAnsi="Arial"/>
          <w:sz w:val="19"/>
          <w:szCs w:val="19"/>
          <w:color w:val="010000"/>
        </w:rPr>
        <w:t xml:space="preserve">(ii) </w:t>
      </w:r>
      <w:r>
        <w:rPr>
          <w:rFonts w:ascii="Arial" w:cs="Arial" w:eastAsia="Arial" w:hAnsi="Arial"/>
          <w:sz w:val="19"/>
          <w:szCs w:val="19"/>
          <w:color w:val="000000"/>
        </w:rPr>
        <w:t>prepare and file with the SEC such amendments and post-effective</w:t>
      </w:r>
      <w:r>
        <w:rPr>
          <w:rFonts w:ascii="Arial" w:cs="Arial" w:eastAsia="Arial" w:hAnsi="Arial"/>
          <w:sz w:val="19"/>
          <w:szCs w:val="19"/>
          <w:color w:val="010000"/>
        </w:rPr>
        <w:t xml:space="preserve"> </w:t>
      </w:r>
      <w:r>
        <w:rPr>
          <w:rFonts w:ascii="Arial" w:cs="Arial" w:eastAsia="Arial" w:hAnsi="Arial"/>
          <w:sz w:val="19"/>
          <w:szCs w:val="19"/>
          <w:color w:val="000000"/>
        </w:rPr>
        <w:t>amendments to such Registration Statement and supplements to the Prospectus as may be (x) reasonably requested by the Qualified Holders Beneficially Owning a majority of Registrable Securities covered by such Registration Statement, (y) reasonably requested by any participating Holder (to the extent such request relates to information relating to such Holder), or (z) necessary to keep such Registration Statement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57" w:lineRule="exact"/>
        <w:rPr>
          <w:sz w:val="20"/>
          <w:szCs w:val="20"/>
          <w:color w:val="auto"/>
        </w:rPr>
      </w:pPr>
    </w:p>
    <w:p>
      <w:pPr>
        <w:ind w:left="880" w:firstLine="1594"/>
        <w:spacing w:after="0" w:line="245" w:lineRule="auto"/>
        <w:rPr>
          <w:sz w:val="20"/>
          <w:szCs w:val="20"/>
          <w:color w:val="auto"/>
        </w:rPr>
      </w:pPr>
      <w:r>
        <w:rPr>
          <w:rFonts w:ascii="Arial" w:cs="Arial" w:eastAsia="Arial" w:hAnsi="Arial"/>
          <w:sz w:val="21"/>
          <w:szCs w:val="21"/>
          <w:color w:val="010000"/>
        </w:rPr>
        <w:t xml:space="preserve">(iii) </w:t>
      </w:r>
      <w:r>
        <w:rPr>
          <w:rFonts w:ascii="Arial" w:cs="Arial" w:eastAsia="Arial" w:hAnsi="Arial"/>
          <w:sz w:val="21"/>
          <w:szCs w:val="21"/>
          <w:color w:val="000000"/>
        </w:rPr>
        <w:t>notify the participating Holders and the managing underwriter or</w:t>
      </w:r>
      <w:r>
        <w:rPr>
          <w:rFonts w:ascii="Arial" w:cs="Arial" w:eastAsia="Arial" w:hAnsi="Arial"/>
          <w:sz w:val="21"/>
          <w:szCs w:val="21"/>
          <w:color w:val="010000"/>
        </w:rPr>
        <w:t xml:space="preserve"> </w:t>
      </w:r>
      <w:r>
        <w:rPr>
          <w:rFonts w:ascii="Arial" w:cs="Arial" w:eastAsia="Arial" w:hAnsi="Arial"/>
          <w:sz w:val="21"/>
          <w:szCs w:val="21"/>
          <w:color w:val="000000"/>
        </w:rPr>
        <w:t>underwriters, if any, and (if requested) confirm such notice in writing and provide copies of the relevant documents, as soon as reasonably practicable after notice thereof is received by the Corporation (a) when the applicable Registration Statement or any amendment thereto has been filed or becomes effective, and when the applicable Prospectus or any amendment or supplement thereto has been filed, (b)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or which may affect, the Registration, (c) of the issuance by the SEC of any stop order suspending</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77" w:right="419" w:bottom="1440" w:gutter="0" w:footer="0" w:header="0"/>
        </w:sectPr>
      </w:pPr>
    </w:p>
    <w:bookmarkStart w:id="290" w:name="page291"/>
    <w:bookmarkEnd w:id="290"/>
    <w:p>
      <w:pPr>
        <w:ind w:right="60"/>
        <w:spacing w:after="0" w:line="279" w:lineRule="auto"/>
        <w:rPr>
          <w:sz w:val="20"/>
          <w:szCs w:val="20"/>
          <w:color w:val="auto"/>
        </w:rPr>
      </w:pPr>
      <w:r>
        <w:rPr>
          <w:rFonts w:ascii="Arial" w:cs="Arial" w:eastAsia="Arial" w:hAnsi="Arial"/>
          <w:sz w:val="19"/>
          <w:szCs w:val="19"/>
          <w:color w:val="auto"/>
        </w:rPr>
        <w:t>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Corporation in any applicable underwriting agreement cease to be true and correct in all material respects and (e) of the receipt by the Corporation of any notification with respect to the Suspension of the qualification of the Registrable Securities for offering or sale in any jurisdiction or the initiation or threatening of any proceeding for such purpose;</w:t>
      </w:r>
    </w:p>
    <w:p>
      <w:pPr>
        <w:spacing w:after="0" w:line="150" w:lineRule="exact"/>
        <w:rPr>
          <w:sz w:val="20"/>
          <w:szCs w:val="20"/>
          <w:color w:val="auto"/>
        </w:rPr>
      </w:pPr>
    </w:p>
    <w:p>
      <w:pPr>
        <w:ind w:right="80" w:firstLine="1594"/>
        <w:spacing w:after="0" w:line="273" w:lineRule="auto"/>
        <w:rPr>
          <w:sz w:val="20"/>
          <w:szCs w:val="20"/>
          <w:color w:val="auto"/>
        </w:rPr>
      </w:pPr>
      <w:r>
        <w:rPr>
          <w:rFonts w:ascii="Arial" w:cs="Arial" w:eastAsia="Arial" w:hAnsi="Arial"/>
          <w:sz w:val="19"/>
          <w:szCs w:val="19"/>
          <w:color w:val="010000"/>
        </w:rPr>
        <w:t xml:space="preserve">(iv) </w:t>
      </w:r>
      <w:r>
        <w:rPr>
          <w:rFonts w:ascii="Arial" w:cs="Arial" w:eastAsia="Arial" w:hAnsi="Arial"/>
          <w:sz w:val="19"/>
          <w:szCs w:val="19"/>
          <w:color w:val="000000"/>
        </w:rPr>
        <w:t>promptly notify each selling Holder and the managing underwriter</w:t>
      </w:r>
      <w:r>
        <w:rPr>
          <w:rFonts w:ascii="Arial" w:cs="Arial" w:eastAsia="Arial" w:hAnsi="Arial"/>
          <w:sz w:val="19"/>
          <w:szCs w:val="19"/>
          <w:color w:val="010000"/>
        </w:rPr>
        <w:t xml:space="preserve"> </w:t>
      </w:r>
      <w:r>
        <w:rPr>
          <w:rFonts w:ascii="Arial" w:cs="Arial" w:eastAsia="Arial" w:hAnsi="Arial"/>
          <w:sz w:val="19"/>
          <w:szCs w:val="19"/>
          <w:color w:val="000000"/>
        </w:rPr>
        <w:t>or underwriters, if any, when the Corporation becomes aware of the happening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or Prospectus in order to comply with the Securities Act and, as promptly as reasonably practicable thereafter, prepare and file with the SEC, and furnish without charge to the selling Holders and the managing underwriter or underwriters, if any, an amendment or supplement to such Registration Statement or Prospectus, which shall correct such misstatement or omission or effect such compliance;</w:t>
      </w:r>
    </w:p>
    <w:p>
      <w:pPr>
        <w:spacing w:after="0" w:line="155" w:lineRule="exact"/>
        <w:rPr>
          <w:sz w:val="20"/>
          <w:szCs w:val="20"/>
          <w:color w:val="auto"/>
        </w:rPr>
      </w:pPr>
    </w:p>
    <w:p>
      <w:pPr>
        <w:ind w:firstLine="1594"/>
        <w:spacing w:after="0" w:line="248" w:lineRule="auto"/>
        <w:rPr>
          <w:sz w:val="20"/>
          <w:szCs w:val="20"/>
          <w:color w:val="auto"/>
        </w:rPr>
      </w:pPr>
      <w:r>
        <w:rPr>
          <w:rFonts w:ascii="Arial" w:cs="Arial" w:eastAsia="Arial" w:hAnsi="Arial"/>
          <w:sz w:val="21"/>
          <w:szCs w:val="21"/>
          <w:color w:val="010000"/>
        </w:rPr>
        <w:t xml:space="preserve">(v) </w:t>
      </w:r>
      <w:r>
        <w:rPr>
          <w:rFonts w:ascii="Arial" w:cs="Arial" w:eastAsia="Arial" w:hAnsi="Arial"/>
          <w:sz w:val="21"/>
          <w:szCs w:val="21"/>
          <w:color w:val="000000"/>
        </w:rPr>
        <w:t>to the extent the Corporation is eligible under the relevant</w:t>
      </w:r>
      <w:r>
        <w:rPr>
          <w:rFonts w:ascii="Arial" w:cs="Arial" w:eastAsia="Arial" w:hAnsi="Arial"/>
          <w:sz w:val="21"/>
          <w:szCs w:val="21"/>
          <w:color w:val="010000"/>
        </w:rPr>
        <w:t xml:space="preserve"> </w:t>
      </w:r>
      <w:r>
        <w:rPr>
          <w:rFonts w:ascii="Arial" w:cs="Arial" w:eastAsia="Arial" w:hAnsi="Arial"/>
          <w:sz w:val="21"/>
          <w:szCs w:val="21"/>
          <w:color w:val="000000"/>
        </w:rPr>
        <w:t>provisions of Rule 430B under the Securities Act, if the Corporation files any Shelf Registration Statement,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77" w:lineRule="exact"/>
        <w:rPr>
          <w:sz w:val="20"/>
          <w:szCs w:val="20"/>
          <w:color w:val="auto"/>
        </w:rPr>
      </w:pPr>
    </w:p>
    <w:p>
      <w:pPr>
        <w:ind w:right="180" w:firstLine="1594"/>
        <w:spacing w:after="0" w:line="250" w:lineRule="auto"/>
        <w:rPr>
          <w:sz w:val="20"/>
          <w:szCs w:val="20"/>
          <w:color w:val="auto"/>
        </w:rPr>
      </w:pPr>
      <w:r>
        <w:rPr>
          <w:rFonts w:ascii="Arial" w:cs="Arial" w:eastAsia="Arial" w:hAnsi="Arial"/>
          <w:sz w:val="22"/>
          <w:szCs w:val="22"/>
          <w:color w:val="010000"/>
        </w:rPr>
        <w:t xml:space="preserve">(vi) </w:t>
      </w:r>
      <w:r>
        <w:rPr>
          <w:rFonts w:ascii="Arial" w:cs="Arial" w:eastAsia="Arial" w:hAnsi="Arial"/>
          <w:sz w:val="22"/>
          <w:szCs w:val="22"/>
          <w:color w:val="000000"/>
        </w:rPr>
        <w:t>prevent, or obtain the withdrawal of, any stop order or other order</w:t>
      </w:r>
      <w:r>
        <w:rPr>
          <w:rFonts w:ascii="Arial" w:cs="Arial" w:eastAsia="Arial" w:hAnsi="Arial"/>
          <w:sz w:val="22"/>
          <w:szCs w:val="22"/>
          <w:color w:val="010000"/>
        </w:rPr>
        <w:t xml:space="preserve"> </w:t>
      </w:r>
      <w:r>
        <w:rPr>
          <w:rFonts w:ascii="Arial" w:cs="Arial" w:eastAsia="Arial" w:hAnsi="Arial"/>
          <w:sz w:val="22"/>
          <w:szCs w:val="22"/>
          <w:color w:val="000000"/>
        </w:rPr>
        <w:t>or notice preventing or suspending the use of any preliminary or final Prospectus;</w:t>
      </w:r>
    </w:p>
    <w:p>
      <w:pPr>
        <w:spacing w:after="0" w:line="175" w:lineRule="exact"/>
        <w:rPr>
          <w:sz w:val="20"/>
          <w:szCs w:val="20"/>
          <w:color w:val="auto"/>
        </w:rPr>
      </w:pPr>
    </w:p>
    <w:p>
      <w:pPr>
        <w:ind w:left="1580"/>
        <w:spacing w:after="0"/>
        <w:tabs>
          <w:tab w:leader="none" w:pos="4540" w:val="left"/>
        </w:tabs>
        <w:rPr>
          <w:sz w:val="20"/>
          <w:szCs w:val="20"/>
          <w:color w:val="auto"/>
        </w:rPr>
      </w:pPr>
      <w:r>
        <w:rPr>
          <w:rFonts w:ascii="Arial" w:cs="Arial" w:eastAsia="Arial" w:hAnsi="Arial"/>
          <w:sz w:val="21"/>
          <w:szCs w:val="21"/>
          <w:color w:val="010000"/>
        </w:rPr>
        <w:t>(vii)</w:t>
      </w:r>
      <w:r>
        <w:rPr>
          <w:sz w:val="20"/>
          <w:szCs w:val="20"/>
          <w:color w:val="auto"/>
        </w:rPr>
        <w:tab/>
      </w:r>
      <w:r>
        <w:rPr>
          <w:rFonts w:ascii="Arial" w:cs="Arial" w:eastAsia="Arial" w:hAnsi="Arial"/>
          <w:sz w:val="21"/>
          <w:szCs w:val="21"/>
          <w:color w:val="auto"/>
        </w:rPr>
        <w:t>promptly incorporate in a Prospectus supplement, Issuer Free</w:t>
      </w:r>
    </w:p>
    <w:p>
      <w:pPr>
        <w:spacing w:after="0" w:line="20"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Writing Prospectus or post-effective amendment such information as the managing underwriter or underwriters and the participating Holders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39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91" w:name="page292"/>
    <w:bookmarkEnd w:id="291"/>
    <w:p>
      <w:pPr>
        <w:ind w:right="400" w:firstLine="1594"/>
        <w:spacing w:after="0" w:line="236" w:lineRule="auto"/>
        <w:rPr>
          <w:sz w:val="20"/>
          <w:szCs w:val="20"/>
          <w:color w:val="auto"/>
        </w:rPr>
      </w:pPr>
      <w:r>
        <w:rPr>
          <w:rFonts w:ascii="Arial" w:cs="Arial" w:eastAsia="Arial" w:hAnsi="Arial"/>
          <w:sz w:val="22"/>
          <w:szCs w:val="22"/>
          <w:color w:val="010000"/>
        </w:rPr>
        <w:t xml:space="preserve">(viii) </w:t>
      </w:r>
      <w:r>
        <w:rPr>
          <w:rFonts w:ascii="Arial" w:cs="Arial" w:eastAsia="Arial" w:hAnsi="Arial"/>
          <w:sz w:val="22"/>
          <w:szCs w:val="22"/>
          <w:color w:val="000000"/>
        </w:rPr>
        <w:t>furnish to each selling Holder and each underwriter, if any,</w:t>
      </w:r>
      <w:r>
        <w:rPr>
          <w:rFonts w:ascii="Arial" w:cs="Arial" w:eastAsia="Arial" w:hAnsi="Arial"/>
          <w:sz w:val="22"/>
          <w:szCs w:val="22"/>
          <w:color w:val="010000"/>
        </w:rPr>
        <w:t xml:space="preserve"> </w:t>
      </w:r>
      <w:r>
        <w:rPr>
          <w:rFonts w:ascii="Arial" w:cs="Arial" w:eastAsia="Arial" w:hAnsi="Arial"/>
          <w:sz w:val="22"/>
          <w:szCs w:val="22"/>
          <w:color w:val="000000"/>
        </w:rPr>
        <w:t>without charge, as many conformed copies as such Holder or underwriter may reasonably request of the applicable Registration Statement and any amendment or post-effective amendment or supplement thereto, including financial statements and schedules, all documents incorporated therein by reference and all exhibits (including those incorporated by reference);</w:t>
      </w:r>
    </w:p>
    <w:p>
      <w:pPr>
        <w:spacing w:after="0" w:line="187" w:lineRule="exact"/>
        <w:rPr>
          <w:sz w:val="20"/>
          <w:szCs w:val="20"/>
          <w:color w:val="auto"/>
        </w:rPr>
      </w:pPr>
    </w:p>
    <w:p>
      <w:pPr>
        <w:ind w:right="80" w:firstLine="1594"/>
        <w:spacing w:after="0" w:line="246" w:lineRule="auto"/>
        <w:rPr>
          <w:sz w:val="20"/>
          <w:szCs w:val="20"/>
          <w:color w:val="auto"/>
        </w:rPr>
      </w:pPr>
      <w:r>
        <w:rPr>
          <w:rFonts w:ascii="Arial" w:cs="Arial" w:eastAsia="Arial" w:hAnsi="Arial"/>
          <w:sz w:val="21"/>
          <w:szCs w:val="21"/>
          <w:color w:val="010000"/>
        </w:rPr>
        <w:t xml:space="preserve">(ix) </w:t>
      </w:r>
      <w:r>
        <w:rPr>
          <w:rFonts w:ascii="Arial" w:cs="Arial" w:eastAsia="Arial" w:hAnsi="Arial"/>
          <w:sz w:val="21"/>
          <w:szCs w:val="21"/>
          <w:color w:val="000000"/>
        </w:rPr>
        <w:t>deliver to each selling Holder and each underwriter, if any, without</w:t>
      </w:r>
      <w:r>
        <w:rPr>
          <w:rFonts w:ascii="Arial" w:cs="Arial" w:eastAsia="Arial" w:hAnsi="Arial"/>
          <w:sz w:val="21"/>
          <w:szCs w:val="21"/>
          <w:color w:val="010000"/>
        </w:rPr>
        <w:t xml:space="preserve"> </w:t>
      </w:r>
      <w:r>
        <w:rPr>
          <w:rFonts w:ascii="Arial" w:cs="Arial" w:eastAsia="Arial" w:hAnsi="Arial"/>
          <w:sz w:val="21"/>
          <w:szCs w:val="21"/>
          <w:color w:val="000000"/>
        </w:rPr>
        <w:t>charge, as many copies of the applicable Prospectus (including each preliminary Prospectus) and any amendment or supplement thereto and such other documents as such Holder or underwriter may reasonably request in order to facilitate the disposition of the Registrable Securities by such Holder or underwriter (it being understood that the Corporation shall consent to the use of such Prospectus or any amendment or supplement thereto by each of the selling Holders and the underwriters, if any, in connection with the offering and sale of the Registrable Securities covered by such Prospectus or any amendment or supplement thereto);</w:t>
      </w:r>
    </w:p>
    <w:p>
      <w:pPr>
        <w:spacing w:after="0" w:line="184" w:lineRule="exact"/>
        <w:rPr>
          <w:sz w:val="20"/>
          <w:szCs w:val="20"/>
          <w:color w:val="auto"/>
        </w:rPr>
      </w:pPr>
    </w:p>
    <w:p>
      <w:pPr>
        <w:ind w:firstLine="1594"/>
        <w:spacing w:after="0" w:line="245" w:lineRule="auto"/>
        <w:rPr>
          <w:sz w:val="20"/>
          <w:szCs w:val="20"/>
          <w:color w:val="auto"/>
        </w:rPr>
      </w:pPr>
      <w:r>
        <w:rPr>
          <w:rFonts w:ascii="Arial" w:cs="Arial" w:eastAsia="Arial" w:hAnsi="Arial"/>
          <w:sz w:val="21"/>
          <w:szCs w:val="21"/>
          <w:color w:val="010000"/>
        </w:rPr>
        <w:t xml:space="preserve">(x) </w:t>
      </w:r>
      <w:r>
        <w:rPr>
          <w:rFonts w:ascii="Arial" w:cs="Arial" w:eastAsia="Arial" w:hAnsi="Arial"/>
          <w:sz w:val="21"/>
          <w:szCs w:val="21"/>
          <w:color w:val="000000"/>
        </w:rPr>
        <w:t>on or prior to the date on which the applicable Registration</w:t>
      </w:r>
      <w:r>
        <w:rPr>
          <w:rFonts w:ascii="Arial" w:cs="Arial" w:eastAsia="Arial" w:hAnsi="Arial"/>
          <w:sz w:val="21"/>
          <w:szCs w:val="21"/>
          <w:color w:val="010000"/>
        </w:rPr>
        <w:t xml:space="preserve"> </w:t>
      </w:r>
      <w:r>
        <w:rPr>
          <w:rFonts w:ascii="Arial" w:cs="Arial" w:eastAsia="Arial" w:hAnsi="Arial"/>
          <w:sz w:val="21"/>
          <w:szCs w:val="21"/>
          <w:color w:val="000000"/>
        </w:rPr>
        <w:t>Statement becomes effective, use its commercially reasonable efforts to register or qualify, and cooperate with the selling Holders, the managing underwriter or underwriters, if any, and their respective counsel, in connection with the Registration or qualification of, such Registrable Securities for offer and sale under the securities or “</w:t>
      </w:r>
      <w:r>
        <w:rPr>
          <w:rFonts w:ascii="Arial" w:cs="Arial" w:eastAsia="Arial" w:hAnsi="Arial"/>
          <w:sz w:val="21"/>
          <w:szCs w:val="21"/>
          <w:b w:val="1"/>
          <w:bCs w:val="1"/>
          <w:color w:val="000000"/>
        </w:rPr>
        <w:t>Blue Sky</w:t>
      </w:r>
      <w:r>
        <w:rPr>
          <w:rFonts w:ascii="Arial" w:cs="Arial" w:eastAsia="Arial" w:hAnsi="Arial"/>
          <w:sz w:val="21"/>
          <w:szCs w:val="21"/>
          <w:color w:val="000000"/>
        </w:rPr>
        <w:t xml:space="preserve">” laws of each state and other jurisdiction as any such selling Holder or managing underwriter or underwriters, if any, or their respective counsel reasonably request in writing and do any and all other acts or things reasonably necessary or advisable to keep such Registration or qualification in effect for such period as required by </w:t>
      </w:r>
      <w:r>
        <w:rPr>
          <w:rFonts w:ascii="Arial" w:cs="Arial" w:eastAsia="Arial" w:hAnsi="Arial"/>
          <w:sz w:val="21"/>
          <w:szCs w:val="21"/>
          <w:u w:val="single" w:color="auto"/>
          <w:color w:val="000000"/>
        </w:rPr>
        <w:t>Section 3.1</w:t>
      </w:r>
      <w:r>
        <w:rPr>
          <w:rFonts w:ascii="Arial" w:cs="Arial" w:eastAsia="Arial" w:hAnsi="Arial"/>
          <w:sz w:val="21"/>
          <w:szCs w:val="21"/>
          <w:color w:val="000000"/>
        </w:rPr>
        <w:t xml:space="preserve">, as applicable,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 Corporation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81" w:lineRule="exact"/>
        <w:rPr>
          <w:sz w:val="20"/>
          <w:szCs w:val="20"/>
          <w:color w:val="auto"/>
        </w:rPr>
      </w:pPr>
    </w:p>
    <w:p>
      <w:pPr>
        <w:ind w:right="20" w:firstLine="1594"/>
        <w:spacing w:after="0" w:line="236" w:lineRule="auto"/>
        <w:rPr>
          <w:sz w:val="20"/>
          <w:szCs w:val="20"/>
          <w:color w:val="auto"/>
        </w:rPr>
      </w:pPr>
      <w:r>
        <w:rPr>
          <w:rFonts w:ascii="Arial" w:cs="Arial" w:eastAsia="Arial" w:hAnsi="Arial"/>
          <w:sz w:val="22"/>
          <w:szCs w:val="22"/>
          <w:color w:val="010000"/>
        </w:rPr>
        <w:t xml:space="preserve">(xi) </w:t>
      </w:r>
      <w:r>
        <w:rPr>
          <w:rFonts w:ascii="Arial" w:cs="Arial" w:eastAsia="Arial" w:hAnsi="Arial"/>
          <w:sz w:val="22"/>
          <w:szCs w:val="22"/>
          <w:color w:val="000000"/>
        </w:rPr>
        <w:t>cooperate with the selling Holders and the managing underwriter or</w:t>
      </w:r>
      <w:r>
        <w:rPr>
          <w:rFonts w:ascii="Arial" w:cs="Arial" w:eastAsia="Arial" w:hAnsi="Arial"/>
          <w:sz w:val="22"/>
          <w:szCs w:val="22"/>
          <w:color w:val="010000"/>
        </w:rPr>
        <w:t xml:space="preserve"> </w:t>
      </w:r>
      <w:r>
        <w:rPr>
          <w:rFonts w:ascii="Arial" w:cs="Arial" w:eastAsia="Arial" w:hAnsi="Arial"/>
          <w:sz w:val="22"/>
          <w:szCs w:val="22"/>
          <w:color w:val="000000"/>
        </w:rPr>
        <w:t>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prior to any sale of Registrable Securities to the underwriters;</w:t>
      </w:r>
    </w:p>
    <w:p>
      <w:pPr>
        <w:spacing w:after="0" w:line="187" w:lineRule="exact"/>
        <w:rPr>
          <w:sz w:val="20"/>
          <w:szCs w:val="20"/>
          <w:color w:val="auto"/>
        </w:rPr>
      </w:pPr>
    </w:p>
    <w:p>
      <w:pPr>
        <w:ind w:right="340" w:firstLine="1594"/>
        <w:spacing w:after="0" w:line="238" w:lineRule="auto"/>
        <w:rPr>
          <w:sz w:val="20"/>
          <w:szCs w:val="20"/>
          <w:color w:val="auto"/>
        </w:rPr>
      </w:pPr>
      <w:r>
        <w:rPr>
          <w:rFonts w:ascii="Arial" w:cs="Arial" w:eastAsia="Arial" w:hAnsi="Arial"/>
          <w:sz w:val="22"/>
          <w:szCs w:val="22"/>
          <w:color w:val="010000"/>
        </w:rPr>
        <w:t xml:space="preserve">(xii) </w:t>
      </w:r>
      <w:r>
        <w:rPr>
          <w:rFonts w:ascii="Arial" w:cs="Arial" w:eastAsia="Arial" w:hAnsi="Arial"/>
          <w:sz w:val="22"/>
          <w:szCs w:val="22"/>
          <w:color w:val="000000"/>
        </w:rPr>
        <w:t>cause the Registrable Securities covered by the applicable</w:t>
      </w:r>
      <w:r>
        <w:rPr>
          <w:rFonts w:ascii="Arial" w:cs="Arial" w:eastAsia="Arial" w:hAnsi="Arial"/>
          <w:sz w:val="22"/>
          <w:szCs w:val="22"/>
          <w:color w:val="010000"/>
        </w:rPr>
        <w:t xml:space="preserve"> </w:t>
      </w:r>
      <w:r>
        <w:rPr>
          <w:rFonts w:ascii="Arial" w:cs="Arial" w:eastAsia="Arial" w:hAnsi="Arial"/>
          <w:sz w:val="22"/>
          <w:szCs w:val="22"/>
          <w:color w:val="000000"/>
        </w:rPr>
        <w:t>Registration Statement to be registered with or approved by such other U.S. governmental agencies or authorities as may be necessary to enable the seller or sellers thereof or the underwriter or underwriters, if any, to consummate the disposition of such Registrable Securities;</w:t>
      </w:r>
    </w:p>
    <w:p>
      <w:pPr>
        <w:spacing w:after="0" w:line="185" w:lineRule="exact"/>
        <w:rPr>
          <w:sz w:val="20"/>
          <w:szCs w:val="20"/>
          <w:color w:val="auto"/>
        </w:rPr>
      </w:pPr>
    </w:p>
    <w:p>
      <w:pPr>
        <w:ind w:right="340" w:firstLine="1594"/>
        <w:spacing w:after="0" w:line="250" w:lineRule="auto"/>
        <w:rPr>
          <w:sz w:val="20"/>
          <w:szCs w:val="20"/>
          <w:color w:val="auto"/>
        </w:rPr>
      </w:pPr>
      <w:r>
        <w:rPr>
          <w:rFonts w:ascii="Arial" w:cs="Arial" w:eastAsia="Arial" w:hAnsi="Arial"/>
          <w:sz w:val="22"/>
          <w:szCs w:val="22"/>
          <w:color w:val="010000"/>
        </w:rPr>
        <w:t xml:space="preserve">(xiii) </w:t>
      </w:r>
      <w:r>
        <w:rPr>
          <w:rFonts w:ascii="Arial" w:cs="Arial" w:eastAsia="Arial" w:hAnsi="Arial"/>
          <w:sz w:val="22"/>
          <w:szCs w:val="22"/>
          <w:color w:val="000000"/>
        </w:rPr>
        <w:t>make such representations and warranties to the Holders being</w:t>
      </w:r>
      <w:r>
        <w:rPr>
          <w:rFonts w:ascii="Arial" w:cs="Arial" w:eastAsia="Arial" w:hAnsi="Arial"/>
          <w:sz w:val="22"/>
          <w:szCs w:val="22"/>
          <w:color w:val="010000"/>
        </w:rPr>
        <w:t xml:space="preserve"> </w:t>
      </w:r>
      <w:r>
        <w:rPr>
          <w:rFonts w:ascii="Arial" w:cs="Arial" w:eastAsia="Arial" w:hAnsi="Arial"/>
          <w:sz w:val="22"/>
          <w:szCs w:val="22"/>
          <w:color w:val="000000"/>
        </w:rPr>
        <w:t>registered, and the underwriters or agents, if any, in form, substance and scope as are</w:t>
      </w:r>
    </w:p>
    <w:p>
      <w:pPr>
        <w:spacing w:after="0" w:line="200" w:lineRule="exact"/>
        <w:rPr>
          <w:sz w:val="20"/>
          <w:szCs w:val="20"/>
          <w:color w:val="auto"/>
        </w:rPr>
      </w:pPr>
    </w:p>
    <w:p>
      <w:pPr>
        <w:spacing w:after="0" w:line="21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customarily made by issuers in public offerings similar to the offering then being undertaken;</w:t>
      </w:r>
    </w:p>
    <w:p>
      <w:pPr>
        <w:spacing w:after="0" w:line="206" w:lineRule="exact"/>
        <w:rPr>
          <w:sz w:val="20"/>
          <w:szCs w:val="20"/>
          <w:color w:val="auto"/>
        </w:rPr>
      </w:pPr>
    </w:p>
    <w:p>
      <w:pPr>
        <w:ind w:firstLine="1594"/>
        <w:spacing w:after="0" w:line="238" w:lineRule="auto"/>
        <w:rPr>
          <w:sz w:val="20"/>
          <w:szCs w:val="20"/>
          <w:color w:val="auto"/>
        </w:rPr>
      </w:pPr>
      <w:r>
        <w:rPr>
          <w:rFonts w:ascii="Arial" w:cs="Arial" w:eastAsia="Arial" w:hAnsi="Arial"/>
          <w:sz w:val="22"/>
          <w:szCs w:val="22"/>
          <w:color w:val="010000"/>
        </w:rPr>
        <w:t xml:space="preserve">(xiv) </w:t>
      </w:r>
      <w:r>
        <w:rPr>
          <w:rFonts w:ascii="Arial" w:cs="Arial" w:eastAsia="Arial" w:hAnsi="Arial"/>
          <w:sz w:val="22"/>
          <w:szCs w:val="22"/>
          <w:color w:val="000000"/>
        </w:rPr>
        <w:t>enter into such customary agreements (including underwriting and</w:t>
      </w:r>
      <w:r>
        <w:rPr>
          <w:rFonts w:ascii="Arial" w:cs="Arial" w:eastAsia="Arial" w:hAnsi="Arial"/>
          <w:sz w:val="22"/>
          <w:szCs w:val="22"/>
          <w:color w:val="010000"/>
        </w:rPr>
        <w:t xml:space="preserve"> </w:t>
      </w:r>
      <w:r>
        <w:rPr>
          <w:rFonts w:ascii="Arial" w:cs="Arial" w:eastAsia="Arial" w:hAnsi="Arial"/>
          <w:sz w:val="22"/>
          <w:szCs w:val="22"/>
          <w:color w:val="000000"/>
        </w:rPr>
        <w:t>indemnification agreements) and take all such other actions as the participating Holders or the managing underwriter or underwriters, if any, reasonably request in order to expedite or facilitate the Registration and disposition of such Registrable Securities;</w:t>
      </w:r>
    </w:p>
    <w:p>
      <w:pPr>
        <w:spacing w:after="0" w:line="185" w:lineRule="exact"/>
        <w:rPr>
          <w:sz w:val="20"/>
          <w:szCs w:val="20"/>
          <w:color w:val="auto"/>
        </w:rPr>
      </w:pPr>
    </w:p>
    <w:p>
      <w:pPr>
        <w:ind w:right="40" w:firstLine="1594"/>
        <w:spacing w:after="0" w:line="238" w:lineRule="auto"/>
        <w:rPr>
          <w:sz w:val="20"/>
          <w:szCs w:val="20"/>
          <w:color w:val="auto"/>
        </w:rPr>
      </w:pPr>
      <w:r>
        <w:rPr>
          <w:rFonts w:ascii="Arial" w:cs="Arial" w:eastAsia="Arial" w:hAnsi="Arial"/>
          <w:sz w:val="22"/>
          <w:szCs w:val="22"/>
          <w:color w:val="010000"/>
        </w:rPr>
        <w:t xml:space="preserve">(xv) </w:t>
      </w:r>
      <w:r>
        <w:rPr>
          <w:rFonts w:ascii="Arial" w:cs="Arial" w:eastAsia="Arial" w:hAnsi="Arial"/>
          <w:sz w:val="22"/>
          <w:szCs w:val="22"/>
          <w:color w:val="000000"/>
        </w:rPr>
        <w:t>in the case of an Underwritten Offering, obtain for delivery to the</w:t>
      </w:r>
      <w:r>
        <w:rPr>
          <w:rFonts w:ascii="Arial" w:cs="Arial" w:eastAsia="Arial" w:hAnsi="Arial"/>
          <w:sz w:val="22"/>
          <w:szCs w:val="22"/>
          <w:color w:val="010000"/>
        </w:rPr>
        <w:t xml:space="preserve"> </w:t>
      </w:r>
      <w:r>
        <w:rPr>
          <w:rFonts w:ascii="Arial" w:cs="Arial" w:eastAsia="Arial" w:hAnsi="Arial"/>
          <w:sz w:val="22"/>
          <w:szCs w:val="22"/>
          <w:color w:val="000000"/>
        </w:rPr>
        <w:t>underwriter or underwriters, if any, an opinion or opinions from counsel for the Corporation dated the date of the closing under the underwriting agreement, in customary form, scope and substance, which opinions shall be reasonably satisfactory to such underwriters and their counsel;</w:t>
      </w:r>
    </w:p>
    <w:p>
      <w:pPr>
        <w:spacing w:after="0" w:line="185" w:lineRule="exact"/>
        <w:rPr>
          <w:sz w:val="20"/>
          <w:szCs w:val="20"/>
          <w:color w:val="auto"/>
        </w:rPr>
      </w:pPr>
    </w:p>
    <w:p>
      <w:pPr>
        <w:ind w:right="80" w:firstLine="1594"/>
        <w:spacing w:after="0" w:line="275" w:lineRule="auto"/>
        <w:rPr>
          <w:sz w:val="20"/>
          <w:szCs w:val="20"/>
          <w:color w:val="auto"/>
        </w:rPr>
      </w:pPr>
      <w:r>
        <w:rPr>
          <w:rFonts w:ascii="Arial" w:cs="Arial" w:eastAsia="Arial" w:hAnsi="Arial"/>
          <w:sz w:val="19"/>
          <w:szCs w:val="19"/>
          <w:color w:val="010000"/>
        </w:rPr>
        <w:t xml:space="preserve">(xvi) </w:t>
      </w:r>
      <w:r>
        <w:rPr>
          <w:rFonts w:ascii="Arial" w:cs="Arial" w:eastAsia="Arial" w:hAnsi="Arial"/>
          <w:sz w:val="19"/>
          <w:szCs w:val="19"/>
          <w:color w:val="000000"/>
        </w:rPr>
        <w:t>in the case of an Underwritten Offering, obtain for delivery to the</w:t>
      </w:r>
      <w:r>
        <w:rPr>
          <w:rFonts w:ascii="Arial" w:cs="Arial" w:eastAsia="Arial" w:hAnsi="Arial"/>
          <w:sz w:val="19"/>
          <w:szCs w:val="19"/>
          <w:color w:val="010000"/>
        </w:rPr>
        <w:t xml:space="preserve"> </w:t>
      </w:r>
      <w:r>
        <w:rPr>
          <w:rFonts w:ascii="Arial" w:cs="Arial" w:eastAsia="Arial" w:hAnsi="Arial"/>
          <w:sz w:val="19"/>
          <w:szCs w:val="19"/>
          <w:color w:val="000000"/>
        </w:rPr>
        <w:t>Corporation and the managing underwriter or underwriters, with copies to the Holders included in such Registration or sale, a comfort letter from the Corporation’s independent certified public accountants or independent auditors (and, if necessary, any other independent certified public accountants or independent auditors of any subsidiary of the Corporation or any business acquired by the Corporation for which financial statements and financial data are, or are required to be, included in the Registration Statement)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157" w:lineRule="exact"/>
        <w:rPr>
          <w:sz w:val="20"/>
          <w:szCs w:val="20"/>
          <w:color w:val="auto"/>
        </w:rPr>
      </w:pPr>
    </w:p>
    <w:p>
      <w:pPr>
        <w:ind w:right="440" w:firstLine="1594"/>
        <w:spacing w:after="0"/>
        <w:rPr>
          <w:sz w:val="20"/>
          <w:szCs w:val="20"/>
          <w:color w:val="auto"/>
        </w:rPr>
      </w:pPr>
      <w:r>
        <w:rPr>
          <w:rFonts w:ascii="Arial" w:cs="Arial" w:eastAsia="Arial" w:hAnsi="Arial"/>
          <w:sz w:val="22"/>
          <w:szCs w:val="22"/>
          <w:color w:val="010000"/>
        </w:rPr>
        <w:t xml:space="preserve">(xvii) </w:t>
      </w:r>
      <w:r>
        <w:rPr>
          <w:rFonts w:ascii="Arial" w:cs="Arial" w:eastAsia="Arial" w:hAnsi="Arial"/>
          <w:sz w:val="22"/>
          <w:szCs w:val="22"/>
          <w:color w:val="000000"/>
        </w:rPr>
        <w:t>cooperate with each seller of Registrable Securities and each</w:t>
      </w:r>
      <w:r>
        <w:rPr>
          <w:rFonts w:ascii="Arial" w:cs="Arial" w:eastAsia="Arial" w:hAnsi="Arial"/>
          <w:sz w:val="22"/>
          <w:szCs w:val="22"/>
          <w:color w:val="010000"/>
        </w:rPr>
        <w:t xml:space="preserve"> </w:t>
      </w:r>
      <w:r>
        <w:rPr>
          <w:rFonts w:ascii="Arial" w:cs="Arial" w:eastAsia="Arial" w:hAnsi="Arial"/>
          <w:sz w:val="22"/>
          <w:szCs w:val="22"/>
          <w:color w:val="000000"/>
        </w:rPr>
        <w:t>underwriter, if any, participating in the disposition of such Registrable Securities and their respective counsel in connection with any filings required to be made with FINRA;</w:t>
      </w:r>
    </w:p>
    <w:p>
      <w:pPr>
        <w:spacing w:after="0" w:line="186" w:lineRule="exact"/>
        <w:rPr>
          <w:sz w:val="20"/>
          <w:szCs w:val="20"/>
          <w:color w:val="auto"/>
        </w:rPr>
      </w:pPr>
    </w:p>
    <w:p>
      <w:pPr>
        <w:ind w:left="1580"/>
        <w:spacing w:after="0"/>
        <w:tabs>
          <w:tab w:leader="none" w:pos="4700" w:val="left"/>
        </w:tabs>
        <w:rPr>
          <w:sz w:val="20"/>
          <w:szCs w:val="20"/>
          <w:color w:val="auto"/>
        </w:rPr>
      </w:pPr>
      <w:r>
        <w:rPr>
          <w:rFonts w:ascii="Arial" w:cs="Arial" w:eastAsia="Arial" w:hAnsi="Arial"/>
          <w:sz w:val="19"/>
          <w:szCs w:val="19"/>
          <w:color w:val="010000"/>
        </w:rPr>
        <w:t>(xviii)</w:t>
      </w:r>
      <w:r>
        <w:rPr>
          <w:sz w:val="20"/>
          <w:szCs w:val="20"/>
          <w:color w:val="auto"/>
        </w:rPr>
        <w:tab/>
      </w:r>
      <w:r>
        <w:rPr>
          <w:rFonts w:ascii="Arial" w:cs="Arial" w:eastAsia="Arial" w:hAnsi="Arial"/>
          <w:sz w:val="19"/>
          <w:szCs w:val="19"/>
          <w:color w:val="auto"/>
        </w:rPr>
        <w:t>comply with all applicable securities laws and, if a Registration</w:t>
      </w:r>
    </w:p>
    <w:p>
      <w:pPr>
        <w:spacing w:after="0" w:line="43"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color w:val="auto"/>
        </w:rPr>
        <w:t>Statement was filed, make available to its security holders, as soon as reasonably practicable, an earnings statement satisfying the provisions of Section 11(a) of the Securities Act and the rules and regulations promulgated thereunder;</w:t>
      </w:r>
    </w:p>
    <w:p>
      <w:pPr>
        <w:spacing w:after="0" w:line="123" w:lineRule="exact"/>
        <w:rPr>
          <w:sz w:val="20"/>
          <w:szCs w:val="20"/>
          <w:color w:val="auto"/>
        </w:rPr>
      </w:pPr>
    </w:p>
    <w:p>
      <w:pPr>
        <w:ind w:right="160" w:firstLine="1594"/>
        <w:spacing w:after="0" w:line="250" w:lineRule="auto"/>
        <w:rPr>
          <w:sz w:val="20"/>
          <w:szCs w:val="20"/>
          <w:color w:val="auto"/>
        </w:rPr>
      </w:pPr>
      <w:r>
        <w:rPr>
          <w:rFonts w:ascii="Arial" w:cs="Arial" w:eastAsia="Arial" w:hAnsi="Arial"/>
          <w:sz w:val="22"/>
          <w:szCs w:val="22"/>
          <w:color w:val="010000"/>
        </w:rPr>
        <w:t xml:space="preserve">(xix) </w:t>
      </w:r>
      <w:r>
        <w:rPr>
          <w:rFonts w:ascii="Arial" w:cs="Arial" w:eastAsia="Arial" w:hAnsi="Arial"/>
          <w:sz w:val="22"/>
          <w:szCs w:val="22"/>
          <w:color w:val="000000"/>
        </w:rPr>
        <w:t>provide and cause to be maintained a transfer agent and registrar</w:t>
      </w:r>
      <w:r>
        <w:rPr>
          <w:rFonts w:ascii="Arial" w:cs="Arial" w:eastAsia="Arial" w:hAnsi="Arial"/>
          <w:sz w:val="22"/>
          <w:szCs w:val="22"/>
          <w:color w:val="010000"/>
        </w:rPr>
        <w:t xml:space="preserve"> </w:t>
      </w:r>
      <w:r>
        <w:rPr>
          <w:rFonts w:ascii="Arial" w:cs="Arial" w:eastAsia="Arial" w:hAnsi="Arial"/>
          <w:sz w:val="22"/>
          <w:szCs w:val="22"/>
          <w:color w:val="000000"/>
        </w:rPr>
        <w:t>for all Registrable Securities covered by the applicable Registration Statement;</w:t>
      </w:r>
    </w:p>
    <w:p>
      <w:pPr>
        <w:spacing w:after="0" w:line="175" w:lineRule="exact"/>
        <w:rPr>
          <w:sz w:val="20"/>
          <w:szCs w:val="20"/>
          <w:color w:val="auto"/>
        </w:rPr>
      </w:pPr>
    </w:p>
    <w:p>
      <w:pPr>
        <w:ind w:left="1580"/>
        <w:spacing w:after="0"/>
        <w:tabs>
          <w:tab w:leader="none" w:pos="4520" w:val="left"/>
        </w:tabs>
        <w:rPr>
          <w:sz w:val="20"/>
          <w:szCs w:val="20"/>
          <w:color w:val="auto"/>
        </w:rPr>
      </w:pPr>
      <w:r>
        <w:rPr>
          <w:rFonts w:ascii="Arial" w:cs="Arial" w:eastAsia="Arial" w:hAnsi="Arial"/>
          <w:sz w:val="22"/>
          <w:szCs w:val="22"/>
          <w:color w:val="010000"/>
        </w:rPr>
        <w:t>(xx)</w:t>
      </w:r>
      <w:r>
        <w:rPr>
          <w:sz w:val="20"/>
          <w:szCs w:val="20"/>
          <w:color w:val="auto"/>
        </w:rPr>
        <w:tab/>
      </w:r>
      <w:r>
        <w:rPr>
          <w:rFonts w:ascii="Arial" w:cs="Arial" w:eastAsia="Arial" w:hAnsi="Arial"/>
          <w:sz w:val="22"/>
          <w:szCs w:val="22"/>
          <w:color w:val="auto"/>
        </w:rPr>
        <w:t>cause all Registrable Securities covered by the applicable</w:t>
      </w:r>
    </w:p>
    <w:p>
      <w:pPr>
        <w:spacing w:after="0" w:line="8" w:lineRule="exact"/>
        <w:rPr>
          <w:sz w:val="20"/>
          <w:szCs w:val="20"/>
          <w:color w:val="auto"/>
        </w:rPr>
      </w:pPr>
    </w:p>
    <w:p>
      <w:pPr>
        <w:jc w:val="both"/>
        <w:ind w:right="120"/>
        <w:spacing w:after="0" w:line="234" w:lineRule="auto"/>
        <w:rPr>
          <w:sz w:val="20"/>
          <w:szCs w:val="20"/>
          <w:color w:val="auto"/>
        </w:rPr>
      </w:pPr>
      <w:r>
        <w:rPr>
          <w:rFonts w:ascii="Arial" w:cs="Arial" w:eastAsia="Arial" w:hAnsi="Arial"/>
          <w:sz w:val="22"/>
          <w:szCs w:val="22"/>
          <w:color w:val="auto"/>
        </w:rPr>
        <w:t>Registration Statement to be listed on each securities exchange on which any of the Corporation’s equity securities are then listed or quoted and on each inter-dealer quotation system on which any of the Corporation’s equity securities are then quoted.</w:t>
      </w:r>
    </w:p>
    <w:p>
      <w:pPr>
        <w:spacing w:after="0" w:line="187" w:lineRule="exact"/>
        <w:rPr>
          <w:sz w:val="20"/>
          <w:szCs w:val="20"/>
          <w:color w:val="auto"/>
        </w:rPr>
      </w:pPr>
    </w:p>
    <w:p>
      <w:pPr>
        <w:ind w:right="20" w:firstLine="1594"/>
        <w:spacing w:after="0" w:line="287" w:lineRule="auto"/>
        <w:rPr>
          <w:sz w:val="20"/>
          <w:szCs w:val="20"/>
          <w:color w:val="auto"/>
        </w:rPr>
      </w:pPr>
      <w:r>
        <w:rPr>
          <w:rFonts w:ascii="Arial" w:cs="Arial" w:eastAsia="Arial" w:hAnsi="Arial"/>
          <w:sz w:val="19"/>
          <w:szCs w:val="19"/>
          <w:color w:val="010000"/>
        </w:rPr>
        <w:t xml:space="preserve">(xxi) </w:t>
      </w:r>
      <w:r>
        <w:rPr>
          <w:rFonts w:ascii="Arial" w:cs="Arial" w:eastAsia="Arial" w:hAnsi="Arial"/>
          <w:sz w:val="19"/>
          <w:szCs w:val="19"/>
          <w:color w:val="000000"/>
        </w:rPr>
        <w:t>make available upon reasonable notice at reasonable times and for</w:t>
      </w:r>
      <w:r>
        <w:rPr>
          <w:rFonts w:ascii="Arial" w:cs="Arial" w:eastAsia="Arial" w:hAnsi="Arial"/>
          <w:sz w:val="19"/>
          <w:szCs w:val="19"/>
          <w:color w:val="010000"/>
        </w:rPr>
        <w:t xml:space="preserve"> </w:t>
      </w:r>
      <w:r>
        <w:rPr>
          <w:rFonts w:ascii="Arial" w:cs="Arial" w:eastAsia="Arial" w:hAnsi="Arial"/>
          <w:sz w:val="19"/>
          <w:szCs w:val="19"/>
          <w:color w:val="000000"/>
        </w:rPr>
        <w:t>reasonable periods for inspection by any underwriter participating in any disposition to be effected pursuant to such Registration Statement and by any attorney, accountant or other agent retained by any such underwriter, all pertinent financial and other records and pertinent corporate documents and properties of the Corporation, and cause all of the</w:t>
      </w:r>
    </w:p>
    <w:p>
      <w:pPr>
        <w:spacing w:after="0" w:line="3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577" w:right="359" w:bottom="1440" w:gutter="0" w:footer="0" w:header="0"/>
        </w:sectPr>
      </w:pPr>
    </w:p>
    <w:bookmarkStart w:id="293" w:name="page294"/>
    <w:bookmarkEnd w:id="293"/>
    <w:p>
      <w:pPr>
        <w:ind w:left="860" w:right="80"/>
        <w:spacing w:after="0" w:line="257" w:lineRule="auto"/>
        <w:rPr>
          <w:sz w:val="20"/>
          <w:szCs w:val="20"/>
          <w:color w:val="auto"/>
        </w:rPr>
      </w:pPr>
      <w:r>
        <w:rPr>
          <w:rFonts w:ascii="Arial" w:cs="Arial" w:eastAsia="Arial" w:hAnsi="Arial"/>
          <w:sz w:val="21"/>
          <w:szCs w:val="21"/>
          <w:color w:val="auto"/>
        </w:rPr>
        <w:t>Corporation’s officers, directors and employees and the independent public accountants who have certified its financial statements to make themselves available to discuss the business of the Corporation and to supply all information reasonably requested by any such Person in connection with such Registration Statement;</w:t>
      </w:r>
    </w:p>
    <w:p>
      <w:pPr>
        <w:spacing w:after="0" w:line="169" w:lineRule="exact"/>
        <w:rPr>
          <w:sz w:val="20"/>
          <w:szCs w:val="20"/>
          <w:color w:val="auto"/>
        </w:rPr>
      </w:pPr>
    </w:p>
    <w:p>
      <w:pPr>
        <w:ind w:left="860" w:right="100" w:firstLine="1594"/>
        <w:spacing w:after="0" w:line="252" w:lineRule="auto"/>
        <w:rPr>
          <w:sz w:val="20"/>
          <w:szCs w:val="20"/>
          <w:color w:val="auto"/>
        </w:rPr>
      </w:pPr>
      <w:r>
        <w:rPr>
          <w:rFonts w:ascii="Arial" w:cs="Arial" w:eastAsia="Arial" w:hAnsi="Arial"/>
          <w:sz w:val="21"/>
          <w:szCs w:val="21"/>
          <w:color w:val="010000"/>
        </w:rPr>
        <w:t xml:space="preserve">(xxii) </w:t>
      </w:r>
      <w:r>
        <w:rPr>
          <w:rFonts w:ascii="Arial" w:cs="Arial" w:eastAsia="Arial" w:hAnsi="Arial"/>
          <w:sz w:val="21"/>
          <w:szCs w:val="21"/>
          <w:color w:val="000000"/>
        </w:rPr>
        <w:t>in the case of an Underwritten Offering, cause the senior</w:t>
      </w:r>
      <w:r>
        <w:rPr>
          <w:rFonts w:ascii="Arial" w:cs="Arial" w:eastAsia="Arial" w:hAnsi="Arial"/>
          <w:sz w:val="21"/>
          <w:szCs w:val="21"/>
          <w:color w:val="010000"/>
        </w:rPr>
        <w:t xml:space="preserve"> </w:t>
      </w:r>
      <w:r>
        <w:rPr>
          <w:rFonts w:ascii="Arial" w:cs="Arial" w:eastAsia="Arial" w:hAnsi="Arial"/>
          <w:sz w:val="21"/>
          <w:szCs w:val="21"/>
          <w:color w:val="000000"/>
        </w:rPr>
        <w:t>executive officers of the Corporation to participate in the customary “road show” presentations that may be reasonably requested by the managing underwriter or underwriters in any such offering and otherwise to facilitate, cooperate with, and participate in each proposed offering contemplated herein and customary selling efforts related thereto;</w:t>
      </w:r>
    </w:p>
    <w:p>
      <w:pPr>
        <w:sectPr>
          <w:pgSz w:w="11900" w:h="16838" w:orient="portrait"/>
          <w:cols w:equalWidth="0" w:num="1">
            <w:col w:w="11220"/>
          </w:cols>
          <w:pgMar w:left="340" w:top="577" w:right="339" w:bottom="1440" w:gutter="0" w:footer="0" w:header="0"/>
        </w:sectPr>
      </w:pPr>
    </w:p>
    <w:p>
      <w:pPr>
        <w:spacing w:after="0" w:line="174" w:lineRule="exact"/>
        <w:rPr>
          <w:sz w:val="20"/>
          <w:szCs w:val="20"/>
          <w:color w:val="auto"/>
        </w:rPr>
      </w:pPr>
    </w:p>
    <w:p>
      <w:pPr>
        <w:ind w:left="2440"/>
        <w:spacing w:after="0"/>
        <w:rPr>
          <w:sz w:val="20"/>
          <w:szCs w:val="20"/>
          <w:color w:val="auto"/>
        </w:rPr>
      </w:pPr>
      <w:r>
        <w:rPr>
          <w:rFonts w:ascii="Arial" w:cs="Arial" w:eastAsia="Arial" w:hAnsi="Arial"/>
          <w:sz w:val="22"/>
          <w:szCs w:val="22"/>
          <w:color w:val="010000"/>
        </w:rPr>
        <w:t>(xxiii)</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under the Exchange Act; and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take no direct or indirect action prohibited by Regulation M</w:t>
      </w:r>
    </w:p>
    <w:p>
      <w:pPr>
        <w:spacing w:after="0" w:line="460" w:lineRule="exact"/>
        <w:rPr>
          <w:sz w:val="20"/>
          <w:szCs w:val="20"/>
          <w:color w:val="auto"/>
        </w:rPr>
      </w:pPr>
    </w:p>
    <w:p>
      <w:pPr>
        <w:sectPr>
          <w:pgSz w:w="11900" w:h="16838" w:orient="portrait"/>
          <w:cols w:equalWidth="0" w:num="2">
            <w:col w:w="4860" w:space="720"/>
            <w:col w:w="5640"/>
          </w:cols>
          <w:pgMar w:left="340" w:top="577" w:right="339" w:bottom="1440" w:gutter="0" w:footer="0" w:header="0"/>
          <w:type w:val="continuous"/>
        </w:sectPr>
      </w:pPr>
    </w:p>
    <w:p>
      <w:pPr>
        <w:spacing w:after="0" w:line="23" w:lineRule="exact"/>
        <w:rPr>
          <w:sz w:val="20"/>
          <w:szCs w:val="20"/>
          <w:color w:val="auto"/>
        </w:rPr>
      </w:pPr>
    </w:p>
    <w:p>
      <w:pPr>
        <w:ind w:left="2440"/>
        <w:spacing w:after="0"/>
        <w:tabs>
          <w:tab w:leader="none" w:pos="5600" w:val="left"/>
        </w:tabs>
        <w:rPr>
          <w:sz w:val="20"/>
          <w:szCs w:val="20"/>
          <w:color w:val="auto"/>
        </w:rPr>
      </w:pPr>
      <w:r>
        <w:rPr>
          <w:rFonts w:ascii="Arial" w:cs="Arial" w:eastAsia="Arial" w:hAnsi="Arial"/>
          <w:sz w:val="19"/>
          <w:szCs w:val="19"/>
          <w:color w:val="010000"/>
        </w:rPr>
        <w:t>(xxiv)</w:t>
      </w:r>
      <w:r>
        <w:rPr>
          <w:sz w:val="20"/>
          <w:szCs w:val="20"/>
          <w:color w:val="auto"/>
        </w:rPr>
        <w:tab/>
      </w:r>
      <w:r>
        <w:rPr>
          <w:rFonts w:ascii="Arial" w:cs="Arial" w:eastAsia="Arial" w:hAnsi="Arial"/>
          <w:sz w:val="19"/>
          <w:szCs w:val="19"/>
          <w:color w:val="auto"/>
        </w:rPr>
        <w:t>take all such other commercially reasonable actions as are</w:t>
      </w:r>
    </w:p>
    <w:p>
      <w:pPr>
        <w:sectPr>
          <w:pgSz w:w="11900" w:h="16838" w:orient="portrait"/>
          <w:cols w:equalWidth="0" w:num="1">
            <w:col w:w="11220"/>
          </w:cols>
          <w:pgMar w:left="340" w:top="577" w:right="339" w:bottom="1440" w:gutter="0" w:footer="0" w:header="0"/>
          <w:type w:val="continuous"/>
        </w:sectPr>
      </w:pPr>
    </w:p>
    <w:p>
      <w:pPr>
        <w:spacing w:after="0" w:line="56" w:lineRule="exact"/>
        <w:rPr>
          <w:sz w:val="20"/>
          <w:szCs w:val="20"/>
          <w:color w:val="auto"/>
        </w:rPr>
      </w:pPr>
    </w:p>
    <w:p>
      <w:pPr>
        <w:ind w:left="860"/>
        <w:spacing w:after="0" w:line="230" w:lineRule="auto"/>
        <w:rPr>
          <w:sz w:val="20"/>
          <w:szCs w:val="20"/>
          <w:color w:val="auto"/>
        </w:rPr>
      </w:pPr>
      <w:r>
        <w:rPr>
          <w:rFonts w:ascii="Arial" w:cs="Arial" w:eastAsia="Arial" w:hAnsi="Arial"/>
          <w:sz w:val="22"/>
          <w:szCs w:val="22"/>
          <w:color w:val="auto"/>
        </w:rPr>
        <w:t>necessary or advisable in order to expedite or facilitate the disposition of such Registrable Securities in accordance with the terms of this Agreement.</w:t>
      </w:r>
    </w:p>
    <w:p>
      <w:pPr>
        <w:spacing w:after="0" w:line="186" w:lineRule="exact"/>
        <w:rPr>
          <w:sz w:val="20"/>
          <w:szCs w:val="20"/>
          <w:color w:val="auto"/>
        </w:rPr>
      </w:pPr>
    </w:p>
    <w:p>
      <w:pPr>
        <w:ind w:left="-20" w:right="40" w:firstLine="1735"/>
        <w:spacing w:after="0" w:line="277" w:lineRule="auto"/>
        <w:tabs>
          <w:tab w:leader="none" w:pos="2607" w:val="left"/>
        </w:tabs>
        <w:numPr>
          <w:ilvl w:val="0"/>
          <w:numId w:val="217"/>
        </w:numPr>
        <w:rPr>
          <w:rFonts w:ascii="Arial" w:cs="Arial" w:eastAsia="Arial" w:hAnsi="Arial"/>
          <w:sz w:val="19"/>
          <w:szCs w:val="19"/>
          <w:color w:val="010000"/>
        </w:rPr>
      </w:pPr>
      <w:r>
        <w:rPr>
          <w:rFonts w:ascii="Arial" w:cs="Arial" w:eastAsia="Arial" w:hAnsi="Arial"/>
          <w:sz w:val="19"/>
          <w:szCs w:val="19"/>
          <w:u w:val="single" w:color="auto"/>
          <w:color w:val="auto"/>
        </w:rPr>
        <w:t>Corporation Information Requests</w:t>
      </w:r>
      <w:r>
        <w:rPr>
          <w:rFonts w:ascii="Arial" w:cs="Arial" w:eastAsia="Arial" w:hAnsi="Arial"/>
          <w:sz w:val="19"/>
          <w:szCs w:val="19"/>
          <w:color w:val="auto"/>
        </w:rPr>
        <w:t>. The Corporation may require each seller of Registrable Securities as to which any Registration or sale is being effected to furnish to the Corporation such information regarding the distribution of such securities and such other information relating to such Holder and its ownership of Registrable Securities as the Corporation may from time to time reasonably request in writing, and the Corporation may exclude from such Registration or sale the Registrable Securities of any such Holder who unreasonably fails to furnish such information within a reasonable time after receiving such request. Each Holder agrees to furnish such information to the Corporation and to cooperate with the Corporation as reasonably necessary to enable the Corporation to comply with the provisions of this Agreement.</w:t>
      </w:r>
    </w:p>
    <w:p>
      <w:pPr>
        <w:spacing w:after="0" w:line="151" w:lineRule="exact"/>
        <w:rPr>
          <w:rFonts w:ascii="Arial" w:cs="Arial" w:eastAsia="Arial" w:hAnsi="Arial"/>
          <w:sz w:val="19"/>
          <w:szCs w:val="19"/>
          <w:color w:val="010000"/>
        </w:rPr>
      </w:pPr>
    </w:p>
    <w:p>
      <w:pPr>
        <w:ind w:left="-20" w:right="20" w:firstLine="1735"/>
        <w:spacing w:after="0" w:line="272" w:lineRule="auto"/>
        <w:tabs>
          <w:tab w:leader="none" w:pos="2595" w:val="left"/>
        </w:tabs>
        <w:numPr>
          <w:ilvl w:val="0"/>
          <w:numId w:val="217"/>
        </w:numPr>
        <w:rPr>
          <w:rFonts w:ascii="Arial" w:cs="Arial" w:eastAsia="Arial" w:hAnsi="Arial"/>
          <w:sz w:val="19"/>
          <w:szCs w:val="19"/>
          <w:color w:val="010000"/>
        </w:rPr>
      </w:pPr>
      <w:r>
        <w:rPr>
          <w:rFonts w:ascii="Arial" w:cs="Arial" w:eastAsia="Arial" w:hAnsi="Arial"/>
          <w:sz w:val="19"/>
          <w:szCs w:val="19"/>
          <w:u w:val="single" w:color="auto"/>
          <w:color w:val="auto"/>
        </w:rPr>
        <w:t>Discontinuing Registration</w:t>
      </w:r>
      <w:r>
        <w:rPr>
          <w:rFonts w:ascii="Arial" w:cs="Arial" w:eastAsia="Arial" w:hAnsi="Arial"/>
          <w:sz w:val="19"/>
          <w:szCs w:val="19"/>
          <w:color w:val="auto"/>
        </w:rPr>
        <w:t xml:space="preserve">. Each Holder agrees that, upon receipt of any notice from the Corporation of the happening of any event of the kind described in </w:t>
      </w:r>
      <w:r>
        <w:rPr>
          <w:rFonts w:ascii="Arial" w:cs="Arial" w:eastAsia="Arial" w:hAnsi="Arial"/>
          <w:sz w:val="19"/>
          <w:szCs w:val="19"/>
          <w:u w:val="single" w:color="auto"/>
          <w:color w:val="auto"/>
        </w:rPr>
        <w:t>Section 3.5(a)(iv)</w:t>
      </w:r>
      <w:r>
        <w:rPr>
          <w:rFonts w:ascii="Arial" w:cs="Arial" w:eastAsia="Arial" w:hAnsi="Arial"/>
          <w:sz w:val="19"/>
          <w:szCs w:val="19"/>
          <w:color w:val="auto"/>
        </w:rPr>
        <w:t xml:space="preserve">, such Holder will discontinue disposition of Registrable Securities pursuant to such Registration Statement until such Holder’s receipt of the copies of the supplemented or amended Prospectus contemplated by </w:t>
      </w:r>
      <w:r>
        <w:rPr>
          <w:rFonts w:ascii="Arial" w:cs="Arial" w:eastAsia="Arial" w:hAnsi="Arial"/>
          <w:sz w:val="19"/>
          <w:szCs w:val="19"/>
          <w:u w:val="single" w:color="auto"/>
          <w:color w:val="auto"/>
        </w:rPr>
        <w:t>Section 3.5(a)(iv)</w:t>
      </w:r>
      <w:r>
        <w:rPr>
          <w:rFonts w:ascii="Arial" w:cs="Arial" w:eastAsia="Arial" w:hAnsi="Arial"/>
          <w:sz w:val="19"/>
          <w:szCs w:val="19"/>
          <w:color w:val="auto"/>
        </w:rPr>
        <w:t xml:space="preserve">, or until such Holder is advised in writing by the Corporation that the use of the Prospectus may be resumed, and has received copies of any additional or supplemental filings that are incorporated by reference in the Prospectus, or any amendments or supplements thereto, and if so directed by the Corporation, such Holder shall deliver to the Corporation (at the Corporation’s expense) all copies, other than permanent file copies then in such Holder’s possession, of the Prospectus covering such Registrable Securities current at the time of receipt of such notice. In the event the Corporation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w:t>
      </w:r>
      <w:r>
        <w:rPr>
          <w:rFonts w:ascii="Arial" w:cs="Arial" w:eastAsia="Arial" w:hAnsi="Arial"/>
          <w:sz w:val="19"/>
          <w:szCs w:val="19"/>
          <w:u w:val="single" w:color="auto"/>
          <w:color w:val="auto"/>
        </w:rPr>
        <w:t>Section 3.5(a)(iv)</w:t>
      </w:r>
      <w:r>
        <w:rPr>
          <w:rFonts w:ascii="Arial" w:cs="Arial" w:eastAsia="Arial" w:hAnsi="Arial"/>
          <w:sz w:val="19"/>
          <w:szCs w:val="19"/>
          <w:color w:val="auto"/>
        </w:rPr>
        <w:t xml:space="preserve"> or is advised in writing by the Corporation that the use of the Prospectus may be resumed.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77" w:right="339" w:bottom="1440" w:gutter="0" w:footer="0" w:header="0"/>
          <w:type w:val="continuous"/>
        </w:sectPr>
      </w:pPr>
    </w:p>
    <w:bookmarkStart w:id="294" w:name="page295"/>
    <w:bookmarkEnd w:id="294"/>
    <w:p>
      <w:pPr>
        <w:ind w:left="860"/>
        <w:spacing w:after="0"/>
        <w:tabs>
          <w:tab w:leader="none" w:pos="1740" w:val="left"/>
        </w:tabs>
        <w:rPr>
          <w:sz w:val="20"/>
          <w:szCs w:val="20"/>
          <w:color w:val="auto"/>
        </w:rPr>
      </w:pPr>
      <w:r>
        <w:rPr>
          <w:rFonts w:ascii="Arial" w:cs="Arial" w:eastAsia="Arial" w:hAnsi="Arial"/>
          <w:sz w:val="22"/>
          <w:szCs w:val="22"/>
          <w:color w:val="010000"/>
        </w:rPr>
        <w:t>3.6</w:t>
      </w:r>
      <w:r>
        <w:rPr>
          <w:sz w:val="20"/>
          <w:szCs w:val="20"/>
          <w:color w:val="auto"/>
        </w:rPr>
        <w:tab/>
      </w:r>
      <w:r>
        <w:rPr>
          <w:rFonts w:ascii="Arial" w:cs="Arial" w:eastAsia="Arial" w:hAnsi="Arial"/>
          <w:sz w:val="19"/>
          <w:szCs w:val="19"/>
          <w:u w:val="single" w:color="auto"/>
          <w:color w:val="auto"/>
        </w:rPr>
        <w:t>Underwritten Offerings</w:t>
      </w:r>
      <w:r>
        <w:rPr>
          <w:rFonts w:ascii="Arial" w:cs="Arial" w:eastAsia="Arial" w:hAnsi="Arial"/>
          <w:sz w:val="19"/>
          <w:szCs w:val="19"/>
          <w:color w:val="auto"/>
        </w:rPr>
        <w:t>.</w:t>
      </w:r>
    </w:p>
    <w:p>
      <w:pPr>
        <w:spacing w:after="0" w:line="206" w:lineRule="exact"/>
        <w:rPr>
          <w:sz w:val="20"/>
          <w:szCs w:val="20"/>
          <w:color w:val="auto"/>
        </w:rPr>
      </w:pPr>
    </w:p>
    <w:p>
      <w:pPr>
        <w:ind w:left="-20" w:right="140" w:firstLine="1735"/>
        <w:spacing w:after="0" w:line="271" w:lineRule="auto"/>
        <w:tabs>
          <w:tab w:leader="none" w:pos="2595" w:val="left"/>
        </w:tabs>
        <w:numPr>
          <w:ilvl w:val="0"/>
          <w:numId w:val="218"/>
        </w:numPr>
        <w:rPr>
          <w:rFonts w:ascii="Arial" w:cs="Arial" w:eastAsia="Arial" w:hAnsi="Arial"/>
          <w:sz w:val="19"/>
          <w:szCs w:val="19"/>
          <w:color w:val="010000"/>
        </w:rPr>
      </w:pPr>
      <w:r>
        <w:rPr>
          <w:rFonts w:ascii="Arial" w:cs="Arial" w:eastAsia="Arial" w:hAnsi="Arial"/>
          <w:sz w:val="19"/>
          <w:szCs w:val="19"/>
          <w:u w:val="single" w:color="auto"/>
          <w:color w:val="auto"/>
        </w:rPr>
        <w:t>Shelf and Demand Registrations</w:t>
      </w:r>
      <w:r>
        <w:rPr>
          <w:rFonts w:ascii="Arial" w:cs="Arial" w:eastAsia="Arial" w:hAnsi="Arial"/>
          <w:sz w:val="19"/>
          <w:szCs w:val="19"/>
          <w:color w:val="auto"/>
        </w:rPr>
        <w:t xml:space="preserve">. If requested by the underwriters for any Underwritten Offering, pursuant to a Registration or sale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the Corporation shall enter into an underwriting agreement with such underwriters, such agreement to be reasonably satisfactory in substance and form to each of the Corporation, the participating Holders and the underwriters, and to contain such representations and warranties by the Corporation and such other terms as are generally prevailing in agreements of that type, including indemnities no less favorable to the recipient thereof than those provided in </w:t>
      </w:r>
      <w:r>
        <w:rPr>
          <w:rFonts w:ascii="Arial" w:cs="Arial" w:eastAsia="Arial" w:hAnsi="Arial"/>
          <w:sz w:val="19"/>
          <w:szCs w:val="19"/>
          <w:u w:val="single" w:color="auto"/>
          <w:color w:val="auto"/>
        </w:rPr>
        <w:t>Section 3.9</w:t>
      </w:r>
      <w:r>
        <w:rPr>
          <w:rFonts w:ascii="Arial" w:cs="Arial" w:eastAsia="Arial" w:hAnsi="Arial"/>
          <w:sz w:val="19"/>
          <w:szCs w:val="19"/>
          <w:color w:val="auto"/>
        </w:rPr>
        <w:t>. The Holders of the Registrable Securities proposed to be distributed by such underwriters shall cooperate with the Corporation in the negotiation of the underwriting agreement and shall give consideration to the reasonable suggestions of the Corporation regarding the form thereof, and such Holders shall complete and execute all questionnaires, powers of attorney and other documents reasonably requested by the underwriters and required under the terms of such underwriting arrangements. Any such Holder shall not be required to make any representations or warranties to or agreements with the Corporation or the underwriters other than representations, warranties or agreements regarding such Holder, such Holder’s title to the Registrable Securities, such Holder’s intended method of distribution and any other representations to be made by the Holder as are generally prevailing in agreements of that type, and the aggregate amount of the liability of such Holder under such agreement shall not exceed such Holder’s proceeds from the sale of its Registrable Securities in the offering, net of underwriting discounts and commissions but before expenses.</w:t>
      </w:r>
    </w:p>
    <w:p>
      <w:pPr>
        <w:spacing w:after="0" w:line="160" w:lineRule="exact"/>
        <w:rPr>
          <w:rFonts w:ascii="Arial" w:cs="Arial" w:eastAsia="Arial" w:hAnsi="Arial"/>
          <w:sz w:val="19"/>
          <w:szCs w:val="19"/>
          <w:color w:val="010000"/>
        </w:rPr>
      </w:pPr>
    </w:p>
    <w:p>
      <w:pPr>
        <w:ind w:left="-20" w:firstLine="1735"/>
        <w:spacing w:after="0" w:line="271" w:lineRule="auto"/>
        <w:tabs>
          <w:tab w:leader="none" w:pos="2607" w:val="left"/>
        </w:tabs>
        <w:numPr>
          <w:ilvl w:val="0"/>
          <w:numId w:val="218"/>
        </w:numPr>
        <w:rPr>
          <w:rFonts w:ascii="Arial" w:cs="Arial" w:eastAsia="Arial" w:hAnsi="Arial"/>
          <w:sz w:val="19"/>
          <w:szCs w:val="19"/>
          <w:color w:val="010000"/>
        </w:rPr>
      </w:pPr>
      <w:r>
        <w:rPr>
          <w:rFonts w:ascii="Arial" w:cs="Arial" w:eastAsia="Arial" w:hAnsi="Arial"/>
          <w:sz w:val="19"/>
          <w:szCs w:val="19"/>
          <w:u w:val="single" w:color="auto"/>
          <w:color w:val="auto"/>
        </w:rPr>
        <w:t>Piggyback Registrations</w:t>
      </w:r>
      <w:r>
        <w:rPr>
          <w:rFonts w:ascii="Arial" w:cs="Arial" w:eastAsia="Arial" w:hAnsi="Arial"/>
          <w:sz w:val="19"/>
          <w:szCs w:val="19"/>
          <w:color w:val="auto"/>
        </w:rPr>
        <w:t xml:space="preserve">. If the Corporation proposes to register or sell any of its securities under the Securities Act as contemplated by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such securities are to be distributed through one or more underwriters, the Corporation shall, if requested by any Holder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subject to the provisions of </w:t>
      </w:r>
      <w:r>
        <w:rPr>
          <w:rFonts w:ascii="Arial" w:cs="Arial" w:eastAsia="Arial" w:hAnsi="Arial"/>
          <w:sz w:val="19"/>
          <w:szCs w:val="19"/>
          <w:u w:val="single" w:color="auto"/>
          <w:color w:val="auto"/>
        </w:rPr>
        <w:t>Section 3.3(b)</w:t>
      </w:r>
      <w:r>
        <w:rPr>
          <w:rFonts w:ascii="Arial" w:cs="Arial" w:eastAsia="Arial" w:hAnsi="Arial"/>
          <w:sz w:val="19"/>
          <w:szCs w:val="19"/>
          <w:color w:val="auto"/>
        </w:rPr>
        <w:t>, use its commercially reasonable efforts to arrange for such underwriters to include on the same terms and conditions that apply to the other sellers in such Registration or sale all the Registrable Securities to be offered and sold by such Holder among the securities of the Corporation to be distributed by such underwriters in such Registration or sale. The Holders of Registrable Securities to be distributed by such underwriters shall be parties to the underwriting agreement between the Corporation and such underwriters and shall complete and execute all questionnaires, powers of attorney and other documents reasonably requested by the underwriters and required under the terms of such underwriting arrangements. Any such Holder shall not be required to make any representations or warranties to or agreements with the Corporation or the underwriters other than representations, warranties or agreements regarding such Holder, such Holder’s title to the Registrable Securities, such Holder’s intended method of distribution and any other representations to be made by the Holder as are generally prevailing in agreements of that type, and the aggregate amount of the liability of such Holder shall not exceed such Holder’s proceeds from the sale of its Registrable Securities in the offering, net of underwriting discounts and commissions but before expenses.</w:t>
      </w:r>
    </w:p>
    <w:p>
      <w:pPr>
        <w:spacing w:after="0" w:line="164" w:lineRule="exact"/>
        <w:rPr>
          <w:rFonts w:ascii="Arial" w:cs="Arial" w:eastAsia="Arial" w:hAnsi="Arial"/>
          <w:sz w:val="19"/>
          <w:szCs w:val="19"/>
          <w:color w:val="010000"/>
        </w:rPr>
      </w:pPr>
    </w:p>
    <w:p>
      <w:pPr>
        <w:ind w:left="-20" w:right="320" w:firstLine="1735"/>
        <w:spacing w:after="0"/>
        <w:tabs>
          <w:tab w:leader="none" w:pos="2595" w:val="left"/>
        </w:tabs>
        <w:numPr>
          <w:ilvl w:val="0"/>
          <w:numId w:val="218"/>
        </w:numPr>
        <w:rPr>
          <w:rFonts w:ascii="Arial" w:cs="Arial" w:eastAsia="Arial" w:hAnsi="Arial"/>
          <w:sz w:val="22"/>
          <w:szCs w:val="22"/>
          <w:color w:val="010000"/>
        </w:rPr>
      </w:pPr>
      <w:r>
        <w:rPr>
          <w:rFonts w:ascii="Arial" w:cs="Arial" w:eastAsia="Arial" w:hAnsi="Arial"/>
          <w:sz w:val="22"/>
          <w:szCs w:val="22"/>
          <w:u w:val="single" w:color="auto"/>
          <w:color w:val="auto"/>
        </w:rPr>
        <w:t>Selection of Underwriters; Selection of Counsel</w:t>
      </w:r>
      <w:r>
        <w:rPr>
          <w:rFonts w:ascii="Arial" w:cs="Arial" w:eastAsia="Arial" w:hAnsi="Arial"/>
          <w:sz w:val="22"/>
          <w:szCs w:val="22"/>
          <w:color w:val="auto"/>
        </w:rPr>
        <w:t xml:space="preserve">. In the case of an Underwritten Offering under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the managing underwriter or underwriters to administer the offering shall be determined by the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577" w:right="359" w:bottom="1440" w:gutter="0" w:footer="0" w:header="0"/>
        </w:sectPr>
      </w:pPr>
    </w:p>
    <w:bookmarkStart w:id="295" w:name="page296"/>
    <w:bookmarkEnd w:id="295"/>
    <w:p>
      <w:pPr>
        <w:ind w:right="300"/>
        <w:spacing w:after="0" w:line="250" w:lineRule="auto"/>
        <w:rPr>
          <w:sz w:val="20"/>
          <w:szCs w:val="20"/>
          <w:color w:val="auto"/>
        </w:rPr>
      </w:pPr>
      <w:r>
        <w:rPr>
          <w:rFonts w:ascii="Arial" w:cs="Arial" w:eastAsia="Arial" w:hAnsi="Arial"/>
          <w:sz w:val="22"/>
          <w:szCs w:val="22"/>
          <w:color w:val="auto"/>
        </w:rPr>
        <w:t>such underwriter or underwriters shall be reasonably acceptable to the Holders holding a majority of the Registrable Securities being sold.</w:t>
      </w:r>
    </w:p>
    <w:p>
      <w:pPr>
        <w:spacing w:after="0" w:line="175" w:lineRule="exact"/>
        <w:rPr>
          <w:sz w:val="20"/>
          <w:szCs w:val="20"/>
          <w:color w:val="auto"/>
        </w:rPr>
      </w:pPr>
    </w:p>
    <w:p>
      <w:pPr>
        <w:jc w:val="both"/>
        <w:ind w:right="280" w:firstLine="864"/>
        <w:spacing w:after="0"/>
        <w:rPr>
          <w:sz w:val="20"/>
          <w:szCs w:val="20"/>
          <w:color w:val="auto"/>
        </w:rPr>
      </w:pPr>
      <w:r>
        <w:rPr>
          <w:rFonts w:ascii="Arial" w:cs="Arial" w:eastAsia="Arial" w:hAnsi="Arial"/>
          <w:sz w:val="22"/>
          <w:szCs w:val="22"/>
          <w:color w:val="010000"/>
        </w:rPr>
        <w:t xml:space="preserve">3.7 </w:t>
      </w:r>
      <w:r>
        <w:rPr>
          <w:rFonts w:ascii="Arial" w:cs="Arial" w:eastAsia="Arial" w:hAnsi="Arial"/>
          <w:sz w:val="22"/>
          <w:szCs w:val="22"/>
          <w:u w:val="single" w:color="auto"/>
          <w:color w:val="000000"/>
        </w:rPr>
        <w:t>No Inconsistent Agreements</w:t>
      </w:r>
      <w:r>
        <w:rPr>
          <w:rFonts w:ascii="Arial" w:cs="Arial" w:eastAsia="Arial" w:hAnsi="Arial"/>
          <w:sz w:val="22"/>
          <w:szCs w:val="22"/>
          <w:color w:val="000000"/>
        </w:rPr>
        <w:t>. Neither the Corporation nor any of its subsidiaries shall hereafter enter into,</w:t>
      </w:r>
      <w:r>
        <w:rPr>
          <w:rFonts w:ascii="Arial" w:cs="Arial" w:eastAsia="Arial" w:hAnsi="Arial"/>
          <w:sz w:val="22"/>
          <w:szCs w:val="22"/>
          <w:color w:val="010000"/>
        </w:rPr>
        <w:t xml:space="preserve"> </w:t>
      </w:r>
      <w:r>
        <w:rPr>
          <w:rFonts w:ascii="Arial" w:cs="Arial" w:eastAsia="Arial" w:hAnsi="Arial"/>
          <w:sz w:val="22"/>
          <w:szCs w:val="22"/>
          <w:color w:val="000000"/>
        </w:rPr>
        <w:t>and neither the Corporation nor any of its subsidiaries is currently a party to, any agreement with respect to its securities that is inconsistent with the rights granted to the Holders by this Agreement.</w:t>
      </w:r>
    </w:p>
    <w:p>
      <w:pPr>
        <w:spacing w:after="0" w:line="186" w:lineRule="exact"/>
        <w:rPr>
          <w:sz w:val="20"/>
          <w:szCs w:val="20"/>
          <w:color w:val="auto"/>
        </w:rPr>
      </w:pPr>
    </w:p>
    <w:p>
      <w:pPr>
        <w:ind w:firstLine="864"/>
        <w:spacing w:after="0" w:line="269" w:lineRule="auto"/>
        <w:rPr>
          <w:sz w:val="20"/>
          <w:szCs w:val="20"/>
          <w:color w:val="auto"/>
        </w:rPr>
      </w:pPr>
      <w:r>
        <w:rPr>
          <w:rFonts w:ascii="Arial" w:cs="Arial" w:eastAsia="Arial" w:hAnsi="Arial"/>
          <w:sz w:val="19"/>
          <w:szCs w:val="19"/>
          <w:color w:val="010000"/>
        </w:rPr>
        <w:t xml:space="preserve">3.8 </w:t>
      </w:r>
      <w:r>
        <w:rPr>
          <w:rFonts w:ascii="Arial" w:cs="Arial" w:eastAsia="Arial" w:hAnsi="Arial"/>
          <w:sz w:val="19"/>
          <w:szCs w:val="19"/>
          <w:u w:val="single" w:color="auto"/>
          <w:color w:val="000000"/>
        </w:rPr>
        <w:t>Registration Expenses</w:t>
      </w:r>
      <w:r>
        <w:rPr>
          <w:rFonts w:ascii="Arial" w:cs="Arial" w:eastAsia="Arial" w:hAnsi="Arial"/>
          <w:sz w:val="19"/>
          <w:szCs w:val="19"/>
          <w:color w:val="000000"/>
        </w:rPr>
        <w:t>. All expenses incident to the Corporation’s performance of or compliance with this</w:t>
      </w:r>
      <w:r>
        <w:rPr>
          <w:rFonts w:ascii="Arial" w:cs="Arial" w:eastAsia="Arial" w:hAnsi="Arial"/>
          <w:sz w:val="19"/>
          <w:szCs w:val="19"/>
          <w:color w:val="010000"/>
        </w:rPr>
        <w:t xml:space="preserve"> </w:t>
      </w:r>
      <w:r>
        <w:rPr>
          <w:rFonts w:ascii="Arial" w:cs="Arial" w:eastAsia="Arial" w:hAnsi="Arial"/>
          <w:sz w:val="19"/>
          <w:szCs w:val="19"/>
          <w:color w:val="000000"/>
        </w:rPr>
        <w:t>Agreement shall be paid by the Corporation, including (i) all registration and filing fees, and any other fees and expenses associated with filings required to be made with the SEC or FINRA, subject to customary limitations for legal fees in connection with an Underwritten Offering, (ii) all fees and expenses in connection with compliance with any securities or “</w:t>
      </w:r>
      <w:r>
        <w:rPr>
          <w:rFonts w:ascii="Arial" w:cs="Arial" w:eastAsia="Arial" w:hAnsi="Arial"/>
          <w:sz w:val="19"/>
          <w:szCs w:val="19"/>
          <w:b w:val="1"/>
          <w:bCs w:val="1"/>
          <w:color w:val="000000"/>
        </w:rPr>
        <w:t>Blue Sky</w:t>
      </w:r>
      <w:r>
        <w:rPr>
          <w:rFonts w:ascii="Arial" w:cs="Arial" w:eastAsia="Arial" w:hAnsi="Arial"/>
          <w:sz w:val="19"/>
          <w:szCs w:val="19"/>
          <w:color w:val="000000"/>
        </w:rPr>
        <w:t>” laws (including reasonable fees and disbursements of counsel for the underwriters in connection with blue sky qualifications of the Registrable Securities), subject to customary limitations for legal fees in connection with an Underwritten Offering,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Corporation and of all independent certified public accountants or independent auditors of the Corporation and any subsidiaries of the Corporation (including the expenses of any special audit and comfort letters required by or incident to such performance), (v) the reasonable fees and disbursements of one counsel for the Holders participating in a Registration, which counsel may be, at the Corporation’s option (x) the same as counsel to the Corporation provided that the Holders of a majority of Registrable Securities participating in the Registration are not able to demonstrate that there is a legal conflict arising from such representation or (y) other counsel selected by the Corporation and approved by the Holders of a majority of Registrable Securities participating in the Registration, (vi) all fees and expenses incurred in connection with the listing of the Registrable Securities on any securities exchange or quotation of the Registrable Securities on any inter-dealer quotation system, (vii) all fees and expenses of any special experts or other Persons retained by the Corporation in connection with any Registration or sale, (viii) all of the Corporation’s internal expenses (including all salaries and expenses of its officers and employees performing legal or accounting duties) and (ix) all expenses related to the “road show” for any Underwritten Offering, subject to customary limitations in connection with an Underwritten Offering. All such expenses are referred to herein as “</w:t>
      </w:r>
      <w:r>
        <w:rPr>
          <w:rFonts w:ascii="Arial" w:cs="Arial" w:eastAsia="Arial" w:hAnsi="Arial"/>
          <w:sz w:val="19"/>
          <w:szCs w:val="19"/>
          <w:u w:val="single" w:color="auto"/>
          <w:color w:val="000000"/>
        </w:rPr>
        <w:t>Registration Expenses</w:t>
      </w:r>
      <w:r>
        <w:rPr>
          <w:rFonts w:ascii="Arial" w:cs="Arial" w:eastAsia="Arial" w:hAnsi="Arial"/>
          <w:sz w:val="19"/>
          <w:szCs w:val="19"/>
          <w:color w:val="000000"/>
        </w:rPr>
        <w:t>.” The Corporation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spacing w:after="0" w:line="200" w:lineRule="exact"/>
        <w:rPr>
          <w:sz w:val="20"/>
          <w:szCs w:val="20"/>
          <w:color w:val="auto"/>
        </w:rPr>
      </w:pPr>
    </w:p>
    <w:p>
      <w:pPr>
        <w:spacing w:after="0" w:line="21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3.9</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ind w:right="140" w:firstLine="1735"/>
        <w:spacing w:after="0" w:line="287" w:lineRule="auto"/>
        <w:tabs>
          <w:tab w:leader="none" w:pos="2615" w:val="left"/>
        </w:tabs>
        <w:numPr>
          <w:ilvl w:val="0"/>
          <w:numId w:val="219"/>
        </w:numPr>
        <w:rPr>
          <w:rFonts w:ascii="Arial" w:cs="Arial" w:eastAsia="Arial" w:hAnsi="Arial"/>
          <w:sz w:val="19"/>
          <w:szCs w:val="19"/>
          <w:color w:val="010000"/>
        </w:rPr>
      </w:pPr>
      <w:r>
        <w:rPr>
          <w:rFonts w:ascii="Arial" w:cs="Arial" w:eastAsia="Arial" w:hAnsi="Arial"/>
          <w:sz w:val="19"/>
          <w:szCs w:val="19"/>
          <w:u w:val="single" w:color="auto"/>
          <w:color w:val="auto"/>
        </w:rPr>
        <w:t>Indemnification by the Corporation</w:t>
      </w:r>
      <w:r>
        <w:rPr>
          <w:rFonts w:ascii="Arial" w:cs="Arial" w:eastAsia="Arial" w:hAnsi="Arial"/>
          <w:sz w:val="19"/>
          <w:szCs w:val="19"/>
          <w:color w:val="auto"/>
        </w:rPr>
        <w:t>. The Corporation shall indemnify and hold harmless, to the full extent permitted by law, each Holder, each shareholder, member, limited or general partner of such Holder, each of their respective Affiliates, officers, directors, shareholders, employees, advisors, and agents and each Person who controls (within the meaning of the Securities Act or the Exchange Act) such Persons, from and against any and all losses,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96" w:name="page297"/>
    <w:bookmarkEnd w:id="296"/>
    <w:p>
      <w:pPr>
        <w:spacing w:after="0" w:line="268" w:lineRule="auto"/>
        <w:rPr>
          <w:sz w:val="20"/>
          <w:szCs w:val="20"/>
          <w:color w:val="auto"/>
        </w:rPr>
      </w:pPr>
      <w:r>
        <w:rPr>
          <w:rFonts w:ascii="Arial" w:cs="Arial" w:eastAsia="Arial" w:hAnsi="Arial"/>
          <w:sz w:val="19"/>
          <w:szCs w:val="19"/>
          <w:color w:val="auto"/>
        </w:rPr>
        <w:t>penalties, judgments, suits, costs, claims, damages, liabilities and expenses, joint or several (including reasonable costs of investigation and legal expenses) (each, a “</w:t>
      </w:r>
      <w:r>
        <w:rPr>
          <w:rFonts w:ascii="Arial" w:cs="Arial" w:eastAsia="Arial" w:hAnsi="Arial"/>
          <w:sz w:val="19"/>
          <w:szCs w:val="19"/>
          <w:u w:val="single" w:color="auto"/>
          <w:color w:val="auto"/>
        </w:rPr>
        <w:t>Loss</w:t>
      </w:r>
      <w:r>
        <w:rPr>
          <w:rFonts w:ascii="Arial" w:cs="Arial" w:eastAsia="Arial" w:hAnsi="Arial"/>
          <w:sz w:val="19"/>
          <w:szCs w:val="19"/>
          <w:color w:val="auto"/>
        </w:rPr>
        <w:t>” and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arising out of or based upon (i) any untrue or alleged untrue statement of a material fact contained in any Registration Statement under which such Registrable Securities are registered or sold under the Securities Act (including any final, preliminary or summary Prospectus contained therein or any amendment thereof or supplement thereto or any documents incorporated by reference therein), or (ii)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selling Holder shall be entitled to indemnification pursuant to this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in respect of any untrue statement or omission contained in any information relating to such selling Holder furnished in writing by such selling Holder to the Corporation specifically for inclusion in a Registration Statement and used by the Corporation in conformity therewith (such information, “</w:t>
      </w:r>
      <w:r>
        <w:rPr>
          <w:rFonts w:ascii="Arial" w:cs="Arial" w:eastAsia="Arial" w:hAnsi="Arial"/>
          <w:sz w:val="19"/>
          <w:szCs w:val="19"/>
          <w:u w:val="single" w:color="auto"/>
          <w:color w:val="auto"/>
        </w:rPr>
        <w:t>Selling Stockholder Information</w:t>
      </w:r>
      <w:r>
        <w:rPr>
          <w:rFonts w:ascii="Arial" w:cs="Arial" w:eastAsia="Arial" w:hAnsi="Arial"/>
          <w:sz w:val="19"/>
          <w:szCs w:val="19"/>
          <w:color w:val="auto"/>
        </w:rPr>
        <w:t>”). This indemnity shall be in addition to any liability the Corporation may otherwise</w:t>
      </w:r>
    </w:p>
    <w:p>
      <w:pPr>
        <w:spacing w:after="0" w:line="7"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have. Such indemnity shall remain in full force and effect regardless of any investigation made by or on behalf of such Holder or any indemnified party and shall survive the Transfer of such securities by such Holder and regardless of any indemnity agreed to in the underwriting agreement that is less favorable to the Holders. The Corporation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appropriate modification) with respect to the indemnification of the indemnified parties.</w:t>
      </w:r>
    </w:p>
    <w:p>
      <w:pPr>
        <w:spacing w:after="0" w:line="154" w:lineRule="exact"/>
        <w:rPr>
          <w:sz w:val="20"/>
          <w:szCs w:val="20"/>
          <w:color w:val="auto"/>
        </w:rPr>
      </w:pPr>
    </w:p>
    <w:p>
      <w:pPr>
        <w:ind w:firstLine="1735"/>
        <w:spacing w:after="0" w:line="244" w:lineRule="auto"/>
        <w:tabs>
          <w:tab w:leader="none" w:pos="2627" w:val="left"/>
        </w:tabs>
        <w:numPr>
          <w:ilvl w:val="1"/>
          <w:numId w:val="220"/>
        </w:numPr>
        <w:rPr>
          <w:rFonts w:ascii="Arial" w:cs="Arial" w:eastAsia="Arial" w:hAnsi="Arial"/>
          <w:sz w:val="21"/>
          <w:szCs w:val="21"/>
          <w:color w:val="010000"/>
        </w:rPr>
      </w:pPr>
      <w:r>
        <w:rPr>
          <w:rFonts w:ascii="Arial" w:cs="Arial" w:eastAsia="Arial" w:hAnsi="Arial"/>
          <w:sz w:val="21"/>
          <w:szCs w:val="21"/>
          <w:u w:val="single" w:color="auto"/>
          <w:color w:val="auto"/>
        </w:rPr>
        <w:t>Indemnification by the Selling Holders</w:t>
      </w:r>
      <w:r>
        <w:rPr>
          <w:rFonts w:ascii="Arial" w:cs="Arial" w:eastAsia="Arial" w:hAnsi="Arial"/>
          <w:sz w:val="21"/>
          <w:szCs w:val="21"/>
          <w:color w:val="auto"/>
        </w:rPr>
        <w:t xml:space="preserve">. Each selling Holder agrees (severally and not jointly) to indemnify and hold harmless, to the fullest extent permitted by law, the Corporation, its directors and officers and each Person who controls the Corporation (within the meaning of the Securities Act or the Exchange Act) from and against any Losses resulting from (i) any untrue statement of a material fact in any Registration Statement under which such Registrable Securities were registered or sold under the Securities Act (including any final, preliminary or summary Prospectus contained therein or any amendment thereof or supplement thereto or any documents incorporated by reference therein) or (ii) any omission to state therein a material fact required to be stated therein or necessary to make the statements therein (in the case of a Prospectus or preliminary Prospectus, in light of the circumstances under which they were made) not misleading, in each case to the extent, but only to the extent, that such untrue statement or omission is contained in such selling Holder’s Selling Stockholder Information. In no event shall the liability of any selling Holder hereunder be greater in amount than the dollar amount of the proceeds from the sale of its Registrable Securities in the offering giving rise to such indemnification obligation, net of underwriting discounts and commissions but before expenses, less any amounts paid by such Holder pursuant to </w:t>
      </w:r>
      <w:r>
        <w:rPr>
          <w:rFonts w:ascii="Arial" w:cs="Arial" w:eastAsia="Arial" w:hAnsi="Arial"/>
          <w:sz w:val="21"/>
          <w:szCs w:val="21"/>
          <w:u w:val="single" w:color="auto"/>
          <w:color w:val="auto"/>
        </w:rPr>
        <w:t>Section 3.9(d)</w:t>
      </w:r>
      <w:r>
        <w:rPr>
          <w:rFonts w:ascii="Arial" w:cs="Arial" w:eastAsia="Arial" w:hAnsi="Arial"/>
          <w:sz w:val="21"/>
          <w:szCs w:val="21"/>
          <w:color w:val="auto"/>
        </w:rPr>
        <w:t xml:space="preserve"> and any amounts paid by such Holder as a result of liabilities incurred under the underwriting agreement, if any, related to such sale.</w:t>
      </w:r>
    </w:p>
    <w:p>
      <w:pPr>
        <w:spacing w:after="0" w:line="180" w:lineRule="exact"/>
        <w:rPr>
          <w:rFonts w:ascii="Arial" w:cs="Arial" w:eastAsia="Arial" w:hAnsi="Arial"/>
          <w:sz w:val="21"/>
          <w:szCs w:val="21"/>
          <w:color w:val="010000"/>
        </w:rPr>
      </w:pPr>
    </w:p>
    <w:p>
      <w:pPr>
        <w:ind w:left="2620" w:hanging="885"/>
        <w:spacing w:after="0"/>
        <w:tabs>
          <w:tab w:leader="none" w:pos="2620" w:val="left"/>
        </w:tabs>
        <w:numPr>
          <w:ilvl w:val="1"/>
          <w:numId w:val="220"/>
        </w:numPr>
        <w:rPr>
          <w:rFonts w:ascii="Arial" w:cs="Arial" w:eastAsia="Arial" w:hAnsi="Arial"/>
          <w:sz w:val="19"/>
          <w:szCs w:val="19"/>
          <w:color w:val="010000"/>
        </w:rPr>
      </w:pPr>
      <w:r>
        <w:rPr>
          <w:rFonts w:ascii="Arial" w:cs="Arial" w:eastAsia="Arial" w:hAnsi="Arial"/>
          <w:sz w:val="19"/>
          <w:szCs w:val="19"/>
          <w:u w:val="single" w:color="auto"/>
          <w:color w:val="auto"/>
        </w:rPr>
        <w:t>Conduct of Indemnification Proceedings</w:t>
      </w:r>
      <w:r>
        <w:rPr>
          <w:rFonts w:ascii="Arial" w:cs="Arial" w:eastAsia="Arial" w:hAnsi="Arial"/>
          <w:sz w:val="19"/>
          <w:szCs w:val="19"/>
          <w:color w:val="auto"/>
        </w:rPr>
        <w:t>. Any Person entitled to indemnification hereunder shall</w:t>
      </w:r>
    </w:p>
    <w:p>
      <w:pPr>
        <w:spacing w:after="0" w:line="42" w:lineRule="exact"/>
        <w:rPr>
          <w:rFonts w:ascii="Arial" w:cs="Arial" w:eastAsia="Arial" w:hAnsi="Arial"/>
          <w:sz w:val="19"/>
          <w:szCs w:val="19"/>
          <w:color w:val="010000"/>
        </w:rPr>
      </w:pPr>
    </w:p>
    <w:p>
      <w:pPr>
        <w:ind w:right="340" w:firstLine="8"/>
        <w:spacing w:after="0" w:line="308" w:lineRule="auto"/>
        <w:tabs>
          <w:tab w:leader="none" w:pos="25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give prompt written notice to the indemnifying party of any claim with respect to which it seeks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delay or failure to so notify the indemnifying party shall relieve the indemnifying party of its obligations hereunder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97" w:name="page298"/>
    <w:bookmarkEnd w:id="297"/>
    <w:p>
      <w:pPr>
        <w:ind w:right="120"/>
        <w:spacing w:after="0" w:line="271" w:lineRule="auto"/>
        <w:rPr>
          <w:sz w:val="20"/>
          <w:szCs w:val="20"/>
          <w:color w:val="auto"/>
        </w:rPr>
      </w:pPr>
      <w:r>
        <w:rPr>
          <w:rFonts w:ascii="Arial" w:cs="Arial" w:eastAsia="Arial" w:hAnsi="Arial"/>
          <w:sz w:val="19"/>
          <w:szCs w:val="19"/>
          <w:color w:val="auto"/>
        </w:rPr>
        <w:t xml:space="preserve">only to the extent, if at all, that it is actually and materially prejudiced by reason of such delay or failure) and (ii) permit such indemnifying party to assume the defense of such claim with counsel reasonably satisfactory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Person entitled to indemnification hereunder shall have the right to select and employ separate counsel and to participate in the defense of such claim, but the fees and expenses of such counsel shall be at the expense of such Person unless</w:t>
      </w:r>
    </w:p>
    <w:p>
      <w:pPr>
        <w:spacing w:after="0" w:line="3" w:lineRule="exact"/>
        <w:rPr>
          <w:sz w:val="20"/>
          <w:szCs w:val="20"/>
          <w:color w:val="auto"/>
        </w:rPr>
      </w:pPr>
    </w:p>
    <w:p>
      <w:pPr>
        <w:ind w:firstLine="8"/>
        <w:spacing w:after="0" w:line="269" w:lineRule="auto"/>
        <w:tabs>
          <w:tab w:leader="none" w:pos="25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the indemnifying party has agreed in writing to pay such fees or expenses, (ii) the indemnifying party shall have failed to assume the defense of such claim within a reasonable time after receipt of notice of such claim from the Person entitled to indemnification hereunder and employ counsel reasonably satisfactory to such Person within a reasonable time, (iii) if such counsel is acting as counsel to both the indemnified party and the indemnifying party, the indemnified party has reasonably concluded (based upon advice of its counsel) that there may be legal defenses available to it or other indemnified parties that are different from or in addition to those available to the indemnifying party, or (iv)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then no indemnifying party shall, without the written consent of the indemnified party, effect the settlement or compromise of, or consent to, on behalf of the indemnified party, the entry of any judgment with respect to, any pending or threatened action or claim in respect of which an indemnified party is or could have been a party thereto and indemnification or contribution may be sought hereunder, unless such settlement, compromise or consent (i) includes an unconditional release of the indemnified party from all liability arising out of such action or claim and (ii) does not include a statement as to or an admission of fault, culpability or a failure to act, by or on behalf of any indemnified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w:t>
      </w:r>
      <w:r>
        <w:rPr>
          <w:rFonts w:ascii="Arial" w:cs="Arial" w:eastAsia="Arial" w:hAnsi="Arial"/>
          <w:sz w:val="19"/>
          <w:szCs w:val="19"/>
          <w:u w:val="single" w:color="auto"/>
          <w:color w:val="auto"/>
        </w:rPr>
        <w:t>Section 3.9(c)</w:t>
      </w:r>
      <w:r>
        <w:rPr>
          <w:rFonts w:ascii="Arial" w:cs="Arial" w:eastAsia="Arial" w:hAnsi="Arial"/>
          <w:sz w:val="19"/>
          <w:szCs w:val="19"/>
          <w:color w:val="auto"/>
        </w:rPr>
        <w:t>, in connection with any proceeding or related proceedings in the same jurisdiction, be liable for the reasonable fees, disbursements or other charges of more than one separate firm unless the employment of more than one counsel has been authorized in writing by the indemnifying party or parties.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1735"/>
        <w:spacing w:after="0" w:line="273" w:lineRule="auto"/>
        <w:tabs>
          <w:tab w:leader="none" w:pos="2627" w:val="left"/>
        </w:tabs>
        <w:numPr>
          <w:ilvl w:val="1"/>
          <w:numId w:val="222"/>
        </w:numPr>
        <w:rPr>
          <w:rFonts w:ascii="Arial" w:cs="Arial" w:eastAsia="Arial" w:hAnsi="Arial"/>
          <w:sz w:val="19"/>
          <w:szCs w:val="19"/>
          <w:color w:val="010000"/>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for any reason the indemnification provided for in </w:t>
      </w:r>
      <w:r>
        <w:rPr>
          <w:rFonts w:ascii="Arial" w:cs="Arial" w:eastAsia="Arial" w:hAnsi="Arial"/>
          <w:sz w:val="19"/>
          <w:szCs w:val="19"/>
          <w:u w:val="single" w:color="auto"/>
          <w:color w:val="auto"/>
        </w:rPr>
        <w:t>Sections 3.9(a)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is unavailable to an indemnified party or insufficient in respect of any Losses referred to therein (other than as a result of exceptions or limitations on indemnification contained in </w:t>
      </w:r>
      <w:r>
        <w:rPr>
          <w:rFonts w:ascii="Arial" w:cs="Arial" w:eastAsia="Arial" w:hAnsi="Arial"/>
          <w:sz w:val="19"/>
          <w:szCs w:val="19"/>
          <w:u w:val="single" w:color="auto"/>
          <w:color w:val="auto"/>
        </w:rPr>
        <w:t>Sections 3.9(a)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Corporation,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98" w:name="page299"/>
    <w:bookmarkEnd w:id="298"/>
    <w:p>
      <w:pPr>
        <w:ind w:right="20"/>
        <w:spacing w:after="0" w:line="271" w:lineRule="auto"/>
        <w:rPr>
          <w:sz w:val="20"/>
          <w:szCs w:val="20"/>
          <w:color w:val="auto"/>
        </w:rPr>
      </w:pPr>
      <w:r>
        <w:rPr>
          <w:rFonts w:ascii="Arial" w:cs="Arial" w:eastAsia="Arial" w:hAnsi="Arial"/>
          <w:sz w:val="19"/>
          <w:szCs w:val="19"/>
          <w:color w:val="auto"/>
        </w:rPr>
        <w:t xml:space="preserve">relative intent, knowledge, access to information and opportunity to correct or prevent such statement or omission. The parties hereto agree that it would not be just or equitable if contribution pursuant to this </w:t>
      </w:r>
      <w:r>
        <w:rPr>
          <w:rFonts w:ascii="Arial" w:cs="Arial" w:eastAsia="Arial" w:hAnsi="Arial"/>
          <w:sz w:val="19"/>
          <w:szCs w:val="19"/>
          <w:u w:val="single" w:color="auto"/>
          <w:color w:val="auto"/>
        </w:rPr>
        <w:t>Section 3.9(d)</w:t>
      </w:r>
      <w:r>
        <w:rPr>
          <w:rFonts w:ascii="Arial" w:cs="Arial" w:eastAsia="Arial" w:hAnsi="Arial"/>
          <w:sz w:val="19"/>
          <w:szCs w:val="19"/>
          <w:color w:val="auto"/>
        </w:rPr>
        <w:t xml:space="preserve"> were determined by pro rata allocation or by any other method of allocation that does not take account of the equitable considerations referred to in this </w:t>
      </w:r>
      <w:r>
        <w:rPr>
          <w:rFonts w:ascii="Arial" w:cs="Arial" w:eastAsia="Arial" w:hAnsi="Arial"/>
          <w:sz w:val="19"/>
          <w:szCs w:val="19"/>
          <w:u w:val="single" w:color="auto"/>
          <w:color w:val="auto"/>
        </w:rPr>
        <w:t>Section 3.9(d)</w:t>
      </w:r>
      <w:r>
        <w:rPr>
          <w:rFonts w:ascii="Arial" w:cs="Arial" w:eastAsia="Arial" w:hAnsi="Arial"/>
          <w:sz w:val="19"/>
          <w:szCs w:val="19"/>
          <w:color w:val="auto"/>
        </w:rPr>
        <w:t xml:space="preserve">.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w:t>
      </w:r>
      <w:r>
        <w:rPr>
          <w:rFonts w:ascii="Arial" w:cs="Arial" w:eastAsia="Arial" w:hAnsi="Arial"/>
          <w:sz w:val="19"/>
          <w:szCs w:val="19"/>
          <w:u w:val="single" w:color="auto"/>
          <w:color w:val="auto"/>
        </w:rPr>
        <w:t>Sections 3.9(a)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9"/>
          <w:szCs w:val="19"/>
          <w:u w:val="single" w:color="auto"/>
          <w:color w:val="auto"/>
        </w:rPr>
        <w:t>Section 3.9(d)</w:t>
      </w:r>
      <w:r>
        <w:rPr>
          <w:rFonts w:ascii="Arial" w:cs="Arial" w:eastAsia="Arial" w:hAnsi="Arial"/>
          <w:sz w:val="19"/>
          <w:szCs w:val="19"/>
          <w:color w:val="auto"/>
        </w:rPr>
        <w:t xml:space="preserve">, in connection with any Registration Statement filed by the Corporation, a selling Holder shall not be required to contribute any amount in excess of the dollar amount of the proceeds from the sale of its Registrable Securities in the offering giving rise to such contribution obligation, net of underwriting discounts and commissions but before expenses, less any amounts paid by such Holder pursuant to </w:t>
      </w:r>
      <w:r>
        <w:rPr>
          <w:rFonts w:ascii="Arial" w:cs="Arial" w:eastAsia="Arial" w:hAnsi="Arial"/>
          <w:sz w:val="19"/>
          <w:szCs w:val="19"/>
          <w:u w:val="single" w:color="auto"/>
          <w:color w:val="auto"/>
        </w:rPr>
        <w:t>Section 3.9(b)</w:t>
      </w:r>
      <w:r>
        <w:rPr>
          <w:rFonts w:ascii="Arial" w:cs="Arial" w:eastAsia="Arial" w:hAnsi="Arial"/>
          <w:sz w:val="19"/>
          <w:szCs w:val="19"/>
          <w:color w:val="auto"/>
        </w:rPr>
        <w:t xml:space="preserve"> and any amounts paid by such Holder as a result of liabilities incurred under the underwriting agreement, if any, related to such sale. If indemnification is available under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the indemnifying parties shall indemnify each indemnified party to the full extent provided in </w:t>
      </w:r>
      <w:r>
        <w:rPr>
          <w:rFonts w:ascii="Arial" w:cs="Arial" w:eastAsia="Arial" w:hAnsi="Arial"/>
          <w:sz w:val="19"/>
          <w:szCs w:val="19"/>
          <w:u w:val="single" w:color="auto"/>
          <w:color w:val="auto"/>
        </w:rPr>
        <w:t>Sections 3.9(a)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hereof without regard to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3.9(d)</w:t>
      </w:r>
      <w:r>
        <w:rPr>
          <w:rFonts w:ascii="Arial" w:cs="Arial" w:eastAsia="Arial" w:hAnsi="Arial"/>
          <w:sz w:val="19"/>
          <w:szCs w:val="19"/>
          <w:color w:val="auto"/>
        </w:rPr>
        <w:t xml:space="preserve">. The remedies provided for in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3" w:lineRule="exact"/>
        <w:rPr>
          <w:sz w:val="20"/>
          <w:szCs w:val="20"/>
          <w:color w:val="auto"/>
        </w:rPr>
      </w:pPr>
    </w:p>
    <w:p>
      <w:pPr>
        <w:ind w:right="80" w:firstLine="864"/>
        <w:spacing w:after="0" w:line="269" w:lineRule="auto"/>
        <w:rPr>
          <w:sz w:val="20"/>
          <w:szCs w:val="20"/>
          <w:color w:val="auto"/>
        </w:rPr>
      </w:pPr>
      <w:r>
        <w:rPr>
          <w:rFonts w:ascii="Arial" w:cs="Arial" w:eastAsia="Arial" w:hAnsi="Arial"/>
          <w:sz w:val="19"/>
          <w:szCs w:val="19"/>
          <w:color w:val="010000"/>
        </w:rPr>
        <w:t xml:space="preserve">3.10 </w:t>
      </w:r>
      <w:r>
        <w:rPr>
          <w:rFonts w:ascii="Arial" w:cs="Arial" w:eastAsia="Arial" w:hAnsi="Arial"/>
          <w:sz w:val="19"/>
          <w:szCs w:val="19"/>
          <w:u w:val="single" w:color="auto"/>
          <w:color w:val="000000"/>
        </w:rPr>
        <w:t>Rules 144 and 144A and Regulation S</w:t>
      </w:r>
      <w:r>
        <w:rPr>
          <w:rFonts w:ascii="Arial" w:cs="Arial" w:eastAsia="Arial" w:hAnsi="Arial"/>
          <w:sz w:val="19"/>
          <w:szCs w:val="19"/>
          <w:color w:val="000000"/>
        </w:rPr>
        <w:t>. The Corporation shall file the reports required to be filed by it</w:t>
      </w:r>
      <w:r>
        <w:rPr>
          <w:rFonts w:ascii="Arial" w:cs="Arial" w:eastAsia="Arial" w:hAnsi="Arial"/>
          <w:sz w:val="19"/>
          <w:szCs w:val="19"/>
          <w:color w:val="010000"/>
        </w:rPr>
        <w:t xml:space="preserve"> </w:t>
      </w:r>
      <w:r>
        <w:rPr>
          <w:rFonts w:ascii="Arial" w:cs="Arial" w:eastAsia="Arial" w:hAnsi="Arial"/>
          <w:sz w:val="19"/>
          <w:szCs w:val="19"/>
          <w:color w:val="000000"/>
        </w:rPr>
        <w:t>under the Securities Act and the Exchange Act and the rules and regulations adopted by the SEC thereunder (or, if the Corporation is not required to file such reports, it will, upon the request of any Holder, make publicly available such necessary information for so long as necessary to permit sales that would otherwise be permitted by this Agreement pursuant to Rule 144, Rule 144A or Regulation S under the Securities Act, as such rules may be amended from time to time or any similar rule or regulation hereafter adopted by the SEC), and it will take such further action as any Holder may reasonably request, all to the extent required from time to time to enable such Holder to sell Registrable Securities without Registration under the Securities Act in transactions that would otherwise be permitted by this Agreement and within the limitation of the exemptions provided by</w:t>
      </w:r>
    </w:p>
    <w:p>
      <w:pPr>
        <w:spacing w:after="0" w:line="3" w:lineRule="exact"/>
        <w:rPr>
          <w:sz w:val="20"/>
          <w:szCs w:val="20"/>
          <w:color w:val="auto"/>
        </w:rPr>
      </w:pPr>
    </w:p>
    <w:p>
      <w:pPr>
        <w:ind w:right="320" w:firstLine="8"/>
        <w:spacing w:after="0" w:line="287" w:lineRule="auto"/>
        <w:tabs>
          <w:tab w:leader="none" w:pos="25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Rule 144, Rule 144A or Regulation S under the Securities Act, as such rules may be amended from time to time, or (ii) any similar rule or regulation hereafter adopted by the SEC. Upon the request of any Holder, the Corporation will deliver to such Holder a written statement as to whether it has complied with such requirements and, if not, the specifics thereof.</w:t>
      </w:r>
    </w:p>
    <w:p>
      <w:pPr>
        <w:spacing w:after="0" w:line="143" w:lineRule="exact"/>
        <w:rPr>
          <w:sz w:val="20"/>
          <w:szCs w:val="20"/>
          <w:color w:val="auto"/>
        </w:rPr>
      </w:pPr>
    </w:p>
    <w:p>
      <w:pPr>
        <w:ind w:firstLine="864"/>
        <w:spacing w:after="0" w:line="277" w:lineRule="auto"/>
        <w:rPr>
          <w:sz w:val="20"/>
          <w:szCs w:val="20"/>
          <w:color w:val="auto"/>
        </w:rPr>
      </w:pPr>
      <w:r>
        <w:rPr>
          <w:rFonts w:ascii="Arial" w:cs="Arial" w:eastAsia="Arial" w:hAnsi="Arial"/>
          <w:sz w:val="19"/>
          <w:szCs w:val="19"/>
          <w:color w:val="010000"/>
        </w:rPr>
        <w:t xml:space="preserve">3.11 </w:t>
      </w:r>
      <w:r>
        <w:rPr>
          <w:rFonts w:ascii="Arial" w:cs="Arial" w:eastAsia="Arial" w:hAnsi="Arial"/>
          <w:sz w:val="19"/>
          <w:szCs w:val="19"/>
          <w:u w:val="single" w:color="auto"/>
          <w:color w:val="000000"/>
        </w:rPr>
        <w:t>Existing Registration Statements</w:t>
      </w:r>
      <w:r>
        <w:rPr>
          <w:rFonts w:ascii="Arial" w:cs="Arial" w:eastAsia="Arial" w:hAnsi="Arial"/>
          <w:sz w:val="19"/>
          <w:szCs w:val="19"/>
          <w:color w:val="000000"/>
        </w:rPr>
        <w:t>. Notwithstanding anything herein to the contrary and subject to applicable</w:t>
      </w:r>
      <w:r>
        <w:rPr>
          <w:rFonts w:ascii="Arial" w:cs="Arial" w:eastAsia="Arial" w:hAnsi="Arial"/>
          <w:sz w:val="19"/>
          <w:szCs w:val="19"/>
          <w:color w:val="010000"/>
        </w:rPr>
        <w:t xml:space="preserve"> </w:t>
      </w:r>
      <w:r>
        <w:rPr>
          <w:rFonts w:ascii="Arial" w:cs="Arial" w:eastAsia="Arial" w:hAnsi="Arial"/>
          <w:sz w:val="19"/>
          <w:szCs w:val="19"/>
          <w:color w:val="000000"/>
        </w:rPr>
        <w:t xml:space="preserve">law and regulation, the Corporation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such previously filed Registration Statement may be, and is, amended or, subject to applicable securities laws, supplemented to add the number of Registrable Securities, and, to the extent necessary, to identify as selling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99" w:name="page300"/>
    <w:bookmarkEnd w:id="299"/>
    <w:p>
      <w:pPr>
        <w:ind w:right="40"/>
        <w:spacing w:after="0" w:line="279" w:lineRule="auto"/>
        <w:rPr>
          <w:sz w:val="20"/>
          <w:szCs w:val="20"/>
          <w:color w:val="auto"/>
        </w:rPr>
      </w:pPr>
      <w:r>
        <w:rPr>
          <w:rFonts w:ascii="Arial" w:cs="Arial" w:eastAsia="Arial" w:hAnsi="Arial"/>
          <w:sz w:val="19"/>
          <w:szCs w:val="19"/>
          <w:color w:val="auto"/>
        </w:rPr>
        <w:t>stockholders those Holders demanding the filing of a Registration Statement pursuant to the terms of this Agreement. To the extent this Agreement refers to the filing or effectiveness of other Registration Statements, by or at a specified time and the Corporation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 or supplemented in the manner contemplated by the immediately preceding sentence.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IV</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Authority: Effect</w:t>
      </w:r>
      <w:r>
        <w:rPr>
          <w:rFonts w:ascii="Arial" w:cs="Arial" w:eastAsia="Arial" w:hAnsi="Arial"/>
          <w:sz w:val="19"/>
          <w:szCs w:val="19"/>
          <w:color w:val="000000"/>
        </w:rPr>
        <w:t>. Each party hereto represents and warrants to and agrees with each other party that the</w:t>
      </w:r>
      <w:r>
        <w:rPr>
          <w:rFonts w:ascii="Arial" w:cs="Arial" w:eastAsia="Arial" w:hAnsi="Arial"/>
          <w:sz w:val="19"/>
          <w:szCs w:val="19"/>
          <w:color w:val="010000"/>
        </w:rPr>
        <w:t xml:space="preserve"> </w:t>
      </w:r>
      <w:r>
        <w:rPr>
          <w:rFonts w:ascii="Arial" w:cs="Arial" w:eastAsia="Arial" w:hAnsi="Arial"/>
          <w:sz w:val="19"/>
          <w:szCs w:val="19"/>
          <w:color w:val="000000"/>
        </w:rPr>
        <w:t>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 The Corporation and its subsidiaries shall be jointly and severally liable for all obligations of each such party pursuant to this Agreement.</w:t>
      </w:r>
    </w:p>
    <w:p>
      <w:pPr>
        <w:spacing w:after="0" w:line="150" w:lineRule="exact"/>
        <w:rPr>
          <w:sz w:val="20"/>
          <w:szCs w:val="20"/>
          <w:color w:val="auto"/>
        </w:rPr>
      </w:pPr>
    </w:p>
    <w:p>
      <w:pPr>
        <w:ind w:right="20" w:firstLine="864"/>
        <w:spacing w:after="0"/>
        <w:rPr>
          <w:sz w:val="20"/>
          <w:szCs w:val="20"/>
          <w:color w:val="auto"/>
        </w:rPr>
      </w:pPr>
      <w:r>
        <w:rPr>
          <w:rFonts w:ascii="Arial" w:cs="Arial" w:eastAsia="Arial" w:hAnsi="Arial"/>
          <w:sz w:val="22"/>
          <w:szCs w:val="22"/>
          <w:color w:val="010000"/>
        </w:rPr>
        <w:t xml:space="preserve">4.2 </w:t>
      </w:r>
      <w:r>
        <w:rPr>
          <w:rFonts w:ascii="Arial" w:cs="Arial" w:eastAsia="Arial" w:hAnsi="Arial"/>
          <w:sz w:val="22"/>
          <w:szCs w:val="22"/>
          <w:u w:val="single" w:color="auto"/>
          <w:color w:val="000000"/>
        </w:rPr>
        <w:t>Notices</w:t>
      </w:r>
      <w:r>
        <w:rPr>
          <w:rFonts w:ascii="Arial" w:cs="Arial" w:eastAsia="Arial" w:hAnsi="Arial"/>
          <w:sz w:val="22"/>
          <w:szCs w:val="22"/>
          <w:color w:val="000000"/>
        </w:rPr>
        <w:t>. Any notices, requests, demands and other communications required or permitted in this Agreement</w:t>
      </w:r>
      <w:r>
        <w:rPr>
          <w:rFonts w:ascii="Arial" w:cs="Arial" w:eastAsia="Arial" w:hAnsi="Arial"/>
          <w:sz w:val="22"/>
          <w:szCs w:val="22"/>
          <w:color w:val="010000"/>
        </w:rPr>
        <w:t xml:space="preserve"> </w:t>
      </w:r>
      <w:r>
        <w:rPr>
          <w:rFonts w:ascii="Arial" w:cs="Arial" w:eastAsia="Arial" w:hAnsi="Arial"/>
          <w:sz w:val="22"/>
          <w:szCs w:val="22"/>
          <w:color w:val="000000"/>
        </w:rPr>
        <w:t>shall be effective if in writing and (i) delivered personally, (ii) sent by facsimile or e-mail, or (iii) sent by overnight courier, in each case, addressed as follows: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Corporation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Viant Technology Inc.</w:t>
      </w:r>
    </w:p>
    <w:p>
      <w:pPr>
        <w:ind w:left="1740"/>
        <w:spacing w:after="0" w:line="238" w:lineRule="auto"/>
        <w:rPr>
          <w:sz w:val="20"/>
          <w:szCs w:val="20"/>
          <w:color w:val="auto"/>
        </w:rPr>
      </w:pPr>
      <w:r>
        <w:rPr>
          <w:rFonts w:ascii="Arial" w:cs="Arial" w:eastAsia="Arial" w:hAnsi="Arial"/>
          <w:sz w:val="22"/>
          <w:szCs w:val="22"/>
          <w:color w:val="auto"/>
        </w:rPr>
        <w:t>2722 Michelson Drive, Suite 100</w:t>
      </w:r>
    </w:p>
    <w:p>
      <w:pPr>
        <w:ind w:left="1740"/>
        <w:spacing w:after="0" w:line="230" w:lineRule="auto"/>
        <w:rPr>
          <w:sz w:val="20"/>
          <w:szCs w:val="20"/>
          <w:color w:val="auto"/>
        </w:rPr>
      </w:pPr>
      <w:r>
        <w:rPr>
          <w:rFonts w:ascii="Arial" w:cs="Arial" w:eastAsia="Arial" w:hAnsi="Arial"/>
          <w:sz w:val="22"/>
          <w:szCs w:val="22"/>
          <w:color w:val="auto"/>
        </w:rPr>
        <w:t>Irvine, CA 92612</w:t>
      </w:r>
    </w:p>
    <w:p>
      <w:pPr>
        <w:ind w:left="1740"/>
        <w:spacing w:after="0" w:line="231" w:lineRule="auto"/>
        <w:rPr>
          <w:sz w:val="20"/>
          <w:szCs w:val="20"/>
          <w:color w:val="auto"/>
        </w:rPr>
      </w:pPr>
      <w:r>
        <w:rPr>
          <w:rFonts w:ascii="Arial" w:cs="Arial" w:eastAsia="Arial" w:hAnsi="Arial"/>
          <w:sz w:val="22"/>
          <w:szCs w:val="22"/>
          <w:color w:val="auto"/>
        </w:rPr>
        <w:t>Telephone: (949) 861-8888</w:t>
      </w:r>
    </w:p>
    <w:p>
      <w:pPr>
        <w:ind w:left="174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(which shall not constitute notice to the Corporation)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Gibson, Dunn &amp; Crutcher LLP</w:t>
      </w:r>
    </w:p>
    <w:p>
      <w:pPr>
        <w:ind w:left="1740"/>
        <w:spacing w:after="0" w:line="238" w:lineRule="auto"/>
        <w:rPr>
          <w:sz w:val="20"/>
          <w:szCs w:val="20"/>
          <w:color w:val="auto"/>
        </w:rPr>
      </w:pPr>
      <w:r>
        <w:rPr>
          <w:rFonts w:ascii="Arial" w:cs="Arial" w:eastAsia="Arial" w:hAnsi="Arial"/>
          <w:sz w:val="22"/>
          <w:szCs w:val="22"/>
          <w:color w:val="auto"/>
        </w:rPr>
        <w:t>555 Mission Street, Suite 300</w:t>
      </w:r>
    </w:p>
    <w:p>
      <w:pPr>
        <w:ind w:left="1740"/>
        <w:spacing w:after="0" w:line="230" w:lineRule="auto"/>
        <w:rPr>
          <w:sz w:val="20"/>
          <w:szCs w:val="20"/>
          <w:color w:val="auto"/>
        </w:rPr>
      </w:pPr>
      <w:r>
        <w:rPr>
          <w:rFonts w:ascii="Arial" w:cs="Arial" w:eastAsia="Arial" w:hAnsi="Arial"/>
          <w:sz w:val="22"/>
          <w:szCs w:val="22"/>
          <w:color w:val="auto"/>
        </w:rPr>
        <w:t>San Francisco, CA 94105</w:t>
      </w:r>
    </w:p>
    <w:p>
      <w:pPr>
        <w:ind w:left="1740"/>
        <w:spacing w:after="0" w:line="231" w:lineRule="auto"/>
        <w:rPr>
          <w:sz w:val="20"/>
          <w:szCs w:val="20"/>
          <w:color w:val="auto"/>
        </w:rPr>
      </w:pPr>
      <w:r>
        <w:rPr>
          <w:rFonts w:ascii="Arial" w:cs="Arial" w:eastAsia="Arial" w:hAnsi="Arial"/>
          <w:sz w:val="22"/>
          <w:szCs w:val="22"/>
          <w:color w:val="auto"/>
        </w:rPr>
        <w:t>Telephone: (415) 393-8200</w:t>
      </w:r>
    </w:p>
    <w:p>
      <w:pPr>
        <w:ind w:left="1740"/>
        <w:spacing w:after="0"/>
        <w:rPr>
          <w:sz w:val="20"/>
          <w:szCs w:val="20"/>
          <w:color w:val="auto"/>
        </w:rPr>
      </w:pPr>
      <w:r>
        <w:rPr>
          <w:rFonts w:ascii="Arial" w:cs="Arial" w:eastAsia="Arial" w:hAnsi="Arial"/>
          <w:sz w:val="22"/>
          <w:szCs w:val="22"/>
          <w:color w:val="auto"/>
        </w:rPr>
        <w:t>Attention: Stewart McDowell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a Holder, to the address on file in the Corporation’s records.</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Notice to the holder of record of any Registrable Securities shall be deemed to be notice to the holder of such securities for all purposes hereof.</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300" w:name="page301"/>
    <w:bookmarkEnd w:id="300"/>
    <w:p>
      <w:pPr>
        <w:ind w:right="20" w:firstLine="864"/>
        <w:spacing w:after="0" w:line="236" w:lineRule="auto"/>
        <w:rPr>
          <w:sz w:val="20"/>
          <w:szCs w:val="20"/>
          <w:color w:val="auto"/>
        </w:rPr>
      </w:pPr>
      <w:r>
        <w:rPr>
          <w:rFonts w:ascii="Arial" w:cs="Arial" w:eastAsia="Arial" w:hAnsi="Arial"/>
          <w:sz w:val="22"/>
          <w:szCs w:val="22"/>
          <w:color w:val="auto"/>
        </w:rPr>
        <w:t>Unless otherwise specified herein, such notices or other communications shall be deemed effective (i) on the date received, if personally delivered, (ii) on the date received if delivered by facsimile or e-mail on a Business Day, or if not delivered on a Business Day, on the first Business Day thereafter and (iii) two Business Days after being sent by overnight courier. Each of the parties hereto shall be entitled to specify a different address by giving notice as aforesaid to each of the other parties hereto.</w:t>
      </w:r>
    </w:p>
    <w:p>
      <w:pPr>
        <w:spacing w:after="0" w:line="187" w:lineRule="exact"/>
        <w:rPr>
          <w:sz w:val="20"/>
          <w:szCs w:val="20"/>
          <w:color w:val="auto"/>
        </w:rPr>
      </w:pPr>
    </w:p>
    <w:p>
      <w:pPr>
        <w:ind w:right="180" w:firstLine="864"/>
        <w:spacing w:after="0" w:line="235"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Termination and Effect of Termination</w:t>
      </w:r>
      <w:r>
        <w:rPr>
          <w:rFonts w:ascii="Arial" w:cs="Arial" w:eastAsia="Arial" w:hAnsi="Arial"/>
          <w:sz w:val="22"/>
          <w:szCs w:val="22"/>
          <w:color w:val="000000"/>
        </w:rPr>
        <w:t>. This Agreement shall terminate upon the date on which no Holder</w:t>
      </w:r>
      <w:r>
        <w:rPr>
          <w:rFonts w:ascii="Arial" w:cs="Arial" w:eastAsia="Arial" w:hAnsi="Arial"/>
          <w:sz w:val="22"/>
          <w:szCs w:val="22"/>
          <w:color w:val="010000"/>
        </w:rPr>
        <w:t xml:space="preserve"> </w:t>
      </w:r>
      <w:r>
        <w:rPr>
          <w:rFonts w:ascii="Arial" w:cs="Arial" w:eastAsia="Arial" w:hAnsi="Arial"/>
          <w:sz w:val="22"/>
          <w:szCs w:val="22"/>
          <w:color w:val="000000"/>
        </w:rPr>
        <w:t xml:space="preserve">holds any Registrable Securities, except for the provisions of </w:t>
      </w:r>
      <w:r>
        <w:rPr>
          <w:rFonts w:ascii="Arial" w:cs="Arial" w:eastAsia="Arial" w:hAnsi="Arial"/>
          <w:sz w:val="22"/>
          <w:szCs w:val="22"/>
          <w:u w:val="single" w:color="auto"/>
          <w:color w:val="000000"/>
        </w:rPr>
        <w:t>Sections 3.9</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3.10</w:t>
      </w:r>
      <w:r>
        <w:rPr>
          <w:rFonts w:ascii="Arial" w:cs="Arial" w:eastAsia="Arial" w:hAnsi="Arial"/>
          <w:sz w:val="22"/>
          <w:szCs w:val="22"/>
          <w:color w:val="000000"/>
        </w:rPr>
        <w:t xml:space="preserve">, which shall survive any such termination. No termination under this Agreement shall relieve any Person of liability for breach or Registration Expenses incurred prior to termination. In the event this Agreement is terminated, each Person entitled to indemnification rights pursuant to </w:t>
      </w:r>
      <w:r>
        <w:rPr>
          <w:rFonts w:ascii="Arial" w:cs="Arial" w:eastAsia="Arial" w:hAnsi="Arial"/>
          <w:sz w:val="22"/>
          <w:szCs w:val="22"/>
          <w:u w:val="single" w:color="auto"/>
          <w:color w:val="000000"/>
        </w:rPr>
        <w:t>Section 3.9</w:t>
      </w:r>
      <w:r>
        <w:rPr>
          <w:rFonts w:ascii="Arial" w:cs="Arial" w:eastAsia="Arial" w:hAnsi="Arial"/>
          <w:sz w:val="22"/>
          <w:szCs w:val="22"/>
          <w:color w:val="000000"/>
        </w:rPr>
        <w:t xml:space="preserve"> hereof shall retain such indemnification rights with respect to any matter that (i) may be an indemnified liability thereunder and (ii) occurred prior to such termination.</w:t>
      </w:r>
    </w:p>
    <w:p>
      <w:pPr>
        <w:spacing w:after="0" w:line="188" w:lineRule="exact"/>
        <w:rPr>
          <w:sz w:val="20"/>
          <w:szCs w:val="20"/>
          <w:color w:val="auto"/>
        </w:rPr>
      </w:pPr>
    </w:p>
    <w:p>
      <w:pPr>
        <w:ind w:right="860" w:firstLine="864"/>
        <w:spacing w:after="0" w:line="276"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Permitted Transferees</w:t>
      </w:r>
      <w:r>
        <w:rPr>
          <w:rFonts w:ascii="Arial" w:cs="Arial" w:eastAsia="Arial" w:hAnsi="Arial"/>
          <w:sz w:val="19"/>
          <w:szCs w:val="19"/>
          <w:color w:val="000000"/>
        </w:rPr>
        <w:t>. The rights of a Holder hereunder may be assigned (but only with all related</w:t>
      </w:r>
      <w:r>
        <w:rPr>
          <w:rFonts w:ascii="Arial" w:cs="Arial" w:eastAsia="Arial" w:hAnsi="Arial"/>
          <w:sz w:val="19"/>
          <w:szCs w:val="19"/>
          <w:color w:val="010000"/>
        </w:rPr>
        <w:t xml:space="preserve"> </w:t>
      </w:r>
      <w:r>
        <w:rPr>
          <w:rFonts w:ascii="Arial" w:cs="Arial" w:eastAsia="Arial" w:hAnsi="Arial"/>
          <w:sz w:val="19"/>
          <w:szCs w:val="19"/>
          <w:color w:val="000000"/>
        </w:rPr>
        <w:t>obligations as set forth below) in connection with a Transfer of Registrable Securities to a Permitted Transferee of that</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 xml:space="preserve">Holder. Without prejudice to any other or similar conditions imposed hereunder with respect to any such Transfer, no assignment permitted under the terms of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will be effective unless the Permitted Transferee to which the assignment is being made, if not a Holder, has delivered to the Corporation a written acknowledgment and agreement in form and substance reasonably satisfactory to the Corporation that the Permitted Transferee will be bound by, and will be a party to, this Agreement. A Permitted Transferee to whom rights are transferred pursuant to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may not again transfer those rights to any other Permitted Transferee, other than as provided in this </w:t>
      </w:r>
      <w:r>
        <w:rPr>
          <w:rFonts w:ascii="Arial" w:cs="Arial" w:eastAsia="Arial" w:hAnsi="Arial"/>
          <w:sz w:val="21"/>
          <w:szCs w:val="21"/>
          <w:u w:val="single" w:color="auto"/>
          <w:color w:val="auto"/>
        </w:rPr>
        <w:t>Section 4.4</w:t>
      </w:r>
      <w:r>
        <w:rPr>
          <w:rFonts w:ascii="Arial" w:cs="Arial" w:eastAsia="Arial" w:hAnsi="Arial"/>
          <w:sz w:val="21"/>
          <w:szCs w:val="21"/>
          <w:color w:val="auto"/>
        </w:rPr>
        <w:t>.</w:t>
      </w:r>
    </w:p>
    <w:p>
      <w:pPr>
        <w:spacing w:after="0" w:line="183" w:lineRule="exact"/>
        <w:rPr>
          <w:sz w:val="20"/>
          <w:szCs w:val="20"/>
          <w:color w:val="auto"/>
        </w:rPr>
      </w:pPr>
    </w:p>
    <w:p>
      <w:pPr>
        <w:ind w:right="40" w:firstLine="864"/>
        <w:spacing w:after="0" w:line="274"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Remedies</w:t>
      </w:r>
      <w:r>
        <w:rPr>
          <w:rFonts w:ascii="Arial" w:cs="Arial" w:eastAsia="Arial" w:hAnsi="Arial"/>
          <w:sz w:val="19"/>
          <w:szCs w:val="19"/>
          <w:color w:val="000000"/>
        </w:rPr>
        <w:t>. The parties to this Agreement shall have all remedies available at law, in equity or otherwise in</w:t>
      </w:r>
      <w:r>
        <w:rPr>
          <w:rFonts w:ascii="Arial" w:cs="Arial" w:eastAsia="Arial" w:hAnsi="Arial"/>
          <w:sz w:val="19"/>
          <w:szCs w:val="19"/>
          <w:color w:val="010000"/>
        </w:rPr>
        <w:t xml:space="preserve"> </w:t>
      </w:r>
      <w:r>
        <w:rPr>
          <w:rFonts w:ascii="Arial" w:cs="Arial" w:eastAsia="Arial" w:hAnsi="Arial"/>
          <w:sz w:val="19"/>
          <w:szCs w:val="19"/>
          <w:color w:val="000000"/>
        </w:rPr>
        <w:t>the event of any breach or violation of this Agreement or any default hereunder. The parties acknowledge and agree that in the event of any breach of this Agreement, in addition to any other remedies that may be available, each of the parties hereto shall be entitled to specific performance of the obligations of the other parties hereto and, in addition, to such other equitable remedies (including preliminary or temporary relief) as may be appropriate in the circumstances.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spacing w:after="0" w:line="158"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010000"/>
        </w:rPr>
        <w:t xml:space="preserve">4.6 </w:t>
      </w:r>
      <w:r>
        <w:rPr>
          <w:rFonts w:ascii="Arial" w:cs="Arial" w:eastAsia="Arial" w:hAnsi="Arial"/>
          <w:sz w:val="22"/>
          <w:szCs w:val="22"/>
          <w:u w:val="single" w:color="auto"/>
          <w:color w:val="000000"/>
        </w:rPr>
        <w:t>Amendments</w:t>
      </w:r>
      <w:r>
        <w:rPr>
          <w:rFonts w:ascii="Arial" w:cs="Arial" w:eastAsia="Arial" w:hAnsi="Arial"/>
          <w:sz w:val="22"/>
          <w:szCs w:val="22"/>
          <w:color w:val="000000"/>
        </w:rPr>
        <w:t>. This Agreement may not be orally amended, modified, extended or terminated, nor shall any</w:t>
      </w:r>
      <w:r>
        <w:rPr>
          <w:rFonts w:ascii="Arial" w:cs="Arial" w:eastAsia="Arial" w:hAnsi="Arial"/>
          <w:sz w:val="22"/>
          <w:szCs w:val="22"/>
          <w:color w:val="010000"/>
        </w:rPr>
        <w:t xml:space="preserve"> </w:t>
      </w:r>
      <w:r>
        <w:rPr>
          <w:rFonts w:ascii="Arial" w:cs="Arial" w:eastAsia="Arial" w:hAnsi="Arial"/>
          <w:sz w:val="22"/>
          <w:szCs w:val="22"/>
          <w:color w:val="000000"/>
        </w:rPr>
        <w:t xml:space="preserve">oral waiver of any of its terms be effective. This Agreement may be amended, modified, extended or terminated, and the provisions hereof may be waived, only by an agreement in writing signed by the Corporation and the Holders of a majority of the Registrable Securities under this Agreement;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any amendment, modification, extension or termination that disproportionately and adversely affects any Holder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301" w:name="page302"/>
    <w:bookmarkEnd w:id="301"/>
    <w:p>
      <w:pPr>
        <w:ind w:right="80"/>
        <w:spacing w:after="0"/>
        <w:rPr>
          <w:sz w:val="20"/>
          <w:szCs w:val="20"/>
          <w:color w:val="auto"/>
        </w:rPr>
      </w:pPr>
      <w:r>
        <w:rPr>
          <w:rFonts w:ascii="Arial" w:cs="Arial" w:eastAsia="Arial" w:hAnsi="Arial"/>
          <w:sz w:val="22"/>
          <w:szCs w:val="22"/>
          <w:color w:val="auto"/>
        </w:rPr>
        <w:t>shall require the prior written consent of such Holder. Each such amendment, modification, extension or termination shall be binding upon each party hereto. In addition, each party hereto may waive any right hereunder by an instrument in writing signed by such party.</w:t>
      </w:r>
    </w:p>
    <w:p>
      <w:pPr>
        <w:spacing w:after="0" w:line="186" w:lineRule="exact"/>
        <w:rPr>
          <w:sz w:val="20"/>
          <w:szCs w:val="20"/>
          <w:color w:val="auto"/>
        </w:rPr>
      </w:pPr>
    </w:p>
    <w:p>
      <w:pPr>
        <w:ind w:right="260" w:firstLine="864"/>
        <w:spacing w:after="0" w:line="238"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and all claims arising out of or based upon this Agreement or relating to</w:t>
      </w:r>
      <w:r>
        <w:rPr>
          <w:rFonts w:ascii="Arial" w:cs="Arial" w:eastAsia="Arial" w:hAnsi="Arial"/>
          <w:sz w:val="22"/>
          <w:szCs w:val="22"/>
          <w:color w:val="010000"/>
        </w:rPr>
        <w:t xml:space="preserve"> </w:t>
      </w:r>
      <w:r>
        <w:rPr>
          <w:rFonts w:ascii="Arial" w:cs="Arial" w:eastAsia="Arial" w:hAnsi="Arial"/>
          <w:sz w:val="22"/>
          <w:szCs w:val="22"/>
          <w:color w:val="000000"/>
        </w:rPr>
        <w:t>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8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010000"/>
        </w:rPr>
        <w:t>4.8</w:t>
      </w:r>
      <w:r>
        <w:rPr>
          <w:sz w:val="20"/>
          <w:szCs w:val="20"/>
          <w:color w:val="auto"/>
        </w:rPr>
        <w:tab/>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 Each party to this Agreement, by its execution hereof, (i) hereby irrevocably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submits to the exclusive jurisdiction of the state and federal courts sitting in the State of Delaware and the County of New Castle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 of any action, claim, cause of action or suit (in contract, tort or otherwise), inquiry, proceeding or investigation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arising out of or based upon this Agreement or relating to the subject matter hereof, (ii) hereby waives to the extent not prohibited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applicable law, and agrees not to assert, and agrees not to allow any of its subsidiaries to assert, by way of motion, as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defense or otherwise, in any such action, any claim that it is not subject personally to the jurisdiction of the above-named courts,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its property is exempt or immune from attachment or execution, that any such proceeding brought in one of the above-named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courts is improper, or that this Agreement or the subject matter hereof or thereof may not be enforced in or by such court and (iii)</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hereby agrees not to commence or maintain any action, claim, cause of action or suit (in contract, tort or otherwise), inquiry,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proceeding or investigation arising out of or based upon this Agreement or relating to the subject matter hereof or thereof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than before one of the above-named courts or to make any motion or take any other action seeking or intending to cause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transfer or removal of any such action, claim, cause of action or suit (in contract, tort or otherwise), inquiry, proceeding or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investigation to any court other than one of the above-named courts whether on the grounds of inconvenient forum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otherwise. Notwithstanding the foregoing, to the extent that any party hereto is or becomes a party in any litigation in connection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which it may assert indemnification rights set forth in this Agreement, the court in which such litigation is being heard shall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 deemed to be included in clause (i) above. Notwithstanding the foregoing, any party to this Agreement may commence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maintain an action to enforce a judgment of any of the above-named courts in any court of competent jurisdiction. Each party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hereto hereby consents to service of process in any such proceeding in any manner permitted by Delaware law, and agrees that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service of process by registered or certified mail, return receipt requested, at its address specified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reasonably calculated to give actual notice.</w:t>
      </w:r>
    </w:p>
    <w:p>
      <w:pPr>
        <w:spacing w:after="0" w:line="188" w:lineRule="exact"/>
        <w:rPr>
          <w:sz w:val="20"/>
          <w:szCs w:val="20"/>
          <w:color w:val="auto"/>
        </w:rPr>
      </w:pPr>
    </w:p>
    <w:p>
      <w:pPr>
        <w:ind w:right="100" w:firstLine="864"/>
        <w:spacing w:after="0" w:line="234" w:lineRule="auto"/>
        <w:rPr>
          <w:sz w:val="20"/>
          <w:szCs w:val="20"/>
          <w:color w:val="auto"/>
        </w:rPr>
      </w:pPr>
      <w:r>
        <w:rPr>
          <w:rFonts w:ascii="Arial" w:cs="Arial" w:eastAsia="Arial" w:hAnsi="Arial"/>
          <w:sz w:val="22"/>
          <w:szCs w:val="22"/>
          <w:color w:val="010000"/>
        </w:rPr>
        <w:t xml:space="preserve">4.9 </w:t>
      </w:r>
      <w:r>
        <w:rPr>
          <w:rFonts w:ascii="Arial" w:cs="Arial" w:eastAsia="Arial" w:hAnsi="Arial"/>
          <w:sz w:val="22"/>
          <w:szCs w:val="22"/>
          <w:u w:val="single" w:color="auto"/>
          <w:color w:val="000000"/>
        </w:rPr>
        <w:t>WAIVER OF JURY TRIAL</w:t>
      </w:r>
      <w:r>
        <w:rPr>
          <w:rFonts w:ascii="Arial" w:cs="Arial" w:eastAsia="Arial" w:hAnsi="Arial"/>
          <w:sz w:val="22"/>
          <w:szCs w:val="22"/>
          <w:color w:val="000000"/>
        </w:rPr>
        <w:t>. TO THE EXTENT NOT PROHIBITED BY APPLICABLE LAW WHICH</w:t>
      </w:r>
      <w:r>
        <w:rPr>
          <w:rFonts w:ascii="Arial" w:cs="Arial" w:eastAsia="Arial" w:hAnsi="Arial"/>
          <w:sz w:val="22"/>
          <w:szCs w:val="22"/>
          <w:color w:val="010000"/>
        </w:rPr>
        <w:t xml:space="preserve"> </w:t>
      </w:r>
      <w:r>
        <w:rPr>
          <w:rFonts w:ascii="Arial" w:cs="Arial" w:eastAsia="Arial" w:hAnsi="Arial"/>
          <w:sz w:val="22"/>
          <w:szCs w:val="22"/>
          <w:color w:val="000000"/>
        </w:rPr>
        <w:t>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02" w:name="page303"/>
    <w:bookmarkEnd w:id="302"/>
    <w:p>
      <w:pPr>
        <w:ind w:right="220"/>
        <w:spacing w:after="0" w:line="236" w:lineRule="auto"/>
        <w:rPr>
          <w:sz w:val="20"/>
          <w:szCs w:val="20"/>
          <w:color w:val="auto"/>
        </w:rPr>
      </w:pPr>
      <w:r>
        <w:rPr>
          <w:rFonts w:ascii="Arial" w:cs="Arial" w:eastAsia="Arial" w:hAnsi="Arial"/>
          <w:sz w:val="22"/>
          <w:szCs w:val="22"/>
          <w:color w:val="auto"/>
        </w:rPr>
        <w:t xml:space="preserve">THAT IT HAS BEEN INFORMED BY THE OTHER PARTIES HERETO THAT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CONSTITUTES A MATERIAL INDUCEMENT UPON WHICH THEY ARE RELYING AND WILL RELY IN ENTERING INTO THIS AGREEMENT. ANY PARTY HERETO MAY FILE AN ORIGINAL COUNTERPART OR A COPY OF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WITH ANY COURT AS WRITTEN EVIDENCE OF THE CONSENT OF EACH SUCH PARTY TO THE WAIVER OF ITS RIGHT TO TRIAL BY JURY.</w:t>
      </w:r>
    </w:p>
    <w:p>
      <w:pPr>
        <w:spacing w:after="0" w:line="187"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Merger; Binding Effect, Etc</w:t>
      </w:r>
      <w:r>
        <w:rPr>
          <w:rFonts w:ascii="Arial" w:cs="Arial" w:eastAsia="Arial" w:hAnsi="Arial"/>
          <w:sz w:val="19"/>
          <w:szCs w:val="19"/>
          <w:color w:val="000000"/>
        </w:rPr>
        <w:t>. This Agreement (along with the terms of the Company Agreement)</w:t>
      </w:r>
      <w:r>
        <w:rPr>
          <w:rFonts w:ascii="Arial" w:cs="Arial" w:eastAsia="Arial" w:hAnsi="Arial"/>
          <w:sz w:val="19"/>
          <w:szCs w:val="19"/>
          <w:color w:val="010000"/>
        </w:rPr>
        <w:t xml:space="preserve"> </w:t>
      </w:r>
      <w:r>
        <w:rPr>
          <w:rFonts w:ascii="Arial" w:cs="Arial" w:eastAsia="Arial" w:hAnsi="Arial"/>
          <w:sz w:val="19"/>
          <w:szCs w:val="19"/>
          <w:color w:val="000000"/>
        </w:rPr>
        <w:t>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thereto and their respective heirs, Representatives, successors and permitted assigns. Except as otherwise expressly provided herein, no Holder or other party hereto may assign any of its respective rights or delegate any of its respective obligations under this Agreement without the prior written consent of the other parties hereto, and any attempted assignment or delegation in violation of the foregoing shall be null and void.</w:t>
      </w:r>
    </w:p>
    <w:p>
      <w:pPr>
        <w:spacing w:after="0" w:line="152"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color w:val="010000"/>
        </w:rPr>
        <w:t xml:space="preserve">4.11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Agreement may be signed in counterparts (which may include counterparts delivered by</w:t>
      </w:r>
      <w:r>
        <w:rPr>
          <w:rFonts w:ascii="Arial" w:cs="Arial" w:eastAsia="Arial" w:hAnsi="Arial"/>
          <w:sz w:val="21"/>
          <w:szCs w:val="21"/>
          <w:color w:val="010000"/>
        </w:rPr>
        <w:t xml:space="preserve"> </w:t>
      </w:r>
      <w:r>
        <w:rPr>
          <w:rFonts w:ascii="Arial" w:cs="Arial" w:eastAsia="Arial" w:hAnsi="Arial"/>
          <w:sz w:val="21"/>
          <w:szCs w:val="21"/>
          <w:color w:val="000000"/>
        </w:rPr>
        <w:t>any standard form of telecommunication), each of which shall be an original and all of which together shall constitute one and the same instrument. Delivery of an executed counterpart of a signature page to this Agreement by telecopier, facsimile or other electronic transmission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4" w:lineRule="exact"/>
        <w:rPr>
          <w:sz w:val="20"/>
          <w:szCs w:val="20"/>
          <w:color w:val="auto"/>
        </w:rPr>
      </w:pPr>
    </w:p>
    <w:p>
      <w:pPr>
        <w:ind w:right="220" w:firstLine="864"/>
        <w:spacing w:after="0" w:line="236" w:lineRule="auto"/>
        <w:rPr>
          <w:sz w:val="20"/>
          <w:szCs w:val="20"/>
          <w:color w:val="auto"/>
        </w:rPr>
      </w:pPr>
      <w:r>
        <w:rPr>
          <w:rFonts w:ascii="Arial" w:cs="Arial" w:eastAsia="Arial" w:hAnsi="Arial"/>
          <w:sz w:val="22"/>
          <w:szCs w:val="22"/>
          <w:color w:val="010000"/>
        </w:rPr>
        <w:t xml:space="preserve">4.12 </w:t>
      </w:r>
      <w:r>
        <w:rPr>
          <w:rFonts w:ascii="Arial" w:cs="Arial" w:eastAsia="Arial" w:hAnsi="Arial"/>
          <w:sz w:val="22"/>
          <w:szCs w:val="22"/>
          <w:u w:val="single" w:color="auto"/>
          <w:color w:val="000000"/>
        </w:rPr>
        <w:t>Severability</w:t>
      </w:r>
      <w:r>
        <w:rPr>
          <w:rFonts w:ascii="Arial" w:cs="Arial" w:eastAsia="Arial" w:hAnsi="Arial"/>
          <w:sz w:val="22"/>
          <w:szCs w:val="22"/>
          <w:color w:val="000000"/>
        </w:rPr>
        <w:t>. In the event that any provision hereof would, under applicable law, be invalid or</w:t>
      </w:r>
      <w:r>
        <w:rPr>
          <w:rFonts w:ascii="Arial" w:cs="Arial" w:eastAsia="Arial" w:hAnsi="Arial"/>
          <w:sz w:val="22"/>
          <w:szCs w:val="22"/>
          <w:color w:val="010000"/>
        </w:rPr>
        <w:t xml:space="preserve"> </w:t>
      </w:r>
      <w:r>
        <w:rPr>
          <w:rFonts w:ascii="Arial" w:cs="Arial" w:eastAsia="Arial" w:hAnsi="Arial"/>
          <w:sz w:val="22"/>
          <w:szCs w:val="22"/>
          <w:color w:val="000000"/>
        </w:rPr>
        <w:t>unenforceable in any respect, such provision shall be construed 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03" w:name="page304"/>
    <w:bookmarkEnd w:id="303"/>
    <w:p>
      <w:pPr>
        <w:ind w:left="8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each of the undersigned has duly executed this Agreement as of the date first above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Viant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22"/>
          <w:szCs w:val="22"/>
          <w:color w:val="auto"/>
        </w:rPr>
        <w:t>By:</w:t>
        <w:tab/>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6985</wp:posOffset>
            </wp:positionV>
            <wp:extent cx="32143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6180"/>
        <w:spacing w:after="0"/>
        <w:tabs>
          <w:tab w:leader="none" w:pos="69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Larry Madden</w:t>
      </w:r>
    </w:p>
    <w:p>
      <w:pPr>
        <w:ind w:left="6180"/>
        <w:spacing w:after="0"/>
        <w:tabs>
          <w:tab w:leader="none" w:pos="692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0"/>
        <w:spacing w:after="0"/>
        <w:rPr>
          <w:sz w:val="20"/>
          <w:szCs w:val="20"/>
          <w:color w:val="auto"/>
        </w:rPr>
      </w:pPr>
      <w:r>
        <w:rPr>
          <w:rFonts w:ascii="Arial" w:cs="Arial" w:eastAsia="Arial" w:hAnsi="Arial"/>
          <w:sz w:val="22"/>
          <w:szCs w:val="22"/>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60"/>
          </w:cols>
          <w:pgMar w:left="320" w:top="814" w:right="919" w:bottom="1440" w:gutter="0" w:footer="0" w:header="0"/>
        </w:sectPr>
      </w:pPr>
    </w:p>
    <w:bookmarkStart w:id="304" w:name="page305"/>
    <w:bookmarkEnd w:id="304"/>
    <w:p>
      <w:pPr>
        <w:ind w:left="4500"/>
        <w:spacing w:after="0"/>
        <w:rPr>
          <w:sz w:val="20"/>
          <w:szCs w:val="20"/>
          <w:color w:val="auto"/>
        </w:rPr>
      </w:pPr>
      <w:r>
        <w:rPr>
          <w:rFonts w:ascii="Arial" w:cs="Arial" w:eastAsia="Arial" w:hAnsi="Arial"/>
          <w:sz w:val="22"/>
          <w:szCs w:val="22"/>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3566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Tim Vanderhook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Chris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3566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Chris Vanderhook</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FOUR BROTHERS 2 LLC</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22"/>
          <w:szCs w:val="22"/>
          <w:color w:val="auto"/>
        </w:rPr>
        <w:t>By:</w:t>
        <w:tab/>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6985</wp:posOffset>
            </wp:positionV>
            <wp:extent cx="32143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506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Tim Vanderhook</w:t>
      </w:r>
    </w:p>
    <w:p>
      <w:pPr>
        <w:ind w:left="5060"/>
        <w:spacing w:after="0"/>
        <w:tabs>
          <w:tab w:leader="none" w:pos="5800" w:val="left"/>
        </w:tabs>
        <w:rPr>
          <w:sz w:val="20"/>
          <w:szCs w:val="20"/>
          <w:color w:val="auto"/>
        </w:rPr>
      </w:pPr>
      <w:r>
        <w:rPr>
          <w:rFonts w:ascii="Arial" w:cs="Arial" w:eastAsia="Arial" w:hAnsi="Arial"/>
          <w:sz w:val="22"/>
          <w:szCs w:val="22"/>
          <w:color w:val="auto"/>
        </w:rPr>
        <w:t>Title:</w:t>
        <w:tab/>
        <w:t>Member</w:t>
      </w:r>
    </w:p>
    <w:p>
      <w:pPr>
        <w:spacing w:after="0" w:line="209" w:lineRule="exact"/>
        <w:rPr>
          <w:sz w:val="20"/>
          <w:szCs w:val="20"/>
          <w:color w:val="auto"/>
        </w:rPr>
      </w:pPr>
    </w:p>
    <w:p>
      <w:pPr>
        <w:jc w:val="right"/>
        <w:ind w:right="139"/>
        <w:spacing w:after="0"/>
        <w:rPr>
          <w:sz w:val="20"/>
          <w:szCs w:val="20"/>
          <w:color w:val="auto"/>
        </w:rPr>
      </w:pPr>
      <w:r>
        <w:rPr>
          <w:rFonts w:ascii="Arial" w:cs="Arial" w:eastAsia="Arial" w:hAnsi="Arial"/>
          <w:sz w:val="22"/>
          <w:szCs w:val="22"/>
          <w:b w:val="1"/>
          <w:bCs w:val="1"/>
          <w:color w:val="auto"/>
        </w:rPr>
        <w:t>VIANT TECHNOLOGY EQUITY PLAN LLC</w:t>
      </w:r>
    </w:p>
    <w:p>
      <w:pPr>
        <w:spacing w:after="0" w:line="200" w:lineRule="exact"/>
        <w:rPr>
          <w:sz w:val="20"/>
          <w:szCs w:val="20"/>
          <w:color w:val="auto"/>
        </w:rPr>
      </w:pPr>
    </w:p>
    <w:p>
      <w:pPr>
        <w:spacing w:after="0" w:line="282"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22"/>
          <w:szCs w:val="22"/>
          <w:color w:val="auto"/>
        </w:rPr>
        <w:t>By:</w:t>
        <w:tab/>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6985</wp:posOffset>
            </wp:positionV>
            <wp:extent cx="32143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5060"/>
        <w:spacing w:after="0"/>
        <w:tabs>
          <w:tab w:leader="none" w:pos="5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Tim Vanderhook</w:t>
      </w:r>
    </w:p>
    <w:p>
      <w:pPr>
        <w:ind w:left="5060"/>
        <w:spacing w:after="0"/>
        <w:tabs>
          <w:tab w:leader="none" w:pos="5800" w:val="left"/>
        </w:tabs>
        <w:rPr>
          <w:sz w:val="20"/>
          <w:szCs w:val="20"/>
          <w:color w:val="auto"/>
        </w:rPr>
      </w:pPr>
      <w:r>
        <w:rPr>
          <w:rFonts w:ascii="Arial" w:cs="Arial" w:eastAsia="Arial" w:hAnsi="Arial"/>
          <w:sz w:val="22"/>
          <w:szCs w:val="22"/>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Registration Rights Agreement]</w:t>
      </w:r>
    </w:p>
    <w:p>
      <w:pPr>
        <w:sectPr>
          <w:pgSz w:w="11900" w:h="16838" w:orient="portrait"/>
          <w:cols w:equalWidth="0" w:num="1">
            <w:col w:w="9019"/>
          </w:cols>
          <w:pgMar w:left="1440" w:top="847" w:right="1440"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consent to the incorporation by reference in Registration Statement No. 333-252912 on Form S-8 of our report dated March 23, 2021, relating to the financial statement of Viant Technology Inc., appearing in this Annual Report on Form 10-K for the year ended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333-252912 on Form S-8 of our report dated March 23, 2021, relating to the financial statements of Viant Technology LLC, appearing in this Annual Report on Form 10-K of Viant Technology Inc.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307" w:name="page308"/>
    <w:bookmarkEnd w:id="30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180" w:hanging="172"/>
        <w:spacing w:after="0"/>
        <w:tabs>
          <w:tab w:leader="none" w:pos="1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Viant Technology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880" w:right="60" w:hanging="8"/>
        <w:spacing w:after="0" w:line="263" w:lineRule="auto"/>
        <w:tabs>
          <w:tab w:leader="none" w:pos="112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80" w:right="440" w:hanging="8"/>
        <w:spacing w:after="0" w:line="342" w:lineRule="auto"/>
        <w:tabs>
          <w:tab w:leader="none" w:pos="113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80" w:right="160" w:hanging="8"/>
        <w:spacing w:after="0" w:line="263" w:lineRule="auto"/>
        <w:tabs>
          <w:tab w:leader="none" w:pos="112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880" w:right="700" w:hanging="8"/>
        <w:spacing w:after="0" w:line="342" w:lineRule="auto"/>
        <w:tabs>
          <w:tab w:leader="none" w:pos="112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80" w:right="380" w:hanging="8"/>
        <w:spacing w:after="0" w:line="277" w:lineRule="auto"/>
        <w:tabs>
          <w:tab w:leader="none" w:pos="113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Tim Vanderhook</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-130175</wp:posOffset>
            </wp:positionV>
            <wp:extent cx="2802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240"/>
          </w:cols>
          <w:pgMar w:left="320" w:top="337" w:right="339" w:bottom="1440" w:gutter="0" w:footer="0" w:header="0"/>
        </w:sectPr>
      </w:pPr>
    </w:p>
    <w:bookmarkStart w:id="308" w:name="page309"/>
    <w:bookmarkEnd w:id="30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5" w:lineRule="exact"/>
        <w:rPr>
          <w:sz w:val="20"/>
          <w:szCs w:val="20"/>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Viant Technology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880" w:right="60" w:hanging="8"/>
        <w:spacing w:after="0" w:line="263" w:lineRule="auto"/>
        <w:tabs>
          <w:tab w:leader="none" w:pos="112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80" w:right="440" w:hanging="8"/>
        <w:spacing w:after="0" w:line="342" w:lineRule="auto"/>
        <w:tabs>
          <w:tab w:leader="none" w:pos="113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80" w:right="160" w:hanging="8"/>
        <w:spacing w:after="0" w:line="263" w:lineRule="auto"/>
        <w:tabs>
          <w:tab w:leader="none" w:pos="112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880" w:right="700" w:hanging="8"/>
        <w:spacing w:after="0" w:line="342" w:lineRule="auto"/>
        <w:tabs>
          <w:tab w:leader="none" w:pos="112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80" w:right="380" w:hanging="8"/>
        <w:spacing w:after="0" w:line="277" w:lineRule="auto"/>
        <w:tabs>
          <w:tab w:leader="none" w:pos="113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Larry Madden</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-130175</wp:posOffset>
            </wp:positionV>
            <wp:extent cx="2802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the Annual Report of Viant Technology Inc. (the “Company”) on Form 10-K for the fiscal year ended December 31, 2020, as filed with the Securities and Exchange Commission on the date hereof (the “Report”), I, Tim Vanderhook, Chief Executive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March 23, 2021</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By:/s/ Tim Vanderhook</w:t>
            </w:r>
          </w:p>
        </w:tc>
      </w:tr>
      <w:tr>
        <w:trPr>
          <w:trHeight w:val="222"/>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Tim Vanderhook</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Viant Technology Inc. (the “Company”) on Form 10-K for the fiscal year ended December 31, 2020, as filed with the Securities and Exchange Commission on the date hereof (the “Report”), I, Larry Madden, Chief Financial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March 23, 2021</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By:/s/ Larry Madden</w:t>
            </w:r>
          </w:p>
        </w:tc>
      </w:tr>
      <w:tr>
        <w:trPr>
          <w:trHeight w:val="222"/>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Larry Madden</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1)"/>
      <w:numFmt w:val="decimal"/>
      <w:start w:val="1"/>
    </w:lvl>
  </w:abstractNum>
  <w:abstractNum w:abstractNumId="21">
    <w:nsid w:val="34FD6B4F"/>
    <w:multiLevelType w:val="hybridMultilevel"/>
    <w:lvl w:ilvl="0">
      <w:lvlJc w:val="left"/>
      <w:lvlText w:val="(%1)"/>
      <w:numFmt w:val="decimal"/>
      <w:start w:val="2"/>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1)"/>
      <w:numFmt w:val="decimal"/>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1)"/>
      <w:numFmt w:val="decimal"/>
      <w:start w:val="1"/>
    </w:lvl>
  </w:abstractNum>
  <w:abstractNum w:abstractNumId="26">
    <w:nsid w:val="17A1B582"/>
    <w:multiLevelType w:val="hybridMultilevel"/>
    <w:lvl w:ilvl="0">
      <w:lvlJc w:val="left"/>
      <w:lvlText w:val="(%1)"/>
      <w:numFmt w:val="decimal"/>
      <w:start w:val="2"/>
    </w:lvl>
  </w:abstractNum>
  <w:abstractNum w:abstractNumId="27">
    <w:nsid w:val="4DF72E4E"/>
    <w:multiLevelType w:val="hybridMultilevel"/>
    <w:lvl w:ilvl="0">
      <w:lvlJc w:val="left"/>
      <w:lvlText w:val="(%1)"/>
      <w:numFmt w:val="decimal"/>
      <w:start w:val="1"/>
    </w:lvl>
  </w:abstractNum>
  <w:abstractNum w:abstractNumId="28">
    <w:nsid w:val="5046B5A9"/>
    <w:multiLevelType w:val="hybridMultilevel"/>
    <w:lvl w:ilvl="0">
      <w:lvlJc w:val="left"/>
      <w:lvlText w:val="(%1)"/>
      <w:numFmt w:val="decimal"/>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1)"/>
      <w:numFmt w:val="decimal"/>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
      <w:numFmt w:val="bullet"/>
      <w:start w:val="1"/>
    </w:lvl>
  </w:abstractNum>
  <w:abstractNum w:abstractNumId="36">
    <w:nsid w:val="20EE1348"/>
    <w:multiLevelType w:val="hybridMultilevel"/>
    <w:lvl w:ilvl="0">
      <w:lvlJc w:val="left"/>
      <w:lvlText w:val="*"/>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1."/>
      <w:numFmt w:val="decimal"/>
      <w:start w:val="8"/>
    </w:lvl>
  </w:abstractNum>
  <w:abstractNum w:abstractNumId="40">
    <w:nsid w:val="704E1DD5"/>
    <w:multiLevelType w:val="hybridMultilevel"/>
    <w:lvl w:ilvl="0">
      <w:lvlJc w:val="left"/>
      <w:lvlText w:val="•"/>
      <w:numFmt w:val="bullet"/>
      <w:start w:val="1"/>
    </w:lvl>
  </w:abstractNum>
  <w:abstractNum w:abstractNumId="41">
    <w:nsid w:val="57D2F10E"/>
    <w:multiLevelType w:val="hybridMultilevel"/>
    <w:lvl w:ilvl="0">
      <w:lvlJc w:val="left"/>
      <w:lvlText w:val="(%1)"/>
      <w:numFmt w:val="lowerRoman"/>
      <w:start w:val="1"/>
    </w:lvl>
  </w:abstractNum>
  <w:abstractNum w:abstractNumId="42">
    <w:nsid w:val="BFFAE18"/>
    <w:multiLevelType w:val="hybridMultilevel"/>
    <w:lvl w:ilvl="0">
      <w:lvlJc w:val="left"/>
      <w:lvlText w:val="(%1)"/>
      <w:numFmt w:val="lowerRoman"/>
      <w:start w:val="5"/>
    </w:lvl>
  </w:abstractNum>
  <w:abstractNum w:abstractNumId="43">
    <w:nsid w:val="E3E47A8"/>
    <w:multiLevelType w:val="hybridMultilevel"/>
    <w:lvl w:ilvl="0">
      <w:lvlJc w:val="left"/>
      <w:lvlText w:val="(%1)"/>
      <w:numFmt w:val="lowerRoman"/>
      <w:start w:val="2"/>
    </w:lvl>
  </w:abstractNum>
  <w:abstractNum w:abstractNumId="44">
    <w:nsid w:val="2E48F044"/>
    <w:multiLevelType w:val="hybridMultilevel"/>
    <w:lvl w:ilvl="0">
      <w:lvlJc w:val="left"/>
      <w:lvlText w:val="(%1)"/>
      <w:numFmt w:val="decimal"/>
      <w:start w:val="1"/>
    </w:lvl>
  </w:abstractNum>
  <w:abstractNum w:abstractNumId="45">
    <w:nsid w:val="49D0FEAC"/>
    <w:multiLevelType w:val="hybridMultilevel"/>
    <w:lvl w:ilvl="0">
      <w:lvlJc w:val="left"/>
      <w:lvlText w:val="(%1)"/>
      <w:numFmt w:val="decimal"/>
      <w:start w:val="4"/>
    </w:lvl>
  </w:abstractNum>
  <w:abstractNum w:abstractNumId="46">
    <w:nsid w:val="4BEE5A5B"/>
    <w:multiLevelType w:val="hybridMultilevel"/>
    <w:lvl w:ilvl="0">
      <w:lvlJc w:val="left"/>
      <w:lvlText w:val="•"/>
      <w:numFmt w:val="bullet"/>
      <w:start w:val="1"/>
    </w:lvl>
  </w:abstractNum>
  <w:abstractNum w:abstractNumId="47">
    <w:nsid w:val="5551B9F3"/>
    <w:multiLevelType w:val="hybridMultilevel"/>
    <w:lvl w:ilvl="0">
      <w:lvlJc w:val="left"/>
      <w:lvlText w:val="(%1)"/>
      <w:numFmt w:val="decimal"/>
      <w:start w:val="1"/>
    </w:lvl>
  </w:abstractNum>
  <w:abstractNum w:abstractNumId="48">
    <w:nsid w:val="24F6AB8E"/>
    <w:multiLevelType w:val="hybridMultilevel"/>
    <w:lvl w:ilvl="0">
      <w:lvlJc w:val="left"/>
      <w:lvlText w:val="(%1)"/>
      <w:numFmt w:val="lowerLetter"/>
      <w:start w:val="1"/>
    </w:lvl>
    <w:lvl w:ilvl="1">
      <w:lvlJc w:val="left"/>
      <w:lvlText w:val="(%2)"/>
      <w:numFmt w:val="decimal"/>
      <w:start w:val="1"/>
    </w:lvl>
  </w:abstractNum>
  <w:abstractNum w:abstractNumId="49">
    <w:nsid w:val="634C574C"/>
    <w:multiLevelType w:val="hybridMultilevel"/>
    <w:lvl w:ilvl="0">
      <w:lvlJc w:val="left"/>
      <w:lvlText w:val="(%1)"/>
      <w:numFmt w:val="decimal"/>
      <w:start w:val="2"/>
    </w:lvl>
  </w:abstractNum>
  <w:abstractNum w:abstractNumId="50">
    <w:nsid w:val="24E99DD7"/>
    <w:multiLevelType w:val="hybridMultilevel"/>
    <w:lvl w:ilvl="0">
      <w:lvlJc w:val="left"/>
      <w:lvlText w:val="(%1)"/>
      <w:numFmt w:val="decimal"/>
      <w:start w:val="3"/>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1)"/>
      <w:numFmt w:val="lowerLetter"/>
      <w:start w:val="1"/>
    </w:lvl>
  </w:abstractNum>
  <w:abstractNum w:abstractNumId="53">
    <w:nsid w:val="7DFF9D09"/>
    <w:multiLevelType w:val="hybridMultilevel"/>
    <w:lvl w:ilvl="0">
      <w:lvlJc w:val="left"/>
      <w:lvlText w:val="(%1)"/>
      <w:numFmt w:val="lowerLetter"/>
      <w:start w:val="1"/>
    </w:lvl>
  </w:abstractNum>
  <w:abstractNum w:abstractNumId="54">
    <w:nsid w:val="754342"/>
    <w:multiLevelType w:val="hybridMultilevel"/>
    <w:lvl w:ilvl="0">
      <w:lvlJc w:val="left"/>
      <w:lvlText w:val="(%1)"/>
      <w:numFmt w:val="lowerLetter"/>
      <w:start w:val="1"/>
    </w:lvl>
  </w:abstractNum>
  <w:abstractNum w:abstractNumId="55">
    <w:nsid w:val="69E7F3E5"/>
    <w:multiLevelType w:val="hybridMultilevel"/>
    <w:lvl w:ilvl="0">
      <w:lvlJc w:val="left"/>
      <w:lvlText w:val="(%1)"/>
      <w:numFmt w:val="lowerLetter"/>
      <w:start w:val="1"/>
    </w:lvl>
  </w:abstractNum>
  <w:abstractNum w:abstractNumId="56">
    <w:nsid w:val="2A6DE806"/>
    <w:multiLevelType w:val="hybridMultilevel"/>
    <w:lvl w:ilvl="0">
      <w:lvlJc w:val="left"/>
      <w:lvlText w:val="(%1)"/>
      <w:numFmt w:val="lowerLetter"/>
      <w:start w:val="3"/>
    </w:lvl>
  </w:abstractNum>
  <w:abstractNum w:abstractNumId="57">
    <w:nsid w:val="1816F8C4"/>
    <w:multiLevelType w:val="hybridMultilevel"/>
    <w:lvl w:ilvl="0">
      <w:lvlJc w:val="left"/>
      <w:lvlText w:val="(%1)"/>
      <w:numFmt w:val="lowerLetter"/>
      <w:start w:val="1"/>
    </w:lvl>
  </w:abstractNum>
  <w:abstractNum w:abstractNumId="58">
    <w:nsid w:val="37DF2233"/>
    <w:multiLevelType w:val="hybridMultilevel"/>
    <w:lvl w:ilvl="0">
      <w:lvlJc w:val="left"/>
      <w:lvlText w:val="(%1)"/>
      <w:numFmt w:val="lowerLetter"/>
      <w:start w:val="1"/>
    </w:lvl>
  </w:abstractNum>
  <w:abstractNum w:abstractNumId="59">
    <w:nsid w:val="7AB49DAF"/>
    <w:multiLevelType w:val="hybridMultilevel"/>
    <w:lvl w:ilvl="0">
      <w:lvlJc w:val="left"/>
      <w:lvlText w:val="(%1)"/>
      <w:numFmt w:val="lowerLetter"/>
      <w:start w:val="2"/>
    </w:lvl>
  </w:abstractNum>
  <w:abstractNum w:abstractNumId="60">
    <w:nsid w:val="759F82CD"/>
    <w:multiLevelType w:val="hybridMultilevel"/>
    <w:lvl w:ilvl="0">
      <w:lvlJc w:val="left"/>
      <w:lvlText w:val="(%1)"/>
      <w:numFmt w:val="lowerLetter"/>
      <w:start w:val="1"/>
    </w:lvl>
  </w:abstractNum>
  <w:abstractNum w:abstractNumId="61">
    <w:nsid w:val="61E74EA3"/>
    <w:multiLevelType w:val="hybridMultilevel"/>
    <w:lvl w:ilvl="0">
      <w:lvlJc w:val="left"/>
      <w:lvlText w:val="(%1)"/>
      <w:numFmt w:val="lowerLetter"/>
      <w:start w:val="1"/>
    </w:lvl>
  </w:abstractNum>
  <w:abstractNum w:abstractNumId="62">
    <w:nsid w:val="597B4D84"/>
    <w:multiLevelType w:val="hybridMultilevel"/>
    <w:lvl w:ilvl="0">
      <w:lvlJc w:val="left"/>
      <w:lvlText w:val="(%1)"/>
      <w:numFmt w:val="lowerLetter"/>
      <w:start w:val="1"/>
    </w:lvl>
    <w:lvl w:ilvl="1">
      <w:lvlJc w:val="left"/>
      <w:lvlText w:val="(%2)"/>
      <w:numFmt w:val="lowerLetter"/>
      <w:start w:val="9"/>
    </w:lvl>
  </w:abstractNum>
  <w:abstractNum w:abstractNumId="63">
    <w:nsid w:val="F819E7F"/>
    <w:multiLevelType w:val="hybridMultilevel"/>
    <w:lvl w:ilvl="0">
      <w:lvlJc w:val="left"/>
      <w:lvlText w:val="%1"/>
      <w:numFmt w:val="lowerLetter"/>
      <w:start w:val="1"/>
    </w:lvl>
    <w:lvl w:ilvl="1">
      <w:lvlJc w:val="left"/>
      <w:lvlText w:val="(%2)"/>
      <w:numFmt w:val="lowerLetter"/>
      <w:start w:val="35"/>
    </w:lvl>
  </w:abstractNum>
  <w:abstractNum w:abstractNumId="64">
    <w:nsid w:val="57C7D42D"/>
    <w:multiLevelType w:val="hybridMultilevel"/>
    <w:lvl w:ilvl="0">
      <w:lvlJc w:val="left"/>
      <w:lvlText w:val="(%1)"/>
      <w:numFmt w:val="lowerLetter"/>
      <w:start w:val="2"/>
    </w:lvl>
    <w:lvl w:ilvl="1">
      <w:lvlJc w:val="left"/>
      <w:lvlText w:val="%2"/>
      <w:numFmt w:val="lowerLetter"/>
      <w:start w:val="1"/>
    </w:lvl>
  </w:abstractNum>
  <w:abstractNum w:abstractNumId="65">
    <w:nsid w:val="312167AD"/>
    <w:multiLevelType w:val="hybridMultilevel"/>
    <w:lvl w:ilvl="0">
      <w:lvlJc w:val="left"/>
      <w:lvlText w:val="(%1)"/>
      <w:numFmt w:val="lowerLetter"/>
      <w:start w:val="1"/>
    </w:lvl>
    <w:lvl w:ilvl="1">
      <w:lvlJc w:val="left"/>
      <w:lvlText w:val="(%2)"/>
      <w:numFmt w:val="lowerLetter"/>
      <w:start w:val="9"/>
    </w:lvl>
  </w:abstractNum>
  <w:abstractNum w:abstractNumId="66">
    <w:nsid w:val="631B64D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67">
    <w:nsid w:val="78B5E776"/>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8">
    <w:nsid w:val="75486E4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69">
    <w:nsid w:val="6E534CDE"/>
    <w:multiLevelType w:val="hybridMultilevel"/>
    <w:lvl w:ilvl="0">
      <w:lvlJc w:val="left"/>
      <w:lvlText w:val="%1"/>
      <w:numFmt w:val="upperLetter"/>
      <w:start w:val="1"/>
    </w:lvl>
    <w:lvl w:ilvl="1">
      <w:lvlJc w:val="left"/>
      <w:lvlText w:val="(%2)"/>
      <w:numFmt w:val="decimal"/>
      <w:start w:val="2"/>
    </w:lvl>
  </w:abstractNum>
  <w:abstractNum w:abstractNumId="70">
    <w:nsid w:val="1A0DDE32"/>
    <w:multiLevelType w:val="hybridMultilevel"/>
    <w:lvl w:ilvl="0">
      <w:lvlJc w:val="left"/>
      <w:lvlText w:val="(%1)"/>
      <w:numFmt w:val="upperLetter"/>
      <w:start w:val="4"/>
    </w:lvl>
    <w:lvl w:ilvl="1">
      <w:lvlJc w:val="left"/>
      <w:lvlText w:val="(%2)"/>
      <w:numFmt w:val="decimal"/>
      <w:start w:val="1"/>
    </w:lvl>
  </w:abstractNum>
  <w:abstractNum w:abstractNumId="71">
    <w:nsid w:val="65968C1C"/>
    <w:multiLevelType w:val="hybridMultilevel"/>
    <w:lvl w:ilvl="0">
      <w:lvlJc w:val="left"/>
      <w:lvlText w:val="%1"/>
      <w:numFmt w:val="lowerLetter"/>
      <w:start w:val="1"/>
    </w:lvl>
    <w:lvl w:ilvl="1">
      <w:lvlJc w:val="left"/>
      <w:lvlText w:val="(%2)"/>
      <w:numFmt w:val="lowerRoman"/>
      <w:start w:val="3"/>
    </w:lvl>
  </w:abstractNum>
  <w:abstractNum w:abstractNumId="72">
    <w:nsid w:val="46263DEC"/>
    <w:multiLevelType w:val="hybridMultilevel"/>
    <w:lvl w:ilvl="0">
      <w:lvlJc w:val="left"/>
      <w:lvlText w:val="(%1)"/>
      <w:numFmt w:val="lowerLetter"/>
      <w:start w:val="2"/>
    </w:lvl>
    <w:lvl w:ilvl="1">
      <w:lvlJc w:val="left"/>
      <w:lvlText w:val="%2"/>
      <w:numFmt w:val="lowerRoman"/>
      <w:start w:val="1"/>
    </w:lvl>
  </w:abstractNum>
  <w:abstractNum w:abstractNumId="73">
    <w:nsid w:val="260D8C4A"/>
    <w:multiLevelType w:val="hybridMultilevel"/>
    <w:lvl w:ilvl="0">
      <w:lvlJc w:val="left"/>
      <w:lvlText w:val="(%1)"/>
      <w:numFmt w:val="lowerLetter"/>
      <w:start w:val="3"/>
    </w:lvl>
    <w:lvl w:ilvl="1">
      <w:lvlJc w:val="left"/>
      <w:lvlText w:val="(%2)"/>
      <w:numFmt w:val="lowerLetter"/>
      <w:start w:val="9"/>
    </w:lvl>
  </w:abstractNum>
  <w:abstractNum w:abstractNumId="74">
    <w:nsid w:val="73D4D3C4"/>
    <w:multiLevelType w:val="hybridMultilevel"/>
    <w:lvl w:ilvl="0">
      <w:lvlJc w:val="left"/>
      <w:lvlText w:val="(%1)"/>
      <w:numFmt w:val="lowerRoman"/>
      <w:start w:val="2"/>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1)"/>
      <w:numFmt w:val="lowerLetter"/>
      <w:start w:val="3"/>
    </w:lvl>
  </w:abstractNum>
  <w:abstractNum w:abstractNumId="77">
    <w:nsid w:val="3FC32E20"/>
    <w:multiLevelType w:val="hybridMultilevel"/>
    <w:lvl w:ilvl="0">
      <w:lvlJc w:val="left"/>
      <w:lvlText w:val="(%1)"/>
      <w:numFmt w:val="lowerLetter"/>
      <w:start w:val="1"/>
    </w:lvl>
  </w:abstractNum>
  <w:abstractNum w:abstractNumId="78">
    <w:nsid w:val="49C0E823"/>
    <w:multiLevelType w:val="hybridMultilevel"/>
    <w:lvl w:ilvl="0">
      <w:lvlJc w:val="left"/>
      <w:lvlText w:val="(%1)"/>
      <w:numFmt w:val="lowerLetter"/>
      <w:start w:val="2"/>
    </w:lvl>
  </w:abstractNum>
  <w:abstractNum w:abstractNumId="79">
    <w:nsid w:val="14D53685"/>
    <w:multiLevelType w:val="hybridMultilevel"/>
    <w:lvl w:ilvl="0">
      <w:lvlJc w:val="left"/>
      <w:lvlText w:val="(%1)"/>
      <w:numFmt w:val="lowerLetter"/>
      <w:start w:val="1"/>
    </w:lvl>
  </w:abstractNum>
  <w:abstractNum w:abstractNumId="80">
    <w:nsid w:val="230F856C"/>
    <w:multiLevelType w:val="hybridMultilevel"/>
    <w:lvl w:ilvl="0">
      <w:lvlJc w:val="left"/>
      <w:lvlText w:val="(%1)"/>
      <w:numFmt w:val="lowerLetter"/>
      <w:start w:val="2"/>
    </w:lvl>
  </w:abstractNum>
  <w:abstractNum w:abstractNumId="81">
    <w:nsid w:val="6EAA85FB"/>
    <w:multiLevelType w:val="hybridMultilevel"/>
    <w:lvl w:ilvl="0">
      <w:lvlJc w:val="left"/>
      <w:lvlText w:val="(%1)"/>
      <w:numFmt w:val="lowerLetter"/>
      <w:start w:val="3"/>
    </w:lvl>
  </w:abstractNum>
  <w:abstractNum w:abstractNumId="82">
    <w:nsid w:val="3F06ECB2"/>
    <w:multiLevelType w:val="hybridMultilevel"/>
    <w:lvl w:ilvl="0">
      <w:lvlJc w:val="left"/>
      <w:lvlText w:val="(%1)"/>
      <w:numFmt w:val="lowerLetter"/>
      <w:start w:val="1"/>
    </w:lvl>
  </w:abstractNum>
  <w:abstractNum w:abstractNumId="83">
    <w:nsid w:val="3B594807"/>
    <w:multiLevelType w:val="hybridMultilevel"/>
    <w:lvl w:ilvl="0">
      <w:lvlJc w:val="left"/>
      <w:lvlText w:val="(%1)"/>
      <w:numFmt w:val="lowerLetter"/>
      <w:start w:val="1"/>
    </w:lvl>
  </w:abstractNum>
  <w:abstractNum w:abstractNumId="84">
    <w:nsid w:val="6CAA2304"/>
    <w:multiLevelType w:val="hybridMultilevel"/>
    <w:lvl w:ilvl="0">
      <w:lvlJc w:val="left"/>
      <w:lvlText w:val="(%1)"/>
      <w:numFmt w:val="lowerLetter"/>
      <w:start w:val="1"/>
    </w:lvl>
  </w:abstractNum>
  <w:abstractNum w:abstractNumId="85">
    <w:nsid w:val="3F7C2FF4"/>
    <w:multiLevelType w:val="hybridMultilevel"/>
    <w:lvl w:ilvl="0">
      <w:lvlJc w:val="left"/>
      <w:lvlText w:val="(%1)"/>
      <w:numFmt w:val="lowerLetter"/>
      <w:start w:val="3"/>
    </w:lvl>
  </w:abstractNum>
  <w:abstractNum w:abstractNumId="86">
    <w:nsid w:val="25413BEC"/>
    <w:multiLevelType w:val="hybridMultilevel"/>
    <w:lvl w:ilvl="0">
      <w:lvlJc w:val="left"/>
      <w:lvlText w:val="(%1)"/>
      <w:numFmt w:val="lowerLetter"/>
      <w:start w:val="1"/>
    </w:lvl>
  </w:abstractNum>
  <w:abstractNum w:abstractNumId="87">
    <w:nsid w:val="17180B0B"/>
    <w:multiLevelType w:val="hybridMultilevel"/>
    <w:lvl w:ilvl="0">
      <w:lvlJc w:val="left"/>
      <w:lvlText w:val="(%1)"/>
      <w:numFmt w:val="lowerLetter"/>
      <w:start w:val="2"/>
    </w:lvl>
  </w:abstractNum>
  <w:abstractNum w:abstractNumId="88">
    <w:nsid w:val="579328B9"/>
    <w:multiLevelType w:val="hybridMultilevel"/>
    <w:lvl w:ilvl="0">
      <w:lvlJc w:val="left"/>
      <w:lvlText w:val="(%1)"/>
      <w:numFmt w:val="lowerLetter"/>
      <w:start w:val="1"/>
    </w:lvl>
  </w:abstractNum>
  <w:abstractNum w:abstractNumId="89">
    <w:nsid w:val="5D205E20"/>
    <w:multiLevelType w:val="hybridMultilevel"/>
    <w:lvl w:ilvl="0">
      <w:lvlJc w:val="left"/>
      <w:lvlText w:val="%1"/>
      <w:numFmt w:val="lowerLetter"/>
      <w:start w:val="1"/>
    </w:lvl>
    <w:lvl w:ilvl="1">
      <w:lvlJc w:val="left"/>
      <w:lvlText w:val="(%2)"/>
      <w:numFmt w:val="lowerLetter"/>
      <w:start w:val="2"/>
    </w:lvl>
  </w:abstractNum>
  <w:abstractNum w:abstractNumId="90">
    <w:nsid w:val="11CCA8BA"/>
    <w:multiLevelType w:val="hybridMultilevel"/>
    <w:lvl w:ilvl="0">
      <w:lvlJc w:val="left"/>
      <w:lvlText w:val="(%1)"/>
      <w:numFmt w:val="lowerLetter"/>
      <w:start w:val="61"/>
    </w:lvl>
    <w:lvl w:ilvl="1">
      <w:lvlJc w:val="left"/>
      <w:lvlText w:val="(%2)"/>
      <w:numFmt w:val="lowerLetter"/>
      <w:start w:val="3"/>
    </w:lvl>
  </w:abstractNum>
  <w:abstractNum w:abstractNumId="91">
    <w:nsid w:val="4D32AB86"/>
    <w:multiLevelType w:val="hybridMultilevel"/>
    <w:lvl w:ilvl="0">
      <w:lvlJc w:val="left"/>
      <w:lvlText w:val="(%1)"/>
      <w:numFmt w:val="lowerLetter"/>
      <w:start w:val="1"/>
    </w:lvl>
    <w:lvl w:ilvl="1">
      <w:lvlJc w:val="left"/>
      <w:lvlText w:val="(%2)"/>
      <w:numFmt w:val="lowerRoman"/>
      <w:start w:val="1"/>
    </w:lvl>
  </w:abstractNum>
  <w:abstractNum w:abstractNumId="92">
    <w:nsid w:val="3F07ACC3"/>
    <w:multiLevelType w:val="hybridMultilevel"/>
    <w:lvl w:ilvl="0">
      <w:lvlJc w:val="left"/>
      <w:lvlText w:val="(%1)"/>
      <w:numFmt w:val="lowerLetter"/>
      <w:start w:val="1"/>
    </w:lvl>
  </w:abstractNum>
  <w:abstractNum w:abstractNumId="93">
    <w:nsid w:val="6B47F6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4">
    <w:nsid w:val="5CB44A0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95">
    <w:nsid w:val="16CF80F1"/>
    <w:multiLevelType w:val="hybridMultilevel"/>
    <w:lvl w:ilvl="0">
      <w:lvlJc w:val="left"/>
      <w:lvlText w:val="(%1)"/>
      <w:numFmt w:val="lowerLetter"/>
      <w:start w:val="4"/>
    </w:lvl>
  </w:abstractNum>
  <w:abstractNum w:abstractNumId="96">
    <w:nsid w:val="1C695DEC"/>
    <w:multiLevelType w:val="hybridMultilevel"/>
    <w:lvl w:ilvl="0">
      <w:lvlJc w:val="left"/>
      <w:lvlText w:val="(%1)"/>
      <w:numFmt w:val="lowerLetter"/>
      <w:start w:val="1"/>
    </w:lvl>
    <w:lvl w:ilvl="1">
      <w:lvlJc w:val="left"/>
      <w:lvlText w:val="(%2)"/>
      <w:numFmt w:val="lowerLetter"/>
      <w:start w:val="9"/>
    </w:lvl>
  </w:abstractNum>
  <w:abstractNum w:abstractNumId="97">
    <w:nsid w:val="3FCFAED9"/>
    <w:multiLevelType w:val="hybridMultilevel"/>
    <w:lvl w:ilvl="0">
      <w:lvlJc w:val="left"/>
      <w:lvlText w:val="%1"/>
      <w:numFmt w:val="lowerLetter"/>
      <w:start w:val="1"/>
    </w:lvl>
    <w:lvl w:ilvl="1">
      <w:lvlJc w:val="left"/>
      <w:lvlText w:val="(%2)"/>
      <w:numFmt w:val="lowerLetter"/>
      <w:start w:val="35"/>
    </w:lvl>
  </w:abstractNum>
  <w:abstractNum w:abstractNumId="98">
    <w:nsid w:val="F856867"/>
    <w:multiLevelType w:val="hybridMultilevel"/>
    <w:lvl w:ilvl="0">
      <w:lvlJc w:val="left"/>
      <w:lvlText w:val="(%1)"/>
      <w:numFmt w:val="lowerLetter"/>
      <w:start w:val="6"/>
    </w:lvl>
    <w:lvl w:ilvl="1">
      <w:lvlJc w:val="left"/>
      <w:lvlText w:val="%2"/>
      <w:numFmt w:val="lowerLetter"/>
      <w:start w:val="1"/>
    </w:lvl>
  </w:abstractNum>
  <w:abstractNum w:abstractNumId="99">
    <w:nsid w:val="11B1CC33"/>
    <w:multiLevelType w:val="hybridMultilevel"/>
    <w:lvl w:ilvl="0">
      <w:lvlJc w:val="left"/>
      <w:lvlText w:val="(%1)"/>
      <w:numFmt w:val="lowerLetter"/>
      <w:start w:val="1"/>
    </w:lvl>
    <w:lvl w:ilvl="1">
      <w:lvlJc w:val="left"/>
      <w:lvlText w:val="(%2)"/>
      <w:numFmt w:val="lowerRoman"/>
      <w:start w:val="1"/>
    </w:lvl>
  </w:abstractNum>
  <w:abstractNum w:abstractNumId="100">
    <w:nsid w:val="2E22FBB7"/>
    <w:multiLevelType w:val="hybridMultilevel"/>
    <w:lvl w:ilvl="0">
      <w:lvlJc w:val="left"/>
      <w:lvlText w:val="(%1)"/>
      <w:numFmt w:val="lowerLetter"/>
      <w:start w:val="24"/>
    </w:lvl>
    <w:lvl w:ilvl="1">
      <w:lvlJc w:val="left"/>
      <w:lvlText w:val="(%2)"/>
      <w:numFmt w:val="lowerLetter"/>
      <w:start w:val="3"/>
    </w:lvl>
  </w:abstractNum>
  <w:abstractNum w:abstractNumId="101">
    <w:nsid w:val="29934699"/>
    <w:multiLevelType w:val="hybridMultilevel"/>
    <w:lvl w:ilvl="0">
      <w:lvlJc w:val="left"/>
      <w:lvlText w:val="(%1)"/>
      <w:numFmt w:val="lowerRoman"/>
      <w:start w:val="1"/>
    </w:lvl>
  </w:abstractNum>
  <w:abstractNum w:abstractNumId="102">
    <w:nsid w:val="77485850"/>
    <w:multiLevelType w:val="hybridMultilevel"/>
    <w:lvl w:ilvl="0">
      <w:lvlJc w:val="left"/>
      <w:lvlText w:val="(%1)"/>
      <w:numFmt w:val="lowerLetter"/>
      <w:start w:val="5"/>
    </w:lvl>
  </w:abstractNum>
  <w:abstractNum w:abstractNumId="103">
    <w:nsid w:val="744939A3"/>
    <w:multiLevelType w:val="hybridMultilevel"/>
    <w:lvl w:ilvl="0">
      <w:lvlJc w:val="left"/>
      <w:lvlText w:val="(%1)"/>
      <w:numFmt w:val="lowerLetter"/>
      <w:start w:val="1"/>
    </w:lvl>
  </w:abstractNum>
  <w:abstractNum w:abstractNumId="104">
    <w:nsid w:val="4FA0D2E3"/>
    <w:multiLevelType w:val="hybridMultilevel"/>
    <w:lvl w:ilvl="0">
      <w:lvlJc w:val="left"/>
      <w:lvlText w:val="(%1)"/>
      <w:numFmt w:val="lowerLetter"/>
      <w:start w:val="1"/>
    </w:lvl>
  </w:abstractNum>
  <w:abstractNum w:abstractNumId="105">
    <w:nsid w:val="6B1D2C14"/>
    <w:multiLevelType w:val="hybridMultilevel"/>
    <w:lvl w:ilvl="0">
      <w:lvlJc w:val="left"/>
      <w:lvlText w:val="(%1)"/>
      <w:numFmt w:val="lowerLetter"/>
      <w:start w:val="2"/>
    </w:lvl>
    <w:lvl w:ilvl="1">
      <w:lvlJc w:val="left"/>
      <w:lvlText w:val="(%2)"/>
      <w:numFmt w:val="lowerRoman"/>
      <w:start w:val="1"/>
    </w:lvl>
  </w:abstractNum>
  <w:abstractNum w:abstractNumId="106">
    <w:nsid w:val="68B867D3"/>
    <w:multiLevelType w:val="hybridMultilevel"/>
    <w:lvl w:ilvl="0">
      <w:lvlJc w:val="left"/>
      <w:lvlText w:val="(%1)"/>
      <w:numFmt w:val="lowerLetter"/>
      <w:start w:val="5"/>
    </w:lvl>
    <w:lvl w:ilvl="1">
      <w:lvlJc w:val="left"/>
      <w:lvlText w:val="(%2)"/>
      <w:numFmt w:val="lowerRoman"/>
      <w:start w:val="1"/>
    </w:lvl>
  </w:abstractNum>
  <w:abstractNum w:abstractNumId="107">
    <w:nsid w:val="3F7F5DD9"/>
    <w:multiLevelType w:val="hybridMultilevel"/>
    <w:lvl w:ilvl="0">
      <w:lvlJc w:val="left"/>
      <w:lvlText w:val="(%1)"/>
      <w:numFmt w:val="lowerLetter"/>
      <w:start w:val="7"/>
    </w:lvl>
    <w:lvl w:ilvl="1">
      <w:lvlJc w:val="left"/>
      <w:lvlText w:val="(%2)"/>
      <w:numFmt w:val="lowerRoman"/>
      <w:start w:val="1"/>
    </w:lvl>
  </w:abstractNum>
  <w:abstractNum w:abstractNumId="108">
    <w:nsid w:val="2AE05A34"/>
    <w:multiLevelType w:val="hybridMultilevel"/>
    <w:lvl w:ilvl="0">
      <w:lvlJc w:val="left"/>
      <w:lvlText w:val="(%1)"/>
      <w:numFmt w:val="lowerLetter"/>
      <w:start w:val="1"/>
    </w:lvl>
    <w:lvl w:ilvl="1">
      <w:lvlJc w:val="left"/>
      <w:lvlText w:val="(%2)"/>
      <w:numFmt w:val="lowerRoman"/>
      <w:start w:val="1"/>
    </w:lvl>
  </w:abstractNum>
  <w:abstractNum w:abstractNumId="109">
    <w:nsid w:val="32794FF7"/>
    <w:multiLevelType w:val="hybridMultilevel"/>
    <w:lvl w:ilvl="0">
      <w:lvlJc w:val="left"/>
      <w:lvlText w:val="(%1)"/>
      <w:numFmt w:val="lowerRoman"/>
      <w:start w:val="4"/>
    </w:lvl>
  </w:abstractNum>
  <w:abstractNum w:abstractNumId="110">
    <w:nsid w:val="5454945E"/>
    <w:multiLevelType w:val="hybridMultilevel"/>
    <w:lvl w:ilvl="0">
      <w:lvlJc w:val="left"/>
      <w:lvlText w:val="(%1)"/>
      <w:numFmt w:val="lowerLetter"/>
      <w:start w:val="1"/>
    </w:lvl>
  </w:abstractNum>
  <w:abstractNum w:abstractNumId="111">
    <w:nsid w:val="4DEFDFA0"/>
    <w:multiLevelType w:val="hybridMultilevel"/>
    <w:lvl w:ilvl="0">
      <w:lvlJc w:val="left"/>
      <w:lvlText w:val="(%1)"/>
      <w:numFmt w:val="lowerLetter"/>
      <w:start w:val="1"/>
    </w:lvl>
  </w:abstractNum>
  <w:abstractNum w:abstractNumId="112">
    <w:nsid w:val="2123D5F2"/>
    <w:multiLevelType w:val="hybridMultilevel"/>
    <w:lvl w:ilvl="0">
      <w:lvlJc w:val="left"/>
      <w:lvlText w:val="(%1)"/>
      <w:numFmt w:val="lowerLetter"/>
      <w:start w:val="1"/>
    </w:lvl>
  </w:abstractNum>
  <w:abstractNum w:abstractNumId="113">
    <w:nsid w:val="135B8110"/>
    <w:multiLevelType w:val="hybridMultilevel"/>
    <w:lvl w:ilvl="0">
      <w:lvlJc w:val="left"/>
      <w:lvlText w:val="(%1)"/>
      <w:numFmt w:val="lowerLetter"/>
      <w:start w:val="3"/>
    </w:lvl>
  </w:abstractNum>
  <w:abstractNum w:abstractNumId="114">
    <w:nsid w:val="94927A8"/>
    <w:multiLevelType w:val="hybridMultilevel"/>
    <w:lvl w:ilvl="0">
      <w:lvlJc w:val="left"/>
      <w:lvlText w:val="(%1)"/>
      <w:numFmt w:val="lowerLetter"/>
      <w:start w:val="1"/>
    </w:lvl>
  </w:abstractNum>
  <w:abstractNum w:abstractNumId="115">
    <w:nsid w:val="DCDF8F6"/>
    <w:multiLevelType w:val="hybridMultilevel"/>
    <w:lvl w:ilvl="0">
      <w:lvlJc w:val="left"/>
      <w:lvlText w:val="(%1)"/>
      <w:numFmt w:val="lowerLetter"/>
      <w:start w:val="1"/>
    </w:lvl>
  </w:abstractNum>
  <w:abstractNum w:abstractNumId="116">
    <w:nsid w:val="52D7B105"/>
    <w:multiLevelType w:val="hybridMultilevel"/>
    <w:lvl w:ilvl="0">
      <w:lvlJc w:val="left"/>
      <w:lvlText w:val="(%1)"/>
      <w:numFmt w:val="lowerRoman"/>
      <w:start w:val="1"/>
    </w:lvl>
  </w:abstractNum>
  <w:abstractNum w:abstractNumId="117">
    <w:nsid w:val="2E8A6394"/>
    <w:multiLevelType w:val="hybridMultilevel"/>
    <w:lvl w:ilvl="0">
      <w:lvlJc w:val="left"/>
      <w:lvlText w:val="(%1)"/>
      <w:numFmt w:val="lowerRoman"/>
      <w:start w:val="2"/>
    </w:lvl>
  </w:abstractNum>
  <w:abstractNum w:abstractNumId="118">
    <w:nsid w:val="24E60401"/>
    <w:multiLevelType w:val="hybridMultilevel"/>
    <w:lvl w:ilvl="0">
      <w:lvlJc w:val="left"/>
      <w:lvlText w:val="(%1)"/>
      <w:numFmt w:val="lowerLetter"/>
      <w:start w:val="1"/>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
      <w:numFmt w:val="bullet"/>
      <w:start w:val="1"/>
    </w:lvl>
    <w:lvl w:ilvl="1">
      <w:lvlJc w:val="left"/>
      <w:lvlText w:val="(%2)"/>
      <w:numFmt w:val="lowerLetter"/>
      <w:start w:val="2"/>
    </w:lvl>
  </w:abstractNum>
  <w:abstractNum w:abstractNumId="121">
    <w:nsid w:val="36B2ACBC"/>
    <w:multiLevelType w:val="hybridMultilevel"/>
    <w:lvl w:ilvl="0">
      <w:lvlJc w:val="left"/>
      <w:lvlText w:val="§"/>
      <w:numFmt w:val="bullet"/>
      <w:start w:val="1"/>
    </w:lvl>
    <w:lvl w:ilvl="1">
      <w:lvlJc w:val="left"/>
      <w:lvlText w:val="(%2)"/>
      <w:numFmt w:val="lowerLetter"/>
      <w:start w:val="3"/>
    </w:lvl>
  </w:abstractNum>
  <w:abstractNum w:abstractNumId="122">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3">
    <w:nsid w:val="4AB26E78"/>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35"/>
    </w:lvl>
  </w:abstractNum>
  <w:abstractNum w:abstractNumId="124">
    <w:nsid w:val="21FAA2FA"/>
    <w:multiLevelType w:val="hybridMultilevel"/>
    <w:lvl w:ilvl="0">
      <w:lvlJc w:val="left"/>
      <w:lvlText w:val="(%1)"/>
      <w:numFmt w:val="lowerLetter"/>
      <w:start w:val="1"/>
    </w:lvl>
    <w:lvl w:ilvl="1">
      <w:lvlJc w:val="left"/>
      <w:lvlText w:val="(%2)"/>
      <w:numFmt w:val="lowerRoman"/>
      <w:start w:val="1"/>
    </w:lvl>
  </w:abstractNum>
  <w:abstractNum w:abstractNumId="125">
    <w:nsid w:val="5451CF49"/>
    <w:multiLevelType w:val="hybridMultilevel"/>
    <w:lvl w:ilvl="0">
      <w:lvlJc w:val="left"/>
      <w:lvlText w:val="(%1)"/>
      <w:numFmt w:val="lowerLetter"/>
      <w:start w:val="1"/>
    </w:lvl>
  </w:abstractNum>
  <w:abstractNum w:abstractNumId="126">
    <w:nsid w:val="6181EF69"/>
    <w:multiLevelType w:val="hybridMultilevel"/>
    <w:lvl w:ilvl="0">
      <w:lvlJc w:val="left"/>
      <w:lvlText w:val="(%1)"/>
      <w:numFmt w:val="lowerLetter"/>
      <w:start w:val="2"/>
    </w:lvl>
    <w:lvl w:ilvl="1">
      <w:lvlJc w:val="left"/>
      <w:lvlText w:val="(%2)"/>
      <w:numFmt w:val="lowerRoman"/>
      <w:start w:val="1"/>
    </w:lvl>
  </w:abstractNum>
  <w:abstractNum w:abstractNumId="127">
    <w:nsid w:val="3E6400E6"/>
    <w:multiLevelType w:val="hybridMultilevel"/>
    <w:lvl w:ilvl="0">
      <w:lvlJc w:val="left"/>
      <w:lvlText w:val="(%1)"/>
      <w:numFmt w:val="lowerLetter"/>
      <w:start w:val="1"/>
    </w:lvl>
    <w:lvl w:ilvl="1">
      <w:lvlJc w:val="left"/>
      <w:lvlText w:val="(%2)"/>
      <w:numFmt w:val="lowerRoman"/>
      <w:start w:val="1"/>
    </w:lvl>
  </w:abstractNum>
  <w:abstractNum w:abstractNumId="128">
    <w:nsid w:val="14217E23"/>
    <w:multiLevelType w:val="hybridMultilevel"/>
    <w:lvl w:ilvl="0">
      <w:lvlJc w:val="left"/>
      <w:lvlText w:val="(%1)"/>
      <w:numFmt w:val="lowerRoman"/>
      <w:start w:val="2"/>
    </w:lvl>
  </w:abstractNum>
  <w:abstractNum w:abstractNumId="129">
    <w:nsid w:val="710757D0"/>
    <w:multiLevelType w:val="hybridMultilevel"/>
    <w:lvl w:ilvl="0">
      <w:lvlJc w:val="left"/>
      <w:lvlText w:val="(%1)"/>
      <w:numFmt w:val="lowerLetter"/>
      <w:start w:val="1"/>
    </w:lvl>
  </w:abstractNum>
  <w:abstractNum w:abstractNumId="130">
    <w:nsid w:val="5015CD1A"/>
    <w:multiLevelType w:val="hybridMultilevel"/>
    <w:lvl w:ilvl="0">
      <w:lvlJc w:val="left"/>
      <w:lvlText w:val="(%1)"/>
      <w:numFmt w:val="lowerLetter"/>
      <w:start w:val="2"/>
    </w:lvl>
  </w:abstractNum>
  <w:abstractNum w:abstractNumId="131">
    <w:nsid w:val="424479DA"/>
    <w:multiLevelType w:val="hybridMultilevel"/>
    <w:lvl w:ilvl="0">
      <w:lvlJc w:val="left"/>
      <w:lvlText w:val="(%1)"/>
      <w:numFmt w:val="lowerLetter"/>
      <w:start w:val="1"/>
    </w:lvl>
  </w:abstractNum>
  <w:abstractNum w:abstractNumId="132">
    <w:nsid w:val="1A9A9E69"/>
    <w:multiLevelType w:val="hybridMultilevel"/>
    <w:lvl w:ilvl="0">
      <w:lvlJc w:val="left"/>
      <w:lvlText w:val="(%1)"/>
      <w:numFmt w:val="lowerLetter"/>
      <w:start w:val="3"/>
    </w:lvl>
  </w:abstractNum>
  <w:abstractNum w:abstractNumId="133">
    <w:nsid w:val="475E256A"/>
    <w:multiLevelType w:val="hybridMultilevel"/>
    <w:lvl w:ilvl="0">
      <w:lvlJc w:val="left"/>
      <w:lvlText w:val="(%1)"/>
      <w:numFmt w:val="lowerLetter"/>
      <w:start w:val="1"/>
    </w:lvl>
    <w:lvl w:ilvl="1">
      <w:lvlJc w:val="left"/>
      <w:lvlText w:val="(%2)"/>
      <w:numFmt w:val="lowerRoman"/>
      <w:start w:val="1"/>
    </w:lvl>
  </w:abstractNum>
  <w:abstractNum w:abstractNumId="134">
    <w:nsid w:val="368DB37E"/>
    <w:multiLevelType w:val="hybridMultilevel"/>
    <w:lvl w:ilvl="0">
      <w:lvlJc w:val="left"/>
      <w:lvlText w:val="(%1)"/>
      <w:numFmt w:val="lowerLetter"/>
      <w:start w:val="1"/>
    </w:lvl>
  </w:abstractNum>
  <w:abstractNum w:abstractNumId="135">
    <w:nsid w:val="6A3B714C"/>
    <w:multiLevelType w:val="hybridMultilevel"/>
    <w:lvl w:ilvl="0">
      <w:lvlJc w:val="left"/>
      <w:lvlText w:val="(%1)"/>
      <w:numFmt w:val="lowerLetter"/>
      <w:start w:val="2"/>
    </w:lvl>
    <w:lvl w:ilvl="1">
      <w:lvlJc w:val="left"/>
      <w:lvlText w:val="(%2)"/>
      <w:numFmt w:val="lowerRoman"/>
      <w:start w:val="1"/>
    </w:lvl>
  </w:abstractNum>
  <w:abstractNum w:abstractNumId="136">
    <w:nsid w:val="327B517E"/>
    <w:multiLevelType w:val="hybridMultilevel"/>
    <w:lvl w:ilvl="0">
      <w:lvlJc w:val="left"/>
      <w:lvlText w:val="(%1)"/>
      <w:numFmt w:val="lowerLetter"/>
      <w:start w:val="1"/>
    </w:lvl>
  </w:abstractNum>
  <w:abstractNum w:abstractNumId="137">
    <w:nsid w:val="1F461B51"/>
    <w:multiLevelType w:val="hybridMultilevel"/>
    <w:lvl w:ilvl="0">
      <w:lvlJc w:val="left"/>
      <w:lvlText w:val="(%1)"/>
      <w:numFmt w:val="lowerLetter"/>
      <w:start w:val="1"/>
    </w:lvl>
  </w:abstractNum>
  <w:abstractNum w:abstractNumId="138">
    <w:nsid w:val="29BACF25"/>
    <w:multiLevelType w:val="hybridMultilevel"/>
    <w:lvl w:ilvl="0">
      <w:lvlJc w:val="left"/>
      <w:lvlText w:val="(%1)"/>
      <w:numFmt w:val="lowerLetter"/>
      <w:start w:val="1"/>
    </w:lvl>
    <w:lvl w:ilvl="1">
      <w:lvlJc w:val="left"/>
      <w:lvlText w:val="(%2)"/>
      <w:numFmt w:val="lowerRoman"/>
      <w:start w:val="1"/>
    </w:lvl>
  </w:abstractNum>
  <w:abstractNum w:abstractNumId="139">
    <w:nsid w:val="5D5BABB3"/>
    <w:multiLevelType w:val="hybridMultilevel"/>
    <w:lvl w:ilvl="0">
      <w:lvlJc w:val="left"/>
      <w:lvlText w:val="(%1)"/>
      <w:numFmt w:val="lowerLetter"/>
      <w:start w:val="1"/>
    </w:lvl>
  </w:abstractNum>
  <w:abstractNum w:abstractNumId="140">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7E0F638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2B4B8B53"/>
    <w:multiLevelType w:val="hybridMultilevel"/>
    <w:lvl w:ilvl="0">
      <w:lvlJc w:val="left"/>
      <w:lvlText w:val="(%1)"/>
      <w:numFmt w:val="lowerLetter"/>
      <w:start w:val="3"/>
    </w:lvl>
  </w:abstractNum>
  <w:abstractNum w:abstractNumId="143">
    <w:nsid w:val="72E3413A"/>
    <w:multiLevelType w:val="hybridMultilevel"/>
    <w:lvl w:ilvl="0">
      <w:lvlJc w:val="left"/>
      <w:lvlText w:val="(%1)"/>
      <w:numFmt w:val="lowerLetter"/>
      <w:start w:val="1"/>
    </w:lvl>
  </w:abstractNum>
  <w:abstractNum w:abstractNumId="144">
    <w:nsid w:val="116AE494"/>
    <w:multiLevelType w:val="hybridMultilevel"/>
    <w:lvl w:ilvl="0">
      <w:lvlJc w:val="left"/>
      <w:lvlText w:val="(%1)"/>
      <w:numFmt w:val="lowerLetter"/>
      <w:start w:val="3"/>
    </w:lvl>
  </w:abstractNum>
  <w:abstractNum w:abstractNumId="145">
    <w:nsid w:val="3494B2FB"/>
    <w:multiLevelType w:val="hybridMultilevel"/>
    <w:lvl w:ilvl="0">
      <w:lvlJc w:val="left"/>
      <w:lvlText w:val="(%1)"/>
      <w:numFmt w:val="lowerLetter"/>
      <w:start w:val="1"/>
    </w:lvl>
    <w:lvl w:ilvl="1">
      <w:lvlJc w:val="left"/>
      <w:lvlText w:val="(%2)"/>
      <w:numFmt w:val="lowerRoman"/>
      <w:start w:val="1"/>
    </w:lvl>
  </w:abstractNum>
  <w:abstractNum w:abstractNumId="146">
    <w:nsid w:val="B13A31"/>
    <w:multiLevelType w:val="hybridMultilevel"/>
    <w:lvl w:ilvl="0">
      <w:lvlJc w:val="left"/>
      <w:lvlText w:val="%1"/>
      <w:numFmt w:val="lowerLetter"/>
      <w:start w:val="1"/>
    </w:lvl>
    <w:lvl w:ilvl="1">
      <w:lvlJc w:val="left"/>
      <w:lvlText w:val="(%2)"/>
      <w:numFmt w:val="lowerLetter"/>
      <w:start w:val="61"/>
    </w:lvl>
  </w:abstractNum>
  <w:abstractNum w:abstractNumId="147">
    <w:nsid w:val="64429599"/>
    <w:multiLevelType w:val="hybridMultilevel"/>
    <w:lvl w:ilvl="0">
      <w:lvlJc w:val="left"/>
      <w:lvlText w:val="(%1)"/>
      <w:numFmt w:val="lowerLetter"/>
      <w:start w:val="3"/>
    </w:lvl>
    <w:lvl w:ilvl="1">
      <w:lvlJc w:val="left"/>
      <w:lvlText w:val="(%2)"/>
      <w:numFmt w:val="lowerLetter"/>
      <w:start w:val="9"/>
    </w:lvl>
  </w:abstractNum>
  <w:abstractNum w:abstractNumId="148">
    <w:nsid w:val="631F1690"/>
    <w:multiLevelType w:val="hybridMultilevel"/>
    <w:lvl w:ilvl="0">
      <w:lvlJc w:val="left"/>
      <w:lvlText w:val="%1"/>
      <w:numFmt w:val="lowerLetter"/>
      <w:start w:val="1"/>
    </w:lvl>
    <w:lvl w:ilvl="1">
      <w:lvlJc w:val="left"/>
      <w:lvlText w:val="(%2)"/>
      <w:numFmt w:val="lowerLetter"/>
      <w:start w:val="35"/>
    </w:lvl>
  </w:abstractNum>
  <w:abstractNum w:abstractNumId="149">
    <w:nsid w:val="25973E32"/>
    <w:multiLevelType w:val="hybridMultilevel"/>
    <w:lvl w:ilvl="0">
      <w:lvlJc w:val="left"/>
      <w:lvlText w:val="(%1)"/>
      <w:numFmt w:val="lowerLetter"/>
      <w:start w:val="4"/>
    </w:lvl>
    <w:lvl w:ilvl="1">
      <w:lvlJc w:val="left"/>
      <w:lvlText w:val="%2"/>
      <w:numFmt w:val="lowerLetter"/>
      <w:start w:val="1"/>
    </w:lvl>
  </w:abstractNum>
  <w:abstractNum w:abstractNumId="150">
    <w:nsid w:val="EAD6F57"/>
    <w:multiLevelType w:val="hybridMultilevel"/>
    <w:lvl w:ilvl="0">
      <w:lvlJc w:val="left"/>
      <w:lvlText w:val="(%1)"/>
      <w:numFmt w:val="lowerLetter"/>
      <w:start w:val="1"/>
    </w:lvl>
  </w:abstractNum>
  <w:abstractNum w:abstractNumId="151">
    <w:nsid w:val="6EC9D844"/>
    <w:multiLevelType w:val="hybridMultilevel"/>
    <w:lvl w:ilvl="0">
      <w:lvlJc w:val="left"/>
      <w:lvlText w:val="(%1)"/>
      <w:numFmt w:val="lowerLetter"/>
      <w:start w:val="2"/>
    </w:lvl>
  </w:abstractNum>
  <w:abstractNum w:abstractNumId="152">
    <w:nsid w:val="5C49EAEE"/>
    <w:multiLevelType w:val="hybridMultilevel"/>
    <w:lvl w:ilvl="0">
      <w:lvlJc w:val="left"/>
      <w:lvlText w:val="(%1)"/>
      <w:numFmt w:val="lowerLetter"/>
      <w:start w:val="7"/>
    </w:lvl>
  </w:abstractNum>
  <w:abstractNum w:abstractNumId="153">
    <w:nsid w:val="64AF49B"/>
    <w:multiLevelType w:val="hybridMultilevel"/>
    <w:lvl w:ilvl="0">
      <w:lvlJc w:val="left"/>
      <w:lvlText w:val="(%1)"/>
      <w:numFmt w:val="lowerLetter"/>
      <w:start w:val="1"/>
    </w:lvl>
  </w:abstractNum>
  <w:abstractNum w:abstractNumId="154">
    <w:nsid w:val="397C46BC"/>
    <w:multiLevelType w:val="hybridMultilevel"/>
    <w:lvl w:ilvl="0">
      <w:lvlJc w:val="left"/>
      <w:lvlText w:val="(%1)"/>
      <w:numFmt w:val="lowerLetter"/>
      <w:start w:val="2"/>
    </w:lvl>
  </w:abstractNum>
  <w:abstractNum w:abstractNumId="155">
    <w:nsid w:val="7E448DE9"/>
    <w:multiLevelType w:val="hybridMultilevel"/>
    <w:lvl w:ilvl="0">
      <w:lvlJc w:val="left"/>
      <w:lvlText w:val="(%1)"/>
      <w:numFmt w:val="lowerLetter"/>
      <w:start w:val="1"/>
    </w:lvl>
  </w:abstractNum>
  <w:abstractNum w:abstractNumId="156">
    <w:nsid w:val="5A9CC3E5"/>
    <w:multiLevelType w:val="hybridMultilevel"/>
    <w:lvl w:ilvl="0">
      <w:lvlJc w:val="left"/>
      <w:lvlText w:val="(%1)"/>
      <w:numFmt w:val="lowerLetter"/>
      <w:start w:val="2"/>
    </w:lvl>
  </w:abstractNum>
  <w:abstractNum w:abstractNumId="157">
    <w:nsid w:val="1AFE3625"/>
    <w:multiLevelType w:val="hybridMultilevel"/>
    <w:lvl w:ilvl="0">
      <w:lvlJc w:val="left"/>
      <w:lvlText w:val="(%1)"/>
      <w:numFmt w:val="lowerLetter"/>
      <w:start w:val="1"/>
    </w:lvl>
  </w:abstractNum>
  <w:abstractNum w:abstractNumId="158">
    <w:nsid w:val="3CA88ECF"/>
    <w:multiLevelType w:val="hybridMultilevel"/>
    <w:lvl w:ilvl="0">
      <w:lvlJc w:val="left"/>
      <w:lvlText w:val="(%1)"/>
      <w:numFmt w:val="lowerLetter"/>
      <w:start w:val="3"/>
    </w:lvl>
  </w:abstractNum>
  <w:abstractNum w:abstractNumId="159">
    <w:nsid w:val="6EBE4208"/>
    <w:multiLevelType w:val="hybridMultilevel"/>
    <w:lvl w:ilvl="0">
      <w:lvlJc w:val="left"/>
      <w:lvlText w:val="(%1)"/>
      <w:numFmt w:val="lowerLetter"/>
      <w:start w:val="1"/>
    </w:lvl>
  </w:abstractNum>
  <w:abstractNum w:abstractNumId="160">
    <w:nsid w:val="C058DF5"/>
    <w:multiLevelType w:val="hybridMultilevel"/>
    <w:lvl w:ilvl="0">
      <w:lvlJc w:val="left"/>
      <w:lvlText w:val="%1"/>
      <w:numFmt w:val="lowerLetter"/>
      <w:start w:val="1"/>
    </w:lvl>
    <w:lvl w:ilvl="1">
      <w:lvlJc w:val="left"/>
      <w:lvlText w:val="(%2)"/>
      <w:numFmt w:val="lowerRoman"/>
      <w:start w:val="1"/>
    </w:lvl>
  </w:abstractNum>
  <w:abstractNum w:abstractNumId="161">
    <w:nsid w:val="CBE5BE9"/>
    <w:multiLevelType w:val="hybridMultilevel"/>
    <w:lvl w:ilvl="0">
      <w:lvlJc w:val="left"/>
      <w:lvlText w:val="(%1)"/>
      <w:numFmt w:val="lowerLetter"/>
      <w:start w:val="2"/>
    </w:lvl>
    <w:lvl w:ilvl="1">
      <w:lvlJc w:val="left"/>
      <w:lvlText w:val="%2"/>
      <w:numFmt w:val="lowerRoman"/>
      <w:start w:val="1"/>
    </w:lvl>
  </w:abstractNum>
  <w:abstractNum w:abstractNumId="162">
    <w:nsid w:val="3102BBE2"/>
    <w:multiLevelType w:val="hybridMultilevel"/>
    <w:lvl w:ilvl="0">
      <w:lvlJc w:val="left"/>
      <w:lvlText w:val="(%1)"/>
      <w:numFmt w:val="lowerRoman"/>
      <w:start w:val="1"/>
    </w:lvl>
  </w:abstractNum>
  <w:abstractNum w:abstractNumId="163">
    <w:nsid w:val="26A02C5E"/>
    <w:multiLevelType w:val="hybridMultilevel"/>
    <w:lvl w:ilvl="0">
      <w:lvlJc w:val="left"/>
      <w:lvlText w:val="(%1)"/>
      <w:numFmt w:val="lowerRoman"/>
      <w:start w:val="1"/>
    </w:lvl>
  </w:abstractNum>
  <w:abstractNum w:abstractNumId="164">
    <w:nsid w:val="541C8153"/>
    <w:multiLevelType w:val="hybridMultilevel"/>
    <w:lvl w:ilvl="0">
      <w:lvlJc w:val="left"/>
      <w:lvlText w:val="%1"/>
      <w:numFmt w:val="upperLetter"/>
      <w:start w:val="1"/>
    </w:lvl>
    <w:lvl w:ilvl="1">
      <w:lvlJc w:val="left"/>
      <w:lvlText w:val="(%2)"/>
      <w:numFmt w:val="lowerRoman"/>
      <w:start w:val="1"/>
    </w:lvl>
  </w:abstractNum>
  <w:abstractNum w:abstractNumId="165">
    <w:nsid w:val="67906F60"/>
    <w:multiLevelType w:val="hybridMultilevel"/>
    <w:lvl w:ilvl="0">
      <w:lvlJc w:val="left"/>
      <w:lvlText w:val="(%1)"/>
      <w:numFmt w:val="upperLetter"/>
      <w:start w:val="3"/>
    </w:lvl>
    <w:lvl w:ilvl="1">
      <w:lvlJc w:val="left"/>
      <w:lvlText w:val="(%2)"/>
      <w:numFmt w:val="lowerRoman"/>
      <w:start w:val="3"/>
    </w:lvl>
  </w:abstractNum>
  <w:abstractNum w:abstractNumId="166">
    <w:nsid w:val="10DB9DAA"/>
    <w:multiLevelType w:val="hybridMultilevel"/>
    <w:lvl w:ilvl="0">
      <w:lvlJc w:val="left"/>
      <w:lvlText w:val="(%1)"/>
      <w:numFmt w:val="lowerLetter"/>
      <w:start w:val="2"/>
    </w:lvl>
  </w:abstractNum>
  <w:abstractNum w:abstractNumId="167">
    <w:nsid w:val="697D2D2"/>
    <w:multiLevelType w:val="hybridMultilevel"/>
    <w:lvl w:ilvl="0">
      <w:lvlJc w:val="left"/>
      <w:lvlText w:val="(%1)"/>
      <w:numFmt w:val="lowerLetter"/>
      <w:start w:val="1"/>
    </w:lvl>
  </w:abstractNum>
  <w:abstractNum w:abstractNumId="168">
    <w:nsid w:val="6D68AB2"/>
    <w:multiLevelType w:val="hybridMultilevel"/>
    <w:lvl w:ilvl="0">
      <w:lvlJc w:val="left"/>
      <w:lvlText w:val="%1"/>
      <w:numFmt w:val="lowerRoman"/>
      <w:start w:val="1"/>
    </w:lvl>
    <w:lvl w:ilvl="1">
      <w:lvlJc w:val="left"/>
      <w:lvlText w:val="(%2)"/>
      <w:numFmt w:val="lowerRoman"/>
      <w:start w:val="1"/>
    </w:lvl>
  </w:abstractNum>
  <w:abstractNum w:abstractNumId="169">
    <w:nsid w:val="3A966CD0"/>
    <w:multiLevelType w:val="hybridMultilevel"/>
    <w:lvl w:ilvl="0">
      <w:lvlJc w:val="left"/>
      <w:lvlText w:val="(%1)"/>
      <w:numFmt w:val="lowerRoman"/>
      <w:start w:val="2"/>
    </w:lvl>
    <w:lvl w:ilvl="1">
      <w:lvlJc w:val="left"/>
      <w:lvlText w:val="(%2)"/>
      <w:numFmt w:val="lowerRoman"/>
      <w:start w:val="4"/>
    </w:lvl>
  </w:abstractNum>
  <w:abstractNum w:abstractNumId="170">
    <w:nsid w:val="63F37E85"/>
    <w:multiLevelType w:val="hybridMultilevel"/>
    <w:lvl w:ilvl="0">
      <w:lvlJc w:val="left"/>
      <w:lvlText w:val="(%1)"/>
      <w:numFmt w:val="lowerRoman"/>
      <w:start w:val="8"/>
    </w:lvl>
  </w:abstractNum>
  <w:abstractNum w:abstractNumId="171">
    <w:nsid w:val="5895F5FA"/>
    <w:multiLevelType w:val="hybridMultilevel"/>
    <w:lvl w:ilvl="0">
      <w:lvlJc w:val="left"/>
      <w:lvlText w:val="(%1)"/>
      <w:numFmt w:val="lowerLetter"/>
      <w:start w:val="1"/>
    </w:lvl>
  </w:abstractNum>
  <w:abstractNum w:abstractNumId="172">
    <w:nsid w:val="38A5D054"/>
    <w:multiLevelType w:val="hybridMultilevel"/>
    <w:lvl w:ilvl="0">
      <w:lvlJc w:val="left"/>
      <w:lvlText w:val="(%1)"/>
      <w:numFmt w:val="lowerLetter"/>
      <w:start w:val="2"/>
    </w:lvl>
  </w:abstractNum>
  <w:abstractNum w:abstractNumId="173">
    <w:nsid w:val="F3F09D8"/>
    <w:multiLevelType w:val="hybridMultilevel"/>
    <w:lvl w:ilvl="0">
      <w:lvlJc w:val="left"/>
      <w:lvlText w:val="%1."/>
      <w:numFmt w:val="decimal"/>
      <w:start w:val="1"/>
    </w:lvl>
  </w:abstractNum>
  <w:abstractNum w:abstractNumId="174">
    <w:nsid w:val="4B793735"/>
    <w:multiLevelType w:val="hybridMultilevel"/>
    <w:lvl w:ilvl="0">
      <w:lvlJc w:val="left"/>
      <w:lvlText w:val="%1."/>
      <w:numFmt w:val="decimal"/>
      <w:start w:val="2"/>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5"/>
    </w:lvl>
  </w:abstractNum>
  <w:abstractNum w:abstractNumId="177">
    <w:nsid w:val="4C2A7166"/>
    <w:multiLevelType w:val="hybridMultilevel"/>
    <w:lvl w:ilvl="0">
      <w:lvlJc w:val="left"/>
      <w:lvlText w:val="(%1)"/>
      <w:numFmt w:val="lowerLetter"/>
      <w:start w:val="1"/>
    </w:lvl>
    <w:lvl w:ilvl="1">
      <w:lvlJc w:val="left"/>
      <w:lvlText w:val="(%2)"/>
      <w:numFmt w:val="lowerRoman"/>
      <w:start w:val="1"/>
    </w:lvl>
  </w:abstractNum>
  <w:abstractNum w:abstractNumId="178">
    <w:nsid w:val="2E534A82"/>
    <w:multiLevelType w:val="hybridMultilevel"/>
    <w:lvl w:ilvl="0">
      <w:lvlJc w:val="left"/>
      <w:lvlText w:val="%1"/>
      <w:numFmt w:val="lowerLetter"/>
      <w:start w:val="1"/>
    </w:lvl>
    <w:lvl w:ilvl="1">
      <w:lvlJc w:val="left"/>
      <w:lvlText w:val="(%2)"/>
      <w:numFmt w:val="lowerRoman"/>
      <w:start w:val="4"/>
    </w:lvl>
  </w:abstractNum>
  <w:abstractNum w:abstractNumId="179">
    <w:nsid w:val="26F2D364"/>
    <w:multiLevelType w:val="hybridMultilevel"/>
    <w:lvl w:ilvl="0">
      <w:lvlJc w:val="left"/>
      <w:lvlText w:val="(%1)"/>
      <w:numFmt w:val="lowerLetter"/>
      <w:start w:val="2"/>
    </w:lvl>
    <w:lvl w:ilvl="1">
      <w:lvlJc w:val="left"/>
      <w:lvlText w:val="%2"/>
      <w:numFmt w:val="lowerRoman"/>
      <w:start w:val="1"/>
    </w:lvl>
  </w:abstractNum>
  <w:abstractNum w:abstractNumId="180">
    <w:nsid w:val="71C1AF98"/>
    <w:multiLevelType w:val="hybridMultilevel"/>
    <w:lvl w:ilvl="0">
      <w:lvlJc w:val="left"/>
      <w:lvlText w:val="(%1)"/>
      <w:numFmt w:val="lowerLetter"/>
      <w:start w:val="1"/>
    </w:lvl>
  </w:abstractNum>
  <w:abstractNum w:abstractNumId="181">
    <w:nsid w:val="3D00B9D9"/>
    <w:multiLevelType w:val="hybridMultilevel"/>
    <w:lvl w:ilvl="0">
      <w:lvlJc w:val="left"/>
      <w:lvlText w:val="(%1)"/>
      <w:numFmt w:val="lowerLetter"/>
      <w:start w:val="2"/>
    </w:lvl>
  </w:abstractNum>
  <w:abstractNum w:abstractNumId="182">
    <w:nsid w:val="15BCABA8"/>
    <w:multiLevelType w:val="hybridMultilevel"/>
    <w:lvl w:ilvl="0">
      <w:lvlJc w:val="left"/>
      <w:lvlText w:val="(%1)"/>
      <w:numFmt w:val="lowerLetter"/>
      <w:start w:val="1"/>
    </w:lvl>
  </w:abstractNum>
  <w:abstractNum w:abstractNumId="183">
    <w:nsid w:val="4E0B9A87"/>
    <w:multiLevelType w:val="hybridMultilevel"/>
    <w:lvl w:ilvl="0">
      <w:lvlJc w:val="left"/>
      <w:lvlText w:val="(%1)"/>
      <w:numFmt w:val="lowerLetter"/>
      <w:start w:val="1"/>
    </w:lvl>
    <w:lvl w:ilvl="1">
      <w:lvlJc w:val="left"/>
      <w:lvlText w:val="(%2)"/>
      <w:numFmt w:val="lowerLetter"/>
      <w:start w:val="9"/>
    </w:lvl>
  </w:abstractNum>
  <w:abstractNum w:abstractNumId="184">
    <w:nsid w:val="434BAE75"/>
    <w:multiLevelType w:val="hybridMultilevel"/>
    <w:lvl w:ilvl="0">
      <w:lvlJc w:val="left"/>
      <w:lvlText w:val="(%1)"/>
      <w:numFmt w:val="lowerRoman"/>
      <w:start w:val="2"/>
    </w:lvl>
    <w:lvl w:ilvl="1">
      <w:lvlJc w:val="left"/>
      <w:lvlText w:val="(%2)"/>
      <w:numFmt w:val="upperLetter"/>
      <w:start w:val="1"/>
    </w:lvl>
  </w:abstractNum>
  <w:abstractNum w:abstractNumId="185">
    <w:nsid w:val="4F38F265"/>
    <w:multiLevelType w:val="hybridMultilevel"/>
    <w:lvl w:ilvl="0">
      <w:lvlJc w:val="left"/>
      <w:lvlText w:val="(%1)"/>
      <w:numFmt w:val="lowerLetter"/>
      <w:start w:val="1"/>
    </w:lvl>
    <w:lvl w:ilvl="1">
      <w:lvlJc w:val="left"/>
      <w:lvlText w:val="(%2)"/>
      <w:numFmt w:val="lowerLetter"/>
      <w:start w:val="9"/>
    </w:lvl>
  </w:abstractNum>
  <w:abstractNum w:abstractNumId="186">
    <w:nsid w:val="4C502870"/>
    <w:multiLevelType w:val="hybridMultilevel"/>
    <w:lvl w:ilvl="0">
      <w:lvlJc w:val="left"/>
      <w:lvlText w:val="%1"/>
      <w:numFmt w:val="lowerLetter"/>
      <w:start w:val="1"/>
    </w:lvl>
    <w:lvl w:ilvl="1">
      <w:lvlJc w:val="left"/>
      <w:lvlText w:val="(%2)"/>
      <w:numFmt w:val="lowerRoman"/>
      <w:start w:val="2"/>
    </w:lvl>
  </w:abstractNum>
  <w:abstractNum w:abstractNumId="187">
    <w:nsid w:val="1DE8725A"/>
    <w:multiLevelType w:val="hybridMultilevel"/>
    <w:lvl w:ilvl="0">
      <w:lvlJc w:val="left"/>
      <w:lvlText w:val="(%1)"/>
      <w:numFmt w:val="lowerLetter"/>
      <w:start w:val="2"/>
    </w:lvl>
    <w:lvl w:ilvl="1">
      <w:lvlJc w:val="left"/>
      <w:lvlText w:val="%2"/>
      <w:numFmt w:val="lowerRoman"/>
      <w:start w:val="1"/>
    </w:lvl>
  </w:abstractNum>
  <w:abstractNum w:abstractNumId="188">
    <w:nsid w:val="6A37288A"/>
    <w:multiLevelType w:val="hybridMultilevel"/>
    <w:lvl w:ilvl="0">
      <w:lvlJc w:val="left"/>
      <w:lvlText w:val="(%1)"/>
      <w:numFmt w:val="lowerLetter"/>
      <w:start w:val="1"/>
    </w:lvl>
  </w:abstractNum>
  <w:abstractNum w:abstractNumId="189">
    <w:nsid w:val="8F8B73F"/>
    <w:multiLevelType w:val="hybridMultilevel"/>
    <w:lvl w:ilvl="0">
      <w:lvlJc w:val="left"/>
      <w:lvlText w:val="(%1)"/>
      <w:numFmt w:val="lowerLetter"/>
      <w:start w:val="1"/>
    </w:lvl>
  </w:abstractNum>
  <w:abstractNum w:abstractNumId="190">
    <w:nsid w:val="CA6B462"/>
    <w:multiLevelType w:val="hybridMultilevel"/>
    <w:lvl w:ilvl="0">
      <w:lvlJc w:val="left"/>
      <w:lvlText w:val="(%1)"/>
      <w:numFmt w:val="lowerLetter"/>
      <w:start w:val="1"/>
    </w:lvl>
  </w:abstractNum>
  <w:abstractNum w:abstractNumId="191">
    <w:nsid w:val="763CB680"/>
    <w:multiLevelType w:val="hybridMultilevel"/>
    <w:lvl w:ilvl="0">
      <w:lvlJc w:val="left"/>
      <w:lvlText w:val="(%1)"/>
      <w:numFmt w:val="lowerLetter"/>
      <w:start w:val="1"/>
    </w:lvl>
    <w:lvl w:ilvl="1">
      <w:lvlJc w:val="left"/>
      <w:lvlText w:val="(%2)"/>
      <w:numFmt w:val="lowerRoman"/>
      <w:start w:val="1"/>
    </w:lvl>
  </w:abstractNum>
  <w:abstractNum w:abstractNumId="192">
    <w:nsid w:val="15B71329"/>
    <w:multiLevelType w:val="hybridMultilevel"/>
    <w:lvl w:ilvl="0">
      <w:lvlJc w:val="left"/>
      <w:lvlText w:val="(%1)"/>
      <w:numFmt w:val="lowerLetter"/>
      <w:start w:val="4"/>
    </w:lvl>
  </w:abstractNum>
  <w:abstractNum w:abstractNumId="193">
    <w:nsid w:val="3DA97044"/>
    <w:multiLevelType w:val="hybridMultilevel"/>
    <w:lvl w:ilvl="0">
      <w:lvlJc w:val="left"/>
      <w:lvlText w:val="(%1)"/>
      <w:numFmt w:val="lowerLetter"/>
      <w:start w:val="1"/>
    </w:lvl>
  </w:abstractNum>
  <w:abstractNum w:abstractNumId="194">
    <w:nsid w:val="1CDCE2DE"/>
    <w:multiLevelType w:val="hybridMultilevel"/>
    <w:lvl w:ilvl="0">
      <w:lvlJc w:val="left"/>
      <w:lvlText w:val="(%1)"/>
      <w:numFmt w:val="lowerLetter"/>
      <w:start w:val="4"/>
    </w:lvl>
  </w:abstractNum>
  <w:abstractNum w:abstractNumId="195">
    <w:nsid w:val="69D3947C"/>
    <w:multiLevelType w:val="hybridMultilevel"/>
    <w:lvl w:ilvl="0">
      <w:lvlJc w:val="left"/>
      <w:lvlText w:val="(%1)"/>
      <w:numFmt w:val="lowerLetter"/>
      <w:start w:val="1"/>
    </w:lvl>
  </w:abstractNum>
  <w:abstractNum w:abstractNumId="196">
    <w:nsid w:val="2539DFA5"/>
    <w:multiLevelType w:val="hybridMultilevel"/>
    <w:lvl w:ilvl="0">
      <w:lvlJc w:val="left"/>
      <w:lvlText w:val="(%1)"/>
      <w:numFmt w:val="lowerRoman"/>
      <w:start w:val="1"/>
    </w:lvl>
  </w:abstractNum>
  <w:abstractNum w:abstractNumId="197">
    <w:nsid w:val="2DB88089"/>
    <w:multiLevelType w:val="hybridMultilevel"/>
    <w:lvl w:ilvl="0">
      <w:lvlJc w:val="left"/>
      <w:lvlText w:val="(%1)"/>
      <w:numFmt w:val="lowerRoman"/>
      <w:start w:val="2"/>
    </w:lvl>
    <w:lvl w:ilvl="1">
      <w:lvlJc w:val="left"/>
      <w:lvlText w:val="(%2)"/>
      <w:numFmt w:val="upperLetter"/>
      <w:start w:val="1"/>
    </w:lvl>
  </w:abstractNum>
  <w:abstractNum w:abstractNumId="198">
    <w:nsid w:val="706B674E"/>
    <w:multiLevelType w:val="hybridMultilevel"/>
    <w:lvl w:ilvl="0">
      <w:lvlJc w:val="left"/>
      <w:lvlText w:val="(%1)"/>
      <w:numFmt w:val="lowerLetter"/>
      <w:start w:val="1"/>
    </w:lvl>
  </w:abstractNum>
  <w:abstractNum w:abstractNumId="199">
    <w:nsid w:val="2C106A57"/>
    <w:multiLevelType w:val="hybridMultilevel"/>
    <w:lvl w:ilvl="0">
      <w:lvlJc w:val="left"/>
      <w:lvlText w:val="(%1)"/>
      <w:numFmt w:val="lowerLetter"/>
      <w:start w:val="3"/>
    </w:lvl>
  </w:abstractNum>
  <w:abstractNum w:abstractNumId="200">
    <w:nsid w:val="684EED59"/>
    <w:multiLevelType w:val="hybridMultilevel"/>
    <w:lvl w:ilvl="0">
      <w:lvlJc w:val="left"/>
      <w:lvlText w:val="(%1)"/>
      <w:numFmt w:val="lowerLetter"/>
      <w:start w:val="1"/>
    </w:lvl>
  </w:abstractNum>
  <w:abstractNum w:abstractNumId="201">
    <w:nsid w:val="545EE5D3"/>
    <w:multiLevelType w:val="hybridMultilevel"/>
    <w:lvl w:ilvl="0">
      <w:lvlJc w:val="left"/>
      <w:lvlText w:val="(%1)"/>
      <w:numFmt w:val="lowerLetter"/>
      <w:start w:val="2"/>
    </w:lvl>
  </w:abstractNum>
  <w:abstractNum w:abstractNumId="202">
    <w:nsid w:val="4A66051"/>
    <w:multiLevelType w:val="hybridMultilevel"/>
    <w:lvl w:ilvl="0">
      <w:lvlJc w:val="left"/>
      <w:lvlText w:val="(%1)"/>
      <w:numFmt w:val="lowerLetter"/>
      <w:start w:val="1"/>
    </w:lvl>
  </w:abstractNum>
  <w:abstractNum w:abstractNumId="203">
    <w:nsid w:val="20F4BDAD"/>
    <w:multiLevelType w:val="hybridMultilevel"/>
    <w:lvl w:ilvl="0">
      <w:lvlJc w:val="left"/>
      <w:lvlText w:val="(%1)"/>
      <w:numFmt w:val="lowerLetter"/>
      <w:start w:val="1"/>
    </w:lvl>
  </w:abstractNum>
  <w:abstractNum w:abstractNumId="204">
    <w:nsid w:val="639DEFAC"/>
    <w:multiLevelType w:val="hybridMultilevel"/>
    <w:lvl w:ilvl="0">
      <w:lvlJc w:val="left"/>
      <w:lvlText w:val="(%1)"/>
      <w:numFmt w:val="lowerLetter"/>
      <w:start w:val="5"/>
    </w:lvl>
  </w:abstractNum>
  <w:abstractNum w:abstractNumId="205">
    <w:nsid w:val="501F9786"/>
    <w:multiLevelType w:val="hybridMultilevel"/>
    <w:lvl w:ilvl="0">
      <w:lvlJc w:val="left"/>
      <w:lvlText w:val="%1."/>
      <w:numFmt w:val="lowerRoman"/>
      <w:start w:val="1"/>
    </w:lvl>
  </w:abstractNum>
  <w:abstractNum w:abstractNumId="206">
    <w:nsid w:val="6B057295"/>
    <w:multiLevelType w:val="hybridMultilevel"/>
    <w:lvl w:ilvl="0">
      <w:lvlJc w:val="left"/>
      <w:lvlText w:val="(%1)"/>
      <w:numFmt w:val="lowerLetter"/>
      <w:start w:val="25"/>
    </w:lvl>
  </w:abstractNum>
  <w:abstractNum w:abstractNumId="207">
    <w:nsid w:val="2771AC80"/>
    <w:multiLevelType w:val="hybridMultilevel"/>
    <w:lvl w:ilvl="0">
      <w:lvlJc w:val="left"/>
      <w:lvlText w:val="(%1)"/>
      <w:numFmt w:val="lowerLetter"/>
      <w:start w:val="1"/>
    </w:lvl>
  </w:abstractNum>
  <w:abstractNum w:abstractNumId="208">
    <w:nsid w:val="1C4A08EC"/>
    <w:multiLevelType w:val="hybridMultilevel"/>
    <w:lvl w:ilvl="0">
      <w:lvlJc w:val="left"/>
      <w:lvlText w:val="(%1)"/>
      <w:numFmt w:val="lowerLetter"/>
      <w:start w:val="2"/>
    </w:lvl>
  </w:abstractNum>
  <w:abstractNum w:abstractNumId="209">
    <w:nsid w:val="1958BD17"/>
    <w:multiLevelType w:val="hybridMultilevel"/>
    <w:lvl w:ilvl="0">
      <w:lvlJc w:val="left"/>
      <w:lvlText w:val="(%1)"/>
      <w:numFmt w:val="lowerLetter"/>
      <w:start w:val="3"/>
    </w:lvl>
  </w:abstractNum>
  <w:abstractNum w:abstractNumId="210">
    <w:nsid w:val="4E647FE4"/>
    <w:multiLevelType w:val="hybridMultilevel"/>
    <w:lvl w:ilvl="0">
      <w:lvlJc w:val="left"/>
      <w:lvlText w:val="(%1)"/>
      <w:numFmt w:val="lowerLetter"/>
      <w:start w:val="6"/>
    </w:lvl>
  </w:abstractNum>
  <w:abstractNum w:abstractNumId="211">
    <w:nsid w:val="E0BB885"/>
    <w:multiLevelType w:val="hybridMultilevel"/>
    <w:lvl w:ilvl="0">
      <w:lvlJc w:val="left"/>
      <w:lvlText w:val="(%1)"/>
      <w:numFmt w:val="lowerLetter"/>
      <w:start w:val="9"/>
    </w:lvl>
  </w:abstractNum>
  <w:abstractNum w:abstractNumId="212">
    <w:nsid w:val="565976F1"/>
    <w:multiLevelType w:val="hybridMultilevel"/>
    <w:lvl w:ilvl="0">
      <w:lvlJc w:val="left"/>
      <w:lvlText w:val="(%1)"/>
      <w:numFmt w:val="lowerLetter"/>
      <w:start w:val="1"/>
    </w:lvl>
  </w:abstractNum>
  <w:abstractNum w:abstractNumId="213">
    <w:nsid w:val="64212B8C"/>
    <w:multiLevelType w:val="hybridMultilevel"/>
    <w:lvl w:ilvl="0">
      <w:lvlJc w:val="left"/>
      <w:lvlText w:val="(%1)"/>
      <w:numFmt w:val="lowerLetter"/>
      <w:start w:val="1"/>
    </w:lvl>
  </w:abstractNum>
  <w:abstractNum w:abstractNumId="214">
    <w:nsid w:val="5C17530C"/>
    <w:multiLevelType w:val="hybridMultilevel"/>
    <w:lvl w:ilvl="0">
      <w:lvlJc w:val="left"/>
      <w:lvlText w:val="(%1)"/>
      <w:numFmt w:val="lowerLetter"/>
      <w:start w:val="2"/>
    </w:lvl>
  </w:abstractNum>
  <w:abstractNum w:abstractNumId="215">
    <w:nsid w:val="19A52566"/>
    <w:multiLevelType w:val="hybridMultilevel"/>
    <w:lvl w:ilvl="0">
      <w:lvlJc w:val="left"/>
      <w:lvlText w:val="(%1)"/>
      <w:numFmt w:val="lowerLetter"/>
      <w:start w:val="1"/>
    </w:lvl>
  </w:abstractNum>
  <w:abstractNum w:abstractNumId="216">
    <w:nsid w:val="335A1DF1"/>
    <w:multiLevelType w:val="hybridMultilevel"/>
    <w:lvl w:ilvl="0">
      <w:lvlJc w:val="left"/>
      <w:lvlText w:val="(%1)"/>
      <w:numFmt w:val="lowerLetter"/>
      <w:start w:val="2"/>
    </w:lvl>
  </w:abstractNum>
  <w:abstractNum w:abstractNumId="217">
    <w:nsid w:val="28677B7C"/>
    <w:multiLevelType w:val="hybridMultilevel"/>
    <w:lvl w:ilvl="0">
      <w:lvlJc w:val="left"/>
      <w:lvlText w:val="(%1)"/>
      <w:numFmt w:val="lowerLetter"/>
      <w:start w:val="1"/>
    </w:lvl>
  </w:abstractNum>
  <w:abstractNum w:abstractNumId="218">
    <w:nsid w:val="378D97C0"/>
    <w:multiLevelType w:val="hybridMultilevel"/>
    <w:lvl w:ilvl="0">
      <w:lvlJc w:val="left"/>
      <w:lvlText w:val="(%1)"/>
      <w:numFmt w:val="lowerLetter"/>
      <w:start w:val="1"/>
    </w:lvl>
  </w:abstractNum>
  <w:abstractNum w:abstractNumId="219">
    <w:nsid w:val="1D91467C"/>
    <w:multiLevelType w:val="hybridMultilevel"/>
    <w:lvl w:ilvl="0">
      <w:lvlJc w:val="left"/>
      <w:lvlText w:val="%1"/>
      <w:numFmt w:val="lowerLetter"/>
      <w:start w:val="1"/>
    </w:lvl>
    <w:lvl w:ilvl="1">
      <w:lvlJc w:val="left"/>
      <w:lvlText w:val="(%2)"/>
      <w:numFmt w:val="lowerLetter"/>
      <w:start w:val="2"/>
    </w:lvl>
  </w:abstractNum>
  <w:abstractNum w:abstractNumId="220">
    <w:nsid w:val="316032BB"/>
    <w:multiLevelType w:val="hybridMultilevel"/>
    <w:lvl w:ilvl="0">
      <w:lvlJc w:val="left"/>
      <w:lvlText w:val="(%1)"/>
      <w:numFmt w:val="lowerLetter"/>
      <w:start w:val="9"/>
    </w:lvl>
    <w:lvl w:ilvl="1">
      <w:lvlJc w:val="left"/>
      <w:lvlText w:val="%2"/>
      <w:numFmt w:val="lowerLetter"/>
      <w:start w:val="1"/>
    </w:lvl>
  </w:abstractNum>
  <w:abstractNum w:abstractNumId="221">
    <w:nsid w:val="44344C22"/>
    <w:multiLevelType w:val="hybridMultilevel"/>
    <w:lvl w:ilvl="0">
      <w:lvlJc w:val="left"/>
      <w:lvlText w:val="(%1)"/>
      <w:numFmt w:val="lowerLetter"/>
      <w:start w:val="9"/>
    </w:lvl>
    <w:lvl w:ilvl="1">
      <w:lvlJc w:val="left"/>
      <w:lvlText w:val="(%2)"/>
      <w:numFmt w:val="lowerLetter"/>
      <w:start w:val="4"/>
    </w:lvl>
  </w:abstractNum>
  <w:abstractNum w:abstractNumId="222">
    <w:nsid w:val="13CDFCFC"/>
    <w:multiLevelType w:val="hybridMultilevel"/>
    <w:lvl w:ilvl="0">
      <w:lvlJc w:val="left"/>
      <w:lvlText w:val="(%1)"/>
      <w:numFmt w:val="lowerRoman"/>
      <w:start w:val="1"/>
    </w:lvl>
  </w:abstractNum>
  <w:abstractNum w:abstractNumId="223">
    <w:nsid w:val="471745E4"/>
    <w:multiLevelType w:val="hybridMultilevel"/>
    <w:lvl w:ilvl="0">
      <w:lvlJc w:val="left"/>
      <w:lvlText w:val="%1."/>
      <w:numFmt w:val="decimal"/>
      <w:start w:val="1"/>
    </w:lvl>
    <w:lvl w:ilvl="1">
      <w:lvlJc w:val="left"/>
      <w:lvlText w:val="(%2)"/>
      <w:numFmt w:val="lowerLetter"/>
      <w:start w:val="1"/>
    </w:lvl>
  </w:abstractNum>
  <w:abstractNum w:abstractNumId="224">
    <w:nsid w:val="1DDBC66"/>
    <w:multiLevelType w:val="hybridMultilevel"/>
    <w:lvl w:ilvl="0">
      <w:lvlJc w:val="left"/>
      <w:lvlText w:val="%1."/>
      <w:numFmt w:val="decimal"/>
      <w:start w:val="1"/>
    </w:lvl>
    <w:lvl w:ilvl="1">
      <w:lvlJc w:val="left"/>
      <w:lvlText w:val="(%2)"/>
      <w:numFmt w:val="lowerLetter"/>
      <w:start w:val="1"/>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165" Type="http://schemas.openxmlformats.org/officeDocument/2006/relationships/hyperlink" Target="http://www.sec.gov/Archives/edgar/data/1828791/000119312521023519/d88953dex104.htm" TargetMode="External"/><Relationship Id="rId166" Type="http://schemas.openxmlformats.org/officeDocument/2006/relationships/hyperlink" Target="http://www.sec.gov/Archives/edgar/data/1828791/000119312521023519/d88953dex105.htm" TargetMode="External"/><Relationship Id="rId167" Type="http://schemas.openxmlformats.org/officeDocument/2006/relationships/hyperlink" Target="http://www.sec.gov/Archives/edgar/data/1828791/000119312521023519/d88953dex106.htm" TargetMode="External"/><Relationship Id="rId168" Type="http://schemas.openxmlformats.org/officeDocument/2006/relationships/hyperlink" Target="http://www.sec.gov/Archives/edgar/data/1828791/000119312521023519/d88953dex107.htm" TargetMode="External"/><Relationship Id="rId169" Type="http://schemas.openxmlformats.org/officeDocument/2006/relationships/hyperlink" Target="http://www.sec.gov/Archives/edgar/data/1828791/000119312521023519/d88953dex108.htm" TargetMode="External"/><Relationship Id="rId170" Type="http://schemas.openxmlformats.org/officeDocument/2006/relationships/hyperlink" Target="http://www.sec.gov/Archives/edgar/data/1828791/000119312521023519/d88953dex109.htm" TargetMode="External"/><Relationship Id="rId171" Type="http://schemas.openxmlformats.org/officeDocument/2006/relationships/hyperlink" Target="http://www.sec.gov/Archives/edgar/data/0001828791/000119312521034620/d84137dex991.htm" TargetMode="External"/><Relationship Id="rId172" Type="http://schemas.openxmlformats.org/officeDocument/2006/relationships/hyperlink" Target="http://www.sec.gov/Archives/edgar/data/1828791/000119312521023519/d88953dex1012.htm" TargetMode="External"/><Relationship Id="rId173" Type="http://schemas.openxmlformats.org/officeDocument/2006/relationships/hyperlink" Target="http://www.sec.gov/Archives/edgar/data/1828791/000119312521023519/d88953dex1013.htm" TargetMode="External"/><Relationship Id="rId174" Type="http://schemas.openxmlformats.org/officeDocument/2006/relationships/hyperlink" Target="http://www.sec.gov/Archives/edgar/data/1828791/000119312521023519/d88953dex1014.htm" TargetMode="External"/><Relationship Id="rId175" Type="http://schemas.openxmlformats.org/officeDocument/2006/relationships/hyperlink" Target="http://www.sec.gov/Archives/edgar/data/1828791/000119312521023519/d8895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2021-03-25T17:13:38Z</dcterms:created>
  <dcterms:modified xsi:type="dcterms:W3CDTF">2021-03-25T17:13:38Z</dcterms:modified>
</cp:coreProperties>
</file>