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pPr>
      <w:r>
        <w:rPr>
          <w:rFonts w:ascii="Times New Roman;serif" w:hAnsi="Times New Roman;serif"/>
          <w:b w:val="false"/>
          <w:color w:val="000000"/>
          <w:sz w:val="20"/>
        </w:rPr>
        <w:t>Date of Report (Date of earliest event reported</w:t>
      </w:r>
      <w:r>
        <w:rPr>
          <w:rFonts w:ascii="Times New Roman;serif" w:hAnsi="Times New Roman;serif"/>
          <w:b/>
          <w:color w:val="000000"/>
          <w:sz w:val="20"/>
        </w:rPr>
        <w:t>): August 10,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before="120" w:after="283"/>
        <w:jc w:val="center"/>
        <w:rPr/>
      </w:pPr>
      <w:r>
        <w:rPr/>
        <w:drawing>
          <wp:inline distT="0" distB="0" distL="0" distR="0">
            <wp:extent cx="25717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71750" cy="4572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Viant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tbl>
      <w:tblPr>
        <w:tblW w:w="6192" w:type="dxa"/>
        <w:jc w:val="center"/>
        <w:tblInd w:w="0" w:type="dxa"/>
        <w:tblLayout w:type="fixed"/>
        <w:tblCellMar>
          <w:top w:w="28" w:type="dxa"/>
          <w:left w:w="28" w:type="dxa"/>
          <w:bottom w:w="28" w:type="dxa"/>
          <w:right w:w="28" w:type="dxa"/>
        </w:tblCellMar>
      </w:tblPr>
      <w:tblGrid>
        <w:gridCol w:w="813"/>
        <w:gridCol w:w="714"/>
        <w:gridCol w:w="722"/>
        <w:gridCol w:w="762"/>
        <w:gridCol w:w="762"/>
        <w:gridCol w:w="770"/>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001-40015</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85-3447553</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1649"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2722 Michelson Drive, Suite 100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Irvine, CA, 92612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(949) 861-8888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487"/>
        <w:gridCol w:w="1300"/>
        <w:gridCol w:w="1316"/>
        <w:gridCol w:w="109"/>
        <w:gridCol w:w="109"/>
        <w:gridCol w:w="109"/>
        <w:gridCol w:w="557"/>
        <w:gridCol w:w="557"/>
        <w:gridCol w:w="559"/>
        <w:gridCol w:w="109"/>
        <w:gridCol w:w="109"/>
        <w:gridCol w:w="109"/>
        <w:gridCol w:w="1113"/>
        <w:gridCol w:w="1098"/>
        <w:gridCol w:w="1564"/>
      </w:tblGrid>
      <w:tr>
        <w:trPr/>
        <w:tc>
          <w:tcPr>
            <w:tcW w:w="148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4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0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DSP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color w:val="000000"/>
              </w:rPr>
              <w:t>            </w:t>
            </w:r>
            <w:r>
              <w:rPr>
                <w:rFonts w:ascii="Times New Roman;serif" w:hAnsi="Times New Roman;serif"/>
                <w:b w:val="false"/>
                <w:color w:val="000000"/>
                <w:sz w:val="20"/>
              </w:rPr>
              <w:t>The</w:t>
            </w:r>
            <w:r>
              <w:rPr>
                <w:color w:val="000000"/>
              </w:rPr>
              <w:t xml:space="preserve"> </w:t>
            </w:r>
            <w:r>
              <w:rPr>
                <w:rFonts w:ascii="Times New Roman;serif" w:hAnsi="Times New Roman;serif"/>
                <w:b w:val="false"/>
                <w:color w:val="000000"/>
                <w:sz w:val="20"/>
              </w:rPr>
              <w:t>Nasdaq</w:t>
            </w:r>
            <w:r>
              <w:rPr>
                <w:color w:val="000000"/>
              </w:rPr>
              <w:t xml:space="preserve"> </w:t>
            </w:r>
            <w:r>
              <w:rPr>
                <w:rFonts w:ascii="Times New Roman;serif" w:hAnsi="Times New Roman;serif"/>
                <w:b w:val="false"/>
                <w:color w:val="000000"/>
                <w:sz w:val="20"/>
              </w:rPr>
              <w:t>Stock Market LLC</w:t>
            </w:r>
          </w:p>
          <w:p>
            <w:pPr>
              <w:pStyle w:val="TableContents"/>
              <w:bidi w:val="0"/>
              <w:spacing w:lineRule="auto" w:line="288" w:before="0" w:after="0"/>
              <w:jc w:val="center"/>
              <w:rPr>
                <w:color w:val="000000"/>
              </w:rPr>
            </w:pPr>
            <w:r>
              <w:rPr>
                <w:color w:val="000000"/>
              </w:rPr>
              <w:t>              </w:t>
            </w:r>
            <w:r>
              <w:rPr>
                <w:rFonts w:ascii="Times New Roman;serif" w:hAnsi="Times New Roman;serif"/>
                <w:b w:val="false"/>
                <w:color w:val="000000"/>
                <w:sz w:val="20"/>
              </w:rPr>
              <w:t>(Nasdaq Global Select Market)</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lineRule="auto" w:line="288" w:before="120" w:after="283"/>
        <w:jc w:val="left"/>
        <w:rPr/>
      </w:pPr>
      <w:r>
        <w:rPr>
          <w:rFonts w:ascii="Times New Roman;serif" w:hAnsi="Times New Roman;serif"/>
          <w:b w:val="false"/>
          <w:color w:val="000000"/>
          <w:sz w:val="20"/>
        </w:rPr>
        <w:t>Emerging growth company </w:t>
      </w:r>
      <w:r>
        <w:rPr>
          <w:rFonts w:ascii="Wingdings;sans-serif" w:hAnsi="Wingdings;sans-serif"/>
          <w:b w:val="false"/>
          <w:color w:val="000000"/>
          <w:sz w:val="20"/>
        </w:rPr>
        <w:t>x</w:t>
      </w:r>
    </w:p>
    <w:p>
      <w:pPr>
        <w:pStyle w:val="TextBody"/>
        <w:bidi w:val="0"/>
        <w:spacing w:lineRule="auto" w:line="288" w:before="12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10, 2026, Viant Technology Inc. (the “Company”) issued a press release announcing its financial results for the second quarter ended June 30, 2026. A copy of the press release is furnished as Exhibit 99.1 to this Current Report on Form 8-K.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included in Item 2.02 of this Current Report on Form 8-K, including Exhibit 99.1 attached hereto, is being furnished and shall not be deemed “filed” for purposes of Section 18 of the Securities Exchange Act of 1934, as amended (the “Exchange Act”), or otherwise subject to the liabilities of that Section and shall not be deemed incorporated by reference into any other filing under the Securities Act of 1933, as amended, or the Exchange Act, except as otherwise expressly stated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20" w:after="283"/>
        <w:jc w:val="left"/>
        <w:rPr/>
      </w:pPr>
      <w:r>
        <w:rPr>
          <w:rFonts w:ascii="Times New Roman;serif" w:hAnsi="Times New Roman;serif"/>
          <w:b w:val="false"/>
          <w:color w:val="000000"/>
          <w:sz w:val="20"/>
        </w:rPr>
        <w:t>(d) </w:t>
      </w:r>
      <w:r>
        <w:rPr>
          <w:rFonts w:ascii="Times New Roman;serif" w:hAnsi="Times New Roman;serif"/>
          <w:b w:val="false"/>
          <w:color w:val="000000"/>
          <w:sz w:val="20"/>
          <w:u w:val="single"/>
        </w:rPr>
        <w:t>Exhibits</w:t>
      </w:r>
      <w:r>
        <w:rPr>
          <w:rFonts w:ascii="Times New Roman;serif" w:hAnsi="Times New Roman;serif"/>
          <w:b w:val="false"/>
          <w:color w:val="000000"/>
          <w:sz w:val="20"/>
        </w:rPr>
        <w:t>.</w:t>
      </w:r>
    </w:p>
    <w:tbl>
      <w:tblPr>
        <w:tblW w:w="7738"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1926"/>
        <w:gridCol w:w="1926"/>
        <w:gridCol w:w="274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0"/>
              <w:jc w:val="left"/>
              <w:rPr/>
            </w:pPr>
            <w:hyperlink w:anchor="dsp-20260810xexx991.htm">
              <w:r>
                <w:rPr>
                  <w:rStyle w:val="InternetLink"/>
                  <w:rFonts w:ascii="Times New Roman;serif" w:hAnsi="Times New Roman;serif"/>
                  <w:b w:val="false"/>
                  <w:color w:val="0000FF"/>
                  <w:sz w:val="20"/>
                  <w:u w:val="single"/>
                </w:rPr>
                <w:t>Press release of Viant Technology Inc., dated August 10, 2026.</w:t>
              </w:r>
            </w:hyperlink>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525" w:type="dxa"/>
        <w:jc w:val="center"/>
        <w:tblInd w:w="0" w:type="dxa"/>
        <w:tblLayout w:type="fixed"/>
        <w:tblCellMar>
          <w:top w:w="28" w:type="dxa"/>
          <w:left w:w="28" w:type="dxa"/>
          <w:bottom w:w="28" w:type="dxa"/>
          <w:right w:w="28" w:type="dxa"/>
        </w:tblCellMar>
      </w:tblPr>
      <w:tblGrid>
        <w:gridCol w:w="705"/>
        <w:gridCol w:w="621"/>
        <w:gridCol w:w="624"/>
        <w:gridCol w:w="390"/>
        <w:gridCol w:w="390"/>
        <w:gridCol w:w="390"/>
        <w:gridCol w:w="997"/>
        <w:gridCol w:w="997"/>
        <w:gridCol w:w="141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VIANT TECHNOLOGY INC.</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10, 2026</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Tim Vanderhook</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Tim Vanderhook</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 and Chairman</w:t>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99.1</w:t>
      </w:r>
    </w:p>
    <w:p>
      <w:pPr>
        <w:pStyle w:val="TextBody"/>
        <w:bidi w:val="0"/>
        <w:spacing w:lineRule="auto" w:line="288" w:before="240" w:after="283"/>
        <w:jc w:val="center"/>
        <w:rPr>
          <w:rFonts w:ascii="Times New Roman;serif" w:hAnsi="Times New Roman;serif"/>
          <w:b/>
          <w:color w:val="000000"/>
          <w:sz w:val="32"/>
        </w:rPr>
      </w:pPr>
      <w:r>
        <w:rPr>
          <w:rFonts w:ascii="Times New Roman;serif" w:hAnsi="Times New Roman;serif"/>
          <w:b/>
          <w:color w:val="000000"/>
          <w:sz w:val="32"/>
        </w:rPr>
        <w:t>Viant Technology Announces Second</w:t>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Quarter 2026 Financial Results</w:t>
      </w:r>
    </w:p>
    <w:p>
      <w:pPr>
        <w:pStyle w:val="TextBody"/>
        <w:bidi w:val="0"/>
        <w:spacing w:lineRule="auto" w:line="288" w:before="120" w:after="283"/>
        <w:jc w:val="center"/>
        <w:rPr>
          <w:rFonts w:ascii="Times New Roman;serif" w:hAnsi="Times New Roman;serif"/>
          <w:b/>
          <w:i/>
          <w:color w:val="000000"/>
          <w:sz w:val="18"/>
        </w:rPr>
      </w:pPr>
      <w:r>
        <w:rPr>
          <w:rFonts w:ascii="Times New Roman;serif" w:hAnsi="Times New Roman;serif"/>
          <w:b/>
          <w:i/>
          <w:color w:val="000000"/>
          <w:sz w:val="18"/>
        </w:rPr>
        <w:t>Achieved record second quarter results across all key metrics</w:t>
      </w:r>
    </w:p>
    <w:p>
      <w:pPr>
        <w:pStyle w:val="TextBody"/>
        <w:bidi w:val="0"/>
        <w:spacing w:lineRule="auto" w:line="288" w:before="120" w:after="283"/>
        <w:jc w:val="center"/>
        <w:rPr>
          <w:rFonts w:ascii="Times New Roman;serif" w:hAnsi="Times New Roman;serif"/>
          <w:b/>
          <w:i/>
          <w:color w:val="000000"/>
          <w:sz w:val="18"/>
        </w:rPr>
      </w:pPr>
      <w:r>
        <w:rPr>
          <w:rFonts w:ascii="Times New Roman;serif" w:hAnsi="Times New Roman;serif"/>
          <w:b/>
          <w:i/>
          <w:color w:val="000000"/>
          <w:sz w:val="18"/>
        </w:rPr>
        <w:t>Revenue increased 34% year-over-year</w:t>
      </w:r>
    </w:p>
    <w:p>
      <w:pPr>
        <w:pStyle w:val="TextBody"/>
        <w:bidi w:val="0"/>
        <w:spacing w:lineRule="auto" w:line="288" w:before="120" w:after="283"/>
        <w:jc w:val="center"/>
        <w:rPr>
          <w:rFonts w:ascii="Times New Roman;serif" w:hAnsi="Times New Roman;serif"/>
          <w:b/>
          <w:i/>
          <w:color w:val="000000"/>
          <w:sz w:val="18"/>
        </w:rPr>
      </w:pPr>
      <w:r>
        <w:rPr>
          <w:rFonts w:ascii="Times New Roman;serif" w:hAnsi="Times New Roman;serif"/>
          <w:b/>
          <w:i/>
          <w:color w:val="000000"/>
          <w:sz w:val="18"/>
        </w:rPr>
        <w:t>Contribution ex-TAC increased 24% year-over-year</w:t>
      </w:r>
    </w:p>
    <w:p>
      <w:pPr>
        <w:pStyle w:val="TextBody"/>
        <w:bidi w:val="0"/>
        <w:spacing w:lineRule="auto" w:line="288" w:before="120" w:after="283"/>
        <w:jc w:val="center"/>
        <w:rPr>
          <w:rFonts w:ascii="Times New Roman;serif" w:hAnsi="Times New Roman;serif"/>
          <w:b/>
          <w:i/>
          <w:color w:val="000000"/>
          <w:sz w:val="18"/>
        </w:rPr>
      </w:pPr>
      <w:r>
        <w:rPr>
          <w:rFonts w:ascii="Times New Roman;serif" w:hAnsi="Times New Roman;serif"/>
          <w:b/>
          <w:i/>
          <w:color w:val="000000"/>
          <w:sz w:val="18"/>
        </w:rPr>
        <w:t>Adjusted EBITDA increased 26% year-over-year</w:t>
      </w:r>
    </w:p>
    <w:p>
      <w:pPr>
        <w:pStyle w:val="TextBody"/>
        <w:bidi w:val="0"/>
        <w:spacing w:lineRule="auto" w:line="288" w:before="120" w:after="240"/>
        <w:jc w:val="center"/>
        <w:rPr/>
      </w:pPr>
      <w:r>
        <w:rPr>
          <w:rFonts w:ascii="Times New Roman;serif" w:hAnsi="Times New Roman;serif"/>
          <w:b/>
          <w:i/>
          <w:color w:val="000000"/>
          <w:sz w:val="18"/>
        </w:rPr>
        <w:t>CTV advertiser spend</w:t>
      </w:r>
      <w:r>
        <w:rPr>
          <w:rFonts w:ascii="Times New Roman;serif" w:hAnsi="Times New Roman;serif"/>
          <w:b/>
          <w:i/>
          <w:color w:val="000000"/>
          <w:sz w:val="12"/>
        </w:rPr>
        <w:t>(1)</w:t>
      </w:r>
      <w:r>
        <w:rPr>
          <w:color w:val="000000"/>
        </w:rPr>
        <w:t xml:space="preserve"> </w:t>
      </w:r>
      <w:r>
        <w:rPr>
          <w:rFonts w:ascii="Times New Roman;serif" w:hAnsi="Times New Roman;serif"/>
          <w:b/>
          <w:i/>
          <w:color w:val="000000"/>
          <w:sz w:val="18"/>
        </w:rPr>
        <w:t>increased nearly 50% year-over-year</w:t>
      </w:r>
    </w:p>
    <w:p>
      <w:pPr>
        <w:pStyle w:val="TextBody"/>
        <w:bidi w:val="0"/>
        <w:spacing w:lineRule="auto" w:line="288" w:before="0" w:after="0"/>
        <w:jc w:val="left"/>
        <w:rPr/>
      </w:pPr>
      <w:r>
        <w:rPr>
          <w:rFonts w:ascii="Times New Roman;serif" w:hAnsi="Times New Roman;serif"/>
          <w:b/>
          <w:color w:val="000000"/>
          <w:sz w:val="20"/>
        </w:rPr>
        <w:t>IRVINE, Calif., August 10, 2026 </w:t>
      </w:r>
      <w:r>
        <w:rPr>
          <w:color w:val="000000"/>
        </w:rPr>
        <w:t>– </w:t>
      </w:r>
      <w:r>
        <w:rPr>
          <w:rFonts w:ascii="Times New Roman;serif" w:hAnsi="Times New Roman;serif"/>
          <w:b w:val="false"/>
          <w:color w:val="000000"/>
          <w:sz w:val="20"/>
        </w:rPr>
        <w:t xml:space="preserve">Viant Technology Inc. (Nasdaq: DSP), a leader in AI-powered programmatic advertising, today reported financial results for its second quarter ended 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"Viant delivered record second-quarter results, exceeding the high end of our guidance range across both top and bottom lines," said Tim Vanderhook, Co-Founder and CEO of Viant. "As indicated by our strong financial performance, we believe Viant is entering into a new phase of accelerated growth, propelled by the continued adoption of our platform by major U.S. advertisers. Viant has successfully evolved into an advertising intelligence company, and our differentiated value proposition is resonating with advertisers and agencies more effectively than ever before. Leveraging Lattice Brain, our AI-powered decisioning architecture, Viant is built to partner with advertisers and empower clients with proprietary intelligence spanning identity, content, and viewer attention, each of which provides actionable insights that inform purchasing decisions and support optimal campaign outcomes."</w:t>
      </w:r>
    </w:p>
    <w:p>
      <w:pPr>
        <w:pStyle w:val="TextBody"/>
        <w:bidi w:val="0"/>
        <w:spacing w:lineRule="auto" w:line="288" w:before="240" w:after="283"/>
        <w:jc w:val="left"/>
        <w:rPr/>
      </w:pPr>
      <w:r>
        <w:rPr>
          <w:rFonts w:ascii="Times New Roman;serif" w:hAnsi="Times New Roman;serif"/>
          <w:b/>
          <w:color w:val="000000"/>
          <w:sz w:val="20"/>
          <w:u w:val="single"/>
        </w:rPr>
        <w:t>Second Quarter 2026 Financial Highlights, year-over-year</w:t>
      </w:r>
      <w:r>
        <w:rPr>
          <w:color w:val="000000"/>
        </w:rPr>
        <w:t xml:space="preserve"> </w:t>
      </w:r>
      <w:r>
        <w:rPr>
          <w:rFonts w:ascii="Times New Roman;serif" w:hAnsi="Times New Roman;serif"/>
          <w:b w:val="false"/>
          <w:color w:val="000000"/>
          <w:sz w:val="20"/>
        </w:rPr>
        <w:t>(in thousands, except percentages and per share data):</w:t>
      </w:r>
    </w:p>
    <w:tbl>
      <w:tblPr>
        <w:tblW w:w="9805" w:type="dxa"/>
        <w:jc w:val="left"/>
        <w:tblInd w:w="0" w:type="dxa"/>
        <w:tblLayout w:type="fixed"/>
        <w:tblCellMar>
          <w:top w:w="28" w:type="dxa"/>
          <w:left w:w="28" w:type="dxa"/>
          <w:bottom w:w="28" w:type="dxa"/>
          <w:right w:w="28" w:type="dxa"/>
        </w:tblCellMar>
      </w:tblPr>
      <w:tblGrid>
        <w:gridCol w:w="1960"/>
        <w:gridCol w:w="1718"/>
        <w:gridCol w:w="1737"/>
        <w:gridCol w:w="211"/>
        <w:gridCol w:w="826"/>
        <w:gridCol w:w="271"/>
        <w:gridCol w:w="109"/>
        <w:gridCol w:w="109"/>
        <w:gridCol w:w="109"/>
        <w:gridCol w:w="211"/>
        <w:gridCol w:w="721"/>
        <w:gridCol w:w="271"/>
        <w:gridCol w:w="109"/>
        <w:gridCol w:w="109"/>
        <w:gridCol w:w="109"/>
        <w:gridCol w:w="286"/>
        <w:gridCol w:w="254"/>
        <w:gridCol w:w="685"/>
      </w:tblGrid>
      <w:tr>
        <w:trPr/>
        <w:tc>
          <w:tcPr>
            <w:tcW w:w="1960"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552" w:type="dxa"/>
            <w:gridSpan w:val="6"/>
            <w:tcBorders/>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240" w:after="283"/>
              <w:jc w:val="left"/>
              <w:rPr/>
            </w:pPr>
            <w:r>
              <w:rPr/>
            </w:r>
          </w:p>
        </w:tc>
        <w:tc>
          <w:tcPr>
            <w:tcW w:w="1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 (%)</w:t>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0"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(NM = Not Meaningful)</w:t>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GAAP</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as a percentage of gross profit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and Class B common shares outstanding (as of June 30)</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 (as of June 30)</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193,053 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88" w:before="240" w:after="283"/>
              <w:jc w:val="left"/>
              <w:rPr/>
            </w:pPr>
            <w:r>
              <w:rPr>
                <w:rFonts w:ascii="Times New Roman;serif" w:hAnsi="Times New Roman;serif"/>
                <w:b/>
                <w:color w:val="000000"/>
                <w:sz w:val="20"/>
              </w:rPr>
              <w:t>Non-GAAP</w:t>
            </w:r>
            <w:r>
              <w:rPr>
                <w:rFonts w:ascii="Times New Roman;serif" w:hAnsi="Times New Roman;serif"/>
                <w:b/>
                <w:color w:val="000000"/>
                <w:sz w:val="13"/>
              </w:rPr>
              <w:t>(2)</w:t>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contribution ex-TAC</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earnings per share of Class A common stock—basic</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4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Non-GAAP earnings per share of Class A common stock—diluted</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68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Recent Business Highlights: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Began testing TVision's pre-bid attention intelligence in Viant’s technology stack in an effort to provide advertisers with a first-of-its-kind solution, capable of targeting, valuing and measuring CTV ad inventory based on verified attention metrics.</w:t>
      </w:r>
    </w:p>
    <w:p>
      <w:pPr>
        <w:pStyle w:val="TextBody"/>
        <w:bidi w:val="0"/>
        <w:spacing w:lineRule="auto" w:line="288"/>
        <w:ind w:left="0" w:right="0" w:hanging="540"/>
        <w:jc w:val="left"/>
        <w:rPr/>
      </w:pPr>
      <w:r>
        <w:rPr>
          <w:color w:val="000000"/>
        </w:rPr>
        <w:t>•</w:t>
      </w:r>
      <w:r>
        <w:rPr>
          <w:rFonts w:ascii="Times New Roman;serif" w:hAnsi="Times New Roman;serif"/>
          <w:b w:val="false"/>
          <w:color w:val="000000"/>
          <w:sz w:val="20"/>
        </w:rPr>
        <w:t>CTV spend increased nearly 50% representing over 50% of total advertiser spend on the platform and reached a record high in the second quarter.</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Over 80% of CTV spend was transacted through Direct Access, a steep increase from over 50% in Q1 2026.</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Appointed Craig Abrahams, former President and CFO of Playtika, to Viant's Board as an independent director, adding more than 25 years of technology, digital media and strategic M&amp;A experience.</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Viant was recognized for its advances in CTV and AI with the 2026 "CTV Innovation Award," marking Viant's third consecutive MarTech Breakthrough Award.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"We are seeing strong momentum across our business, as evidenced by the meaningful acceleration in revenue and contribution ex-TAC exhibited in the second quarter. Revenue increased 34%, exceeding the high-point of our guidance, while Contribution ex-TAC increased 24%, near the high-end of our guidance. We increased adjusted EBITDA by 26%, exceeding the high-point of our guidance," stated Larry Madden, CFO of Viant. "Integration of TVision's eyes-on-screen attention intelligence across Viant's broader technology stack is pacing well ahead of initial expectations and we are encouraged by growing advertiser enthusiasm to deploy our exclusive, first-of-its kind attention targeting solution on a pre-bid basis."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 the third quarter 2026, the Company expects: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Revenue in the range of $107.5 million to $110.5 million</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Contribution ex-TAC in the range of $65.0 million to $67.0 million</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Non-GAAP operating expenses in the range of $46.5 million to $47.5 million</w:t>
      </w:r>
    </w:p>
    <w:p>
      <w:pPr>
        <w:pStyle w:val="TextBody"/>
        <w:bidi w:val="0"/>
        <w:spacing w:lineRule="auto" w:line="288" w:before="0" w:after="0"/>
        <w:ind w:left="0" w:right="0" w:hanging="540"/>
        <w:jc w:val="left"/>
        <w:rPr/>
      </w:pPr>
      <w:r>
        <w:rPr>
          <w:color w:val="000000"/>
        </w:rPr>
        <w:t>•</w:t>
      </w:r>
      <w:r>
        <w:rPr>
          <w:rFonts w:ascii="Times New Roman;serif" w:hAnsi="Times New Roman;serif"/>
          <w:b w:val="false"/>
          <w:color w:val="000000"/>
          <w:sz w:val="20"/>
        </w:rPr>
        <w:t>Adjusted EBITDA in the range of $18.5 million to $19.5 million</w:t>
      </w:r>
    </w:p>
    <w:p>
      <w:pPr>
        <w:pStyle w:val="TextBody"/>
        <w:bidi w:val="0"/>
        <w:spacing w:lineRule="auto" w:line="288" w:before="240" w:after="283"/>
        <w:jc w:val="left"/>
        <w:rPr/>
      </w:pPr>
      <w:r>
        <w:rPr>
          <w:rFonts w:ascii="Times New Roman;serif" w:hAnsi="Times New Roman;serif"/>
          <w:b w:val="false"/>
          <w:color w:val="000000"/>
          <w:sz w:val="20"/>
        </w:rPr>
        <w:t>Contribution ex-TAC, non-GAAP operating expenses, adjusted EBITDA, adjusted EBITDA as a percentage of contribution ex-TAC, non-GAAP net income, and non-GAAP earnings (loss) per share of Class A common stock</w:t>
      </w:r>
      <w:r>
        <w:rPr>
          <w:color w:val="231F20"/>
        </w:rPr>
        <w:t>—</w:t>
      </w:r>
      <w:r>
        <w:rPr>
          <w:rFonts w:ascii="Times New Roman;serif" w:hAnsi="Times New Roman;serif"/>
          <w:b w:val="false"/>
          <w:color w:val="231F20"/>
          <w:sz w:val="20"/>
        </w:rPr>
        <w:t>basic and diluted</w:t>
      </w:r>
      <w:r>
        <w:rPr>
          <w:color w:val="000000"/>
        </w:rPr>
        <w:t xml:space="preserve"> </w:t>
      </w:r>
      <w:r>
        <w:rPr>
          <w:rFonts w:ascii="Times New Roman;serif" w:hAnsi="Times New Roman;serif"/>
          <w:b w:val="false"/>
          <w:color w:val="000000"/>
          <w:sz w:val="20"/>
        </w:rPr>
        <w:t>are non-GAAP financial measures. These non-GAAP financial measures should be considered in addition to, but not as a substitute for, the information provided in accordance with U.S. generally accepted accounting principles ("GAAP"). Reconciliations of these non-GAAP financial measures to Viant’s financial results as determined in accordance with GAAP are included at the end of this press release under “Reconciliation of Non-GAAP Financial Measures.” For a description of these non-GAAP financial measures, including the reasons management uses each measure, please see “Non-GAAP Financial Measures” in this press release. We are not able to estimate gross profit, total operating expenses or net income (loss) on a forward-looking basis or reconcile the guidance provided for contribution ex-TAC, non-GAAP operating expenses, or adjusted EBITDA to the closest corresponding GAAP financial measures on a forward-looking basis without unreasonable efforts due to the variability and complexity with respect to the charges excluded from these non-GAAP financial measures; in particular, the impact of future traffic acquisition costs and other platform operations expenses, as well as the measures and effects of our stock-based compensation related to equity grants that are directly impacted by unpredictable fluctuations in our share price and the potential forfeitures of equity grants. We expect the variability of the above charges could have a significant and potentially unpredictable impact on our future GAAP financial results.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(1)We define advertiser spend as the total amount billed to our customers for activity on our platform inclusive of the costs of advertising media, third-party data, other add-on features and our platform fee we charge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(2)For a discussion on how we define, use and calculate these non-GAAP financial measures and a reconciliation thereof to the most directly comparable GAAP financial measures, see “Non-GAAP Financial Measures” and the supplementary schedules under “Reconciliation of Non-GAAP Financial Measures” in this press release.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Financial and Other Information: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Supplemental financial and other information can be accessed through Viant’s Investor Relations website at investors.viantinc.com.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there were 21,052,546 shares of the Company's Class A common stock outstanding and 45,402,216 shares of the Company's Class B common stock outstanding. For more information, please refer to our Quarterly Report on Form 10-Q expected to be filed with the Securities and Exchange Commission ("SEC") on August 10,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Conference Call and Webcast Details</w:t>
      </w:r>
      <w:r>
        <w:rPr>
          <w:rFonts w:ascii="Times New Roman;serif" w:hAnsi="Times New Roman;serif"/>
          <w:b w:val="false"/>
          <w:color w:val="000000"/>
          <w:sz w:val="20"/>
          <w:u w:val="single"/>
        </w:rPr>
        <w: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Viant will host a conference call and webcast to discuss its financial results on Monday, August 10, 2026 at 2:00 p.m. Pacific Time (5:00 p.m. Eastern Time). A live webcast of the call can be accessed from Viant’s Investor Relations website. An archived version of the webcast will be available from the same website after the call. Viant Technology has used, and intends to continue to use, the “Investor Relations” section of its website at investors.viantinc.com, its LinkedIn account,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LinkedIn account of its Chief Executive Officer, Tim Vanderhook, the LinkedIn account of its Chief Operating Officer, Chris Vanderhook, its X (formerly known as Twitter) account (@viant_tech), and Chris Vanderhook's X account (@cvanderhook) to post information that may be important to investors. Investors and potential investors are encouraged to consult Viant Technology’s website and the foregoing LinkedIn and X accounts regularly for important information.</w:t>
      </w:r>
    </w:p>
    <w:p>
      <w:pPr>
        <w:pStyle w:val="TextBody"/>
        <w:bidi w:val="0"/>
        <w:spacing w:lineRule="auto" w:line="288" w:before="240" w:after="283"/>
        <w:jc w:val="left"/>
        <w:rPr>
          <w:rFonts w:ascii="Times New Roman;serif" w:hAnsi="Times New Roman;serif"/>
          <w:b/>
          <w:color w:val="000000"/>
          <w:sz w:val="20"/>
          <w:shd w:fill="FEFEFE" w:val="clear"/>
        </w:rPr>
      </w:pPr>
      <w:r>
        <w:rPr>
          <w:rFonts w:ascii="Times New Roman;serif" w:hAnsi="Times New Roman;serif"/>
          <w:b/>
          <w:color w:val="000000"/>
          <w:sz w:val="20"/>
          <w:shd w:fill="FEFEFE" w:val="clear"/>
        </w:rPr>
        <w:t>About Viant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Viant Technology Inc. (Nasdaq: DSP) is an exclusively buy-side AI-powered advertising platform purpose-built for CTV. Viant uniquely combines proprietary content intelligence, household-level identity resolution, and person-level attention signals to connect advertisers with real customers and drive measurable outcomes across the open internet. Through its award-winning AI solutions, Viant is building the future of autonomous advertising, where AI doesn't just assist the campaign, it delivers real results. Learn more at viantinc.com.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safe harbor provisions of the U.S. Private Securities Litigation Reform Act of 1995.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include, without limitation, any statement that may predict, forecast, indicate or imply future results, performance or achievements, and may contain words such as “guidance,” “believe,” “expect,” “estimate,” “commit,” “ensure,” “target,” “project,” “plan,” “will,” or words or phrases with similar meaning.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 should not be read as a guarantee of future performance or results and will not necessarily be accurate indications of the times at, or by, which such performance or results will be achieved, if at all. Forward-looking statements contained in this press release relate to, among other things, Viant’s projected financial performance and operating results, including our guidance for revenue, contribution ex-TAC, non-GAAP operating expenses, and adjusted EBITDA, as well as statements regarding Viant’s growth prospects and drivers, strategic priorities, the benefits of Viant’s acquisition of TVision, including enhanced capabilities and expected tailwinds for Viant’s financial results, and impacts from the ViantAI product suite and other offerings. Forward-looking statements are based on current expectations, forecasts and assumptions that involve risks and uncertainties, including, but not limited to, the market for programmatic advertising may develop slower or differently than Viant’s expectations, the demands and expectations of customers, the ability to attract and retain customers, the impact of information and data privacy trends and regulations on our business and competitors, risks related to the use of artificial intelligence technologies, and other economic, competitive, governmental and technological factors outside of our control, that may cause our business, strategy or actual results to differ materially from the forward-looking statements. Investors are referred to our filings with the SEC, including our Annual Report on Form 10-K for the fiscal year ended December 31, 2025 and subsequent Quarterly Reports on Form 10-Q, for additional information regarding the risks and uncertainties that may cause actual results to differ materially from those expressed in any forward-looking statement. We do not intend and undertake no obligation to update any forward-looking statements, whether as a result of new information, future events or otherwise, except as may be required by applicable law.</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Media Contact: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Marielle Lyon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press@viantinc.com</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Nick Zangler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nzangler@viantinc.com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610"/>
        <w:gridCol w:w="1212"/>
        <w:gridCol w:w="1223"/>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5"/>
      </w:tblGrid>
      <w:tr>
        <w:trPr/>
        <w:tc>
          <w:tcPr>
            <w:tcW w:w="1610"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4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 remeasurement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8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shd w:fill="FFFFFF" w:val="clear"/>
        </w:rPr>
        <w:t>Stock-based compensation and depreciation and amortization included in operating expenses are as follows (in thousands):</w:t>
      </w:r>
    </w:p>
    <w:tbl>
      <w:tblPr>
        <w:tblW w:w="7725" w:type="dxa"/>
        <w:jc w:val="center"/>
        <w:tblInd w:w="0" w:type="dxa"/>
        <w:tblLayout w:type="fixed"/>
        <w:tblCellMar>
          <w:top w:w="28" w:type="dxa"/>
          <w:left w:w="28" w:type="dxa"/>
          <w:bottom w:w="28" w:type="dxa"/>
          <w:right w:w="28" w:type="dxa"/>
        </w:tblCellMar>
      </w:tblPr>
      <w:tblGrid>
        <w:gridCol w:w="996"/>
        <w:gridCol w:w="873"/>
        <w:gridCol w:w="876"/>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99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Stock-based compensation: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919" w:type="dxa"/>
        <w:jc w:val="center"/>
        <w:tblInd w:w="0" w:type="dxa"/>
        <w:tblLayout w:type="fixed"/>
        <w:tblCellMar>
          <w:top w:w="28" w:type="dxa"/>
          <w:left w:w="28" w:type="dxa"/>
          <w:bottom w:w="28" w:type="dxa"/>
          <w:right w:w="28" w:type="dxa"/>
        </w:tblCellMar>
      </w:tblPr>
      <w:tblGrid>
        <w:gridCol w:w="1103"/>
        <w:gridCol w:w="969"/>
        <w:gridCol w:w="972"/>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VIANT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 except share and per share data)</w:t>
      </w:r>
    </w:p>
    <w:tbl>
      <w:tblPr>
        <w:tblW w:w="8116" w:type="dxa"/>
        <w:jc w:val="left"/>
        <w:tblInd w:w="0" w:type="dxa"/>
        <w:tblLayout w:type="fixed"/>
        <w:tblCellMar>
          <w:top w:w="28" w:type="dxa"/>
          <w:left w:w="28" w:type="dxa"/>
          <w:bottom w:w="28" w:type="dxa"/>
          <w:right w:w="28" w:type="dxa"/>
        </w:tblCellMar>
      </w:tblPr>
      <w:tblGrid>
        <w:gridCol w:w="1926"/>
        <w:gridCol w:w="1696"/>
        <w:gridCol w:w="1717"/>
        <w:gridCol w:w="211"/>
        <w:gridCol w:w="826"/>
        <w:gridCol w:w="109"/>
        <w:gridCol w:w="109"/>
        <w:gridCol w:w="109"/>
        <w:gridCol w:w="109"/>
        <w:gridCol w:w="231"/>
        <w:gridCol w:w="905"/>
        <w:gridCol w:w="168"/>
      </w:tblGrid>
      <w:tr>
        <w:trPr/>
        <w:tc>
          <w:tcPr>
            <w:tcW w:w="192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As of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br/>
              <w:t>December 31,</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191,151 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177,139 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376,192 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83,520 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12,988 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157,035 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TRA liability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185,862 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Commitments and contingencies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10,000,000</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 none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 common stock, $0.001 par value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450,000,000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 21,052,546 and 18,271,293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 21,052,546 and 17,593,198</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B common stock, $0.001 par value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Authorized shares — 150,000,000</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and outstanding — 45,402,216 and 45,717,216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182,744 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(91,751)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0 and 678,095 shares held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 attributable to Viant Technology Inc.</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82,137 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206,664 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474,663 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VIANT TECHNOLOGY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in thousands)</w:t>
      </w:r>
    </w:p>
    <w:tbl>
      <w:tblPr>
        <w:tblW w:w="9098" w:type="dxa"/>
        <w:jc w:val="center"/>
        <w:tblInd w:w="0" w:type="dxa"/>
        <w:tblLayout w:type="fixed"/>
        <w:tblCellMar>
          <w:top w:w="28" w:type="dxa"/>
          <w:left w:w="28" w:type="dxa"/>
          <w:bottom w:w="28" w:type="dxa"/>
          <w:right w:w="28" w:type="dxa"/>
        </w:tblCellMar>
      </w:tblPr>
      <w:tblGrid>
        <w:gridCol w:w="2326"/>
        <w:gridCol w:w="2047"/>
        <w:gridCol w:w="2061"/>
        <w:gridCol w:w="211"/>
        <w:gridCol w:w="826"/>
        <w:gridCol w:w="109"/>
        <w:gridCol w:w="109"/>
        <w:gridCol w:w="109"/>
        <w:gridCol w:w="109"/>
        <w:gridCol w:w="211"/>
        <w:gridCol w:w="82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doubtful accounts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acquisitions, net of cash acquired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related to tax withholdings on vested equity awards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stock related to the stock repurchase program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member tax distributions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stock options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on tax receivable agreement liability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increase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193,053 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240" w:after="283"/>
        <w:jc w:val="left"/>
        <w:rPr/>
      </w:pPr>
      <w:r>
        <w:rPr>
          <w:rFonts w:ascii="Times New Roman;serif" w:hAnsi="Times New Roman;serif"/>
          <w:b w:val="false"/>
          <w:color w:val="000000"/>
          <w:sz w:val="20"/>
        </w:rPr>
        <w:t xml:space="preserve">To provide investors and others with additional information regarding Viant’s results, we have included in this press release the following financial measures that are not calculated in accordance with GAAP: contribution ex-TAC, </w:t>
      </w:r>
      <w:r>
        <w:rPr>
          <w:rFonts w:ascii="Times New Roman;serif" w:hAnsi="Times New Roman;serif"/>
          <w:b w:val="false"/>
          <w:color w:val="231F20"/>
          <w:sz w:val="20"/>
        </w:rPr>
        <w:t xml:space="preserve">non-GAAP operating expenses, </w:t>
      </w:r>
      <w:r>
        <w:rPr>
          <w:rFonts w:ascii="Times New Roman;serif" w:hAnsi="Times New Roman;serif"/>
          <w:b w:val="false"/>
          <w:color w:val="000000"/>
          <w:sz w:val="20"/>
        </w:rPr>
        <w:t>adjusted EBITDA, adjusted EBITDA as a percentage of contribution ex-TAC, non-GAAP net income (loss) and non-GAAP earnings (loss) per share of Class A common stock</w:t>
      </w:r>
      <w:r>
        <w:rPr>
          <w:color w:val="231F20"/>
        </w:rPr>
        <w:t>—</w:t>
      </w:r>
      <w:r>
        <w:rPr>
          <w:rFonts w:ascii="Times New Roman;serif" w:hAnsi="Times New Roman;serif"/>
          <w:b w:val="false"/>
          <w:color w:val="231F20"/>
          <w:sz w:val="20"/>
        </w:rPr>
        <w:t>basic and diluted</w:t>
      </w:r>
      <w:r>
        <w:rPr>
          <w:rFonts w:ascii="Times New Roman;serif" w:hAnsi="Times New Roman;serif"/>
          <w:b w:val="false"/>
          <w:color w:val="000000"/>
          <w:sz w:val="20"/>
        </w:rPr>
        <w:t>. The Company’s management believes that this information can assist investors in evaluating the Company’s operational trends, financial performance, and cash generating capacity. Management believes these non-GAAP financial measures allow investors to evaluate the Company’s financial performance using some of the same measures as management.</w:t>
      </w:r>
    </w:p>
    <w:p>
      <w:pPr>
        <w:pStyle w:val="TextBody"/>
        <w:bidi w:val="0"/>
        <w:spacing w:lineRule="auto" w:line="288" w:before="120" w:after="283"/>
        <w:jc w:val="left"/>
        <w:rPr/>
      </w:pPr>
      <w:r>
        <w:rPr>
          <w:rFonts w:ascii="Times New Roman;serif" w:hAnsi="Times New Roman;serif"/>
          <w:b w:val="false"/>
          <w:color w:val="000000"/>
          <w:sz w:val="20"/>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“Traffic acquisition costs” or “TAC” represents </w:t>
      </w:r>
      <w:r>
        <w:rPr>
          <w:rFonts w:ascii="Times New Roman;serif" w:hAnsi="Times New Roman;serif"/>
          <w:b w:val="false"/>
          <w:color w:val="231F20"/>
          <w:sz w:val="20"/>
        </w:rPr>
        <w:t>amounts incurred and payable to suppliers for the cost of advertising media, third-party data and other add-on features related to our fixed cost per mille pricing option and certain arrangements related to our percentage of spend pricing option.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 is a non-GAAP financial measure. Total operating expenses is the most comparable GAAP financial measure. Non-GAAP operating expenses is defined by us as total operating expenses plus other expense, net, less TAC, stock-based compensation, depreciation, amortization, and certain other items that are not related to our core operations, such as acquisition and restructuring costs.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pStyle w:val="TextBody"/>
        <w:bidi w:val="0"/>
        <w:spacing w:lineRule="auto" w:line="288" w:before="120" w:after="283"/>
        <w:jc w:val="left"/>
        <w:rPr/>
      </w:pPr>
      <w:r>
        <w:rPr>
          <w:rFonts w:ascii="Times New Roman;serif" w:hAnsi="Times New Roman;serif"/>
          <w:b w:val="false"/>
          <w:color w:val="000000"/>
          <w:sz w:val="20"/>
        </w:rPr>
        <w:t>Adjusted EBITDA </w:t>
      </w:r>
      <w:r>
        <w:rPr>
          <w:rFonts w:ascii="Times New Roman;serif" w:hAnsi="Times New Roman;serif"/>
          <w:b w:val="false"/>
          <w:color w:val="231F20"/>
          <w:sz w:val="20"/>
        </w:rPr>
        <w:t>is a non-GAAP financial measure</w:t>
      </w:r>
      <w:r>
        <w:rPr>
          <w:color w:val="000000"/>
        </w:rPr>
        <w:t> </w:t>
      </w:r>
      <w:r>
        <w:rPr>
          <w:rFonts w:ascii="Times New Roman;serif" w:hAnsi="Times New Roman;serif"/>
          <w:b w:val="false"/>
          <w:color w:val="000000"/>
          <w:sz w:val="20"/>
        </w:rPr>
        <w:t>defined by us as net income (loss) before interest expense (income), net, income tax benefit (expense), depreciation, amortization, stock-based compensation and certain other items that are not related to our core operations, such as acquisition and restructuring costs as well as Tax Receivable Agreement (the "TRA") remeasurement expense. Net income (loss) is the most comparable GAAP financial measure. Adjusted EBITDA as a percentage of contribution ex-TAC</w:t>
      </w:r>
      <w:r>
        <w:rPr>
          <w:color w:val="231F20"/>
        </w:rPr>
        <w:t> </w:t>
      </w:r>
      <w:r>
        <w:rPr>
          <w:rFonts w:ascii="Times New Roman;serif" w:hAnsi="Times New Roman;serif"/>
          <w:b w:val="false"/>
          <w:color w:val="231F20"/>
          <w:sz w:val="20"/>
        </w:rPr>
        <w:t>is a non-GAAP financial measure we calculate by dividing adjusted EBITDA by contribution ex-TAC for the period or periods presented. Net income (loss) as a percentage of gross profit is the most comparable GAAP financial measure.</w:t>
      </w:r>
    </w:p>
    <w:p>
      <w:pPr>
        <w:pStyle w:val="TextBody"/>
        <w:bidi w:val="0"/>
        <w:spacing w:lineRule="auto" w:line="288" w:before="120" w:after="283"/>
        <w:jc w:val="left"/>
        <w:rPr/>
      </w:pPr>
      <w:r>
        <w:rPr>
          <w:rFonts w:ascii="Times New Roman;serif" w:hAnsi="Times New Roman;serif"/>
          <w:b w:val="false"/>
          <w:color w:val="000000"/>
          <w:sz w:val="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w:t>
      </w:r>
      <w:r>
        <w:rPr>
          <w:rFonts w:ascii="Times New Roman;serif" w:hAnsi="Times New Roman;serif"/>
          <w:b w:val="false"/>
          <w:color w:val="231F20"/>
          <w:sz w:val="20"/>
        </w:rPr>
        <w:t>Adjusted EBITDA as a percentage of contribution ex-TAC, a non-GAAP financial measure,</w:t>
      </w:r>
      <w:r>
        <w:rPr>
          <w:color w:val="000000"/>
        </w:rPr>
        <w:t> </w:t>
      </w:r>
      <w:r>
        <w:rPr>
          <w:rFonts w:ascii="Times New Roman;serif" w:hAnsi="Times New Roman;serif"/>
          <w:b w:val="false"/>
          <w:color w:val="000000"/>
          <w:sz w:val="20"/>
        </w:rPr>
        <w:t>is used by our management and board of directors to evaluate adjusted EBITDA relative to our profitability after costs that are directly variable to revenues, which comprise TAC. </w:t>
      </w:r>
      <w:r>
        <w:rPr>
          <w:rFonts w:ascii="Times New Roman;serif" w:hAnsi="Times New Roman;serif"/>
          <w:b w:val="false"/>
          <w:color w:val="231F20"/>
          <w:sz w:val="20"/>
        </w:rPr>
        <w:t>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pStyle w:val="TextBody"/>
        <w:bidi w:val="0"/>
        <w:spacing w:lineRule="auto" w:line="288" w:before="120" w:after="283"/>
        <w:jc w:val="left"/>
        <w:rPr/>
      </w:pPr>
      <w:r>
        <w:rPr>
          <w:rFonts w:ascii="Times New Roman;serif" w:hAnsi="Times New Roman;serif"/>
          <w:b w:val="false"/>
          <w:color w:val="000000"/>
          <w:sz w:val="20"/>
        </w:rPr>
        <w:t>Non-GAAP net income (loss) is a non-GAAP financial measure defined by us as net income (loss) adjusted to eliminate the impact of stock-based compensation and certain other items that are not related to our core operations, such as acquisition and restructuring costs as well as TRA remeasurement expense and</w:t>
      </w:r>
      <w:r>
        <w:rPr>
          <w:color w:val="231F20"/>
        </w:rPr>
        <w:t xml:space="preserve"> </w:t>
      </w:r>
      <w:r>
        <w:rPr>
          <w:rFonts w:ascii="Times New Roman;serif" w:hAnsi="Times New Roman;serif"/>
          <w:b w:val="false"/>
          <w:color w:val="231F20"/>
          <w:sz w:val="20"/>
        </w:rPr>
        <w:t>the income tax effect of these adjustments</w:t>
      </w:r>
      <w:r>
        <w:rPr>
          <w:rFonts w:ascii="Times New Roman;serif" w:hAnsi="Times New Roman;serif"/>
          <w:b w:val="false"/>
          <w:color w:val="000000"/>
          <w:sz w:val="20"/>
        </w:rPr>
        <w:t>.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 provides information to investors and the market generally in understanding and evaluating our results of operations in the same manner as our management and board of directors.</w:t>
      </w:r>
    </w:p>
    <w:p>
      <w:pPr>
        <w:pStyle w:val="TextBody"/>
        <w:bidi w:val="0"/>
        <w:spacing w:lineRule="auto" w:line="288" w:before="120" w:after="283"/>
        <w:jc w:val="left"/>
        <w:rPr/>
      </w:pPr>
      <w:r>
        <w:rPr>
          <w:rFonts w:ascii="Times New Roman;serif" w:hAnsi="Times New Roman;serif"/>
          <w:b w:val="false"/>
          <w:color w:val="000000"/>
          <w:sz w:val="20"/>
        </w:rPr>
        <w:t>Non-GAAP earnings (loss) per share of Class A common stock</w:t>
      </w:r>
      <w:r>
        <w:rPr>
          <w:color w:val="231F20"/>
        </w:rPr>
        <w:t>—</w:t>
      </w:r>
      <w:r>
        <w:rPr>
          <w:rFonts w:ascii="Times New Roman;serif" w:hAnsi="Times New Roman;serif"/>
          <w:b w:val="false"/>
          <w:color w:val="231F20"/>
          <w:sz w:val="20"/>
        </w:rPr>
        <w:t>basic and diluted</w:t>
      </w:r>
      <w:r>
        <w:rPr>
          <w:color w:val="000000"/>
        </w:rPr>
        <w:t> </w:t>
      </w:r>
      <w:r>
        <w:rPr>
          <w:rFonts w:ascii="Times New Roman;serif" w:hAnsi="Times New Roman;serif"/>
          <w:b w:val="false"/>
          <w:color w:val="000000"/>
          <w:sz w:val="20"/>
        </w:rPr>
        <w:t>is a non-GAAP financial measure defined by us as earnings (loss) per share of Class A common stock</w:t>
      </w:r>
      <w:r>
        <w:rPr>
          <w:color w:val="231F20"/>
        </w:rPr>
        <w:t>—</w:t>
      </w:r>
      <w:r>
        <w:rPr>
          <w:rFonts w:ascii="Times New Roman;serif" w:hAnsi="Times New Roman;serif"/>
          <w:b w:val="false"/>
          <w:color w:val="000000"/>
          <w:sz w:val="20"/>
        </w:rPr>
        <w:t>basic and diluted, adjusted to eliminate the impact of stock-based compensation and certain other items that are not related to our core operations, such as acquisition and restructuring costs as well as TRA remeasurement expense and</w:t>
      </w:r>
      <w:r>
        <w:rPr>
          <w:color w:val="231F20"/>
        </w:rPr>
        <w:t xml:space="preserve"> </w:t>
      </w:r>
      <w:r>
        <w:rPr>
          <w:rFonts w:ascii="Times New Roman;serif" w:hAnsi="Times New Roman;serif"/>
          <w:b w:val="false"/>
          <w:color w:val="231F20"/>
          <w:sz w:val="20"/>
        </w:rPr>
        <w:t>the income tax effect of these adjustments</w:t>
      </w:r>
      <w:r>
        <w:rPr>
          <w:rFonts w:ascii="Times New Roman;serif" w:hAnsi="Times New Roman;serif"/>
          <w:b w:val="false"/>
          <w:color w:val="000000"/>
          <w:sz w:val="20"/>
        </w:rPr>
        <w:t>. Earnings (loss) per share of Class A common stock</w:t>
      </w:r>
      <w:r>
        <w:rPr>
          <w:color w:val="231F20"/>
        </w:rPr>
        <w:t>—</w:t>
      </w:r>
      <w:r>
        <w:rPr>
          <w:rFonts w:ascii="Times New Roman;serif" w:hAnsi="Times New Roman;serif"/>
          <w:b w:val="false"/>
          <w:color w:val="231F20"/>
          <w:sz w:val="20"/>
        </w:rPr>
        <w:t>basic and diluted</w:t>
      </w:r>
      <w:r>
        <w:rPr>
          <w:color w:val="000000"/>
        </w:rPr>
        <w:t> </w:t>
      </w:r>
      <w:r>
        <w:rPr>
          <w:rFonts w:ascii="Times New Roman;serif" w:hAnsi="Times New Roman;serif"/>
          <w:b w:val="false"/>
          <w:color w:val="000000"/>
          <w:sz w:val="20"/>
        </w:rPr>
        <w:t>is the most comparable GAAP financial measure. Non-GAAP earnings (loss) per share of Class A common stock</w:t>
      </w:r>
      <w:r>
        <w:rPr>
          <w:color w:val="231F20"/>
        </w:rPr>
        <w:t>—</w:t>
      </w:r>
      <w:r>
        <w:rPr>
          <w:rFonts w:ascii="Times New Roman;serif" w:hAnsi="Times New Roman;serif"/>
          <w:b w:val="false"/>
          <w:color w:val="000000"/>
          <w:sz w:val="20"/>
        </w:rPr>
        <w:t>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w:t>
      </w:r>
      <w:r>
        <w:rPr>
          <w:color w:val="231F20"/>
        </w:rPr>
        <w:t>—</w:t>
      </w:r>
      <w:r>
        <w:rPr>
          <w:rFonts w:ascii="Times New Roman;serif" w:hAnsi="Times New Roman;serif"/>
          <w:b w:val="false"/>
          <w:color w:val="231F20"/>
          <w:sz w:val="20"/>
        </w:rPr>
        <w:t>basic and diluted</w:t>
      </w:r>
      <w:r>
        <w:rPr>
          <w:color w:val="000000"/>
        </w:rPr>
        <w:t> </w:t>
      </w:r>
      <w:r>
        <w:rPr>
          <w:rFonts w:ascii="Times New Roman;serif" w:hAnsi="Times New Roman;serif"/>
          <w:b w:val="false"/>
          <w:color w:val="000000"/>
          <w:sz w:val="20"/>
        </w:rPr>
        <w:t>provides information to investors and the market generally that aids in the understanding and evaluation of our results of operations in the same manner as our management and board of directors.</w:t>
      </w:r>
    </w:p>
    <w:p>
      <w:pPr>
        <w:pStyle w:val="TextBody"/>
        <w:bidi w:val="0"/>
        <w:spacing w:lineRule="auto" w:line="288" w:before="120" w:after="283"/>
        <w:jc w:val="left"/>
        <w:rPr/>
      </w:pPr>
      <w:r>
        <w:rPr>
          <w:rFonts w:ascii="Times New Roman;serif" w:hAnsi="Times New Roman;serif"/>
          <w:b w:val="false"/>
          <w:color w:val="000000"/>
          <w:sz w:val="20"/>
        </w:rPr>
        <w:t>Basic non-GAAP earnings (loss) per share of Class A common stock is calculated by dividing the non-GAAP net income (loss) attributable to Class A common stockholders by the number of weighted-average shares of Class A common stock outstanding.</w:t>
      </w:r>
      <w:r>
        <w:rPr>
          <w:color w:val="231F20"/>
        </w:rPr>
        <w:t xml:space="preserve"> </w:t>
      </w:r>
      <w:r>
        <w:rPr>
          <w:rFonts w:ascii="Times New Roman;serif" w:hAnsi="Times New Roman;serif"/>
          <w:b w:val="false"/>
          <w:color w:val="231F20"/>
          <w:sz w:val="20"/>
        </w:rPr>
        <w:t>Shares of our Class B common stock do not share in our earnings or losses and are therefore not participating securities. As such, separate presentation of basic and diluted non-GAAP earnings (loss) of Class B common stock under the two-class method has not been presented.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 impact of potentially dilutive securities except to the extent their inclusion would be anti-dilutive. Shares of our Class B common stock, restricted stock units ("RSUs"), performance stock units ("PSUs"), and nonqualified stock options ("NQSOs") are considered potentially dilutive shares of Class A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non-GAAP financial measures should be considered in addition to, not as a substitute for or in isolation from, the Company’s financial information calculated in accordance with GAAP and should not be considered measures of the Company’s liquidity. Further, these non-GAAP financial measures as defined by the Company may not be comparable to similar non-GAAP financial measures presented by other companies, including peer companies, and therefore comparability may be limited. The presentation of such measures, which may include adjustments to exclude unusual or non-recurring items, should not be construed as an inference that the Company’s future results, cash flows or leverage will be unaffected by other unusual or non-recurring items. Management encourages investors and others to review Viant’s financial information in its entirety and not rely on a single financial measure.</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Reconciliation of Non-GAAP Financial Measures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show the reconciliations of the Company’s non-GAAP financial measures contained in this press release to the most directly comparable GAAP financial measures.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gross profit and the reconciliation of gross profit to contribution ex-TAC for the periods presented (unaudited; in thousands):</w:t>
      </w:r>
    </w:p>
    <w:tbl>
      <w:tblPr>
        <w:tblW w:w="8159" w:type="dxa"/>
        <w:jc w:val="center"/>
        <w:tblInd w:w="0" w:type="dxa"/>
        <w:tblLayout w:type="fixed"/>
        <w:tblCellMar>
          <w:top w:w="28" w:type="dxa"/>
          <w:left w:w="28" w:type="dxa"/>
          <w:bottom w:w="28" w:type="dxa"/>
          <w:right w:w="28" w:type="dxa"/>
        </w:tblCellMar>
      </w:tblPr>
      <w:tblGrid>
        <w:gridCol w:w="957"/>
        <w:gridCol w:w="846"/>
        <w:gridCol w:w="851"/>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57"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Other platform operations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total operating expenses to non-GAAP operating expenses for the periods presented (unaudited; in thousands):</w:t>
      </w:r>
    </w:p>
    <w:tbl>
      <w:tblPr>
        <w:tblW w:w="8414" w:type="dxa"/>
        <w:jc w:val="center"/>
        <w:tblInd w:w="0" w:type="dxa"/>
        <w:tblLayout w:type="fixed"/>
        <w:tblCellMar>
          <w:top w:w="28" w:type="dxa"/>
          <w:left w:w="28" w:type="dxa"/>
          <w:bottom w:w="28" w:type="dxa"/>
          <w:right w:w="28" w:type="dxa"/>
        </w:tblCellMar>
      </w:tblPr>
      <w:tblGrid>
        <w:gridCol w:w="1130"/>
        <w:gridCol w:w="992"/>
        <w:gridCol w:w="997"/>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Platform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Traffic acquisition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restructuring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(1)Acquisition and restructuring costs primarily consist of costs incurred related to our contemplated and completed acquisitions for the three and six months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(loss) to adjusted EBITDA for the periods presented (unaudited; in thousands):</w:t>
      </w:r>
    </w:p>
    <w:tbl>
      <w:tblPr>
        <w:tblW w:w="8624" w:type="dxa"/>
        <w:jc w:val="center"/>
        <w:tblInd w:w="0" w:type="dxa"/>
        <w:tblLayout w:type="fixed"/>
        <w:tblCellMar>
          <w:top w:w="28" w:type="dxa"/>
          <w:left w:w="28" w:type="dxa"/>
          <w:bottom w:w="28" w:type="dxa"/>
          <w:right w:w="28" w:type="dxa"/>
        </w:tblCellMar>
      </w:tblPr>
      <w:tblGrid>
        <w:gridCol w:w="1244"/>
        <w:gridCol w:w="1091"/>
        <w:gridCol w:w="109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(less):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restructuring costs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 remeasurement expense</w:t>
            </w:r>
            <w:r>
              <w:rPr>
                <w:rFonts w:ascii="Times New Roman;serif" w:hAnsi="Times New Roman;serif"/>
                <w:b w:val="false"/>
                <w:color w:val="000000"/>
                <w:sz w:val="13"/>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and six months ended June 30, 2026 and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(2)TRA remeasurement expense reflects the remeasurement of the TRA liability for the six months ended June 30, 2025.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calculation of net income (loss) as a percentage of gross profit and the calculation of adjusted EBITDA as a percentage of contribution ex-TAC for the periods presented (unaudited; in thousands, except percentages):</w:t>
      </w:r>
    </w:p>
    <w:tbl>
      <w:tblPr>
        <w:tblW w:w="10205" w:type="dxa"/>
        <w:jc w:val="center"/>
        <w:tblInd w:w="0" w:type="dxa"/>
        <w:tblLayout w:type="fixed"/>
        <w:tblCellMar>
          <w:top w:w="28" w:type="dxa"/>
          <w:left w:w="28" w:type="dxa"/>
          <w:bottom w:w="28" w:type="dxa"/>
          <w:right w:w="28" w:type="dxa"/>
        </w:tblCellMar>
      </w:tblPr>
      <w:tblGrid>
        <w:gridCol w:w="1595"/>
        <w:gridCol w:w="1331"/>
        <w:gridCol w:w="133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318"/>
      </w:tblGrid>
      <w:tr>
        <w:trPr/>
        <w:tc>
          <w:tcPr>
            <w:tcW w:w="159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66,445 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as a percentage of gross profit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Contribution ex-TAC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91,102 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16,685 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percentage of contribution ex-TAC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net income (loss) to non-GAAP net income for the periods presented (unaudited; in thousands):</w:t>
      </w:r>
    </w:p>
    <w:tbl>
      <w:tblPr>
        <w:tblW w:w="10205" w:type="dxa"/>
        <w:jc w:val="center"/>
        <w:tblInd w:w="0" w:type="dxa"/>
        <w:tblLayout w:type="fixed"/>
        <w:tblCellMar>
          <w:top w:w="28" w:type="dxa"/>
          <w:left w:w="28" w:type="dxa"/>
          <w:bottom w:w="28" w:type="dxa"/>
          <w:right w:w="28" w:type="dxa"/>
        </w:tblCellMar>
      </w:tblPr>
      <w:tblGrid>
        <w:gridCol w:w="1945"/>
        <w:gridCol w:w="1670"/>
        <w:gridCol w:w="1562"/>
        <w:gridCol w:w="211"/>
        <w:gridCol w:w="66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7"/>
      </w:tblGrid>
      <w:tr>
        <w:trPr/>
        <w:tc>
          <w:tcPr>
            <w:tcW w:w="194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5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(less):</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 and restructuring costs</w:t>
            </w:r>
            <w:r>
              <w:rPr>
                <w:rFonts w:ascii="Times New Roman;serif" w:hAnsi="Times New Roman;serif"/>
                <w:b w:val="false"/>
                <w:color w:val="000000"/>
                <w:sz w:val="13"/>
              </w:rPr>
              <w:t>(1)</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 remeasurement expense</w:t>
            </w:r>
            <w:r>
              <w:rPr>
                <w:rFonts w:ascii="Times New Roman;serif" w:hAnsi="Times New Roman;serif"/>
                <w:b w:val="false"/>
                <w:color w:val="000000"/>
                <w:sz w:val="13"/>
              </w:rPr>
              <w:t>(2)</w:t>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Viant Technology Inc.’s share of non-GAAP pre-tax income (loss)</w:t>
            </w:r>
            <w:r>
              <w:rPr>
                <w:rFonts w:ascii="Times New Roman;serif" w:hAnsi="Times New Roman;serif"/>
                <w:b w:val="false"/>
                <w:color w:val="000000"/>
                <w:sz w:val="13"/>
              </w:rPr>
              <w:t>(3)</w:t>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and six months ended June 30, 2026 and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(2)TRA remeasurement expense reflects the remeasurement of the TRA liability for the six months ended June 30,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estimated income tax effect of our share of income (loss) after non-GAAP reconciling items for the three months ended June 30, 2026 and 2025 is calculated using assumed blended tax rates of 26% and 27%, respectively, which represent our expected corporate tax rates, excluding discrete and non-recurring tax items.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earnings (loss) per share of Class A common stock—basic and diluted to non-GAAP earnings (loss) per share of Class A common stock—basic and diluted for the periods presented (unaudited; in thousands,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41"/>
        <w:gridCol w:w="1297"/>
        <w:gridCol w:w="1285"/>
        <w:gridCol w:w="255"/>
        <w:gridCol w:w="791"/>
        <w:gridCol w:w="131"/>
        <w:gridCol w:w="131"/>
        <w:gridCol w:w="131"/>
        <w:gridCol w:w="131"/>
        <w:gridCol w:w="131"/>
        <w:gridCol w:w="109"/>
        <w:gridCol w:w="224"/>
        <w:gridCol w:w="690"/>
        <w:gridCol w:w="115"/>
        <w:gridCol w:w="113"/>
        <w:gridCol w:w="113"/>
        <w:gridCol w:w="113"/>
        <w:gridCol w:w="219"/>
        <w:gridCol w:w="642"/>
        <w:gridCol w:w="113"/>
        <w:gridCol w:w="109"/>
        <w:gridCol w:w="109"/>
        <w:gridCol w:w="109"/>
        <w:gridCol w:w="109"/>
        <w:gridCol w:w="109"/>
        <w:gridCol w:w="230"/>
        <w:gridCol w:w="673"/>
        <w:gridCol w:w="182"/>
      </w:tblGrid>
      <w:tr>
        <w:trPr/>
        <w:tc>
          <w:tcPr>
            <w:tcW w:w="184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630" w:type="dxa"/>
            <w:gridSpan w:val="8"/>
            <w:tcBorders/>
          </w:tcPr>
          <w:p>
            <w:pPr>
              <w:pStyle w:val="TableContents"/>
              <w:bidi w:val="0"/>
              <w:spacing w:before="0" w:after="283"/>
              <w:jc w:val="left"/>
              <w:rPr>
                <w:sz w:val="4"/>
                <w:szCs w:val="4"/>
              </w:rPr>
            </w:pPr>
            <w:r>
              <w:rPr>
                <w:sz w:val="4"/>
                <w:szCs w:val="4"/>
              </w:rPr>
            </w:r>
          </w:p>
        </w:tc>
      </w:tr>
      <w:tr>
        <w:trPr/>
        <w:tc>
          <w:tcPr>
            <w:tcW w:w="4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Acquisition and restructuring costs</w:t>
            </w:r>
            <w:r>
              <w:rPr>
                <w:rFonts w:ascii="Times New Roman;serif" w:hAnsi="Times New Roman;serif"/>
                <w:b w:val="false"/>
                <w:color w:val="000000"/>
                <w:sz w:val="13"/>
              </w:rPr>
              <w:t>(1)</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Viant Technology Inc.'s share of non-GAAP pre-tax income (loss)</w:t>
            </w:r>
            <w:r>
              <w:rPr>
                <w:rFonts w:ascii="Times New Roman;serif" w:hAnsi="Times New Roman;serif"/>
                <w:b w:val="false"/>
                <w:color w:val="000000"/>
                <w:sz w:val="13"/>
              </w:rPr>
              <w:t>(2)</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Less: Net income (loss) attributable to noncontrolling interests</w:t>
            </w:r>
            <w:r>
              <w:rPr>
                <w:rFonts w:ascii="Times New Roman;serif" w:hAnsi="Times New Roman;serif"/>
                <w:b w:val="false"/>
                <w:color w:val="000000"/>
                <w:sz w:val="13"/>
              </w:rPr>
              <w:t>(3)</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Inc.—basic</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Reallocation of net income (loss) attributable to noncontrolling interest from the assumed exchange of RSUs and NQSOs for Class A common stock</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from the assumed exchange of dilutive securities for Class A common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Net income (loss) attributable to noncontrolling interests</w:t>
            </w:r>
            <w:r>
              <w:rPr>
                <w:rFonts w:ascii="Times New Roman;serif" w:hAnsi="Times New Roman;serif"/>
                <w:b w:val="false"/>
                <w:color w:val="000000"/>
                <w:sz w:val="13"/>
              </w:rPr>
              <w:t>(3)</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the Company's share of non-GAAP pre-tax income (loss)</w:t>
            </w:r>
            <w:r>
              <w:rPr>
                <w:rFonts w:ascii="Times New Roman;serif" w:hAnsi="Times New Roman;serif"/>
                <w:b w:val="false"/>
                <w:color w:val="000000"/>
                <w:sz w:val="13"/>
              </w:rPr>
              <w:t>(2)</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Inc.—diluted</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—basic</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—diluted</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65,193 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stock—basic</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8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stock—diluted</w:t>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1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excluded from earnings (loss) per share of Class A common stock—diluted:</w:t>
            </w:r>
          </w:p>
        </w:tc>
        <w:tc>
          <w:tcPr>
            <w:tcW w:w="11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PSUs</w:t>
            </w:r>
            <w:r>
              <w:rPr>
                <w:rFonts w:ascii="Times New Roman;serif" w:hAnsi="Times New Roman;serif"/>
                <w:b w:val="false"/>
                <w:color w:val="000000"/>
                <w:sz w:val="13"/>
              </w:rPr>
              <w:t>(4)</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8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earnings (loss) per share of Class A common stock—diluted</w:t>
            </w:r>
          </w:p>
        </w:tc>
        <w:tc>
          <w:tcPr>
            <w:tcW w:w="10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three months ended June 30, 2026 and 2025.</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estimated income tax effect of our share of income (loss) after non-GAAP reconciling items for the three months ended June 30, 2026 and 2025 is calculated using assumed blended tax rates of 26% and 27%, respectively, which represent our expected corporate tax rates, excluding discrete and non-recurring tax items.</w:t>
      </w:r>
    </w:p>
    <w:p>
      <w:pPr>
        <w:pStyle w:val="TextBody"/>
        <w:bidi w:val="0"/>
        <w:spacing w:lineRule="auto" w:line="288" w:before="120" w:after="283"/>
        <w:ind w:left="0" w:right="0" w:hanging="360"/>
        <w:jc w:val="left"/>
        <w:rPr/>
      </w:pPr>
      <w:r>
        <w:rPr>
          <w:rFonts w:ascii="Times New Roman;serif" w:hAnsi="Times New Roman;serif"/>
          <w:b w:val="false"/>
          <w:color w:val="000000"/>
          <w:sz w:val="20"/>
        </w:rPr>
        <w:t xml:space="preserve">(3)The adjustment to net income attributable to noncontrolling interests represents stock-based compensation as well as </w:t>
      </w:r>
      <w:r>
        <w:rPr>
          <w:rFonts w:ascii="Times New Roman;serif" w:hAnsi="Times New Roman;serif"/>
          <w:b w:val="false"/>
          <w:color w:val="231F20"/>
          <w:sz w:val="20"/>
        </w:rPr>
        <w:t>a</w:t>
      </w:r>
      <w:r>
        <w:rPr>
          <w:rFonts w:ascii="Times New Roman;serif" w:hAnsi="Times New Roman;serif"/>
          <w:b w:val="false"/>
          <w:color w:val="000000"/>
          <w:sz w:val="20"/>
        </w:rPr>
        <w:t>cquisition and restructuring costs attributed to the noncontrolling interests outstanding during the period.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(4)Number of securities outstanding at the end of the period that were excluded from the computation of diluted non-GAAP earnings (loss) per share of Class A common stock because the performance conditions associated with these awards were not met assuming the end of the reporting period was the end of the performance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39"/>
        <w:gridCol w:w="1399"/>
        <w:gridCol w:w="1415"/>
        <w:gridCol w:w="211"/>
        <w:gridCol w:w="648"/>
        <w:gridCol w:w="109"/>
        <w:gridCol w:w="109"/>
        <w:gridCol w:w="109"/>
        <w:gridCol w:w="109"/>
        <w:gridCol w:w="109"/>
        <w:gridCol w:w="109"/>
        <w:gridCol w:w="224"/>
        <w:gridCol w:w="767"/>
        <w:gridCol w:w="115"/>
        <w:gridCol w:w="109"/>
        <w:gridCol w:w="109"/>
        <w:gridCol w:w="109"/>
        <w:gridCol w:w="211"/>
        <w:gridCol w:w="648"/>
        <w:gridCol w:w="109"/>
        <w:gridCol w:w="109"/>
        <w:gridCol w:w="109"/>
        <w:gridCol w:w="109"/>
        <w:gridCol w:w="109"/>
        <w:gridCol w:w="109"/>
        <w:gridCol w:w="226"/>
        <w:gridCol w:w="698"/>
        <w:gridCol w:w="169"/>
      </w:tblGrid>
      <w:tr>
        <w:trPr/>
        <w:tc>
          <w:tcPr>
            <w:tcW w:w="1839"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c>
          <w:tcPr>
            <w:tcW w:w="1638" w:type="dxa"/>
            <w:gridSpan w:val="8"/>
            <w:tcBorders/>
          </w:tcPr>
          <w:p>
            <w:pPr>
              <w:pStyle w:val="TableContents"/>
              <w:bidi w:val="0"/>
              <w:spacing w:before="0" w:after="283"/>
              <w:jc w:val="left"/>
              <w:rPr>
                <w:sz w:val="4"/>
                <w:szCs w:val="4"/>
              </w:rPr>
            </w:pPr>
            <w:r>
              <w:rPr>
                <w:sz w:val="4"/>
                <w:szCs w:val="4"/>
              </w:rPr>
            </w:r>
          </w:p>
        </w:tc>
      </w:tr>
      <w:tr>
        <w:trPr/>
        <w:tc>
          <w:tcPr>
            <w:tcW w:w="46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Earnings </w:t>
              <w:br/>
              <w:t xml:space="preserve">(Loss) per </w:t>
              <w:br/>
              <w:t>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Non-GAAP </w:t>
              <w:br/>
              <w:t xml:space="preserve">Earnings (Loss) </w:t>
              <w:br/>
              <w:t>per Share</w:t>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Stock-based compensation</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Acquisition and restructuring costs</w:t>
            </w:r>
            <w:r>
              <w:rPr>
                <w:rFonts w:ascii="Times New Roman;serif" w:hAnsi="Times New Roman;serif"/>
                <w:b w:val="false"/>
                <w:color w:val="000000"/>
                <w:sz w:val="13"/>
              </w:rPr>
              <w:t>(1)</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TRA remeasurement expense</w:t>
            </w:r>
            <w:r>
              <w:rPr>
                <w:rFonts w:ascii="Times New Roman;serif" w:hAnsi="Times New Roman;serif"/>
                <w:b w:val="false"/>
                <w:color w:val="000000"/>
                <w:sz w:val="13"/>
              </w:rPr>
              <w:t>(2)</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benefit (expense) related to Viant Technology Inc.'s share of non-GAAP pre-tax loss</w:t>
            </w:r>
            <w:r>
              <w:rPr>
                <w:rFonts w:ascii="Times New Roman;serif" w:hAnsi="Times New Roman;serif"/>
                <w:b w:val="false"/>
                <w:color w:val="000000"/>
                <w:sz w:val="13"/>
              </w:rPr>
              <w:t>(3)</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(loss)</w:t>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Less: Net income (loss) attributable to noncontrolling interests</w:t>
            </w:r>
            <w:r>
              <w:rPr>
                <w:rFonts w:ascii="Times New Roman;serif" w:hAnsi="Times New Roman;serif"/>
                <w:b w:val="false"/>
                <w:color w:val="000000"/>
                <w:sz w:val="13"/>
              </w:rPr>
              <w:t>(4)</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Inc.—basic</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 Reallocation of net loss attributable to noncontrolling interest from the assumed exchange of RSUs and NQSOs for Class A common stock</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from the assumed exchange of dilutive securities for Class A common stock</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Add back: Net income (loss) attributable to noncontrolling interests</w:t>
            </w:r>
            <w:r>
              <w:rPr>
                <w:rFonts w:ascii="Times New Roman;serif" w:hAnsi="Times New Roman;serif"/>
                <w:b w:val="false"/>
                <w:color w:val="000000"/>
                <w:sz w:val="13"/>
              </w:rPr>
              <w:t>(4)</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expense (benefit) related to the Company's share of non-GAAP pre-tax loss</w:t>
            </w:r>
            <w:r>
              <w:rPr>
                <w:rFonts w:ascii="Times New Roman;serif" w:hAnsi="Times New Roman;serif"/>
                <w:b w:val="false"/>
                <w:color w:val="000000"/>
                <w:sz w:val="13"/>
              </w:rPr>
              <w:t>(3)</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Viant Technology Inc.—diluted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—basic</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PSUs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—diluted</w:t>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66,946 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21,187 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 per share of Class A common stock—diluted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16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Anti-dilutive shares excluded from earnings (loss) per share of Class A common stock—diluted:</w:t>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NQSOs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PSUs</w:t>
            </w:r>
            <w:r>
              <w:rPr>
                <w:rFonts w:ascii="Times New Roman;serif" w:hAnsi="Times New Roman;serif"/>
                <w:b w:val="false"/>
                <w:color w:val="000000"/>
                <w:sz w:val="13"/>
              </w:rPr>
              <w:t>(5)</w:t>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B common stock</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excluded from earnings (loss) per share of Class A common stock—diluted</w:t>
            </w:r>
          </w:p>
        </w:tc>
        <w:tc>
          <w:tcPr>
            <w:tcW w:w="8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46,696 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hanging="360"/>
        <w:jc w:val="left"/>
        <w:rPr/>
      </w:pPr>
      <w:r>
        <w:rPr/>
      </w:r>
    </w:p>
    <w:p>
      <w:pPr>
        <w:pStyle w:val="TextBody"/>
        <w:bidi w:val="0"/>
        <w:spacing w:lineRule="auto" w:line="288" w:before="120" w:after="283"/>
        <w:ind w:left="0" w:right="0" w:hanging="360"/>
        <w:jc w:val="left"/>
        <w:rPr/>
      </w:pPr>
      <w:r>
        <w:rPr>
          <w:rFonts w:ascii="Times New Roman;serif" w:hAnsi="Times New Roman;serif"/>
          <w:b w:val="false"/>
          <w:color w:val="231F20"/>
          <w:sz w:val="20"/>
        </w:rPr>
        <w:t>(1)</w:t>
      </w:r>
      <w:r>
        <w:rPr>
          <w:rFonts w:ascii="Times New Roman;serif" w:hAnsi="Times New Roman;serif"/>
          <w:b w:val="false"/>
          <w:color w:val="000000"/>
          <w:sz w:val="20"/>
        </w:rPr>
        <w:t>Acquisition and restructuring costs primarily consist of costs incurred related to our contemplated and completed acquisitions for the six months ended June 30, 2026 and 2025.</w:t>
      </w:r>
    </w:p>
    <w:p>
      <w:pPr>
        <w:pStyle w:val="TextBody"/>
        <w:bidi w:val="0"/>
        <w:spacing w:lineRule="auto" w:line="288" w:before="120" w:after="283"/>
        <w:ind w:left="0" w:right="0" w:hanging="360"/>
        <w:jc w:val="left"/>
        <w:rPr/>
      </w:pPr>
      <w:r>
        <w:rPr>
          <w:rFonts w:ascii="Times New Roman;serif" w:hAnsi="Times New Roman;serif"/>
          <w:b w:val="false"/>
          <w:color w:val="000000"/>
          <w:sz w:val="20"/>
        </w:rPr>
        <w:t>(2)TRA remeasurement expense reflects the remeasurement of the TRA liability for the six months ended June 30,</w:t>
      </w:r>
      <w:r>
        <w:rPr>
          <w:color w:val="231F20"/>
        </w:rPr>
        <w:t xml:space="preserve"> </w:t>
      </w:r>
      <w:r>
        <w:rPr>
          <w:rFonts w:ascii="Times New Roman;serif" w:hAnsi="Times New Roman;serif"/>
          <w:b w:val="false"/>
          <w:color w:val="231F20"/>
          <w:sz w:val="20"/>
        </w:rPr>
        <w:t>2025.</w:t>
      </w:r>
    </w:p>
    <w:p>
      <w:pPr>
        <w:pStyle w:val="TextBody"/>
        <w:bidi w:val="0"/>
        <w:spacing w:lineRule="auto" w:line="288" w:before="120" w:after="283"/>
        <w:ind w:left="0" w:right="0" w:hanging="360"/>
        <w:jc w:val="left"/>
        <w:rPr/>
      </w:pPr>
      <w:r>
        <w:rPr>
          <w:rFonts w:ascii="Times New Roman;serif" w:hAnsi="Times New Roman;serif"/>
          <w:b w:val="false"/>
          <w:color w:val="231F20"/>
          <w:sz w:val="20"/>
        </w:rPr>
        <w:t xml:space="preserve">(3)The estimated income tax effect of our share of income (loss) after non-GAAP reconciling items for the </w:t>
      </w:r>
      <w:r>
        <w:rPr>
          <w:rFonts w:ascii="Times New Roman;serif" w:hAnsi="Times New Roman;serif"/>
          <w:b w:val="false"/>
          <w:color w:val="000000"/>
          <w:sz w:val="20"/>
        </w:rPr>
        <w:t>six</w:t>
      </w:r>
      <w:r>
        <w:rPr>
          <w:color w:val="231F20"/>
        </w:rPr>
        <w:t xml:space="preserve"> </w:t>
      </w:r>
      <w:r>
        <w:rPr>
          <w:rFonts w:ascii="Times New Roman;serif" w:hAnsi="Times New Roman;serif"/>
          <w:b w:val="false"/>
          <w:color w:val="231F20"/>
          <w:sz w:val="20"/>
        </w:rPr>
        <w:t>months ended June 30, 2026 and 2025 is calculated using assumed blended tax rates of 26% and 27%, respectively, which represent our expected corporate tax rates, excluding discrete and non-recurring tax items.</w:t>
      </w:r>
    </w:p>
    <w:p>
      <w:pPr>
        <w:pStyle w:val="TextBody"/>
        <w:bidi w:val="0"/>
        <w:spacing w:lineRule="auto" w:line="288" w:before="120" w:after="283"/>
        <w:ind w:left="0" w:right="0" w:hanging="360"/>
        <w:jc w:val="left"/>
        <w:rPr/>
      </w:pPr>
      <w:r>
        <w:rPr>
          <w:rFonts w:ascii="Times New Roman;serif" w:hAnsi="Times New Roman;serif"/>
          <w:b w:val="false"/>
          <w:color w:val="231F20"/>
          <w:sz w:val="20"/>
        </w:rPr>
        <w:t>(4)The adjustment to net income attributable to noncontrolling interests represents stock-based compensation as well as a</w:t>
      </w:r>
      <w:r>
        <w:rPr>
          <w:rFonts w:ascii="Times New Roman;serif" w:hAnsi="Times New Roman;serif"/>
          <w:b w:val="false"/>
          <w:color w:val="000000"/>
          <w:sz w:val="20"/>
        </w:rPr>
        <w:t>cquisition and restructuring costs</w:t>
      </w:r>
      <w:r>
        <w:rPr>
          <w:color w:val="231F20"/>
        </w:rPr>
        <w:t xml:space="preserve"> </w:t>
      </w:r>
      <w:r>
        <w:rPr>
          <w:rFonts w:ascii="Times New Roman;serif" w:hAnsi="Times New Roman;serif"/>
          <w:b w:val="false"/>
          <w:color w:val="231F20"/>
          <w:sz w:val="20"/>
        </w:rPr>
        <w:t>attributed to the noncontrolling interests outstanding during the period.</w:t>
      </w:r>
    </w:p>
    <w:p>
      <w:pPr>
        <w:pStyle w:val="TextBody"/>
        <w:bidi w:val="0"/>
        <w:spacing w:lineRule="auto" w:line="288" w:before="120" w:after="283"/>
        <w:ind w:left="0" w:right="0" w:hanging="360"/>
        <w:jc w:val="left"/>
        <w:rPr/>
      </w:pPr>
      <w:r>
        <w:rPr>
          <w:rFonts w:ascii="Times New Roman;serif" w:hAnsi="Times New Roman;serif"/>
          <w:b w:val="false"/>
          <w:color w:val="231F20"/>
          <w:sz w:val="20"/>
        </w:rPr>
        <w:t>(5)</w:t>
      </w:r>
      <w:r>
        <w:rPr>
          <w:rFonts w:ascii="Times New Roman;serif" w:hAnsi="Times New Roman;serif"/>
          <w:b w:val="false"/>
          <w:color w:val="000000"/>
          <w:sz w:val="20"/>
        </w:rPr>
        <w:t>Number of securities outstanding at the end of the period that were excluded from the computation of diluted non-GAAP earnings (loss) per share of Class A common stock because the performance conditions associated with these awards were not met assuming the end of the reporting period was the end of the performance period.</w:t>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6246</Words>
  <Characters>35871</Characters>
  <CharactersWithSpaces>41430</CharactersWithSpaces>
  <Paragraphs>1266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