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2411095</wp:posOffset>
            </wp:positionH>
            <wp:positionV relativeFrom="page">
              <wp:posOffset>3663315</wp:posOffset>
            </wp:positionV>
            <wp:extent cx="2726055" cy="505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726055"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14"/>
        <w:spacing w:after="0"/>
        <w:rPr>
          <w:sz w:val="20"/>
          <w:szCs w:val="20"/>
          <w:color w:val="auto"/>
        </w:rPr>
      </w:pPr>
      <w:r>
        <w:rPr>
          <w:rFonts w:ascii="Times New Roman" w:cs="Times New Roman" w:eastAsia="Times New Roman" w:hAnsi="Times New Roman"/>
          <w:sz w:val="18"/>
          <w:szCs w:val="18"/>
          <w:color w:val="auto"/>
        </w:rPr>
        <w:t>________________________________________________</w:t>
      </w:r>
    </w:p>
    <w:p>
      <w:pPr>
        <w:spacing w:after="0" w:line="349" w:lineRule="exact"/>
        <w:rPr>
          <w:sz w:val="24"/>
          <w:szCs w:val="24"/>
          <w:color w:val="auto"/>
        </w:rPr>
      </w:pPr>
    </w:p>
    <w:p>
      <w:pPr>
        <w:ind w:left="2574"/>
        <w:spacing w:after="0"/>
        <w:rPr>
          <w:sz w:val="20"/>
          <w:szCs w:val="20"/>
          <w:color w:val="auto"/>
        </w:rPr>
      </w:pPr>
      <w:r>
        <w:rPr>
          <w:rFonts w:ascii="Times New Roman" w:cs="Times New Roman" w:eastAsia="Times New Roman" w:hAnsi="Times New Roman"/>
          <w:sz w:val="25"/>
          <w:szCs w:val="25"/>
          <w:b w:val="1"/>
          <w:bCs w:val="1"/>
          <w:color w:val="auto"/>
        </w:rPr>
        <w:t>FISCAL YEAR 2025 ANNUAL FINANCIAL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1054"/>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054"/>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054"/>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 w:lineRule="exact"/>
        <w:rPr>
          <w:sz w:val="24"/>
          <w:szCs w:val="24"/>
          <w:color w:val="auto"/>
        </w:rPr>
      </w:pPr>
    </w:p>
    <w:p>
      <w:pPr>
        <w:ind w:left="4894"/>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4" w:lineRule="exact"/>
        <w:rPr>
          <w:sz w:val="24"/>
          <w:szCs w:val="24"/>
          <w:color w:val="auto"/>
        </w:rPr>
      </w:pPr>
    </w:p>
    <w:p>
      <w:pPr>
        <w:ind w:left="634" w:hanging="411"/>
        <w:spacing w:after="0"/>
        <w:tabs>
          <w:tab w:leader="none" w:pos="634"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00" w:lineRule="exact"/>
        <w:rPr>
          <w:sz w:val="24"/>
          <w:szCs w:val="24"/>
          <w:color w:val="auto"/>
        </w:rPr>
      </w:pPr>
    </w:p>
    <w:p>
      <w:pPr>
        <w:spacing w:after="0" w:line="390" w:lineRule="exact"/>
        <w:rPr>
          <w:sz w:val="24"/>
          <w:szCs w:val="24"/>
          <w:color w:val="auto"/>
        </w:rPr>
      </w:pPr>
    </w:p>
    <w:p>
      <w:pPr>
        <w:ind w:left="3434" w:right="519" w:hanging="3434"/>
        <w:spacing w:after="0" w:line="411" w:lineRule="auto"/>
        <w:tabs>
          <w:tab w:leader="none" w:pos="412"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from__________to__________</w:t>
      </w:r>
    </w:p>
    <w:p>
      <w:pPr>
        <w:sectPr>
          <w:pgSz w:w="11900" w:h="17038" w:orient="portrait"/>
          <w:cols w:equalWidth="0" w:num="1">
            <w:col w:w="10093"/>
          </w:cols>
          <w:pgMar w:left="366" w:top="1440" w:right="1440"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001-40015</w:t>
      </w:r>
    </w:p>
    <w:p>
      <w:pPr>
        <w:spacing w:after="0" w:line="30"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74930</wp:posOffset>
            </wp:positionV>
            <wp:extent cx="2031365" cy="386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13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Viant Technology Inc.</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094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r>
      <w:tr>
        <w:trPr>
          <w:trHeight w:val="140"/>
        </w:trPr>
        <w:tc>
          <w:tcPr>
            <w:tcW w:w="11100" w:type="dxa"/>
            <w:vAlign w:val="bottom"/>
            <w:gridSpan w:val="8"/>
          </w:tcPr>
          <w:p>
            <w:pPr>
              <w:jc w:val="center"/>
              <w:ind w:left="68"/>
              <w:spacing w:after="0"/>
              <w:rPr>
                <w:sz w:val="20"/>
                <w:szCs w:val="20"/>
                <w:color w:val="auto"/>
              </w:rPr>
            </w:pPr>
            <w:r>
              <w:rPr>
                <w:rFonts w:ascii="Times New Roman" w:cs="Times New Roman" w:eastAsia="Times New Roman" w:hAnsi="Times New Roman"/>
                <w:sz w:val="11"/>
                <w:szCs w:val="11"/>
                <w:color w:val="auto"/>
                <w:w w:val="98"/>
              </w:rPr>
              <w:t>_____________________________________________________________________________</w:t>
            </w:r>
          </w:p>
        </w:tc>
      </w:tr>
      <w:tr>
        <w:trPr>
          <w:trHeight w:val="279"/>
        </w:trPr>
        <w:tc>
          <w:tcPr>
            <w:tcW w:w="160" w:type="dxa"/>
            <w:vAlign w:val="bottom"/>
          </w:tcPr>
          <w:p>
            <w:pPr>
              <w:spacing w:after="0"/>
              <w:rPr>
                <w:sz w:val="24"/>
                <w:szCs w:val="24"/>
                <w:color w:val="auto"/>
              </w:rPr>
            </w:pPr>
          </w:p>
        </w:tc>
        <w:tc>
          <w:tcPr>
            <w:tcW w:w="4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85-3447553</w:t>
            </w:r>
          </w:p>
        </w:tc>
      </w:tr>
      <w:tr>
        <w:trPr>
          <w:trHeight w:val="189"/>
        </w:trPr>
        <w:tc>
          <w:tcPr>
            <w:tcW w:w="160" w:type="dxa"/>
            <w:vAlign w:val="bottom"/>
          </w:tcPr>
          <w:p>
            <w:pPr>
              <w:spacing w:after="0"/>
              <w:rPr>
                <w:sz w:val="16"/>
                <w:szCs w:val="16"/>
                <w:color w:val="auto"/>
              </w:rPr>
            </w:pPr>
          </w:p>
        </w:tc>
        <w:tc>
          <w:tcPr>
            <w:tcW w:w="414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80" w:type="dxa"/>
            <w:vAlign w:val="bottom"/>
          </w:tcPr>
          <w:p>
            <w:pPr>
              <w:jc w:val="center"/>
              <w:ind w:left="9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160" w:type="dxa"/>
            <w:vAlign w:val="bottom"/>
          </w:tcPr>
          <w:p>
            <w:pPr>
              <w:spacing w:after="0"/>
              <w:rPr>
                <w:sz w:val="20"/>
                <w:szCs w:val="20"/>
                <w:color w:val="auto"/>
              </w:rPr>
            </w:pPr>
          </w:p>
        </w:tc>
        <w:tc>
          <w:tcPr>
            <w:tcW w:w="41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184"/>
        </w:trPr>
        <w:tc>
          <w:tcPr>
            <w:tcW w:w="16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720" w:type="dxa"/>
            <w:vAlign w:val="bottom"/>
            <w:gridSpan w:val="5"/>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2722 Michelson Drive, Suite 100</w:t>
            </w:r>
          </w:p>
        </w:tc>
        <w:tc>
          <w:tcPr>
            <w:tcW w:w="4080" w:type="dxa"/>
            <w:vAlign w:val="bottom"/>
          </w:tcPr>
          <w:p>
            <w:pPr>
              <w:spacing w:after="0"/>
              <w:rPr>
                <w:sz w:val="16"/>
                <w:szCs w:val="16"/>
                <w:color w:val="auto"/>
              </w:rPr>
            </w:pPr>
          </w:p>
        </w:tc>
      </w:tr>
      <w:tr>
        <w:trPr>
          <w:trHeight w:val="238"/>
        </w:trPr>
        <w:tc>
          <w:tcPr>
            <w:tcW w:w="1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Irvine, CA, 92612</w:t>
            </w:r>
          </w:p>
        </w:tc>
        <w:tc>
          <w:tcPr>
            <w:tcW w:w="4080" w:type="dxa"/>
            <w:vAlign w:val="bottom"/>
          </w:tcPr>
          <w:p>
            <w:pPr>
              <w:spacing w:after="0"/>
              <w:rPr>
                <w:sz w:val="20"/>
                <w:szCs w:val="20"/>
                <w:color w:val="auto"/>
              </w:rPr>
            </w:pPr>
          </w:p>
        </w:tc>
      </w:tr>
      <w:tr>
        <w:trPr>
          <w:trHeight w:val="248"/>
        </w:trPr>
        <w:tc>
          <w:tcPr>
            <w:tcW w:w="160" w:type="dxa"/>
            <w:vAlign w:val="bottom"/>
          </w:tcPr>
          <w:p>
            <w:pPr>
              <w:spacing w:after="0"/>
              <w:rPr>
                <w:sz w:val="21"/>
                <w:szCs w:val="21"/>
                <w:color w:val="auto"/>
              </w:rPr>
            </w:pPr>
          </w:p>
        </w:tc>
        <w:tc>
          <w:tcPr>
            <w:tcW w:w="109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 and zip code)</w:t>
            </w:r>
          </w:p>
        </w:tc>
      </w:tr>
      <w:tr>
        <w:trPr>
          <w:trHeight w:val="257"/>
        </w:trPr>
        <w:tc>
          <w:tcPr>
            <w:tcW w:w="16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226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(949) 861-8888</w:t>
            </w: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80" w:type="dxa"/>
            <w:vAlign w:val="bottom"/>
          </w:tcPr>
          <w:p>
            <w:pPr>
              <w:spacing w:after="0"/>
              <w:rPr>
                <w:sz w:val="22"/>
                <w:szCs w:val="22"/>
                <w:color w:val="auto"/>
              </w:rPr>
            </w:pPr>
          </w:p>
        </w:tc>
      </w:tr>
      <w:tr>
        <w:trPr>
          <w:trHeight w:val="257"/>
        </w:trPr>
        <w:tc>
          <w:tcPr>
            <w:tcW w:w="160" w:type="dxa"/>
            <w:vAlign w:val="bottom"/>
          </w:tcPr>
          <w:p>
            <w:pPr>
              <w:spacing w:after="0"/>
              <w:rPr>
                <w:sz w:val="22"/>
                <w:szCs w:val="22"/>
                <w:color w:val="auto"/>
              </w:rPr>
            </w:pPr>
          </w:p>
        </w:tc>
        <w:tc>
          <w:tcPr>
            <w:tcW w:w="1094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r>
        <w:trPr>
          <w:trHeight w:val="324"/>
        </w:trPr>
        <w:tc>
          <w:tcPr>
            <w:tcW w:w="70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4080" w:type="dxa"/>
            <w:vAlign w:val="bottom"/>
          </w:tcPr>
          <w:p>
            <w:pPr>
              <w:spacing w:after="0"/>
              <w:rPr>
                <w:sz w:val="24"/>
                <w:szCs w:val="24"/>
                <w:color w:val="auto"/>
              </w:rPr>
            </w:pPr>
          </w:p>
        </w:tc>
      </w:tr>
      <w:tr>
        <w:trPr>
          <w:trHeight w:val="283"/>
        </w:trPr>
        <w:tc>
          <w:tcPr>
            <w:tcW w:w="160" w:type="dxa"/>
            <w:vAlign w:val="bottom"/>
          </w:tcPr>
          <w:p>
            <w:pPr>
              <w:spacing w:after="0"/>
              <w:rPr>
                <w:sz w:val="24"/>
                <w:szCs w:val="24"/>
                <w:color w:val="auto"/>
              </w:rPr>
            </w:pPr>
          </w:p>
        </w:tc>
        <w:tc>
          <w:tcPr>
            <w:tcW w:w="4140" w:type="dxa"/>
            <w:vAlign w:val="bottom"/>
            <w:tcBorders>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160" w:type="dxa"/>
            <w:vAlign w:val="bottom"/>
          </w:tcPr>
          <w:p>
            <w:pPr>
              <w:spacing w:after="0"/>
              <w:rPr>
                <w:sz w:val="20"/>
                <w:szCs w:val="20"/>
                <w:color w:val="auto"/>
              </w:rPr>
            </w:pPr>
          </w:p>
        </w:tc>
        <w:tc>
          <w:tcPr>
            <w:tcW w:w="414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Class A common stock, par value $0.001 per share</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4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color w:val="auto"/>
                <w:w w:val="96"/>
              </w:rPr>
              <w:t>DSP</w:t>
            </w:r>
          </w:p>
        </w:tc>
        <w:tc>
          <w:tcPr>
            <w:tcW w:w="40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p>
      <w:pPr>
        <w:spacing w:after="0" w:line="73" w:lineRule="exact"/>
        <w:rPr>
          <w:sz w:val="20"/>
          <w:szCs w:val="20"/>
          <w:color w:val="auto"/>
        </w:rPr>
      </w:pPr>
    </w:p>
    <w:p>
      <w:pPr>
        <w:ind w:left="660" w:right="1920"/>
        <w:spacing w:after="0" w:line="325"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Indicate by check mark if the registrant is not required to file reports pursuant to Section 13 or Section 15(d)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1" w:lineRule="exact"/>
        <w:rPr>
          <w:sz w:val="20"/>
          <w:szCs w:val="20"/>
          <w:color w:val="auto"/>
        </w:rPr>
      </w:pPr>
    </w:p>
    <w:p>
      <w:pPr>
        <w:ind w:right="140" w:firstLine="648"/>
        <w:spacing w:after="0" w:line="26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30" w:lineRule="exact"/>
        <w:rPr>
          <w:sz w:val="20"/>
          <w:szCs w:val="20"/>
          <w:color w:val="auto"/>
        </w:rPr>
      </w:pPr>
    </w:p>
    <w:p>
      <w:pPr>
        <w:ind w:right="4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3" w:lineRule="exact"/>
        <w:rPr>
          <w:sz w:val="20"/>
          <w:szCs w:val="20"/>
          <w:color w:val="auto"/>
        </w:rPr>
      </w:pPr>
    </w:p>
    <w:p>
      <w:pPr>
        <w:ind w:right="100" w:firstLine="648"/>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17" w:right="339" w:bottom="1440" w:gutter="0" w:footer="0" w:header="0"/>
        </w:sectPr>
      </w:pP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o</w:t>
      </w:r>
    </w:p>
    <w:p>
      <w:pPr>
        <w:spacing w:after="0" w:line="38"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color w:val="auto"/>
        </w:rPr>
        <w:t>Emerging growth company</w:t>
      </w:r>
    </w:p>
    <w:p>
      <w:pPr>
        <w:spacing w:after="0" w:line="60" w:lineRule="exact"/>
        <w:rPr>
          <w:sz w:val="20"/>
          <w:szCs w:val="20"/>
          <w:color w:val="auto"/>
        </w:rPr>
      </w:pPr>
    </w:p>
    <w:p>
      <w:pPr>
        <w:spacing w:after="0"/>
        <w:rPr>
          <w:sz w:val="20"/>
          <w:szCs w:val="20"/>
          <w:color w:val="auto"/>
        </w:rPr>
      </w:pPr>
      <w:r>
        <w:rPr>
          <w:rFonts w:ascii="Wingdings" w:cs="Wingdings" w:eastAsia="Wingdings" w:hAnsi="Wingdings"/>
          <w:sz w:val="16"/>
          <w:szCs w:val="16"/>
          <w:b w:val="1"/>
          <w:bCs w:val="1"/>
          <w:color w:val="auto"/>
        </w:rPr>
        <w:t>x</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Wingdings" w:cs="Wingdings" w:eastAsia="Wingdings" w:hAnsi="Wingdings"/>
          <w:sz w:val="15"/>
          <w:szCs w:val="15"/>
          <w:b w:val="1"/>
          <w:bCs w:val="1"/>
          <w:color w:val="auto"/>
        </w:rPr>
        <w:t>x</w:t>
      </w:r>
    </w:p>
    <w:p>
      <w:pPr>
        <w:spacing w:after="0" w:line="370" w:lineRule="exact"/>
        <w:rPr>
          <w:sz w:val="20"/>
          <w:szCs w:val="20"/>
          <w:color w:val="auto"/>
        </w:rPr>
      </w:pPr>
    </w:p>
    <w:p>
      <w:pPr>
        <w:sectPr>
          <w:pgSz w:w="11900" w:h="16838" w:orient="portrait"/>
          <w:cols w:equalWidth="0" w:num="5">
            <w:col w:w="2580" w:space="720"/>
            <w:col w:w="160" w:space="460"/>
            <w:col w:w="2500" w:space="720"/>
            <w:col w:w="2720" w:space="720"/>
            <w:col w:w="660"/>
          </w:cols>
          <w:pgMar w:left="320" w:top="117" w:right="339" w:bottom="1440" w:gutter="0" w:footer="0" w:header="0"/>
          <w:type w:val="continuous"/>
        </w:sectPr>
      </w:pPr>
    </w:p>
    <w:p>
      <w:pPr>
        <w:ind w:right="440" w:firstLine="648"/>
        <w:spacing w:after="0" w:line="290"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 w:lineRule="exact"/>
        <w:rPr>
          <w:sz w:val="20"/>
          <w:szCs w:val="20"/>
          <w:color w:val="auto"/>
        </w:rPr>
      </w:pPr>
    </w:p>
    <w:p>
      <w:pPr>
        <w:ind w:right="16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6"/>
          <w:szCs w:val="16"/>
          <w:b w:val="1"/>
          <w:bCs w:val="1"/>
          <w:color w:val="auto"/>
        </w:rPr>
        <w:t>o</w:t>
      </w:r>
    </w:p>
    <w:p>
      <w:pPr>
        <w:spacing w:after="0" w:line="16" w:lineRule="exact"/>
        <w:rPr>
          <w:sz w:val="20"/>
          <w:szCs w:val="20"/>
          <w:color w:val="auto"/>
        </w:rPr>
      </w:pPr>
    </w:p>
    <w:p>
      <w:pPr>
        <w:ind w:right="36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6" w:lineRule="exact"/>
        <w:rPr>
          <w:sz w:val="20"/>
          <w:szCs w:val="20"/>
          <w:color w:val="auto"/>
        </w:rPr>
      </w:pPr>
    </w:p>
    <w:p>
      <w:pPr>
        <w:ind w:right="80" w:firstLine="648"/>
        <w:spacing w:after="0" w:line="280"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6"/>
          <w:szCs w:val="16"/>
          <w:b w:val="1"/>
          <w:bCs w:val="1"/>
          <w:color w:val="auto"/>
        </w:rPr>
        <w:t>o</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73"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6"/>
          <w:szCs w:val="16"/>
          <w:color w:val="auto"/>
        </w:rPr>
        <w:t>The aggregate market value of the voting and non-voting common equity held by non-affiliates of the registrant, based on the closing price of the registrant's Class A common stock on the Nasdaq Global Select Market on June 30, 2025, the last business day of the registrant’s most recently completed second fiscal quarter, was approximately $185.1 million.</w:t>
      </w:r>
    </w:p>
    <w:p>
      <w:pPr>
        <w:spacing w:after="0" w:line="9" w:lineRule="exact"/>
        <w:rPr>
          <w:sz w:val="20"/>
          <w:szCs w:val="20"/>
          <w:color w:val="auto"/>
        </w:rPr>
      </w:pPr>
    </w:p>
    <w:p>
      <w:pPr>
        <w:ind w:right="200" w:firstLine="648"/>
        <w:spacing w:after="0" w:line="280" w:lineRule="auto"/>
        <w:rPr>
          <w:sz w:val="20"/>
          <w:szCs w:val="20"/>
          <w:color w:val="auto"/>
        </w:rPr>
      </w:pPr>
      <w:r>
        <w:rPr>
          <w:rFonts w:ascii="Times New Roman" w:cs="Times New Roman" w:eastAsia="Times New Roman" w:hAnsi="Times New Roman"/>
          <w:sz w:val="16"/>
          <w:szCs w:val="16"/>
          <w:color w:val="auto"/>
        </w:rPr>
        <w:t>As of March 10, 2026, there were 17,755,759 shares and 45,597,216 shares of the registrant’s Class A and Class B common stock, respectively, each $0.001 par value per share, outstanding.</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DOCUMENTS INCORPORATED BY REFERENCE</w:t>
      </w:r>
    </w:p>
    <w:p>
      <w:pPr>
        <w:spacing w:after="0" w:line="61" w:lineRule="exact"/>
        <w:rPr>
          <w:sz w:val="20"/>
          <w:szCs w:val="20"/>
          <w:color w:val="auto"/>
        </w:rPr>
      </w:pPr>
    </w:p>
    <w:p>
      <w:pPr>
        <w:ind w:firstLine="648"/>
        <w:spacing w:after="0" w:line="272" w:lineRule="auto"/>
        <w:rPr>
          <w:sz w:val="20"/>
          <w:szCs w:val="20"/>
          <w:color w:val="auto"/>
        </w:rPr>
      </w:pPr>
      <w:r>
        <w:rPr>
          <w:rFonts w:ascii="Times New Roman" w:cs="Times New Roman" w:eastAsia="Times New Roman" w:hAnsi="Times New Roman"/>
          <w:sz w:val="16"/>
          <w:szCs w:val="16"/>
          <w:color w:val="auto"/>
        </w:rPr>
        <w:t>Portions of the registrant’s definitive Proxy Statement for its 2026 Annual Meeting of Stockholders, which the registrant intends to file pursuant to Regulation 14A with the Securities and Exchange Commission no later than 120 days after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VIANT 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59"/>
        </w:trPr>
        <w:tc>
          <w:tcPr>
            <w:tcW w:w="1520" w:type="dxa"/>
            <w:vAlign w:val="bottom"/>
          </w:tcPr>
          <w:p>
            <w:pPr>
              <w:spacing w:after="0"/>
              <w:rPr>
                <w:sz w:val="24"/>
                <w:szCs w:val="24"/>
                <w:color w:val="auto"/>
              </w:rPr>
            </w:pPr>
          </w:p>
        </w:tc>
        <w:tc>
          <w:tcPr>
            <w:tcW w:w="534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8"/>
              </w:rPr>
              <w:t>SPECIAL NOTE REGARDING FORWARD-LOOKING STATEMENTS</w:t>
            </w:r>
          </w:p>
        </w:tc>
        <w:tc>
          <w:tcPr>
            <w:tcW w:w="3360" w:type="dxa"/>
            <w:vAlign w:val="bottom"/>
            <w:gridSpan w:val="6"/>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4"/>
                <w:szCs w:val="24"/>
                <w:color w:val="auto"/>
              </w:rPr>
            </w:pPr>
          </w:p>
        </w:tc>
      </w:tr>
      <w:tr>
        <w:trPr>
          <w:trHeight w:val="236"/>
        </w:trPr>
        <w:tc>
          <w:tcPr>
            <w:tcW w:w="1520" w:type="dxa"/>
            <w:vAlign w:val="bottom"/>
          </w:tcPr>
          <w:p>
            <w:pPr>
              <w:spacing w:after="0"/>
              <w:rPr>
                <w:sz w:val="20"/>
                <w:szCs w:val="20"/>
                <w:color w:val="auto"/>
              </w:rPr>
            </w:pP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RISK FACTOR SUMMARY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r>
      <w:tr>
        <w:trPr>
          <w:trHeight w:val="237"/>
        </w:trPr>
        <w:tc>
          <w:tcPr>
            <w:tcW w:w="152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60" w:type="dxa"/>
            <w:vAlign w:val="bottom"/>
            <w:gridSpan w:val="14"/>
          </w:tcPr>
          <w:p>
            <w:pPr>
              <w:jc w:val="center"/>
              <w:ind w:right="4080"/>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Business</w:t>
            </w:r>
          </w:p>
        </w:tc>
        <w:tc>
          <w:tcPr>
            <w:tcW w:w="3400" w:type="dxa"/>
            <w:vAlign w:val="bottom"/>
            <w:gridSpan w:val="18"/>
          </w:tcPr>
          <w:p>
            <w:pPr>
              <w:spacing w:after="0"/>
              <w:rPr>
                <w:sz w:val="20"/>
                <w:szCs w:val="20"/>
                <w:color w:val="auto"/>
              </w:rPr>
            </w:pPr>
          </w:p>
        </w:tc>
        <w:tc>
          <w:tcPr>
            <w:tcW w:w="580" w:type="dxa"/>
            <w:vAlign w:val="bottom"/>
            <w:tcBorders>
              <w:top w:val="single" w:sz="8" w:color="0000FF"/>
            </w:tcBorders>
            <w:gridSpan w:val="3"/>
          </w:tcPr>
          <w:p>
            <w:pPr>
              <w:spacing w:after="0"/>
              <w:rPr>
                <w:sz w:val="20"/>
                <w:szCs w:val="20"/>
                <w:color w:val="auto"/>
              </w:rPr>
            </w:pPr>
          </w:p>
        </w:tc>
        <w:tc>
          <w:tcPr>
            <w:tcW w:w="4080" w:type="dxa"/>
            <w:vAlign w:val="bottom"/>
            <w:gridSpan w:val="11"/>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1A.</w:t>
            </w: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1B.</w:t>
            </w: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1C.</w:t>
            </w:r>
          </w:p>
        </w:tc>
        <w:tc>
          <w:tcPr>
            <w:tcW w:w="20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6660" w:type="dxa"/>
            <w:vAlign w:val="bottom"/>
            <w:gridSpan w:val="21"/>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260" w:type="dxa"/>
            <w:vAlign w:val="bottom"/>
            <w:tcBorders>
              <w:top w:val="single" w:sz="8" w:color="0000FF"/>
            </w:tcBorders>
            <w:gridSpan w:val="3"/>
          </w:tcPr>
          <w:p>
            <w:pPr>
              <w:spacing w:after="0"/>
              <w:rPr>
                <w:sz w:val="20"/>
                <w:szCs w:val="20"/>
                <w:color w:val="auto"/>
              </w:rPr>
            </w:pPr>
          </w:p>
        </w:tc>
        <w:tc>
          <w:tcPr>
            <w:tcW w:w="7700" w:type="dxa"/>
            <w:vAlign w:val="bottom"/>
            <w:gridSpan w:val="27"/>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60" w:type="dxa"/>
            <w:vAlign w:val="bottom"/>
            <w:gridSpan w:val="25"/>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20"/>
                <w:szCs w:val="20"/>
                <w:color w:val="auto"/>
              </w:rPr>
            </w:pPr>
          </w:p>
        </w:tc>
      </w:tr>
      <w:tr>
        <w:trPr>
          <w:trHeight w:val="236"/>
        </w:trPr>
        <w:tc>
          <w:tcPr>
            <w:tcW w:w="152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00" w:type="dxa"/>
            <w:vAlign w:val="bottom"/>
            <w:gridSpan w:val="15"/>
          </w:tcPr>
          <w:p>
            <w:pPr>
              <w:jc w:val="center"/>
              <w:ind w:right="4040"/>
              <w:spacing w:after="0"/>
              <w:rPr>
                <w:sz w:val="20"/>
                <w:szCs w:val="20"/>
                <w:color w:val="auto"/>
              </w:rPr>
            </w:pPr>
            <w:r>
              <w:rPr>
                <w:rFonts w:ascii="Times New Roman" w:cs="Times New Roman" w:eastAsia="Times New Roman" w:hAnsi="Times New Roman"/>
                <w:sz w:val="18"/>
                <w:szCs w:val="18"/>
                <w:b w:val="1"/>
                <w:bCs w:val="1"/>
                <w:color w:val="0000FF"/>
                <w:w w:val="97"/>
              </w:rPr>
              <w:t>PART II</w:t>
            </w: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32"/>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Pr>
          <w:p>
            <w:pPr>
              <w:spacing w:after="0"/>
              <w:rPr>
                <w:sz w:val="20"/>
                <w:szCs w:val="20"/>
                <w:color w:val="auto"/>
              </w:rPr>
            </w:pPr>
          </w:p>
        </w:tc>
      </w:tr>
      <w:tr>
        <w:trPr>
          <w:trHeight w:val="250"/>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6.</w:t>
            </w:r>
          </w:p>
        </w:tc>
        <w:tc>
          <w:tcPr>
            <w:tcW w:w="7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Reserved.</w:t>
            </w:r>
          </w:p>
        </w:tc>
        <w:tc>
          <w:tcPr>
            <w:tcW w:w="7980" w:type="dxa"/>
            <w:vAlign w:val="bottom"/>
            <w:gridSpan w:val="31"/>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tcPr>
          <w:p>
            <w:pPr>
              <w:spacing w:after="0"/>
              <w:rPr>
                <w:sz w:val="21"/>
                <w:szCs w:val="21"/>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40" w:type="dxa"/>
            <w:vAlign w:val="bottom"/>
            <w:gridSpan w:val="4"/>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7A.</w:t>
            </w:r>
          </w:p>
        </w:tc>
        <w:tc>
          <w:tcPr>
            <w:tcW w:w="43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340" w:type="dxa"/>
            <w:vAlign w:val="bottom"/>
            <w:gridSpan w:val="12"/>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8.</w:t>
            </w: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9.</w:t>
            </w:r>
          </w:p>
        </w:tc>
        <w:tc>
          <w:tcPr>
            <w:tcW w:w="648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Changes in and Disagreements with Accountants on Accounting and Financial Disclosure</w:t>
            </w:r>
          </w:p>
        </w:tc>
        <w:tc>
          <w:tcPr>
            <w:tcW w:w="2220" w:type="dxa"/>
            <w:vAlign w:val="bottom"/>
            <w:gridSpan w:val="3"/>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9A.</w:t>
            </w: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20"/>
                <w:szCs w:val="20"/>
                <w:color w:val="auto"/>
              </w:rPr>
            </w:pPr>
          </w:p>
        </w:tc>
        <w:tc>
          <w:tcPr>
            <w:tcW w:w="6940" w:type="dxa"/>
            <w:vAlign w:val="bottom"/>
            <w:gridSpan w:val="23"/>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8"/>
                <w:szCs w:val="18"/>
                <w:color w:val="0000FF"/>
                <w:w w:val="99"/>
              </w:rPr>
              <w:t>Disclosure Regarding Foreign Jurisdictions that Prevent Inspections</w:t>
            </w:r>
          </w:p>
        </w:tc>
        <w:tc>
          <w:tcPr>
            <w:tcW w:w="3800" w:type="dxa"/>
            <w:vAlign w:val="bottom"/>
            <w:gridSpan w:val="7"/>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0"/>
                <w:szCs w:val="20"/>
                <w:color w:val="auto"/>
              </w:rPr>
            </w:pPr>
          </w:p>
        </w:tc>
      </w:tr>
      <w:tr>
        <w:trPr>
          <w:trHeight w:val="237"/>
        </w:trPr>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Borders>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6"/>
              </w:rPr>
              <w:t>PART III</w:t>
            </w:r>
          </w:p>
        </w:tc>
        <w:tc>
          <w:tcPr>
            <w:tcW w:w="3980" w:type="dxa"/>
            <w:vAlign w:val="bottom"/>
            <w:gridSpan w:val="8"/>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600" w:type="dxa"/>
            <w:vAlign w:val="bottom"/>
            <w:gridSpan w:val="13"/>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11.</w:t>
            </w: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r>
      <w:tr>
        <w:trPr>
          <w:trHeight w:val="20"/>
        </w:trPr>
        <w:tc>
          <w:tcPr>
            <w:tcW w:w="152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12.</w:t>
            </w: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420" w:type="dxa"/>
            <w:vAlign w:val="bottom"/>
            <w:gridSpan w:val="2"/>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3260" w:type="dxa"/>
            <w:vAlign w:val="bottom"/>
            <w:gridSpan w:val="5"/>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80" w:type="dxa"/>
            <w:vAlign w:val="bottom"/>
          </w:tcPr>
          <w:p>
            <w:pPr>
              <w:spacing w:after="0"/>
              <w:rPr>
                <w:sz w:val="20"/>
                <w:szCs w:val="20"/>
                <w:color w:val="auto"/>
              </w:rPr>
            </w:pPr>
          </w:p>
        </w:tc>
      </w:tr>
      <w:tr>
        <w:trPr>
          <w:trHeight w:val="237"/>
        </w:trPr>
        <w:tc>
          <w:tcPr>
            <w:tcW w:w="1520" w:type="dxa"/>
            <w:vAlign w:val="bottom"/>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7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Borders>
              <w:bottom w:val="single" w:sz="8" w:color="0000FF"/>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0000FF"/>
                <w:w w:val="95"/>
              </w:rPr>
              <w:t>PART IV</w:t>
            </w:r>
          </w:p>
        </w:tc>
        <w:tc>
          <w:tcPr>
            <w:tcW w:w="4000" w:type="dxa"/>
            <w:vAlign w:val="bottom"/>
            <w:gridSpan w:val="9"/>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7"/>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15.</w:t>
            </w:r>
          </w:p>
        </w:tc>
        <w:tc>
          <w:tcPr>
            <w:tcW w:w="31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5540" w:type="dxa"/>
            <w:vAlign w:val="bottom"/>
            <w:gridSpan w:val="18"/>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80" w:type="dxa"/>
            <w:vAlign w:val="bottom"/>
          </w:tcPr>
          <w:p>
            <w:pPr>
              <w:spacing w:after="0"/>
              <w:rPr>
                <w:sz w:val="20"/>
                <w:szCs w:val="20"/>
                <w:color w:val="auto"/>
              </w:rPr>
            </w:pPr>
          </w:p>
        </w:tc>
      </w:tr>
      <w:tr>
        <w:trPr>
          <w:trHeight w:val="236"/>
        </w:trPr>
        <w:tc>
          <w:tcPr>
            <w:tcW w:w="1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Item 16.</w:t>
            </w:r>
          </w:p>
        </w:tc>
        <w:tc>
          <w:tcPr>
            <w:tcW w:w="870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20"/>
                <w:szCs w:val="20"/>
                <w:color w:val="auto"/>
              </w:rPr>
            </w:pPr>
          </w:p>
        </w:tc>
      </w:tr>
      <w:tr>
        <w:trPr>
          <w:trHeight w:val="237"/>
        </w:trPr>
        <w:tc>
          <w:tcPr>
            <w:tcW w:w="1520" w:type="dxa"/>
            <w:vAlign w:val="bottom"/>
          </w:tcPr>
          <w:p>
            <w:pPr>
              <w:spacing w:after="0"/>
              <w:rPr>
                <w:sz w:val="20"/>
                <w:szCs w:val="20"/>
                <w:color w:val="auto"/>
              </w:rPr>
            </w:pPr>
          </w:p>
        </w:tc>
        <w:tc>
          <w:tcPr>
            <w:tcW w:w="7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780" w:type="dxa"/>
            <w:vAlign w:val="bottom"/>
            <w:tcBorders>
              <w:top w:val="single" w:sz="8" w:color="0000FF"/>
            </w:tcBorders>
            <w:gridSpan w:val="5"/>
          </w:tcPr>
          <w:p>
            <w:pPr>
              <w:spacing w:after="0"/>
              <w:rPr>
                <w:sz w:val="20"/>
                <w:szCs w:val="20"/>
                <w:color w:val="auto"/>
              </w:rPr>
            </w:pPr>
          </w:p>
        </w:tc>
        <w:tc>
          <w:tcPr>
            <w:tcW w:w="7160" w:type="dxa"/>
            <w:vAlign w:val="bottom"/>
            <w:gridSpan w:val="24"/>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tcPr>
          <w:p>
            <w:pPr>
              <w:spacing w:after="0"/>
              <w:rPr>
                <w:sz w:val="20"/>
                <w:szCs w:val="20"/>
                <w:color w:val="auto"/>
              </w:rPr>
            </w:pPr>
          </w:p>
        </w:tc>
      </w:tr>
      <w:tr>
        <w:trPr>
          <w:trHeight w:val="777"/>
        </w:trPr>
        <w:tc>
          <w:tcPr>
            <w:tcW w:w="1520" w:type="dxa"/>
            <w:vAlign w:val="bottom"/>
          </w:tcPr>
          <w:p>
            <w:pPr>
              <w:spacing w:after="0"/>
              <w:rPr>
                <w:sz w:val="24"/>
                <w:szCs w:val="24"/>
                <w:color w:val="auto"/>
              </w:rPr>
            </w:pPr>
          </w:p>
        </w:tc>
        <w:tc>
          <w:tcPr>
            <w:tcW w:w="4360" w:type="dxa"/>
            <w:vAlign w:val="bottom"/>
            <w:gridSpan w:val="21"/>
          </w:tcPr>
          <w:p>
            <w:pPr>
              <w:ind w:left="40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5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24"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This Annual Report on Form 10-K (“Annual Report”) contains forward-looking statements within the meaning of Section 27A of the Securities Act of 1933, as amended (the “Securities Act”), and Section 21E of the Securities Exchange Act of 1934, as amended (the “Exchange Act”), which statements involve substantial risks and uncertainties.</w:t>
      </w:r>
    </w:p>
    <w:p>
      <w:pPr>
        <w:spacing w:after="0" w:line="68"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words such as “may,” “will,” “should,” “could,” “intend,” “consider,” “expect,” “plan,” “anticipate,” “believe,” “estimate,” “commit,” “ensure,” “target,” “predict” or “continue” or the negative or plural of these words or other similar terms or expressions</w:t>
      </w:r>
      <w:r>
        <w:rPr>
          <w:rFonts w:ascii="Times New Roman" w:cs="Times New Roman" w:eastAsia="Times New Roman" w:hAnsi="Times New Roman"/>
          <w:sz w:val="18"/>
          <w:szCs w:val="18"/>
          <w:color w:val="231F20"/>
        </w:rPr>
        <w:t>. All statements other than statements of historical fact are forward-looking statements, which speak only as of the date they are made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and are not guarantees of future performance. </w:t>
      </w:r>
      <w:r>
        <w:rPr>
          <w:rFonts w:ascii="Times New Roman" w:cs="Times New Roman" w:eastAsia="Times New Roman" w:hAnsi="Times New Roman"/>
          <w:sz w:val="18"/>
          <w:szCs w:val="18"/>
          <w:color w:val="000000"/>
        </w:rPr>
        <w:t>Forward-looking statements contained in this Annual Report include, but are not limited to, statements about: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and product strategies, including our expectations relating to ViantAI;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payments under our Tax Receivable Agreement; potential impacts from changes in applicable tax laws and other legislation; repurchases of stock related to the stock repurchase program; our ability to attract new customers and retain existing customers; our ability to successfully expand into our existing markets and into new markets; our ability to effectively manage our growth and future expenses; our environmental and sustainability initiatives; and the impact of recent accounting pronouncements on our consolidated financial statements.</w:t>
      </w:r>
    </w:p>
    <w:p>
      <w:pPr>
        <w:spacing w:after="0" w:line="8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Annual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in this Annual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Annual Report speaks only as of the date on which we make it. We undertake no obligation to publicly update any forward-looking statement, whether as a result of new information, future developments or otherwise, except as may be required by applicable securities laws. You should read this Annual Report, and the documents that we reference in this Annual Report and have filed with the Securities and Exchange Commission (“SEC”), with the understanding that our actual future results, performance, and events and circumstances may be materially different from what we expect.</w:t>
      </w:r>
    </w:p>
    <w:p>
      <w:pPr>
        <w:spacing w:after="0" w:line="79" w:lineRule="exact"/>
        <w:rPr>
          <w:sz w:val="20"/>
          <w:szCs w:val="20"/>
          <w:color w:val="auto"/>
        </w:rPr>
      </w:pPr>
    </w:p>
    <w:p>
      <w:pPr>
        <w:ind w:right="40" w:firstLine="486"/>
        <w:spacing w:after="0" w:line="274" w:lineRule="auto"/>
        <w:rPr>
          <w:sz w:val="20"/>
          <w:szCs w:val="20"/>
          <w:color w:val="auto"/>
        </w:rPr>
      </w:pPr>
      <w:r>
        <w:rPr>
          <w:rFonts w:ascii="Times New Roman" w:cs="Times New Roman" w:eastAsia="Times New Roman" w:hAnsi="Times New Roman"/>
          <w:sz w:val="17"/>
          <w:szCs w:val="17"/>
          <w:color w:val="auto"/>
        </w:rPr>
        <w:t>We may use the "Investor Relations" section of our website, our LinkedIn account, the LinkedIn account of our Chief Executive Officer, Tim Vanderhook, the LinkedIn account of our Chief Operating Officer, Chris Vanderhook, our X (formerly known as Twitter) account (@viant_tech), and Chris Vanderhook's X account (@cvanderhook)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and X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pacing w:after="0" w:line="6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Additionally, certain information we may disclose (either here or in other locations, such as our website) is informed by the expectations of various stakeholders and/or third-party frameworks and, as such, may not necessarily be material for purposes of our filings under U.S. federal securities laws, even if we use “material” or similar language in discussing such matters. Particularly in the environmental, social and governance ("ESG") context, for example, there are various approaches to materiality that differ from, and in many cases are more expansive than, the definition under U.S. federal securities laws.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9"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Annual Report. You should carefully consider these risks and uncertainties when investing in our Class A common stock. Some of the principal risks and uncertainties include the following:</w:t>
      </w:r>
    </w:p>
    <w:p>
      <w:pPr>
        <w:spacing w:after="0" w:line="67" w:lineRule="exact"/>
        <w:rPr>
          <w:sz w:val="20"/>
          <w:szCs w:val="20"/>
          <w:color w:val="auto"/>
        </w:rPr>
      </w:pPr>
    </w:p>
    <w:p>
      <w:pPr>
        <w:ind w:left="980" w:right="7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are dependent on enhancing and improving our platform and effectively educating and training our customers on how to make full use of our platform;</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an industry shift away from cookie-based consumer tracking;</w:t>
      </w:r>
    </w:p>
    <w:p>
      <w:pPr>
        <w:spacing w:after="0" w:line="117"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innovate and make the right investment decisions in our offerings and platform, we may not attract and retain customers, and our revenue and results of operations may decline;</w:t>
      </w:r>
    </w:p>
    <w:p>
      <w:pPr>
        <w:spacing w:after="0" w:line="53"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53"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980" w:right="46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67" w:lineRule="exact"/>
        <w:rPr>
          <w:rFonts w:ascii="Times New Roman" w:cs="Times New Roman" w:eastAsia="Times New Roman" w:hAnsi="Times New Roman"/>
          <w:sz w:val="18"/>
          <w:szCs w:val="18"/>
          <w:color w:val="auto"/>
        </w:rPr>
      </w:pPr>
    </w:p>
    <w:p>
      <w:pPr>
        <w:ind w:left="980" w:right="28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and geopolitical events, such as inflation, tariffs, changes in trade policies, international conflict, high interest rates, and other adverse market events, have had, and could in the future have, an adverse impact on our business, operating results and financial condition;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advertising inventory is diminished or fails to grow, our revenue could decline, and our growth could be impeded;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data is diminished, the effectiveness of our platform would be decreased, which could harm our operating results and financial condition;</w:t>
      </w:r>
    </w:p>
    <w:p>
      <w:pPr>
        <w:spacing w:after="0" w:line="53" w:lineRule="exact"/>
        <w:rPr>
          <w:rFonts w:ascii="Times New Roman" w:cs="Times New Roman" w:eastAsia="Times New Roman" w:hAnsi="Times New Roman"/>
          <w:sz w:val="18"/>
          <w:szCs w:val="18"/>
          <w:color w:val="auto"/>
        </w:rPr>
      </w:pPr>
    </w:p>
    <w:p>
      <w:pPr>
        <w:ind w:left="980" w:hanging="486"/>
        <w:spacing w:after="0" w:line="258"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legal obligations related to data privacy, artificial intelligence, and security. Our actual or perceived failure to comply with such obligations could lead to regulatory investigations or actions, litigation (including class action claims) and mass arbitration demands, litigation and regulatory defense costs, fines and penalties, disruptions of our business operations, reputational harm, loss of customers or sales, revenue declines, increases to the cost of data, reductions in the availability of data, reductions to our ability to utilize or disclose data, and have adverse effects on the demand for our products and services or other adverse business consequences;</w:t>
      </w:r>
    </w:p>
    <w:p>
      <w:pPr>
        <w:spacing w:after="0" w:line="75" w:lineRule="exact"/>
        <w:rPr>
          <w:rFonts w:ascii="Times New Roman" w:cs="Times New Roman" w:eastAsia="Times New Roman" w:hAnsi="Times New Roman"/>
          <w:sz w:val="18"/>
          <w:szCs w:val="18"/>
          <w:color w:val="auto"/>
        </w:rPr>
      </w:pPr>
    </w:p>
    <w:p>
      <w:pPr>
        <w:ind w:left="980" w:right="16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or ability to operate our platform could be impacted by changes in technology initiated by technology companies, end users, or government regulation. Such developments, including the restriction of “third-party cookies” and use of automated opt out signals could cause instability in the advertising technology industry;</w:t>
      </w:r>
    </w:p>
    <w:p>
      <w:pPr>
        <w:spacing w:after="0" w:line="67" w:lineRule="exact"/>
        <w:rPr>
          <w:rFonts w:ascii="Times New Roman" w:cs="Times New Roman" w:eastAsia="Times New Roman" w:hAnsi="Times New Roman"/>
          <w:sz w:val="18"/>
          <w:szCs w:val="18"/>
          <w:color w:val="auto"/>
        </w:rPr>
      </w:pPr>
    </w:p>
    <w:p>
      <w:pPr>
        <w:ind w:left="980" w:right="16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breach of or other security incident involving our IT Systems or Confidential Data (each as defined in this Item 1A), or of the security of our or our customers’, suppliers’, or other third parties’ systems or data upon which we rely could be detrimental to our business, reputation and results of operations;</w:t>
      </w:r>
    </w:p>
    <w:p>
      <w:pPr>
        <w:spacing w:after="0" w:line="67" w:lineRule="exact"/>
        <w:rPr>
          <w:rFonts w:ascii="Times New Roman" w:cs="Times New Roman" w:eastAsia="Times New Roman" w:hAnsi="Times New Roman"/>
          <w:sz w:val="18"/>
          <w:szCs w:val="18"/>
          <w:color w:val="auto"/>
        </w:rPr>
      </w:pPr>
    </w:p>
    <w:p>
      <w:pPr>
        <w:ind w:left="980" w:right="200" w:hanging="486"/>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technologies may not result in the benefits we anticipate for our business, and may result in a decline in the performance of our products, services and business, as well as our reputation and the reputations of our customers, or cause us to incur liability resulting from the violation of laws or contracts to which we are a party;</w:t>
      </w:r>
    </w:p>
    <w:p>
      <w:pPr>
        <w:spacing w:after="0" w:line="67" w:lineRule="exact"/>
        <w:rPr>
          <w:rFonts w:ascii="Times New Roman" w:cs="Times New Roman" w:eastAsia="Times New Roman" w:hAnsi="Times New Roman"/>
          <w:sz w:val="18"/>
          <w:szCs w:val="18"/>
          <w:color w:val="auto"/>
        </w:rPr>
      </w:pPr>
    </w:p>
    <w:p>
      <w:pPr>
        <w:ind w:left="980" w:right="1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53"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has been and may continue to be volatile or may decline regardless of our operating performance;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expectations regarding environmental, social, and governance matters may impact our business and reputation; and</w:t>
      </w:r>
    </w:p>
    <w:p>
      <w:pPr>
        <w:spacing w:after="0" w:line="117" w:lineRule="exact"/>
        <w:rPr>
          <w:rFonts w:ascii="Times New Roman" w:cs="Times New Roman" w:eastAsia="Times New Roman" w:hAnsi="Times New Roman"/>
          <w:sz w:val="18"/>
          <w:szCs w:val="18"/>
          <w:color w:val="auto"/>
        </w:rPr>
      </w:pPr>
    </w:p>
    <w:p>
      <w:pPr>
        <w:ind w:left="980" w:right="26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68"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spacing w:after="0" w:line="6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Our DSP is an easy-to-use self-service platform that provides our customers with transparency and control over their advertising campaigns. Once a marketer describes their campaign objectives, they can choose to maintain hands-on control over every campaign detail or have our platform autonomously execute, optimize, and measure their advertising investments. Our platform offers customers unique visibility across a variety of inventory, allowing them to create customized audience segments and leverage our proprietary Household ID ("HHID") and strategic partner data to reach target audiences at scale. Our platform delivers a full suite of forecasting, reporting and automation that provides our customers with insights into available inventory based on the desired target audience. We offer advanced forecasting and reporting that empowers our customers with functionality designed to ensure they can accurately measure and improve their return-on-advertising spend (“ROAS”) across channels.</w:t>
      </w:r>
    </w:p>
    <w:p>
      <w:pPr>
        <w:spacing w:after="0" w:line="8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Marketers use our platform to deliver advertising campaigns to their desired target audience across channels and formats. Through platform integrations, we offer our customers access to omnichannel advertising inventory, which refers to media available across devices, channels and formats. Our platform supports a full range of transaction types including real-time bidding, private marketplace and programmatic guaranteed, allowing customers to easily source and integrate ad inventory directly from publishers and private marketplaces.</w:t>
      </w:r>
    </w:p>
    <w:p>
      <w:pPr>
        <w:spacing w:after="0" w:line="72"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enable deep data access through our data integrations to authenticate user identities across a range of devices. Our HHID enables us to be the nexus point with more than 70 data partners, providing customers with deep access to data across market verticals such as automotive, entertainment, professional services, retail, consumer packaged goods, travel and tourism, and healthcare. Our HHID solution empowers marketers to reach people across their devices, whether individuals are at home or away from home, without the use of cookies. Leveraging patented technology, our HHID technology cuts through more than 1.8 billion IP addresses and other identifiers and translates them into 125 million households. Our identity graph links these households to an estimated 1 billion connected devices.</w:t>
      </w:r>
    </w:p>
    <w:p>
      <w:pPr>
        <w:spacing w:after="0" w:line="79" w:lineRule="exact"/>
        <w:rPr>
          <w:sz w:val="20"/>
          <w:szCs w:val="20"/>
          <w:color w:val="auto"/>
        </w:rPr>
      </w:pPr>
    </w:p>
    <w:p>
      <w:pPr>
        <w:jc w:val="both"/>
        <w:ind w:right="340" w:firstLine="486"/>
        <w:spacing w:after="0" w:line="261" w:lineRule="auto"/>
        <w:rPr>
          <w:sz w:val="20"/>
          <w:szCs w:val="20"/>
          <w:color w:val="auto"/>
        </w:rPr>
      </w:pPr>
      <w:r>
        <w:rPr>
          <w:rFonts w:ascii="Times New Roman" w:cs="Times New Roman" w:eastAsia="Times New Roman" w:hAnsi="Times New Roman"/>
          <w:sz w:val="18"/>
          <w:szCs w:val="18"/>
          <w:color w:val="auto"/>
        </w:rPr>
        <w:t>Our customers are advertising buyers including large advertising holding companies, independent advertising agencies, mid-market advertising service organizations as well as marketers that rely on our self-service platform for their programmatic ad buying needs. We are a trusted partner to our customers as exemplified by our customer satisfaction rating of over 90% in 2025 based on Viant’s Annual Customer Satisfaction Survey. Many of our customers use us as their primary DSP.</w:t>
      </w:r>
    </w:p>
    <w:p>
      <w:pPr>
        <w:spacing w:after="0" w:line="7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Using our identity resolution capabilities led by our patented HHID and identity graph, marketers and their advertising agencies can identify targeted consumers using real-world identifiers rather than relying primarily on cookies to track users. We believe the industry is shifting to replace cookies in delivering personalized advertising, particularly for identification. Our HHID allows marketers to deliver personalized advertising while being able to accurately link ad impressions across multiple devices and to customer sales and measure the impact of their ad spend. Many of our competitors rely on cookies for the targeting and measurement of digital advertising but this technology has not been effective at accurately measuring the real impact of a marketer’s ad spend on their business results. Apple’s web browser, Safari, has added controls that algorithmically block or limit some cookies, and other browsers and platforms have added similar controls. This market change has created an increase in demand from marketers actively looking for platforms like ours that offer an alternative to cookie-based tracking, which we believe is strengthening our strategic position.</w:t>
      </w:r>
    </w:p>
    <w:p>
      <w:pPr>
        <w:spacing w:after="0" w:line="8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Programmatic advertising has proven its value to marketers and an increasing number of organizations are devoting more of their digital ad spend to it. The digital ecosystem continues to evolve and with it, programmatic advertising, creating new opportunities and needs for marketers and their agencies. The U.S. programmatic advertising market is expected to grow from $158.8 billion in 2024 to $225.3 billion in 2027, a 12% compound annual growth rate (“CAGR”), according to eMarketer, a market research company that provides insights and trends related to digital marketing, media and commerce. We focus on ad buyers and believe that our solutions will accelerate the shift of advertising budgets to programmatic advertising. Additionally, as marketers desire more control over programmatic advertising and move some functions of programmatic ad buying in-house, we have automated our platform by leveraging machine learning, automated decision-making and artificial intelligence ("AI") designed to address these needs and expand our market opportunity.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6" w:name="page7"/>
    <w:bookmarkEnd w:id="6"/>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total revenue was $344.2 million, $289.2 million and $222.9 million for the fiscal years ended December 31, 2025, 2024 and 2023 ("fiscal year 2025", "fiscal year 2024", and "fiscal year 2023"), respectively, representing an increase of 19.0% from fiscal year 2024 to fiscal year 2025 and an increase of 29.7% from fiscal year 2023 to fiscal year 2024. We recorded net income (losses) of $24.1 million, $12.5 million and $(9.9) million, and adjusted EBITDA of $57.4 million, $44.4 million, and $29.1 million for the years ended December 31, 2025, 2024 and 2023, respectively.</w:t>
      </w:r>
    </w:p>
    <w:p>
      <w:pPr>
        <w:spacing w:after="0" w:line="72"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Adjusted EBITDA is a financial measure not presented in accordance with generally accepted accounting principles in the United States of America (“GAAP”). For a definition of adjusted EBITDA, an explanation of our management’s use of this measure and a reconciliation of adjusted EBITDA to our net income or net loss, see </w:t>
      </w:r>
      <w:r>
        <w:rPr>
          <w:rFonts w:ascii="Times New Roman" w:cs="Times New Roman" w:eastAsia="Times New Roman" w:hAnsi="Times New Roman"/>
          <w:sz w:val="18"/>
          <w:szCs w:val="18"/>
          <w:i w:val="1"/>
          <w:iCs w:val="1"/>
          <w:color w:val="auto"/>
        </w:rPr>
        <w:t>“Management’s Discussion and Analysis of Financial Condition and Results of Operations—Key Operating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Performance Measures—Use of Non-GAAP Financial Measures.”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Industry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 key industry trends shaping the advertising market include:</w:t>
      </w:r>
    </w:p>
    <w:p>
      <w:pPr>
        <w:spacing w:after="0" w:line="11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dollars shifting toward programmatic advertising: </w:t>
      </w:r>
      <w:r>
        <w:rPr>
          <w:rFonts w:ascii="Times New Roman" w:cs="Times New Roman" w:eastAsia="Times New Roman" w:hAnsi="Times New Roman"/>
          <w:sz w:val="18"/>
          <w:szCs w:val="18"/>
          <w:color w:val="auto"/>
        </w:rPr>
        <w:t>We believe the advertising industry is still in the early stages of a shift toward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programmatic advertising. The ability to transact through real-time-bidding platforms has evolved beyond banner advertising to be used across a wide range of advertising channels and formats, including CTV, streaming audio, digital out-of-home, mobile, and desktop. U.S. programmatic advertising is experiencing a rapid increase in adoption and, according to eMarketer, is expected to grow at a 12% CAGR from 2024 to 2027, reaching $203.0 billion in 2026 and $225.3 billion by 2027. U.S. programmatic advertising is forecasted to represent 46% of total U.S. media spend by 2027, increasing from 40% in 2024. The TV industry is undergoing significant disruptions as internet-enabled CTV has become a preferred vehicle for streaming video content. CTV ad spending is expected to reach $38.0 billion in 2026, with 92% of those dollars going to video ads. CTV ad spending is expected to continue double-digit annual growth rates and surpass traditional TV ad spending in 2029 and reach $52.5 billion. The amount of CTV users in the U.S. is forecasted to increase from approximately 235 million, or 70% of the U.S. population, in 2024 to approximately 248 million, or 73%% of the U.S. population, in 2027, according to eMarketer. CTV also provides a number of benefits to advertisers, including more accurate control of scale, addressability and measurement. Marketers are increasingly investing in CTV as more inventory becomes available. According to eMarketer, 89% of CTV ad spend was transacted programmatically in 2025. The share of programmatic advertising is expected to increase to 93% in 2027.</w:t>
      </w:r>
    </w:p>
    <w:p>
      <w:pPr>
        <w:spacing w:after="0" w:line="82"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Strong marketer demand for ROAS measurement across most channels: </w:t>
      </w:r>
      <w:r>
        <w:rPr>
          <w:rFonts w:ascii="Times New Roman" w:cs="Times New Roman" w:eastAsia="Times New Roman" w:hAnsi="Times New Roman"/>
          <w:sz w:val="18"/>
          <w:szCs w:val="18"/>
          <w:color w:val="auto"/>
        </w:rPr>
        <w:t>Marketers are looking for a centralized view of their customers, while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connecting online and offline purchases to accurately measure ROAS. ROAS is a critical metric for marketing campaigns. Insights from ROAS across all campaigns inform marketers about the value of their investment across all media spend in near real-time. Hence, marketers seek tools to track their ROAS across channels. We believe customers using our platform and HHID are able to get a more accurate measurement of ROAS as compared to cookie-based platforms, especially in naturally cookieless environments such as CTV.</w:t>
      </w:r>
    </w:p>
    <w:p>
      <w:pPr>
        <w:spacing w:after="0" w:line="71" w:lineRule="exact"/>
        <w:rPr>
          <w:sz w:val="20"/>
          <w:szCs w:val="20"/>
          <w:color w:val="auto"/>
        </w:rPr>
      </w:pPr>
    </w:p>
    <w:p>
      <w:pPr>
        <w:ind w:right="10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Demand for scaled people-based platforms: </w:t>
      </w:r>
      <w:r>
        <w:rPr>
          <w:rFonts w:ascii="Times New Roman" w:cs="Times New Roman" w:eastAsia="Times New Roman" w:hAnsi="Times New Roman"/>
          <w:sz w:val="18"/>
          <w:szCs w:val="18"/>
          <w:color w:val="auto"/>
        </w:rPr>
        <w:t>Advertising has become more data driven, and marketers need to be able to target audiences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individual and household level while respecting consumer privacy. Internet advertisers in the past have capitalized on device-based identifiers such as cookies to gain insights into users and ad performance. However, technical changes and increased privacy concerns are causing marketers to reduce their reliance on vendors and platforms that primarily utilize cookies for device identification. In today’s connected world, marketers need to be able to identify their customers and connect with them across most channels, devices and formats. This, we believe, will drive an industry shift away from cookie-based DSPs to scaled people-based DSPs.</w:t>
      </w:r>
    </w:p>
    <w:p>
      <w:pPr>
        <w:spacing w:after="0" w:line="74"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Brands directly selecting advertising platform solutions: </w:t>
      </w:r>
      <w:r>
        <w:rPr>
          <w:rFonts w:ascii="Times New Roman" w:cs="Times New Roman" w:eastAsia="Times New Roman" w:hAnsi="Times New Roman"/>
          <w:sz w:val="18"/>
          <w:szCs w:val="18"/>
          <w:color w:val="auto"/>
        </w:rPr>
        <w:t>Marketers are increasingly becoming directly involved in the selection of their advertising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platform solutions as they seek to reduce costs, better leverage their customer data and gain more control over their advertising and data. The automation of ad-buying technology has enabled fast, accurate and cost-effective decision-making, resulting in ad buying becoming a function that an increasing number of chief marketing officers want to fully own.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Market Opportunity</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believe that over the long term, our total addressable market is the total global advertising market, which eMarketer has forecasted to grow from $1.1 trillion in 2026 to $1.4 trillion in 2029, an 8% CAGR. Currently, our focus is primarily on the U.S. market, which eMarketer has forecasted to grow from $443 billion in 2026 to $513 billion in 2028 in the United States, an 8% CAGR, primarily including the following segments:</w:t>
      </w:r>
    </w:p>
    <w:p>
      <w:pPr>
        <w:spacing w:after="0" w:line="64" w:lineRule="exact"/>
        <w:rPr>
          <w:sz w:val="20"/>
          <w:szCs w:val="20"/>
          <w:color w:val="auto"/>
        </w:rPr>
      </w:pPr>
    </w:p>
    <w:p>
      <w:pPr>
        <w:ind w:left="980" w:right="220" w:hanging="486"/>
        <w:spacing w:after="0" w:line="28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CTV: </w:t>
      </w:r>
      <w:r>
        <w:rPr>
          <w:rFonts w:ascii="Times New Roman" w:cs="Times New Roman" w:eastAsia="Times New Roman" w:hAnsi="Times New Roman"/>
          <w:sz w:val="18"/>
          <w:szCs w:val="18"/>
          <w:color w:val="auto"/>
        </w:rPr>
        <w:t>U.S. CTV advertising is forecasted to be a $38.0 billion market in 2026 and forecasted to grow to $42 billion in 2028, a 12% CAGR.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CTV includes over-the-top (“OTT”) content delivered through a connected device over the internet.</w:t>
      </w:r>
    </w:p>
    <w:p>
      <w:pPr>
        <w:spacing w:after="0" w:line="46" w:lineRule="exact"/>
        <w:rPr>
          <w:rFonts w:ascii="Times New Roman" w:cs="Times New Roman" w:eastAsia="Times New Roman" w:hAnsi="Times New Roman"/>
          <w:sz w:val="18"/>
          <w:szCs w:val="18"/>
          <w:color w:val="auto"/>
        </w:rPr>
      </w:pPr>
    </w:p>
    <w:p>
      <w:pPr>
        <w:ind w:left="980" w:right="20" w:hanging="486"/>
        <w:spacing w:after="0" w:line="286"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Desktop and Mobile: </w:t>
      </w:r>
      <w:r>
        <w:rPr>
          <w:rFonts w:ascii="Times New Roman" w:cs="Times New Roman" w:eastAsia="Times New Roman" w:hAnsi="Times New Roman"/>
          <w:sz w:val="18"/>
          <w:szCs w:val="18"/>
          <w:color w:val="auto"/>
        </w:rPr>
        <w:t>U.S. desktop and mobile advertising are forecasted to grow from a $307 billion market in 2026 to a $371 billion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2028, a 9% CAGR.</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7" w:name="page8"/>
    <w:bookmarkEnd w:id="7"/>
    <w:p>
      <w:pPr>
        <w:ind w:left="980" w:right="340" w:hanging="486"/>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Streaming Audio: </w:t>
      </w:r>
      <w:r>
        <w:rPr>
          <w:rFonts w:ascii="Times New Roman" w:cs="Times New Roman" w:eastAsia="Times New Roman" w:hAnsi="Times New Roman"/>
          <w:sz w:val="18"/>
          <w:szCs w:val="18"/>
          <w:color w:val="auto"/>
        </w:rPr>
        <w:t>U.S. digital audio advertising is forecasted to be a $7.5 billion market in 2026 and forecasted to grow to an $8.4 billion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in 2028, a 5% CAGR.</w:t>
      </w:r>
    </w:p>
    <w:p>
      <w:pPr>
        <w:spacing w:after="0" w:line="46" w:lineRule="exact"/>
        <w:rPr>
          <w:rFonts w:ascii="Times New Roman" w:cs="Times New Roman" w:eastAsia="Times New Roman" w:hAnsi="Times New Roman"/>
          <w:sz w:val="18"/>
          <w:szCs w:val="18"/>
          <w:color w:val="auto"/>
        </w:rPr>
      </w:pPr>
    </w:p>
    <w:p>
      <w:pPr>
        <w:ind w:left="980" w:right="80" w:hanging="486"/>
        <w:spacing w:after="0" w:line="286"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Digital Billboards: </w:t>
      </w:r>
      <w:r>
        <w:rPr>
          <w:rFonts w:ascii="Times New Roman" w:cs="Times New Roman" w:eastAsia="Times New Roman" w:hAnsi="Times New Roman"/>
          <w:sz w:val="18"/>
          <w:szCs w:val="18"/>
          <w:color w:val="auto"/>
        </w:rPr>
        <w:t>U.S. billboard advertising is forecasted to be a $3.5 billion market in 2026 and forecasted to grow to a $4.2 billion market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2028, a 7% CAGR.</w:t>
      </w:r>
    </w:p>
    <w:p>
      <w:pPr>
        <w:spacing w:after="0" w:line="51" w:lineRule="exact"/>
        <w:rPr>
          <w:sz w:val="20"/>
          <w:szCs w:val="20"/>
          <w:color w:val="auto"/>
        </w:rPr>
      </w:pPr>
    </w:p>
    <w:p>
      <w:pPr>
        <w:jc w:val="both"/>
        <w:ind w:right="660" w:firstLine="486"/>
        <w:spacing w:after="0" w:line="266" w:lineRule="auto"/>
        <w:rPr>
          <w:sz w:val="20"/>
          <w:szCs w:val="20"/>
          <w:color w:val="auto"/>
        </w:rPr>
      </w:pPr>
      <w:r>
        <w:rPr>
          <w:rFonts w:ascii="Times New Roman" w:cs="Times New Roman" w:eastAsia="Times New Roman" w:hAnsi="Times New Roman"/>
          <w:sz w:val="18"/>
          <w:szCs w:val="18"/>
          <w:color w:val="auto"/>
        </w:rPr>
        <w:t>The forecasts for each segment above include both programmatic and non-programmatic digital advertising. In recent years, programmatic advertising has represented an increasing portion of total U.S. media spend. eMarketer estimates that the U.S. programmatic advertising market, as represented by the segments above, will grow from $159 billion in 2024 to $225 billion in 2027, a 12% CAGR.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DSP makes it easy to buy ads across a wide range of advertising channels and formats, and helps brands measure the impact of their ad spend by providing electronic buying and measurement of all advertising. Our platform enables marketers and their advertising agencies to plan, buy and measure campaigns across channels. Customers can choose to maintain hands-on control over every campaign detail or have our platform autonomously execute, optimize, and measure their advertising investments. Integrated with our HHID, we provide our customers with a full suite of forecasting, reporting and automation to make informed decisions around their advertising investments. With the launch of our artificial intelligence product suite, ViantAI, we are building the future of autonomous advertising solutions, empowering advertisers to achieve their boldest goals while maintaining the strategic oversight they require. We provide exceptional customer service to ensure our customers have the level of support required for their unique business needs. Viant is driven to be a leader in innovation, automation, transparency, customer focus and responsible media.</w:t>
      </w:r>
    </w:p>
    <w:p>
      <w:pPr>
        <w:spacing w:after="0" w:line="80" w:lineRule="exact"/>
        <w:rPr>
          <w:sz w:val="20"/>
          <w:szCs w:val="20"/>
          <w:color w:val="auto"/>
        </w:rPr>
      </w:pPr>
    </w:p>
    <w:p>
      <w:pPr>
        <w:ind w:right="36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ViantAI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artificial intelligence product suite, which launched in 2024, is a foundational component of our long-term vision for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advertising to create the most efficient and cost-effective experience for our customers. ViantAI handles every stage of programmatic advertising, from building campaigns to optimizing execution, allowing advertisers and their agencies to rely on ViantAI to manage their day-to-day campaigns while focusing on higher-level strategic objectives.</w:t>
      </w:r>
    </w:p>
    <w:p>
      <w:pPr>
        <w:spacing w:after="0" w:line="72"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ViantAI suite currently includes AI Planning, which enables media planners to design high-impact campaigns in seconds, AI Bidding, which optimizes inventory costs by lowering the effective cost per mille ("eCPM") through automated bid adjustments, AI Measurement and Analysis, which provides accessible measurement and insights via a user-friendly chat interface, and recently launched, AI Decisioning, an AI-driven engine which autonomously manages execution towards an outcome an advertiser defines by continuously evaluating a number of proprietary data signals in parallel, including HHID, IRIS_ID, supply quality scoring, historical campaign performance, bid pricing dynamics and real-time delivery data, to determine and execute optimization decisions without manual intervention. The launch of AI Decisioning was accompanied by the introduction of Outcomes, our autonomous advertising performance solution that utilizes each of the four phases of ViantAI, and various signals within our intelligence layer, to build and execute campaigns designed to deliver an optimal outcome.</w:t>
      </w:r>
    </w:p>
    <w:p>
      <w:pPr>
        <w:spacing w:after="0" w:line="80" w:lineRule="exact"/>
        <w:rPr>
          <w:sz w:val="20"/>
          <w:szCs w:val="20"/>
          <w:color w:val="auto"/>
        </w:rPr>
      </w:pPr>
    </w:p>
    <w:p>
      <w:pPr>
        <w:ind w:right="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Holistic, Omnichannel DSP: </w:t>
      </w:r>
      <w:r>
        <w:rPr>
          <w:rFonts w:ascii="Times New Roman" w:cs="Times New Roman" w:eastAsia="Times New Roman" w:hAnsi="Times New Roman"/>
          <w:sz w:val="18"/>
          <w:szCs w:val="18"/>
          <w:color w:val="auto"/>
        </w:rPr>
        <w:t>Marketers and their agencies can use our integrated platform to efficiently manage omnichannel campaigns and access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metrics from each channel to inform decisions in other channels. Our integrations enable the purchase of advertising media across CTV, streaming audio, digital out-of-home, mobile and desktop. Our technology leverages AI and machine learning to identify the best supply partners, formats and impressions based on our customers’ goals.</w:t>
      </w:r>
    </w:p>
    <w:p>
      <w:pPr>
        <w:spacing w:after="0" w:line="68" w:lineRule="exact"/>
        <w:rPr>
          <w:sz w:val="20"/>
          <w:szCs w:val="20"/>
          <w:color w:val="auto"/>
        </w:rPr>
      </w:pPr>
    </w:p>
    <w:p>
      <w:pPr>
        <w:ind w:right="6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Household ID™: </w:t>
      </w:r>
      <w:r>
        <w:rPr>
          <w:rFonts w:ascii="Times New Roman" w:cs="Times New Roman" w:eastAsia="Times New Roman" w:hAnsi="Times New Roman"/>
          <w:sz w:val="18"/>
          <w:szCs w:val="18"/>
          <w:color w:val="auto"/>
        </w:rPr>
        <w:t>Our proprietary innovation that combines digital and personal identifiers into a normalized household profile that provides known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 data insights and optimized bid decisions for target audiences, accurate reach and frequency management across omnichannel supply including cookieless channels like CTV, Safari and mobile app and holistic measurement of conversions across all devices and context. Whether online or in-store, we can attribute conversions to media investments. The HHID not only captures the ad exposure as the impression is delivered but can also connect that ad exposure to an outcome which significantly differentiates our DSP technology.</w:t>
      </w:r>
    </w:p>
    <w:p>
      <w:pPr>
        <w:spacing w:after="0" w:line="71" w:lineRule="exact"/>
        <w:rPr>
          <w:sz w:val="20"/>
          <w:szCs w:val="20"/>
          <w:color w:val="auto"/>
        </w:rPr>
      </w:pPr>
    </w:p>
    <w:p>
      <w:pPr>
        <w:jc w:val="both"/>
        <w:ind w:right="34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IRIS_ID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content identifier that allows supply partners to securely share their video-level data to power planning, targeting, and measurement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solutions in ad supported streaming media. The IRIS_ID serves as the signal for data solutions to access and supply partners’ content and analyze each video frame by frame to create standardized contextual and brand suitability segments.</w:t>
      </w:r>
    </w:p>
    <w:p>
      <w:pPr>
        <w:spacing w:after="0" w:line="63" w:lineRule="exact"/>
        <w:rPr>
          <w:sz w:val="20"/>
          <w:szCs w:val="20"/>
          <w:color w:val="auto"/>
        </w:rPr>
      </w:pPr>
    </w:p>
    <w:p>
      <w:pPr>
        <w:jc w:val="both"/>
        <w:ind w:right="8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Viant Data Platform: </w:t>
      </w:r>
      <w:r>
        <w:rPr>
          <w:rFonts w:ascii="Times New Roman" w:cs="Times New Roman" w:eastAsia="Times New Roman" w:hAnsi="Times New Roman"/>
          <w:sz w:val="18"/>
          <w:szCs w:val="18"/>
          <w:color w:val="auto"/>
        </w:rPr>
        <w:t>We provide the Viant Data Platform that is directly integrated into our centralized DSP and offers marketers control over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data with actionable insights into their marketing initiatives within a single platform. The Viant Data Platform offers the ability to integrate first-party data with data from top third-party data providers in order to obtain key insights, reporting and attribution opportunities.</w:t>
      </w:r>
    </w:p>
    <w:p>
      <w:pPr>
        <w:spacing w:after="0" w:line="63" w:lineRule="exact"/>
        <w:rPr>
          <w:sz w:val="20"/>
          <w:szCs w:val="20"/>
          <w:color w:val="auto"/>
        </w:rPr>
      </w:pPr>
    </w:p>
    <w:p>
      <w:pPr>
        <w:ind w:right="8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 Access: </w:t>
      </w:r>
      <w:r>
        <w:rPr>
          <w:rFonts w:ascii="Times New Roman" w:cs="Times New Roman" w:eastAsia="Times New Roman" w:hAnsi="Times New Roman"/>
          <w:sz w:val="18"/>
          <w:szCs w:val="18"/>
          <w:color w:val="auto"/>
        </w:rPr>
        <w:t>Our supply path optimization program creates a more cost efficient, direct path to premium inventory through partnerships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leading CTV publishers and the removal of resellers from the digital supply chain. By bringing buyers and sellers closer through direct inventory and first-party data integration, this program lowers media cost for the advertiser and increases revenue for the publisher. We believe this program has had a significant impact on how we continue to outpace the high-growth CTV market.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8" w:name="page9"/>
    <w:bookmarkEnd w:id="8"/>
    <w:p>
      <w:pPr>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Advanced Reporting and Measurement: </w:t>
      </w:r>
      <w:r>
        <w:rPr>
          <w:rFonts w:ascii="Times New Roman" w:cs="Times New Roman" w:eastAsia="Times New Roman" w:hAnsi="Times New Roman"/>
          <w:sz w:val="18"/>
          <w:szCs w:val="18"/>
          <w:color w:val="auto"/>
        </w:rPr>
        <w:t>We invest heavily in our measurement capabilities, as we believe advertising should be driving a positive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return. Our self-service campaign analysis and data intelligence tool empowers customers with differentiated insights, including conversion lift, multi-touch attribution, foot-traffic data reports, digital-out-of-home lift, sales reporting and ROAS analytics. Leveraging our HHID and machine learning algorithms, our platform provides marketers real-time actionable insights throughout an advertising campaign. Our built-in automation enables marketers to optimize digital campaigns designed to achieve their key performance indicator (“KPI”) goals.</w:t>
      </w:r>
    </w:p>
    <w:p>
      <w:pPr>
        <w:spacing w:after="0" w:line="71" w:lineRule="exact"/>
        <w:rPr>
          <w:sz w:val="20"/>
          <w:szCs w:val="20"/>
          <w:color w:val="auto"/>
        </w:rPr>
      </w:pPr>
    </w:p>
    <w:p>
      <w:pPr>
        <w:ind w:right="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Flexible Customer Engagement Models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DSP and related services are available through several levels of best-in-class customer service, from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self-service interface, which offers customers transparency and control over their advertising campaigns and underlying data infrastructure, to a fully managed end-to-end solution, which offers an experienced support team to assist with audience creation and management, campaign execution and advanced reporting. Additionally, customers can choose to have our platform autonomously execute, optimize, and measure their advertising investments by enabling AI-driven management of the campaign lifecycle with minimal manual intervention.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believe the following attributes and capabilities provide us with long-term competitive advantages:</w:t>
      </w:r>
    </w:p>
    <w:p>
      <w:pPr>
        <w:spacing w:after="0" w:line="113" w:lineRule="exact"/>
        <w:rPr>
          <w:sz w:val="20"/>
          <w:szCs w:val="20"/>
          <w:color w:val="auto"/>
        </w:rPr>
      </w:pPr>
    </w:p>
    <w:p>
      <w:pPr>
        <w:ind w:left="980" w:right="20" w:hanging="486"/>
        <w:spacing w:after="0" w:line="257"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Scalable Self-Service Platform: </w:t>
      </w:r>
      <w:r>
        <w:rPr>
          <w:rFonts w:ascii="Times New Roman" w:cs="Times New Roman" w:eastAsia="Times New Roman" w:hAnsi="Times New Roman"/>
          <w:sz w:val="18"/>
          <w:szCs w:val="18"/>
          <w:color w:val="auto"/>
        </w:rPr>
        <w:t>Our self-service platform enables customers to choose the level of Viant involvement from maintaining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hands-on control over every campaign detail to having our platform autonomously execute, optimize, and measure their advertising objectives with minimal manual intervention. This scalable architecture creates operating leverage: as we add new customers and as existing customers increase their use of our platform, our revenue grows significantly faster than our personnel costs. Our platform’s automation capabilities allow us to scale customer campaigns and onboard new clients without requiring proportional increases in headcount, enabling us to capture market share while expanding margins.</w:t>
      </w:r>
    </w:p>
    <w:p>
      <w:pPr>
        <w:spacing w:after="0" w:line="74" w:lineRule="exact"/>
        <w:rPr>
          <w:rFonts w:ascii="Times New Roman" w:cs="Times New Roman" w:eastAsia="Times New Roman" w:hAnsi="Times New Roman"/>
          <w:sz w:val="18"/>
          <w:szCs w:val="18"/>
          <w:color w:val="auto"/>
        </w:rPr>
      </w:pPr>
    </w:p>
    <w:p>
      <w:pPr>
        <w:ind w:left="980" w:right="100" w:hanging="486"/>
        <w:spacing w:after="0" w:line="256" w:lineRule="auto"/>
        <w:tabs>
          <w:tab w:leader="none" w:pos="97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Machine Learning and AI Capabilities: </w:t>
      </w:r>
      <w:r>
        <w:rPr>
          <w:rFonts w:ascii="Times New Roman" w:cs="Times New Roman" w:eastAsia="Times New Roman" w:hAnsi="Times New Roman"/>
          <w:sz w:val="18"/>
          <w:szCs w:val="18"/>
          <w:color w:val="auto"/>
        </w:rPr>
        <w:t>We enable the use of machine learning, workflow automation, automated reporting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functionalities that allow our customers to update and make thousands of changes automatically to help achieve their desired business outcomes. With the continued development of our end-to-end ViantAI platform, we have AI-powered tools that drive better efficiency across the four key areas of programmatic ad buying: planning, bidding, measurement and decisioning. In addition to the speed and ease of use, ViantAI brings an additional level of sophistication to the campaign planning process. Leveraging years of data from campaigns executed through our platform, we believe ViantAI is faster, smarter and more precise in its planning capabilities compared to traditional planning technology tools.</w:t>
      </w:r>
    </w:p>
    <w:p>
      <w:pPr>
        <w:spacing w:after="0" w:line="74" w:lineRule="exact"/>
        <w:rPr>
          <w:rFonts w:ascii="Times New Roman" w:cs="Times New Roman" w:eastAsia="Times New Roman" w:hAnsi="Times New Roman"/>
          <w:sz w:val="18"/>
          <w:szCs w:val="18"/>
          <w:b w:val="1"/>
          <w:bCs w:val="1"/>
          <w:i w:val="1"/>
          <w:iCs w:val="1"/>
          <w:color w:val="auto"/>
        </w:rPr>
      </w:pPr>
    </w:p>
    <w:p>
      <w:pPr>
        <w:ind w:left="980" w:right="140" w:hanging="486"/>
        <w:spacing w:after="0" w:line="259"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Proprietary Technology: </w:t>
      </w:r>
      <w:r>
        <w:rPr>
          <w:rFonts w:ascii="Times New Roman" w:cs="Times New Roman" w:eastAsia="Times New Roman" w:hAnsi="Times New Roman"/>
          <w:sz w:val="18"/>
          <w:szCs w:val="18"/>
          <w:color w:val="auto"/>
        </w:rPr>
        <w:t>We leverage a robust suite of proprietary tools and products to enable our customers to utilize our platform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We are constantly iterating and developing new tools and products while utilizing our patented technologies and processes. As of December 31, 2025, we held 65 issued patents and 24 additional pending patent applications, which cover many of our proprietary products. As new offerings are developed, we continue to file and obtain patents on the most valuable and innovative products developed at our Company.</w:t>
      </w:r>
    </w:p>
    <w:p>
      <w:pPr>
        <w:spacing w:after="0" w:line="71" w:lineRule="exact"/>
        <w:rPr>
          <w:rFonts w:ascii="Times New Roman" w:cs="Times New Roman" w:eastAsia="Times New Roman" w:hAnsi="Times New Roman"/>
          <w:sz w:val="18"/>
          <w:szCs w:val="18"/>
          <w:color w:val="auto"/>
        </w:rPr>
      </w:pPr>
    </w:p>
    <w:p>
      <w:pPr>
        <w:ind w:left="980" w:right="580" w:hanging="486"/>
        <w:spacing w:after="0" w:line="286" w:lineRule="auto"/>
        <w:tabs>
          <w:tab w:leader="none" w:pos="97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Demand Side Only: </w:t>
      </w:r>
      <w:r>
        <w:rPr>
          <w:rFonts w:ascii="Times New Roman" w:cs="Times New Roman" w:eastAsia="Times New Roman" w:hAnsi="Times New Roman"/>
          <w:sz w:val="18"/>
          <w:szCs w:val="18"/>
          <w:color w:val="auto"/>
        </w:rPr>
        <w:t>As we are a demand side only platform, we are not conflicted with getting the best pricing for marketers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agencies. That results in reduced inventory costs via lower eCPMs.</w:t>
      </w:r>
    </w:p>
    <w:p>
      <w:pPr>
        <w:spacing w:after="0" w:line="46" w:lineRule="exact"/>
        <w:rPr>
          <w:rFonts w:ascii="Times New Roman" w:cs="Times New Roman" w:eastAsia="Times New Roman" w:hAnsi="Times New Roman"/>
          <w:sz w:val="18"/>
          <w:szCs w:val="18"/>
          <w:b w:val="1"/>
          <w:bCs w:val="1"/>
          <w:i w:val="1"/>
          <w:iCs w:val="1"/>
          <w:color w:val="auto"/>
        </w:rPr>
      </w:pPr>
    </w:p>
    <w:p>
      <w:pPr>
        <w:ind w:left="980" w:right="140" w:hanging="486"/>
        <w:spacing w:after="0" w:line="259" w:lineRule="auto"/>
        <w:tabs>
          <w:tab w:leader="none" w:pos="9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Onboarding: </w:t>
      </w:r>
      <w:r>
        <w:rPr>
          <w:rFonts w:ascii="Times New Roman" w:cs="Times New Roman" w:eastAsia="Times New Roman" w:hAnsi="Times New Roman"/>
          <w:sz w:val="18"/>
          <w:szCs w:val="18"/>
          <w:color w:val="auto"/>
        </w:rPr>
        <w:t>We enable marketers to safely and securely onboard their first-party data to gain a view into their customers’ top attributes,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create targeting segments and easily activate and measure these customer segments through our Viant Data Platform. Our simple interface allows marketers to upload audience data with ease and create a unique segment or build lookalike audiences without the need for a separate data management platform. Our data integrations provide marketers with high match rates, which offers scalable and meaningful audience insights for segmentation, targeting and measuring key outcomes both online and offline.</w:t>
      </w:r>
    </w:p>
    <w:p>
      <w:pPr>
        <w:spacing w:after="0" w:line="71" w:lineRule="exact"/>
        <w:rPr>
          <w:rFonts w:ascii="Times New Roman" w:cs="Times New Roman" w:eastAsia="Times New Roman" w:hAnsi="Times New Roman"/>
          <w:sz w:val="18"/>
          <w:szCs w:val="18"/>
          <w:color w:val="auto"/>
        </w:rPr>
      </w:pPr>
    </w:p>
    <w:p>
      <w:pPr>
        <w:ind w:left="980" w:right="40" w:hanging="486"/>
        <w:spacing w:after="0" w:line="262" w:lineRule="auto"/>
        <w:tabs>
          <w:tab w:leader="none" w:pos="97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IRIS_ID: </w:t>
      </w:r>
      <w:r>
        <w:rPr>
          <w:rFonts w:ascii="Times New Roman" w:cs="Times New Roman" w:eastAsia="Times New Roman" w:hAnsi="Times New Roman"/>
          <w:sz w:val="18"/>
          <w:szCs w:val="18"/>
          <w:color w:val="auto"/>
        </w:rPr>
        <w:t>The IRIS_ID is an anonymous universal identifier that allows advertisers to go beyond targeting at the CTV app level, enabling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precise targeting down to the individual video file where their ads will run. The IRIS_ID also contains powerful data driven insights, including contextual segments, emotional sentiment analysis and brand suitability data which provides advertisers with a richer understanding of the videos and scenes accompanying their ads, empowering safer, smarter and more impactful CTV ad campaigns.</w:t>
      </w:r>
    </w:p>
    <w:p>
      <w:pPr>
        <w:spacing w:after="0" w:line="68" w:lineRule="exact"/>
        <w:rPr>
          <w:rFonts w:ascii="Times New Roman" w:cs="Times New Roman" w:eastAsia="Times New Roman" w:hAnsi="Times New Roman"/>
          <w:sz w:val="18"/>
          <w:szCs w:val="18"/>
          <w:b w:val="1"/>
          <w:bCs w:val="1"/>
          <w:i w:val="1"/>
          <w:iCs w:val="1"/>
          <w:color w:val="auto"/>
        </w:rPr>
      </w:pPr>
    </w:p>
    <w:p>
      <w:pPr>
        <w:ind w:left="980" w:right="200" w:hanging="486"/>
        <w:spacing w:after="0" w:line="262" w:lineRule="auto"/>
        <w:tabs>
          <w:tab w:leader="none" w:pos="975"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Advanced Reporting and Measurement: </w:t>
      </w:r>
      <w:r>
        <w:rPr>
          <w:rFonts w:ascii="Times New Roman" w:cs="Times New Roman" w:eastAsia="Times New Roman" w:hAnsi="Times New Roman"/>
          <w:sz w:val="18"/>
          <w:szCs w:val="18"/>
          <w:color w:val="auto"/>
        </w:rPr>
        <w:t>We invest heavily in our measurement capabilities, as we believe this will increase our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usage of our DSP and related services. Our platform measures ROAS across most channels and empowers our customers with real-time insights, including foot-traffic reports and multi-touch attribution analytics. Our advanced reporting functionality uses our aforementioned identity graph to provide marketers with a holistic view of measurement across most channels.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9" w:name="page10"/>
    <w:bookmarkEnd w:id="9"/>
    <w:p>
      <w:pPr>
        <w:ind w:left="980" w:right="140" w:hanging="486"/>
        <w:spacing w:after="0" w:line="28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Differentiated Identity-Based Capabilities: </w:t>
      </w:r>
      <w:r>
        <w:rPr>
          <w:rFonts w:ascii="Times New Roman" w:cs="Times New Roman" w:eastAsia="Times New Roman" w:hAnsi="Times New Roman"/>
          <w:sz w:val="18"/>
          <w:szCs w:val="18"/>
          <w:color w:val="auto"/>
        </w:rPr>
        <w:t>Our platform leverages our HHID to integrate with over 70 data partners. We believe this allows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 much more effective and privacy-friendly approach to advertising than using cookies for identification.</w:t>
      </w:r>
    </w:p>
    <w:p>
      <w:pPr>
        <w:spacing w:after="0" w:line="46" w:lineRule="exact"/>
        <w:rPr>
          <w:rFonts w:ascii="Times New Roman" w:cs="Times New Roman" w:eastAsia="Times New Roman" w:hAnsi="Times New Roman"/>
          <w:sz w:val="18"/>
          <w:szCs w:val="18"/>
          <w:color w:val="auto"/>
        </w:rPr>
      </w:pPr>
    </w:p>
    <w:p>
      <w:pPr>
        <w:ind w:left="980" w:right="200" w:hanging="486"/>
        <w:spacing w:after="0" w:line="268"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Experienced Management Team: </w:t>
      </w:r>
      <w:r>
        <w:rPr>
          <w:rFonts w:ascii="Times New Roman" w:cs="Times New Roman" w:eastAsia="Times New Roman" w:hAnsi="Times New Roman"/>
          <w:sz w:val="18"/>
          <w:szCs w:val="18"/>
          <w:color w:val="auto"/>
        </w:rPr>
        <w:t>Our management team has deep and extensive experience in the advertising technology sector,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believe provides us with a competitive advantage. The experience of our management team has allowed us to continue to be innovative in developing solutions for our customers.</w:t>
      </w:r>
    </w:p>
    <w:p>
      <w:pPr>
        <w:spacing w:after="0" w:line="62" w:lineRule="exact"/>
        <w:rPr>
          <w:rFonts w:ascii="Times New Roman" w:cs="Times New Roman" w:eastAsia="Times New Roman" w:hAnsi="Times New Roman"/>
          <w:sz w:val="18"/>
          <w:szCs w:val="18"/>
          <w:color w:val="auto"/>
        </w:rPr>
      </w:pPr>
    </w:p>
    <w:p>
      <w:pPr>
        <w:ind w:left="980" w:right="260" w:hanging="486"/>
        <w:spacing w:after="0" w:line="28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Business Model: </w:t>
      </w:r>
      <w:r>
        <w:rPr>
          <w:rFonts w:ascii="Times New Roman" w:cs="Times New Roman" w:eastAsia="Times New Roman" w:hAnsi="Times New Roman"/>
          <w:sz w:val="18"/>
          <w:szCs w:val="18"/>
          <w:color w:val="auto"/>
        </w:rPr>
        <w:t>Because we have a self-service platform, as we add new customers and as customers increase the use of our platform,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able to demonstrate strong operating leverage.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believe that the advertising market is in the early stages of a shift toward programmatic advertising as well as in an ongoing shift from linear TV spend to CTV spend. We intend to capitalize on this opportunity by pursuing the following strategies:</w:t>
      </w:r>
    </w:p>
    <w:p>
      <w:pPr>
        <w:spacing w:after="0" w:line="50" w:lineRule="exact"/>
        <w:rPr>
          <w:sz w:val="20"/>
          <w:szCs w:val="20"/>
          <w:color w:val="auto"/>
        </w:rPr>
      </w:pPr>
    </w:p>
    <w:p>
      <w:pPr>
        <w:ind w:left="980" w:hanging="486"/>
        <w:spacing w:after="0" w:line="275" w:lineRule="auto"/>
        <w:tabs>
          <w:tab w:leader="none" w:pos="97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Invest in and continue to build a platform utilizing artificial intelligence and machine learning</w:t>
      </w:r>
      <w:r>
        <w:rPr>
          <w:rFonts w:ascii="Times New Roman" w:cs="Times New Roman" w:eastAsia="Times New Roman" w:hAnsi="Times New Roman"/>
          <w:sz w:val="17"/>
          <w:szCs w:val="17"/>
          <w:color w:val="auto"/>
        </w:rPr>
        <w:t>: We are committed to leveraging AI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streamline advertising operations and enhance data-driven decision-making for our customers. With continued investment in our ViantAI suite of products to support additional features and functions, we believe we will attract new customers and encourage our existing customers to increase usage of our platform. We believe many advertisers are in the early stages of moving a greater percentage of their advertising budgets to programmatic channels. By providing and continuing to develop automated solutions for the planning, buying and measuring of their media spend across channels, we believe we are well positioned to capture the increase in programmatic budgets from new and existing customers.</w:t>
      </w:r>
    </w:p>
    <w:p>
      <w:pPr>
        <w:spacing w:after="0" w:line="60" w:lineRule="exact"/>
        <w:rPr>
          <w:rFonts w:ascii="Times New Roman" w:cs="Times New Roman" w:eastAsia="Times New Roman" w:hAnsi="Times New Roman"/>
          <w:sz w:val="17"/>
          <w:szCs w:val="17"/>
          <w:color w:val="auto"/>
        </w:rPr>
      </w:pPr>
    </w:p>
    <w:p>
      <w:pPr>
        <w:ind w:left="980" w:right="40" w:hanging="486"/>
        <w:spacing w:after="0" w:line="268" w:lineRule="auto"/>
        <w:tabs>
          <w:tab w:leader="none" w:pos="97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Continue to invest in our customers’ success: </w:t>
      </w:r>
      <w:r>
        <w:rPr>
          <w:rFonts w:ascii="Times New Roman" w:cs="Times New Roman" w:eastAsia="Times New Roman" w:hAnsi="Times New Roman"/>
          <w:sz w:val="18"/>
          <w:szCs w:val="18"/>
          <w:color w:val="auto"/>
        </w:rPr>
        <w:t>Our platform provides extensive functionality designed to provide our customers with a high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level of control and enable them to run efficient ad campaigns. We continue to enhance new customer onboarding and support while investing in training and education for customers to maximize their success with our platform.</w:t>
      </w:r>
    </w:p>
    <w:p>
      <w:pPr>
        <w:spacing w:after="0" w:line="62" w:lineRule="exact"/>
        <w:rPr>
          <w:rFonts w:ascii="Times New Roman" w:cs="Times New Roman" w:eastAsia="Times New Roman" w:hAnsi="Times New Roman"/>
          <w:sz w:val="18"/>
          <w:szCs w:val="18"/>
          <w:b w:val="1"/>
          <w:bCs w:val="1"/>
          <w:i w:val="1"/>
          <w:iCs w:val="1"/>
          <w:color w:val="auto"/>
        </w:rPr>
      </w:pPr>
    </w:p>
    <w:p>
      <w:pPr>
        <w:ind w:left="980" w:right="100" w:hanging="486"/>
        <w:spacing w:after="0" w:line="259"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our omnichannel partnerships: </w:t>
      </w:r>
      <w:r>
        <w:rPr>
          <w:rFonts w:ascii="Times New Roman" w:cs="Times New Roman" w:eastAsia="Times New Roman" w:hAnsi="Times New Roman"/>
          <w:sz w:val="18"/>
          <w:szCs w:val="18"/>
          <w:color w:val="auto"/>
        </w:rPr>
        <w:t>We believe we have one of, if not the largest breadth of advertising inventory across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channels in our industry landscape. We will continue to invest in the integration of new supply partners across channels and as part of our Direct Access program, bring buyers and sellers closer through direct inventory and first-party data integration. The addition of new supply partners, together with our supply path optimization program, will continue to broaden our supply of premium advertising inventory and create a more cost efficient path to that inventory.</w:t>
      </w:r>
    </w:p>
    <w:p>
      <w:pPr>
        <w:spacing w:after="0" w:line="71" w:lineRule="exact"/>
        <w:rPr>
          <w:rFonts w:ascii="Times New Roman" w:cs="Times New Roman" w:eastAsia="Times New Roman" w:hAnsi="Times New Roman"/>
          <w:sz w:val="18"/>
          <w:szCs w:val="18"/>
          <w:color w:val="auto"/>
        </w:rPr>
      </w:pPr>
    </w:p>
    <w:p>
      <w:pPr>
        <w:ind w:left="980" w:right="80" w:hanging="486"/>
        <w:spacing w:after="0" w:line="26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our sales and marketing investments: </w:t>
      </w:r>
      <w:r>
        <w:rPr>
          <w:rFonts w:ascii="Times New Roman" w:cs="Times New Roman" w:eastAsia="Times New Roman" w:hAnsi="Times New Roman"/>
          <w:sz w:val="18"/>
          <w:szCs w:val="18"/>
          <w:color w:val="auto"/>
        </w:rPr>
        <w:t>We intend to continue to expand sales and marketing efforts to increase awareness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 of our platform and promote the advantages of our ViantAI suite as well as our HHID framework and IRIS_ID as cookie-based options continue to decline.</w:t>
      </w:r>
    </w:p>
    <w:p>
      <w:pPr>
        <w:spacing w:after="0" w:line="62" w:lineRule="exact"/>
        <w:rPr>
          <w:rFonts w:ascii="Times New Roman" w:cs="Times New Roman" w:eastAsia="Times New Roman" w:hAnsi="Times New Roman"/>
          <w:sz w:val="18"/>
          <w:szCs w:val="18"/>
          <w:color w:val="auto"/>
        </w:rPr>
      </w:pPr>
    </w:p>
    <w:p>
      <w:pPr>
        <w:ind w:left="980" w:right="60" w:hanging="486"/>
        <w:spacing w:after="0" w:line="268"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Invest in growth through acquisitions: </w:t>
      </w:r>
      <w:r>
        <w:rPr>
          <w:rFonts w:ascii="Times New Roman" w:cs="Times New Roman" w:eastAsia="Times New Roman" w:hAnsi="Times New Roman"/>
          <w:sz w:val="18"/>
          <w:szCs w:val="18"/>
          <w:color w:val="auto"/>
        </w:rPr>
        <w:t>We intend to invest in acquisitions that will allow us to offer new products and capitalize on our large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growing market opportunity. To the extent we find attractive acquisition candidates and business opportunities in the future, we may continue to acquire complementary businesses, products and technologies.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156845</wp:posOffset>
            </wp:positionV>
            <wp:extent cx="6172200" cy="254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7220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right="420" w:firstLine="486"/>
        <w:spacing w:after="0" w:line="266" w:lineRule="auto"/>
        <w:rPr>
          <w:sz w:val="20"/>
          <w:szCs w:val="20"/>
          <w:color w:val="auto"/>
        </w:rPr>
      </w:pPr>
      <w:r>
        <w:rPr>
          <w:rFonts w:ascii="Times New Roman" w:cs="Times New Roman" w:eastAsia="Times New Roman" w:hAnsi="Times New Roman"/>
          <w:sz w:val="18"/>
          <w:szCs w:val="18"/>
          <w:color w:val="auto"/>
        </w:rPr>
        <w:t>Viant's DSP enables a marketer or their agency to programmatically buy a streaming ad on CTVs, an ad in a digital billboard on the side of the highway, an ad in a mobile application, an ad during a podcast or other streaming audio, or a dynamically personalized ad on any website, all within a single user interface. As illustrated by the graphic above, we believe that our platform sits at the center of the digital advertising ecosystem.</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key components of our platform include:</w:t>
      </w:r>
    </w:p>
    <w:p>
      <w:pPr>
        <w:spacing w:after="0" w:line="115" w:lineRule="exact"/>
        <w:rPr>
          <w:sz w:val="20"/>
          <w:szCs w:val="20"/>
          <w:color w:val="auto"/>
        </w:rPr>
      </w:pPr>
    </w:p>
    <w:p>
      <w:pPr>
        <w:ind w:left="980" w:right="420" w:hanging="486"/>
        <w:spacing w:after="0" w:line="26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Interoperable DSP. </w:t>
      </w:r>
      <w:r>
        <w:rPr>
          <w:rFonts w:ascii="Times New Roman" w:cs="Times New Roman" w:eastAsia="Times New Roman" w:hAnsi="Times New Roman"/>
          <w:sz w:val="18"/>
          <w:szCs w:val="18"/>
          <w:color w:val="auto"/>
        </w:rPr>
        <w:t>Our holistic, omnichannel DSP enables brands and agencies to seamlessly target and measure key audiences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supply from premium publishers within CTV, streaming audio, digital out-of-home, mobile, desktop and more without having to constantly switch between platforms.</w:t>
      </w:r>
    </w:p>
    <w:p>
      <w:pPr>
        <w:spacing w:after="0" w:line="65" w:lineRule="exact"/>
        <w:rPr>
          <w:rFonts w:ascii="Times New Roman" w:cs="Times New Roman" w:eastAsia="Times New Roman" w:hAnsi="Times New Roman"/>
          <w:sz w:val="18"/>
          <w:szCs w:val="18"/>
          <w:color w:val="auto"/>
        </w:rPr>
      </w:pPr>
    </w:p>
    <w:p>
      <w:pPr>
        <w:ind w:left="980" w:hanging="486"/>
        <w:spacing w:after="0" w:line="267" w:lineRule="auto"/>
        <w:tabs>
          <w:tab w:leader="none" w:pos="97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Comprehensive Forecasting. </w:t>
      </w:r>
      <w:r>
        <w:rPr>
          <w:rFonts w:ascii="Times New Roman" w:cs="Times New Roman" w:eastAsia="Times New Roman" w:hAnsi="Times New Roman"/>
          <w:sz w:val="18"/>
          <w:szCs w:val="18"/>
          <w:color w:val="auto"/>
        </w:rPr>
        <w:t>Our platform allows customers to plan future marketing campaigns based on desired targeting tactics by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bid request data and machine learning to project performance onto available inventory. Customers can easily apply multiple data segmentation filters and see what ad inventory is available and at what price.</w:t>
      </w:r>
    </w:p>
    <w:p>
      <w:pPr>
        <w:spacing w:after="0" w:line="65" w:lineRule="exact"/>
        <w:rPr>
          <w:rFonts w:ascii="Times New Roman" w:cs="Times New Roman" w:eastAsia="Times New Roman" w:hAnsi="Times New Roman"/>
          <w:sz w:val="18"/>
          <w:szCs w:val="18"/>
          <w:color w:val="auto"/>
        </w:rPr>
      </w:pPr>
    </w:p>
    <w:p>
      <w:pPr>
        <w:ind w:left="980" w:hanging="486"/>
        <w:spacing w:after="0" w:line="267" w:lineRule="auto"/>
        <w:tabs>
          <w:tab w:leader="none" w:pos="97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Ease of Use. </w:t>
      </w:r>
      <w:r>
        <w:rPr>
          <w:rFonts w:ascii="Times New Roman" w:cs="Times New Roman" w:eastAsia="Times New Roman" w:hAnsi="Times New Roman"/>
          <w:sz w:val="18"/>
          <w:szCs w:val="18"/>
          <w:color w:val="auto"/>
        </w:rPr>
        <w:t>Our intuitive user interface enables marketers to seamlessly move from forecasting to launching live advertising campaigns.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reduces the time from planning a campaign to execution, helping marketers to fluidly execute deterministic cross-channel campaigns using a variety of quality data and supply partners to reach their target audience.</w:t>
      </w:r>
    </w:p>
    <w:p>
      <w:pPr>
        <w:spacing w:after="0" w:line="65" w:lineRule="exact"/>
        <w:rPr>
          <w:rFonts w:ascii="Times New Roman" w:cs="Times New Roman" w:eastAsia="Times New Roman" w:hAnsi="Times New Roman"/>
          <w:sz w:val="18"/>
          <w:szCs w:val="18"/>
          <w:i w:val="1"/>
          <w:iCs w:val="1"/>
          <w:color w:val="auto"/>
        </w:rPr>
      </w:pPr>
    </w:p>
    <w:p>
      <w:pPr>
        <w:ind w:left="980" w:right="80" w:hanging="486"/>
        <w:spacing w:after="0" w:line="267" w:lineRule="auto"/>
        <w:tabs>
          <w:tab w:leader="none" w:pos="975"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Campaign Decisioning. </w:t>
      </w:r>
      <w:r>
        <w:rPr>
          <w:rFonts w:ascii="Times New Roman" w:cs="Times New Roman" w:eastAsia="Times New Roman" w:hAnsi="Times New Roman"/>
          <w:sz w:val="18"/>
          <w:szCs w:val="18"/>
          <w:color w:val="auto"/>
        </w:rPr>
        <w:t>We offer the ability to continuously measure and optimize campaigns by leveraging powerful KPIs directly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platform reports. Marketers have the ability to optimize campaigns in-flight, even if they have already started. This granular decision-making ability provides customers more accurate and real-time understanding of the performance of their live campaigns.</w:t>
      </w:r>
    </w:p>
    <w:p>
      <w:pPr>
        <w:spacing w:after="0" w:line="171" w:lineRule="exact"/>
        <w:rPr>
          <w:sz w:val="20"/>
          <w:szCs w:val="20"/>
          <w:color w:val="auto"/>
        </w:rPr>
      </w:pPr>
    </w:p>
    <w:p>
      <w:pPr>
        <w:jc w:val="both"/>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Household ID: </w:t>
      </w:r>
      <w:r>
        <w:rPr>
          <w:rFonts w:ascii="Times New Roman" w:cs="Times New Roman" w:eastAsia="Times New Roman" w:hAnsi="Times New Roman"/>
          <w:sz w:val="18"/>
          <w:szCs w:val="18"/>
          <w:color w:val="auto"/>
        </w:rPr>
        <w:t>Our DSP has exclusive access to the HHID, making it a DSP that already operates in cookieless environments including CTV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mobile applications. The HHID powers data, channel and publisher interoperability providing simple and effective advertising</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Marketers can easily sync customer data, build custom audiences, extend target audiences and understand audience insights seamlessly within our platform.</w:t>
      </w:r>
    </w:p>
    <w:p>
      <w:pPr>
        <w:spacing w:after="0" w:line="65" w:lineRule="exact"/>
        <w:rPr>
          <w:sz w:val="20"/>
          <w:szCs w:val="20"/>
          <w:color w:val="auto"/>
        </w:rPr>
      </w:pPr>
    </w:p>
    <w:p>
      <w:pPr>
        <w:ind w:left="980" w:right="720" w:hanging="486"/>
        <w:spacing w:after="0" w:line="284"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Cookieless Solution. </w:t>
      </w:r>
      <w:r>
        <w:rPr>
          <w:rFonts w:ascii="Times New Roman" w:cs="Times New Roman" w:eastAsia="Times New Roman" w:hAnsi="Times New Roman"/>
          <w:sz w:val="18"/>
          <w:szCs w:val="18"/>
          <w:color w:val="auto"/>
        </w:rPr>
        <w:t>The HHID provides marketers the scalability, addressability, and measurability for success today. This patented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unlocks many benefits such as:</w:t>
      </w:r>
    </w:p>
    <w:p>
      <w:pPr>
        <w:spacing w:after="0" w:line="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built-in cross-device conversion tracking, allowing marketers to target all eligible devices in a household to drive conversions;</w:t>
      </w:r>
    </w:p>
    <w:p>
      <w:pPr>
        <w:spacing w:after="0" w:line="11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5"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frequency management at scale, eliminating the need to control frequency in silos based on channel and/or device limitations; and</w:t>
      </w:r>
    </w:p>
    <w:p>
      <w:pPr>
        <w:spacing w:after="0" w:line="5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uniformity and identity persistence across all browsers and tracking environments with otherwise fragmented identifiers.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1" w:name="page12"/>
    <w:bookmarkEnd w:id="11"/>
    <w:p>
      <w:pPr>
        <w:ind w:left="980" w:right="20" w:hanging="486"/>
        <w:spacing w:after="0" w:line="267"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Onboarding. </w:t>
      </w:r>
      <w:r>
        <w:rPr>
          <w:rFonts w:ascii="Times New Roman" w:cs="Times New Roman" w:eastAsia="Times New Roman" w:hAnsi="Times New Roman"/>
          <w:sz w:val="18"/>
          <w:szCs w:val="18"/>
          <w:color w:val="auto"/>
        </w:rPr>
        <w:t>Through our simple interface, marketers can upload and leverage their first-party data using the HHID. This enables marketers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onboard their first-party data and instantly gain a view into their customers’ top attributes, create targeting segments and easily activate and measure these customer segments across cookieless environments.</w:t>
      </w:r>
    </w:p>
    <w:p>
      <w:pPr>
        <w:spacing w:after="0" w:line="65" w:lineRule="exact"/>
        <w:rPr>
          <w:rFonts w:ascii="Times New Roman" w:cs="Times New Roman" w:eastAsia="Times New Roman" w:hAnsi="Times New Roman"/>
          <w:sz w:val="18"/>
          <w:szCs w:val="18"/>
          <w:color w:val="auto"/>
        </w:rPr>
      </w:pPr>
    </w:p>
    <w:p>
      <w:pPr>
        <w:ind w:left="980" w:right="460" w:hanging="486"/>
        <w:spacing w:after="0" w:line="284"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Lookalike Modeling. </w:t>
      </w:r>
      <w:r>
        <w:rPr>
          <w:rFonts w:ascii="Times New Roman" w:cs="Times New Roman" w:eastAsia="Times New Roman" w:hAnsi="Times New Roman"/>
          <w:sz w:val="18"/>
          <w:szCs w:val="18"/>
          <w:color w:val="auto"/>
        </w:rPr>
        <w:t>We help expand the reach of an existing audience segment or prospect list for new customers for extended scale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audiences.</w:t>
      </w:r>
    </w:p>
    <w:p>
      <w:pPr>
        <w:spacing w:after="0" w:line="50" w:lineRule="exact"/>
        <w:rPr>
          <w:rFonts w:ascii="Times New Roman" w:cs="Times New Roman" w:eastAsia="Times New Roman" w:hAnsi="Times New Roman"/>
          <w:sz w:val="18"/>
          <w:szCs w:val="18"/>
          <w:color w:val="auto"/>
        </w:rPr>
      </w:pPr>
    </w:p>
    <w:p>
      <w:pPr>
        <w:ind w:left="980" w:right="60" w:hanging="486"/>
        <w:spacing w:after="0" w:line="261"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Household ID Targeting and Data Integrations. </w:t>
      </w:r>
      <w:r>
        <w:rPr>
          <w:rFonts w:ascii="Times New Roman" w:cs="Times New Roman" w:eastAsia="Times New Roman" w:hAnsi="Times New Roman"/>
          <w:sz w:val="18"/>
          <w:szCs w:val="18"/>
          <w:color w:val="auto"/>
        </w:rPr>
        <w:t>Viant’s HHID allows brands to connect with real households and individuals with accurate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reach and frequency. Our integrations with more than 70 data providers allow for extensive audience data mapping, giving users the ability to target consumers based on purchase behaviors, location, TV viewership insights and much more. Superior integrations with TV viewership data providers present users with one of the most established, scaled and accurate CTV footprints in the market.</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Advanced Reporting: </w:t>
      </w:r>
      <w:r>
        <w:rPr>
          <w:rFonts w:ascii="Times New Roman" w:cs="Times New Roman" w:eastAsia="Times New Roman" w:hAnsi="Times New Roman"/>
          <w:sz w:val="18"/>
          <w:szCs w:val="18"/>
          <w:color w:val="auto"/>
        </w:rPr>
        <w:t>We close the loop on digital and traditional media by linking ad spend to online and offline sales.</w:t>
      </w:r>
    </w:p>
    <w:p>
      <w:pPr>
        <w:spacing w:after="0" w:line="119" w:lineRule="exact"/>
        <w:rPr>
          <w:sz w:val="20"/>
          <w:szCs w:val="20"/>
          <w:color w:val="auto"/>
        </w:rPr>
      </w:pPr>
    </w:p>
    <w:p>
      <w:pPr>
        <w:ind w:left="980" w:right="260" w:hanging="486"/>
        <w:spacing w:after="0" w:line="284"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Reach and Frequency. </w:t>
      </w:r>
      <w:r>
        <w:rPr>
          <w:rFonts w:ascii="Times New Roman" w:cs="Times New Roman" w:eastAsia="Times New Roman" w:hAnsi="Times New Roman"/>
          <w:sz w:val="18"/>
          <w:szCs w:val="18"/>
          <w:color w:val="auto"/>
        </w:rPr>
        <w:t>Our platform accurately measures how many households and unique users an advertising campaign reached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frequency of exposures.</w:t>
      </w:r>
    </w:p>
    <w:p>
      <w:pPr>
        <w:spacing w:after="0" w:line="50" w:lineRule="exact"/>
        <w:rPr>
          <w:rFonts w:ascii="Times New Roman" w:cs="Times New Roman" w:eastAsia="Times New Roman" w:hAnsi="Times New Roman"/>
          <w:sz w:val="18"/>
          <w:szCs w:val="18"/>
          <w:color w:val="auto"/>
        </w:rPr>
      </w:pPr>
    </w:p>
    <w:p>
      <w:pPr>
        <w:ind w:left="980" w:right="400" w:hanging="486"/>
        <w:spacing w:after="0" w:line="284"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Cross-Channel Reporting. </w:t>
      </w:r>
      <w:r>
        <w:rPr>
          <w:rFonts w:ascii="Times New Roman" w:cs="Times New Roman" w:eastAsia="Times New Roman" w:hAnsi="Times New Roman"/>
          <w:sz w:val="18"/>
          <w:szCs w:val="18"/>
          <w:color w:val="auto"/>
        </w:rPr>
        <w:t>Our cross-channel reporting capabilities equip customers to analyze cross-device and cross-channel campaign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on sales and other KPIs.</w:t>
      </w:r>
    </w:p>
    <w:p>
      <w:pPr>
        <w:spacing w:after="0" w:line="50" w:lineRule="exact"/>
        <w:rPr>
          <w:rFonts w:ascii="Times New Roman" w:cs="Times New Roman" w:eastAsia="Times New Roman" w:hAnsi="Times New Roman"/>
          <w:sz w:val="18"/>
          <w:szCs w:val="18"/>
          <w:color w:val="auto"/>
        </w:rPr>
      </w:pPr>
    </w:p>
    <w:p>
      <w:pPr>
        <w:ind w:left="980" w:right="500" w:hanging="486"/>
        <w:spacing w:after="0" w:line="267"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Multi-Touch Attribution</w:t>
      </w:r>
      <w:r>
        <w:rPr>
          <w:rFonts w:ascii="Times New Roman" w:cs="Times New Roman" w:eastAsia="Times New Roman" w:hAnsi="Times New Roman"/>
          <w:sz w:val="18"/>
          <w:szCs w:val="18"/>
          <w:color w:val="auto"/>
        </w:rPr>
        <w:t>. Our multi-touch attribution provides customers the ability to receive insights into where target audiences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interacting with brands, the impact of touchpoints across channels and devices and the order of steps along the conversion journey. The resulting holistic view of ad performance enables customers to close the loop on measurement and better link ad spend to sales.</w:t>
      </w:r>
    </w:p>
    <w:p>
      <w:pPr>
        <w:spacing w:after="0" w:line="65" w:lineRule="exact"/>
        <w:rPr>
          <w:rFonts w:ascii="Times New Roman" w:cs="Times New Roman" w:eastAsia="Times New Roman" w:hAnsi="Times New Roman"/>
          <w:sz w:val="18"/>
          <w:szCs w:val="18"/>
          <w:color w:val="auto"/>
        </w:rPr>
      </w:pPr>
    </w:p>
    <w:p>
      <w:pPr>
        <w:ind w:left="980" w:right="60" w:hanging="486"/>
        <w:spacing w:after="0" w:line="258"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Conversion Lift. </w:t>
      </w:r>
      <w:r>
        <w:rPr>
          <w:rFonts w:ascii="Times New Roman" w:cs="Times New Roman" w:eastAsia="Times New Roman" w:hAnsi="Times New Roman"/>
          <w:sz w:val="18"/>
          <w:szCs w:val="18"/>
          <w:color w:val="auto"/>
        </w:rPr>
        <w:t>Our conversion lift reporting helps advertisers understand the impact of media in driving conversions. Ghost bids are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group made up of consumers who were within the campaign targeting criteria and active on the programmatic network, on whom a bid request was placed to show them the campaign ad, but the bid was lost. Those impressions are then passively tracked and included in the control group. By leveraging ghost bids to create a control group, customers can see how much impact their media has in driving incremental conversions and use these insights to refine their optimization strategy for better results and investment impact.</w:t>
      </w:r>
    </w:p>
    <w:p>
      <w:pPr>
        <w:spacing w:after="0" w:line="75" w:lineRule="exact"/>
        <w:rPr>
          <w:rFonts w:ascii="Times New Roman" w:cs="Times New Roman" w:eastAsia="Times New Roman" w:hAnsi="Times New Roman"/>
          <w:sz w:val="18"/>
          <w:szCs w:val="18"/>
          <w:color w:val="auto"/>
        </w:rPr>
      </w:pPr>
    </w:p>
    <w:p>
      <w:pPr>
        <w:ind w:left="980" w:right="260" w:hanging="486"/>
        <w:spacing w:after="0" w:line="284"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Foot Traffic Attribution. </w:t>
      </w:r>
      <w:r>
        <w:rPr>
          <w:rFonts w:ascii="Times New Roman" w:cs="Times New Roman" w:eastAsia="Times New Roman" w:hAnsi="Times New Roman"/>
          <w:sz w:val="18"/>
          <w:szCs w:val="18"/>
          <w:color w:val="auto"/>
        </w:rPr>
        <w:t>Our foot traffic data reporting capabilities allow customers to analyze the impact of their ad campaigns on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visits to a physical location.</w:t>
      </w:r>
    </w:p>
    <w:p>
      <w:pPr>
        <w:spacing w:after="0" w:line="50" w:lineRule="exact"/>
        <w:rPr>
          <w:rFonts w:ascii="Times New Roman" w:cs="Times New Roman" w:eastAsia="Times New Roman" w:hAnsi="Times New Roman"/>
          <w:sz w:val="18"/>
          <w:szCs w:val="18"/>
          <w:color w:val="auto"/>
        </w:rPr>
      </w:pPr>
    </w:p>
    <w:p>
      <w:pPr>
        <w:ind w:left="980" w:right="20" w:hanging="486"/>
        <w:spacing w:after="0" w:line="267" w:lineRule="auto"/>
        <w:tabs>
          <w:tab w:leader="none" w:pos="97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Digital Billboard Reporting. </w:t>
      </w:r>
      <w:r>
        <w:rPr>
          <w:rFonts w:ascii="Times New Roman" w:cs="Times New Roman" w:eastAsia="Times New Roman" w:hAnsi="Times New Roman"/>
          <w:sz w:val="18"/>
          <w:szCs w:val="18"/>
          <w:color w:val="auto"/>
        </w:rPr>
        <w:t>Our digital billboard reporting provides a holistic view of ad spend, giving customers real-time insights into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digital billboard ad performance and helping customers optimize budgets by allocating ad spend on effective digital billboards and venue types.</w:t>
      </w:r>
    </w:p>
    <w:p>
      <w:pPr>
        <w:spacing w:after="0" w:line="17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platform is built with ad buyers in mind and offers many in-depth features that give buyers the highest levels of control, which helps ensure they are running the most efficient campaigns possible. This includes:</w:t>
      </w:r>
    </w:p>
    <w:p>
      <w:pPr>
        <w:spacing w:after="0" w:line="50" w:lineRule="exact"/>
        <w:rPr>
          <w:sz w:val="20"/>
          <w:szCs w:val="20"/>
          <w:color w:val="auto"/>
        </w:rPr>
      </w:pPr>
    </w:p>
    <w:p>
      <w:pPr>
        <w:ind w:left="980" w:right="160" w:hanging="486"/>
        <w:spacing w:after="0" w:line="254"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Machine Learning and ViantAI Algorithms: </w:t>
      </w:r>
      <w:r>
        <w:rPr>
          <w:rFonts w:ascii="Times New Roman" w:cs="Times New Roman" w:eastAsia="Times New Roman" w:hAnsi="Times New Roman"/>
          <w:sz w:val="18"/>
          <w:szCs w:val="18"/>
          <w:color w:val="auto"/>
        </w:rPr>
        <w:t>Our built-in advanced machine learning technology and ViantAI solutions analyze millions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impressions and data points every second. Our algorithms find optimal bid prices for maximizing performance and scale across all major performance measures, allowing our customers to strengthen their campaign efforts and build confidence in programmatic campaign performance. Our ViantAI suite currently includes AI Planning, which enables media planners to design high-impact campaigns in seconds, AI Bidding, which optimizes inventory costs by lowering the eCPM through automated bid adjustments, AI Measurement and Analysis, which provides accessible measurement and insights via a user-friendly chat interface, and recently released, AI Decisioning, which automates planning, execution, measurement and dynamic optimization of campaigns in real-time. The launch of AI Decisioning was accompanied by the introduction of Outcomes, our autonomous advertising performance solution that utilizes each of the four phases of ViantAI, and various signals within our intelligence layer, to build and execute campaigns designed to deliver an optimal outcome.</w:t>
      </w:r>
    </w:p>
    <w:p>
      <w:pPr>
        <w:spacing w:after="0" w:line="80" w:lineRule="exact"/>
        <w:rPr>
          <w:rFonts w:ascii="Times New Roman" w:cs="Times New Roman" w:eastAsia="Times New Roman" w:hAnsi="Times New Roman"/>
          <w:sz w:val="18"/>
          <w:szCs w:val="18"/>
          <w:color w:val="auto"/>
        </w:rPr>
      </w:pPr>
    </w:p>
    <w:p>
      <w:pPr>
        <w:ind w:left="980" w:right="100" w:hanging="486"/>
        <w:spacing w:after="0" w:line="291" w:lineRule="auto"/>
        <w:tabs>
          <w:tab w:leader="none" w:pos="975" w:val="left"/>
        </w:tabs>
        <w:numPr>
          <w:ilvl w:val="0"/>
          <w:numId w:val="1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Bulk Functionality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platform is built to ease the lives of programmatic traders. With our DSP, traders can mass edit ad orders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campaigns, instead of making individual changes, saving significant time. For example, if a trader wants to change the bid price for all 1,000 of their ad orders, they could simply download, complete and upload a form, rather than wasting time by editing each ad order one by one.</w:t>
      </w:r>
    </w:p>
    <w:p>
      <w:pPr>
        <w:spacing w:after="0" w:line="44" w:lineRule="exact"/>
        <w:rPr>
          <w:rFonts w:ascii="Times New Roman" w:cs="Times New Roman" w:eastAsia="Times New Roman" w:hAnsi="Times New Roman"/>
          <w:sz w:val="17"/>
          <w:szCs w:val="17"/>
          <w:b w:val="1"/>
          <w:bCs w:val="1"/>
          <w:i w:val="1"/>
          <w:iCs w:val="1"/>
          <w:color w:val="auto"/>
        </w:rPr>
      </w:pPr>
    </w:p>
    <w:p>
      <w:pPr>
        <w:jc w:val="both"/>
        <w:ind w:left="980" w:right="180" w:hanging="486"/>
        <w:spacing w:after="0" w:line="268"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Application Integration Interfaces (“API”) Capabilities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DSP provides ease of integration using APIs and tools. The API capabilities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 bilateral data syndication into or out of the platform for trafficking and reporting in formats easily accepted by business intelligence teams for programmatic traders. With these, traders can maintain customer</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8" w:right="359" w:bottom="1440" w:gutter="0" w:footer="0" w:header="0"/>
        </w:sectPr>
      </w:pPr>
    </w:p>
    <w:bookmarkStart w:id="12" w:name="page13"/>
    <w:bookmarkEnd w:id="12"/>
    <w:p>
      <w:pPr>
        <w:ind w:left="980" w:right="760"/>
        <w:spacing w:after="0" w:line="282" w:lineRule="auto"/>
        <w:rPr>
          <w:sz w:val="20"/>
          <w:szCs w:val="20"/>
          <w:color w:val="auto"/>
        </w:rPr>
      </w:pPr>
      <w:r>
        <w:rPr>
          <w:rFonts w:ascii="Times New Roman" w:cs="Times New Roman" w:eastAsia="Times New Roman" w:hAnsi="Times New Roman"/>
          <w:sz w:val="18"/>
          <w:szCs w:val="18"/>
          <w:color w:val="auto"/>
        </w:rPr>
        <w:t>identities with a fully integrated platform that links devices and offline activities to real people and seamlessly execute and measure campaigns.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Technology and Development</w:t>
      </w:r>
    </w:p>
    <w:p>
      <w:pPr>
        <w:spacing w:after="0" w:line="121"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Rapid and continuing innovation is a core driver of our business success and our corporate culture. Our product and engineering teams are responsible for the design, development and testing of our platform. We are committed to continuous innovation and rapid introduction of new technologies, features and functionality that bring value to our customers. We expect technology and development expense and capitalized software development costs to increase as we continue to invest in the development of our platform to support additional features and functions, such as enhancements to ViantAI and automation features and user interface, and to increase the number of advertising and data inventory integrations in various channels.</w:t>
      </w:r>
    </w:p>
    <w:p>
      <w:pPr>
        <w:spacing w:after="0" w:line="7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technical infrastructure for our platform is currently managed through third-party web hosting providers. We generally enter into two- to three-year agreements with our web hosting providers.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21" w:lineRule="exact"/>
        <w:rPr>
          <w:sz w:val="20"/>
          <w:szCs w:val="20"/>
          <w:color w:val="auto"/>
        </w:rPr>
      </w:pPr>
    </w:p>
    <w:p>
      <w:pPr>
        <w:ind w:right="60" w:firstLine="486"/>
        <w:spacing w:after="0" w:line="312" w:lineRule="auto"/>
        <w:rPr>
          <w:sz w:val="20"/>
          <w:szCs w:val="20"/>
          <w:color w:val="auto"/>
        </w:rPr>
      </w:pPr>
      <w:r>
        <w:rPr>
          <w:rFonts w:ascii="Times New Roman" w:cs="Times New Roman" w:eastAsia="Times New Roman" w:hAnsi="Times New Roman"/>
          <w:sz w:val="17"/>
          <w:szCs w:val="17"/>
          <w:color w:val="auto"/>
        </w:rPr>
        <w:t>Our customers consist of purchasers of programmatic advertising inventory, including large advertising holding companies, independent advertising agencies, mid-market advertising service organizations as well as marketers relying on our self-service platform for their programmatic ad buying needs.</w:t>
      </w:r>
    </w:p>
    <w:p>
      <w:pPr>
        <w:spacing w:after="0" w:line="3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Many of the advertising agencies that we work with are owned by holding companies, where decision-making is generally highly decentralized such that purchasing decisions are made, and relationships with advertisers are located, at the agency, local branch or division level. We contract with our customers either through service agreements or insertion orders. Our agreements do not contain any material commitments on behalf of customers to use our platform to purchase ad inventory or use other features. Our agreements with customers generally do not have a specified term and are generally terminable at any time by either party upon specified notice periods, typically ranging from 30 to 90 days. In addition, campaigns can typically be reduced or terminated at any time. Insertion orders are generally limited in scope and can be reduced or canceled by a buyer without penalty.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Related to Our Business and Operations—We receive a significant amount of revenue from a select number of advertising agency holding companies, which own various advertising agencies, and the loss of advertising agencies as customers could harm our business, operating results and financial condition</w:t>
      </w:r>
      <w:r>
        <w:rPr>
          <w:rFonts w:ascii="Times New Roman" w:cs="Times New Roman" w:eastAsia="Times New Roman" w:hAnsi="Times New Roman"/>
          <w:sz w:val="18"/>
          <w:szCs w:val="18"/>
          <w:color w:val="auto"/>
        </w:rPr>
        <w:t>” for additional discussion of our customer relationships with advertising agencies.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Advertising and Data Supply</w:t>
      </w:r>
    </w:p>
    <w:p>
      <w:pPr>
        <w:spacing w:after="0" w:line="121"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obtain digital advertising inventory primarily through our integrations with supply side platforms and directly with publishers. We believe that our integrations across numerous channels give us one of the most robust omnichannel integrations of any single platform. These suppliers provide us with access to a breadth of programmatic advertising inventory across CTV, streaming audio, digital out-of-home, mobile and desktop.</w:t>
      </w:r>
    </w:p>
    <w:p>
      <w:pPr>
        <w:spacing w:after="0" w:line="68" w:lineRule="exact"/>
        <w:rPr>
          <w:sz w:val="20"/>
          <w:szCs w:val="20"/>
          <w:color w:val="auto"/>
        </w:rPr>
      </w:pPr>
    </w:p>
    <w:p>
      <w:pPr>
        <w:ind w:right="380" w:firstLine="486"/>
        <w:spacing w:after="0" w:line="266" w:lineRule="auto"/>
        <w:rPr>
          <w:sz w:val="20"/>
          <w:szCs w:val="20"/>
          <w:color w:val="auto"/>
        </w:rPr>
      </w:pPr>
      <w:r>
        <w:rPr>
          <w:rFonts w:ascii="Times New Roman" w:cs="Times New Roman" w:eastAsia="Times New Roman" w:hAnsi="Times New Roman"/>
          <w:sz w:val="18"/>
          <w:szCs w:val="18"/>
          <w:color w:val="auto"/>
        </w:rPr>
        <w:t>We enable deep data access through our integrations with over 70 leading data partners, giving our customers access to data across key industry verticals, including retail, consumer packaged goods, travel and healthcare. Customers can also onboard their own first-party data onto our platform, without the need for a separate data management platform.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121"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We sell our platform through a direct sales team focused on business development across all markets, including sales to new customers and revenue growth within existing customers. We have an experienced sales team focused on selling access to our platform in our target markets and industry verticals, as well as building and nurturing relationships with global brands and agencies. We use a consultative sales approach focused on educating existing and potential customers on our platform capabilities, and training customers to use our platform. We offer a formal Viant DSP Certification program, which is a three-part training series that covers programmatic industry trends, technology capabilities and time-saving workflows. In addition, we also offer an online knowledge base with robust documentation on Viant DSP workflows to our customers. We provide dedicated customer support and work with customers as they set up and optimize their campaigns, assist with delivery against KPIs and goals, and provide post-campaign support and recommendations.</w:t>
      </w:r>
    </w:p>
    <w:p>
      <w:pPr>
        <w:spacing w:after="0" w:line="63" w:lineRule="exact"/>
        <w:rPr>
          <w:sz w:val="20"/>
          <w:szCs w:val="20"/>
          <w:color w:val="auto"/>
        </w:rPr>
      </w:pPr>
    </w:p>
    <w:p>
      <w:pPr>
        <w:ind w:firstLine="486"/>
        <w:spacing w:after="0" w:line="312" w:lineRule="auto"/>
        <w:rPr>
          <w:sz w:val="20"/>
          <w:szCs w:val="20"/>
          <w:color w:val="auto"/>
        </w:rPr>
      </w:pPr>
      <w:r>
        <w:rPr>
          <w:rFonts w:ascii="Times New Roman" w:cs="Times New Roman" w:eastAsia="Times New Roman" w:hAnsi="Times New Roman"/>
          <w:sz w:val="17"/>
          <w:szCs w:val="17"/>
          <w:color w:val="auto"/>
        </w:rPr>
        <w:t>We tailor our contracts and terms to the needs of our customers, including by offering our two different pricing options: a percentage of spend option and a fixed cost per mille (“CPM”) option. Customers can use our platform on a self-service basis or can enlist our services to execute their campaigns.</w:t>
      </w:r>
    </w:p>
    <w:p>
      <w:pPr>
        <w:spacing w:after="0" w:line="3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marketing efforts are focused on increasing awareness and consideration for our brands, executing thought-leadership initiatives, participating in industry events, creating comprehensive sales support materials and generating new customer leads. We seek to accomplish these objectives by presenting at industry conferences, hosting customer conferences, publishing white papers and research, conducting public relations activities and advertising campaigns, and maintaining an active social media presence.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Privacy and Data Protection</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the ordinary course of our business, we may collect, receive, compile, use, store, process, share, dispose of, disclose, retain, transfer, and destroy (“Process” or “Processing”) personal information or personal data ("Personal Information"), as those and similar terms are defined under various applicable laws. Accordingly, we are subject to numerous and global data privacy and security obligations, including laws, regulations, guidance, and industry standards related to data privacy and security. Such obligations may include, without limitation, those to avoid deceptive or unfair acts under Section 5 of the Federal Trade Commission Act, the Children’s Online Privacy Protection Act of 1998, and a host of consumer privacy laws and regulations enacted at the state level. Starting with the California Consumer Privacy Act (“CCPA”), twenty states have now adopted omnibus consumer privacy laws that provide residents of those states a variety of rights and impose a host of obligations on companies operating in the advertising technology ecosystem (collectively, “State Privacy Laws”). Several states have also adopted laws that specifically govern companies that operate as “data brokers”. Other states have adopted laws specific to consumer health data (such as Washington's My Health My Data Act ("MHMD")) and others have adopted laws focused on child and teen safety and privacy. Additionally, the European Union’s General Data Protection Regulation 2016/679 (“EU GDPR”) and the UK counterpart regulation (“UK GDPR”) (collectively the “GDPR”) impose strict requirements applicable to certain Processing of European Personal Information, respectively, in the European Economic Area (“EEA”) and the United Kingdom (“UK”). Authorities at many levels across jurisdictions continue to introduce new privacy legislation and rules, and we expect this will continue.</w:t>
      </w:r>
    </w:p>
    <w:p>
      <w:pPr>
        <w:spacing w:after="0" w:line="7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These laws continue to increase our compliance obligations and exposure for any noncompliance. The State Privacy Laws generally require each covered business to provide specific disclosures related to its Processing of Personal Information and to honor requests from individuals, including to opt out of certain advertising uses and related disclosures of their Personal Information, as well as requests to access, delete, and correct certain information and add extra protections for certain Personal Information deemed “sensitive” under such laws. Data broker-specific laws require companies that qualify as data brokers to register with the relevant state, and California’s Delete Act will soon require registered data brokers to honor deletion requests made by California residents through a centralized deletion mechanism. Teen- and child- and health- focused laws result in additional compliance costs. In addition to these recently-adopted statutes, plaintiffs’ attorneys also continue to explore creative theories to allege privacy violations under longstanding laws as well as tort and negligence theories that can be costly to defend. A perceived failure to comply with applicable privacy laws may lead to the defense of costly regulatory investigations and enforcement actions or the obligation to pay substantial fines.</w:t>
      </w:r>
    </w:p>
    <w:p>
      <w:pPr>
        <w:spacing w:after="0" w:line="78" w:lineRule="exact"/>
        <w:rPr>
          <w:sz w:val="20"/>
          <w:szCs w:val="20"/>
          <w:color w:val="auto"/>
        </w:rPr>
      </w:pPr>
    </w:p>
    <w:p>
      <w:pPr>
        <w:ind w:firstLine="486"/>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Factors—Risks Related to Data Privacy and Artificial Intelligence"</w:t>
      </w:r>
      <w:r>
        <w:rPr>
          <w:rFonts w:ascii="Times New Roman" w:cs="Times New Roman" w:eastAsia="Times New Roman" w:hAnsi="Times New Roman"/>
          <w:sz w:val="18"/>
          <w:szCs w:val="18"/>
          <w:color w:val="auto"/>
        </w:rPr>
        <w:t xml:space="preserve"> for additional information about the laws, obligations and limitation to which we are subject and about the risks to our business associated with such laws, obligations and limitations.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industry is highly competitive and fragmented. We compete with large, privately-held companies, such as Yahoo DSP, with public companies exclusively serving our industry, such as The Trade Desk, and with divisions of large, well-established public companies such as Google and Amazon. The competitive landscape in recent years has been affected by consolidation and limited investment in new startups in our industry and there are currently few scaled competitors with self-service capabilities and AI-driven autonomous capabilities like those offered by ViantAI. Our long history and time in the market with customers has given us competitive advantages in terms of platform development and expertise, as well as a long development lead ahead of new entrants and legacy competitors still reliant on outdated cookie-based technology. We believe that we compete and win primarily based on the transformative automation delivered by ViantAI and our patented identity resolution capabilities, the enhanced performance of campaigns running on our platform, the advanced features of our platform, our omnichannel capabilities and our advance reporting capabilities. We believe that we are differentiated from our competitors in the following areas:</w:t>
      </w:r>
    </w:p>
    <w:p>
      <w:pPr>
        <w:spacing w:after="0" w:line="80"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AI-driven DSP combines ease of use with sophisticated automation and performance capabilities;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independent technology company focused on serving advertising agencies and marketers on the buy-side of our industry;</w:t>
      </w:r>
    </w:p>
    <w:p>
      <w:pPr>
        <w:spacing w:after="0" w:line="117"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5" w:val="left"/>
        </w:tabs>
        <w:numPr>
          <w:ilvl w:val="0"/>
          <w:numId w:val="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enable the use of machine learning, workflow automation, automated reporting and other functionalities that allow our customers to update and make thousands of changes automatically to help achieve their desired business outcomes;</w:t>
      </w:r>
    </w:p>
    <w:p>
      <w:pPr>
        <w:spacing w:after="0" w:line="53" w:lineRule="exact"/>
        <w:rPr>
          <w:rFonts w:ascii="Times New Roman" w:cs="Times New Roman" w:eastAsia="Times New Roman" w:hAnsi="Times New Roman"/>
          <w:sz w:val="18"/>
          <w:szCs w:val="18"/>
          <w:b w:val="1"/>
          <w:bCs w:val="1"/>
          <w:i w:val="1"/>
          <w:iCs w:val="1"/>
          <w:color w:val="auto"/>
        </w:rPr>
      </w:pPr>
    </w:p>
    <w:p>
      <w:pPr>
        <w:ind w:left="980" w:right="16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offer our DSP in an integrated manner with our patented HHID, eliminating the need for separate providers for data onboarding and data purchasing services;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provides comprehensive access to a wide range of inventory types across a broad range of channels;</w:t>
      </w:r>
    </w:p>
    <w:p>
      <w:pPr>
        <w:spacing w:after="0" w:line="117"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provides comprehensive access to a wide range of data partners across a broad range of industry verticals and channels to enable precise audience targeting and measurement;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extensive customer service and satisfaction; and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4" w:name="page15"/>
    <w:bookmarkEnd w:id="14"/>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flexible pricing options to support our customers' needs.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Human Capital</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are a founder-led business and believe our employees and culture are key to our success. Our business and our culture are anchored on creating a “Founder Mode” culture with an underlying focus on our core value of "Figure It Out". We believe we attract talented employees to our company and sophisticated customers to our platform in large part because of our vision and unwavering commitment to using cutting-edge technologies to create products that help advance the advertising industry.</w:t>
      </w:r>
    </w:p>
    <w:p>
      <w:pPr>
        <w:spacing w:after="0" w:line="72"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380 employees in 10 offices across North America. Our team draws from a broad spectrum of backgrounds and experiences across technology and advertising industries.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Workplace Practices</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are committed to fostering a culture of inclusion where all employees feel valued and included. We believe our greatest asset is the people who work for us and our goal is to create a culture where we value, respect, and provide opportunities for all employees. We conduct an annual survey to give employees the opportunity to provide feedback on our management team and culture. This survey helps drive new programs that continue the development of our inclusive culture. Our leaders review the survey feedback and work with their teams to initiate new initiatives based on the results. We are committed to developing an inclusive environment through recruiting, development programs, community involvement and fostering conversations about differences. However, we are also committed to achieving these ends through legally compliant methods, and inclusion efforts are part of the Company's legal compliance considerations. It is our policy, in keeping with the law, to not make employment decisions, including decisions regarding hiring, promotion and compensation, on the basis of any legally protected characteristic, including race or gender.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Talent Development</w:t>
      </w:r>
    </w:p>
    <w:p>
      <w:pPr>
        <w:spacing w:after="0" w:line="12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Even though we have been around for over 20 years, our culture still reflects an entrepreneurial spirit. We empower employees to develop their skills and abilities by following our core values and acting on great ideas regardless of their role or function. We encourage employees at all levels to be creative and come up with ideas that can help the business grow. We work to provide an environment where talented individuals and teams can take control of their career growth. We provide a wide range of learning and development opportunities in both individual and group settings.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21"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We provide compensation and benefits programs to help meet the needs of our employees and reward their efforts and contributions. We use internal and external resources to help develop plans that are fair and reward our employees’ commitment and performance with the goal of attracting and retaining high performing individuals.</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In addition to salaries, we provide competitive compensation programs that are in line with our peers and industry. These programs may include bonuses, equity awards, 401(k) plan, healthcare and insurance benefits, flexible spending accounts, health savings accounts, paid time off, family leave and employee assistance programs among many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Change and Sustainability</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have launched initiatives that aim to drive sustainability as we recognize that sustainability initiatives are important to our customers. To support our clients in meeting their sustainability goals, we offer a customer carbon reduction program called Adtricity. Adtricity aims to deliver renewable energy credits to our customers based on their spend with us. We have also joined Ad Net Zero and the IAB Tech Lab - Sustainability Working Group to drive cross-industry action around sustainability initiatives in the advertising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protection of our technology and intellectual property is an important component of our success. We rely on intellectual property laws, including trade secret, copyright, patent and trademark laws in the United States and abroad, and use contracts, confidentiality procedures, non-disclosure agreements, employee disclosure and invention assignment agreements and other contractual rights to protect our intellectual property.</w:t>
      </w:r>
    </w:p>
    <w:p>
      <w:pPr>
        <w:spacing w:after="0" w:line="68"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2025, we held 65 issued patents, 24 pending patent applications and 303 issued trademarks. Our issued patents are scheduled to expire between 2026 and 2041. We continually review our development efforts to assess the existence and patentability of new intellectual property. In addition to the intellectual property relating to the operation of Viant, our DSP, and our HHID, we own intellectual property related to our owned site, Myspace.com. Of our issued patents, 35 relate to our platform and our HHID, 15 relate to Myspace.com, and 15 are related to IRIS.TV.</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were founded in 1999 by Tim, Chris and Russ Vanderhook who continue to lead our company today. We have been at the forefront of digital advertising technology since our inception and have demonstrated our ability to grow, thrive, and innovate as competitors have come and gone. In 2011, we acquired the social network website Myspace.com. In 2011, Tim and Chris Vanderhook started Xumo, a CTV streaming service, which was acquired by Comcast Corp. in 2020. In 2015, we completed our first people-based integration. We remained independent until 2016, when Time Inc. acquired a 60% interest in our company through our subsidiary, Viant Technology Holding Inc. (the “Former Holdco”). That interest was later acquired by Meredith Corporation when it acquired Time Inc. in 2018. In 2017, we purchased Adelphic, a DSP. Since the Adelphic acquisition, we have materially transformed from a full-service provider of digital advertising solutions into a leading DSP that enables marketers and their advertising agencies to centralize and automate the planning, buying and measurement of their media investments using a people-based framework. We have grown from a business operating from a home office to a company with approximately 380 employees in 10 offices throughout the United States at the end of 2025. In 2019, we entered into an agreement that resulted in the retirement of the Former Holdco’s interest in our company and Tim Vanderhook, Chris Vanderhook and Capital V LLC (formerly Four Brothers 2 LLC) (the “Vanderhook Parties”) acquired that 60% interest in our company (the “2019 Former Holdco transaction”), allowing it to once again become an independent company. Viant Technology Inc. was incorporated in Delaware on October 9, 2020. In connection with the consummation of our initial public offering (the “IPO”), we became the sole managing member of Viant Technology LLC. We completed the IPO of our Class A common stock on February 12, 2021. Our principal executive offices are located at 2722 Michelson Drive, Suite 100, Irvine, CA 92612, and our telephone number is (949) 861-8888. Our website address is www.viantinc.com. Our design logo, “Viant,” and our other registered and common law tradenames, trademarks and service marks are the property of Viant Technology LLC.</w:t>
      </w:r>
    </w:p>
    <w:p>
      <w:pPr>
        <w:spacing w:after="0" w:line="87"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information statements and other information regarding issuers that file electronically with the SEC. Our Annual Report can be downloaded from the SEC’s website. We will file with or furnish to the SEC periodic reports and other information. We furnish or make available to our stockholders annual reports containing our audited consolidated financial statements prepared in accordance with GAAP. We also furnish or make available to our stockholders quarterly reports containing our unaudited interim financial information, for the first three fiscal quarters of each fiscal year. We make our periodic reports and other information filed with or furnished to the SEC pursuant to Section 13(a) or 15(d) of the Exchange Act, available, free of charge, through our website, www.viantinc.com, as soon as reasonably practicable after those reports and other information are electronically filed with or furnished to the SEC. Information contained on our website or linked therein or otherwise connected thereto does not constitute part of nor is it incorporated by reference into this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that are not an EGC.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 Refer to Note 2—Basis of Presentation and Summary of Significant Accounting Policies to our consolidated financial statements included elsewhere in this Annual Report for additional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Annual Report, including our consolidated financial statements and the related notes included elsewhere in this Annual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enhancing and improving our platform and effectively educating and training our customers on how to make full use of our platform.</w:t>
      </w:r>
    </w:p>
    <w:p>
      <w:pPr>
        <w:spacing w:after="0" w:line="5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or AI capabilities, we may not be successful at educating and training customers, particularly our newer customers, on how to use our platform,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w:t>
      </w:r>
    </w:p>
    <w:p>
      <w:pPr>
        <w:spacing w:after="0" w:line="121" w:lineRule="exact"/>
        <w:rPr>
          <w:sz w:val="20"/>
          <w:szCs w:val="20"/>
          <w:color w:val="auto"/>
        </w:rPr>
      </w:pPr>
    </w:p>
    <w:p>
      <w:pPr>
        <w:jc w:val="both"/>
        <w:ind w:right="160" w:firstLine="486"/>
        <w:spacing w:after="0" w:line="277" w:lineRule="auto"/>
        <w:rPr>
          <w:sz w:val="20"/>
          <w:szCs w:val="20"/>
          <w:color w:val="auto"/>
        </w:rPr>
      </w:pPr>
      <w:r>
        <w:rPr>
          <w:rFonts w:ascii="Times New Roman" w:cs="Times New Roman" w:eastAsia="Times New Roman" w:hAnsi="Times New Roman"/>
          <w:sz w:val="17"/>
          <w:szCs w:val="17"/>
          <w:color w:val="auto"/>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or to the degree that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6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5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 results would suffer. In addition, such new products, services or enhancements may create new, or exacerbate existing, technological, security, legal and other challenges, could cause unintended consequences, and may not perform as intended. If new or existing competitors replicate our offerings or have more attractive offerings, we may lose customers or customers may decrease their use of our platform. New customer demands, superior competitive offerings or new industry standards could require us to make unanticipated and costly 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customers.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7" w:name="page18"/>
    <w:bookmarkEnd w:id="17"/>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72"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5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7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particular, the market for programmatic advertising across most advertising channels, including CTV, streaming audio, digital out-of-home, mobile and desktop,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CTV offering may not continue. In addition, our revenue may not necessarily grow at the same rate as spend on our platform. As the market for programmatic buying for advertising matures, growth in spend may outpace growth in our revenue due to a number of factors, including pricing competition, volume discounts and shifts in media, customer and channel mix, and the composition of offerings provided to our customers. A significant change in revenue as a percentage of spend could reflect an adverse change in our business and growth prospects. In addition, any such fluctuations, even if they reflect our strategic decisions, could cause our performance to fall below the expectations of securities analysts and investors, and adversely affect the price of our Class A common stock.</w:t>
      </w:r>
    </w:p>
    <w:p>
      <w:pPr>
        <w:spacing w:after="0" w:line="19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7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A holding company may be acquired by, or consolidate with, another holding company that does not utilize our platform, or may otherwise reduce overall spend on our platform as a result of an acquisition or consolidation. If so, any consolidation of, or loss of relationships with such holding companies and, consequently, of their agencies, local branches or divisions, as customers could significantly harm our business, operating results and financial condition.</w:t>
      </w:r>
    </w:p>
    <w:p>
      <w:pPr>
        <w:spacing w:after="0" w:line="75"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customers.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spacing w:after="0" w:line="7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Marketers may change advertising agencies. We have in the past lost and could in the future lose revenue from marketers that switch from an agency that utilizes our platform to one that does not. In addition, some advertising agencies have strong relationships with competing ad platforms or other platforms and may direct their marketers to such other platforms. We are primarily focused on the U.S. market, while competing ad platforms may be focused on international markets. Advertising agencies who seek both domestic and international services, or otherwise limit the number or types of ad platforms used, may choose to consolidate with competing ad platforms. If a significant number of marketers and their agencies begin to utilize competing platforms for the administration of their advertising campaigns, our business, financial condition and results of operations could be adversely affected.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18" w:name="page19"/>
    <w:bookmarkEnd w:id="18"/>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84" w:lineRule="exact"/>
        <w:rPr>
          <w:sz w:val="20"/>
          <w:szCs w:val="20"/>
          <w:color w:val="auto"/>
        </w:rPr>
      </w:pPr>
    </w:p>
    <w:p>
      <w:pPr>
        <w:jc w:val="both"/>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conditions and geopolitical events, such as inflation, tariffs, changes in trade policies, international conflict, high interest rates and other adverse market events have had, and could in the future have, an adverse impact on our business, operating results and financial condition.</w:t>
      </w:r>
    </w:p>
    <w:p>
      <w:pPr>
        <w:spacing w:after="0" w:line="67"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macroeconomic conditions and geopolitical events, such as bank failures, high interest rates, inflationary pressures, tariffs, changes in trade policies, labor shortages, shortages of goods and services, supply chain constraints, pandemics, political cycles, changes in laws and interpretations of laws, and potential disruptions from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75"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disruptions, tariffs, tightening of credit markets, political cycles, changes in laws and interpretations of laws, changes in the volume and relative mix of U.S. government spending, cost-cutting and efficiency initiatives, and potential disruptions from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spacing w:after="0" w:line="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176"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6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19" w:name="page20"/>
    <w:bookmarkEnd w:id="19"/>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 customers’ advertising campaigns, our ability to retain our existing customers could suffer and our reputation with existing or potential customers could be harmed, which would negatively impact our business.</w:t>
      </w:r>
    </w:p>
    <w:p>
      <w:pPr>
        <w:spacing w:after="0" w:line="179"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Due to this potential imbalance in our collections and payments, we may rely on our credit facility to partially or completely fund our working capital requirements or other needs. As we continue to grow, our business may not generate sufficient cash flow from operations and future borrowings may not be available to us under the credit facility in an amount sufficient to fund our working capital requirements or other needs. If our cash flows and credit facility borrowings are insufficient to fund our working capital requirements or other needs,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12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demand side platform. Furthermore, the inventory that we access through real-time advertising exchanges may be of low quality or misrepresented to us, despite attempts by us and our suppliers to prevent fraud and conduct quality assurance checks.</w:t>
      </w:r>
    </w:p>
    <w:p>
      <w:pPr>
        <w:spacing w:after="0" w:line="8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the majority of it is not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75"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loyalty and operating results and financial condition could be harmed.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ind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access to data is diminished, the effectiveness of our platform would be decreased, which could harm our operating results and financial condition.</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 data through our integrations with third parties, including inventory and data suppliers. Our suppliers are generally not bound by long-term contracts. We may not have access to a consistent supply of inventory on favorable terms or at all.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spacing w:after="0" w:line="84"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Legislators, regulators, and other authorities have focused heavily on third-party data suppliers and the advertising industry in recent years, and we expect this to continue. State Privacy Laws and other U.S. and foreign laws governing Personal Information and privacy pose additional and material compliance risks to such suppliers and companies operating in the advertising industry. In addition, state lawmakers continue to update or enact new laws governing activities of data brokers. For example, states increasingly require companies like ours to honor requests to opt out of certain advertising related uses and disclosures of Personal Information through browser-or device-based mechanisms and California will soon require data brokers to honor deletion requests made through a centralized mechanism, both of which increase our compliance costs, materially increase potential penalties for non-compliance, and potentially limit the availability of data on our platform. This could impact our business and diminish our revenue.</w:t>
      </w:r>
    </w:p>
    <w:p>
      <w:pPr>
        <w:spacing w:after="0" w:line="81"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Information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Information.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rFonts w:ascii="Times New Roman" w:cs="Times New Roman" w:eastAsia="Times New Roman" w:hAnsi="Times New Roman"/>
          <w:sz w:val="18"/>
          <w:szCs w:val="18"/>
          <w:i w:val="1"/>
          <w:iCs w:val="1"/>
          <w:color w:val="auto"/>
        </w:rPr>
        <w:t>—Risks Related to Data Privacy and Artificial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Intelligence</w:t>
      </w:r>
      <w:r>
        <w:rPr>
          <w:rFonts w:ascii="Times New Roman" w:cs="Times New Roman" w:eastAsia="Times New Roman" w:hAnsi="Times New Roman"/>
          <w:sz w:val="18"/>
          <w:szCs w:val="18"/>
          <w:color w:val="auto"/>
        </w:rPr>
        <w:t>” for additional discussion of the laws and regulations governing the collection of data to which we are or may become subject and about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to our business associated with such laws and regulations.</w:t>
      </w:r>
    </w:p>
    <w:p>
      <w:pPr>
        <w:spacing w:after="0" w:line="87" w:lineRule="exact"/>
        <w:rPr>
          <w:sz w:val="20"/>
          <w:szCs w:val="20"/>
          <w:color w:val="auto"/>
        </w:rPr>
      </w:pPr>
    </w:p>
    <w:p>
      <w:pPr>
        <w:jc w:val="both"/>
        <w:ind w:right="180" w:firstLine="486"/>
        <w:spacing w:after="0" w:line="266"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72" w:lineRule="exact"/>
        <w:rPr>
          <w:sz w:val="20"/>
          <w:szCs w:val="20"/>
          <w:color w:val="auto"/>
        </w:rPr>
      </w:pPr>
    </w:p>
    <w:p>
      <w:pPr>
        <w:jc w:val="both"/>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5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21" w:name="page22"/>
    <w:bookmarkEnd w:id="21"/>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51"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We had approximately 380 employees as of December 31, 2025.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 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rFonts w:ascii="Times New Roman" w:cs="Times New Roman" w:eastAsia="Times New Roman" w:hAnsi="Times New Roman"/>
          <w:sz w:val="18"/>
          <w:szCs w:val="18"/>
          <w:i w:val="1"/>
          <w:iCs w:val="1"/>
          <w:color w:val="auto"/>
        </w:rPr>
        <w:t>—A significant breach of our IT Systems or disclosure of our Confidential Data, or of the security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or our customers’, suppliers’, or other third parties’ systems upon which we rely could be detrimental to our business, reputation and results of operations</w:t>
      </w:r>
      <w:r>
        <w:rPr>
          <w:rFonts w:ascii="Times New Roman" w:cs="Times New Roman" w:eastAsia="Times New Roman" w:hAnsi="Times New Roman"/>
          <w:sz w:val="18"/>
          <w:szCs w:val="18"/>
          <w:color w:val="auto"/>
        </w:rPr>
        <w:t>”). Furthermore, while APIs allow customers and suppliers greater ease and power in accessing our platform, they also increase the risk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83"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5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2"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platform is complex and multifaceted, and operational and performance issues can arise both from the platform itself or from outside factors, such as cyberattacks or other third-party attacks (for more information on risks related to cyber incidents, see “</w:t>
      </w:r>
      <w:r>
        <w:rPr>
          <w:rFonts w:ascii="Times New Roman" w:cs="Times New Roman" w:eastAsia="Times New Roman" w:hAnsi="Times New Roman"/>
          <w:sz w:val="18"/>
          <w:szCs w:val="18"/>
          <w:i w:val="1"/>
          <w:iCs w:val="1"/>
          <w:color w:val="auto"/>
        </w:rPr>
        <w:t>—A significant breach of our IT Systems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our Confidential Data, or of the security of our or our customers’, suppliers’, or other third parties’ systems upon which we rely could be detrimental to our business, reputation and results of operations</w:t>
      </w:r>
      <w:r>
        <w:rPr>
          <w:rFonts w:ascii="Times New Roman" w:cs="Times New Roman" w:eastAsia="Times New Roman" w:hAnsi="Times New Roman"/>
          <w:sz w:val="18"/>
          <w:szCs w:val="18"/>
          <w:color w:val="auto"/>
        </w:rPr>
        <w:t>”). Errors, failures, vulnerabilities or bugs have been found in the past and may be found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can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8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2" w:name="page23"/>
    <w:bookmarkEnd w:id="22"/>
    <w:p>
      <w:pPr>
        <w:ind w:right="420"/>
        <w:spacing w:after="0" w:line="282" w:lineRule="auto"/>
        <w:rPr>
          <w:sz w:val="20"/>
          <w:szCs w:val="20"/>
          <w:color w:val="auto"/>
        </w:rPr>
      </w:pPr>
      <w:r>
        <w:rPr>
          <w:rFonts w:ascii="Times New Roman" w:cs="Times New Roman" w:eastAsia="Times New Roman" w:hAnsi="Times New Roman"/>
          <w:sz w:val="18"/>
          <w:szCs w:val="18"/>
          <w:color w:val="auto"/>
        </w:rPr>
        <w:t>fail to respond to technological change or to adequately maintain, expand, upgrade and develop our systems and infrastructure in a timely fashion, our growth prospects and results of operations could be adversely affected.</w:t>
      </w:r>
    </w:p>
    <w:p>
      <w:pPr>
        <w:spacing w:after="0" w:line="5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Operational and performance issues with our platform have resulted and may in the future result in unexpected costs, such as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179"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5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8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by third-party data center hosting facilities, the occurrence of spikes in usage volume, a natural disaster, such as earthquakes, wildfires, extreme temperatures, drought, flooding, storms, an act of terrorism, vandalism or sabotage, a decision to close a facility without adequate notice, or other unanticipated problems at a facility could result in lengthy interruptions in the availability of our platform. Climate change or other environmental or social pressures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84"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51"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We depend on various third-party open-source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5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Additionally,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3" w:name="page24"/>
    <w:bookmarkEnd w:id="23"/>
    <w:p>
      <w:pPr>
        <w:ind w:right="20"/>
        <w:spacing w:after="0" w:line="254" w:lineRule="auto"/>
        <w:rPr>
          <w:sz w:val="20"/>
          <w:szCs w:val="20"/>
          <w:color w:val="auto"/>
        </w:rPr>
      </w:pPr>
      <w:r>
        <w:rPr>
          <w:rFonts w:ascii="Times New Roman" w:cs="Times New Roman" w:eastAsia="Times New Roman" w:hAnsi="Times New Roman"/>
          <w:sz w:val="18"/>
          <w:szCs w:val="18"/>
          <w:color w:val="auto"/>
        </w:rPr>
        <w:t>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 condition. In addition, we may terminate MSAs or IOs in the event customers violate our ad policies or other contract terms, which could harm our business,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84"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7" w:lineRule="exact"/>
        <w:rPr>
          <w:rFonts w:ascii="Times New Roman" w:cs="Times New Roman" w:eastAsia="Times New Roman" w:hAnsi="Times New Roman"/>
          <w:sz w:val="18"/>
          <w:szCs w:val="18"/>
          <w:color w:val="auto"/>
        </w:rPr>
      </w:pPr>
    </w:p>
    <w:p>
      <w:pPr>
        <w:ind w:left="980" w:right="50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and information technology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products and technology;</w:t>
      </w:r>
    </w:p>
    <w:p>
      <w:pPr>
        <w:spacing w:after="0" w:line="117"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w:t>
      </w:r>
    </w:p>
    <w:p>
      <w:pPr>
        <w:spacing w:after="0" w:line="117"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4" w:name="page25"/>
    <w:bookmarkEnd w:id="24"/>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reception to an acquisition by customers, suppliers, vendors, or investors.</w:t>
      </w:r>
    </w:p>
    <w:p>
      <w:pPr>
        <w:spacing w:after="0" w:line="117"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176" w:lineRule="exact"/>
        <w:rPr>
          <w:sz w:val="20"/>
          <w:szCs w:val="20"/>
          <w:color w:val="auto"/>
        </w:rPr>
      </w:pPr>
    </w:p>
    <w:p>
      <w:pPr>
        <w:ind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5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7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In addition, changes in immigration law may increase competition and increase costs associated with recruiting personnel.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8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82"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7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68"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5" w:name="page26"/>
    <w:bookmarkEnd w:id="25"/>
    <w:p>
      <w:pPr>
        <w:ind w:right="60"/>
        <w:spacing w:after="0" w:line="261" w:lineRule="auto"/>
        <w:rPr>
          <w:sz w:val="20"/>
          <w:szCs w:val="20"/>
          <w:color w:val="auto"/>
        </w:rPr>
      </w:pPr>
      <w:r>
        <w:rPr>
          <w:rFonts w:ascii="Times New Roman" w:cs="Times New Roman" w:eastAsia="Times New Roman" w:hAnsi="Times New Roman"/>
          <w:sz w:val="18"/>
          <w:szCs w:val="18"/>
          <w:color w:val="auto"/>
        </w:rPr>
        <w:t>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7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 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121"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75"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87" w:lineRule="exact"/>
        <w:rPr>
          <w:sz w:val="20"/>
          <w:szCs w:val="20"/>
          <w:color w:val="auto"/>
        </w:rPr>
      </w:pPr>
    </w:p>
    <w:p>
      <w:pPr>
        <w:ind w:right="200" w:firstLine="486"/>
        <w:spacing w:after="0" w:line="289" w:lineRule="auto"/>
        <w:rPr>
          <w:sz w:val="20"/>
          <w:szCs w:val="20"/>
          <w:color w:val="auto"/>
        </w:rPr>
      </w:pPr>
      <w:r>
        <w:rPr>
          <w:rFonts w:ascii="Times New Roman" w:cs="Times New Roman" w:eastAsia="Times New Roman" w:hAnsi="Times New Roman"/>
          <w:sz w:val="17"/>
          <w:szCs w:val="17"/>
          <w:color w:val="auto"/>
        </w:rPr>
        <w:t>In addition, we derive a significant portion of our revenue from advertising in the CTV, mobile, and desktop channels, which are rapidly evolving, highly competitive, complex and fragmented. We face significant competition in these markets which we expect will intensify in the future. We face significant competition in these channels and others, such as streaming audio and digital out-of-home, which we expect will intensify in the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Artificial Intelligence</w:t>
      </w:r>
    </w:p>
    <w:p>
      <w:pPr>
        <w:spacing w:after="0" w:line="225" w:lineRule="exact"/>
        <w:rPr>
          <w:sz w:val="20"/>
          <w:szCs w:val="20"/>
          <w:color w:val="auto"/>
        </w:rPr>
      </w:pPr>
    </w:p>
    <w:p>
      <w:pPr>
        <w:jc w:val="both"/>
        <w:ind w:right="26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and changing legal obligations related to data privacy and security. Our actual or perceived failure to comply with such obligations could lead to regulatory investigations or actions, litigation (including class action claims) and mass arbitration demands, litigation and regulatory defense costs, fines and penalties, disruptions of our business operations, reputational harm, loss of customers or sales, revenue declines, increase the cost of data, reduce the availability of data, reduce our ability to utilize or disclose data, and have adverse effects on the demand for our products and services or other adverse business consequences.</w:t>
      </w:r>
    </w:p>
    <w:p>
      <w:pPr>
        <w:spacing w:after="0" w:line="75"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collect, receive, store, use, transmit, disclose, or otherwise process (collectively, "Process") Personal Information and other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26" w:name="page27"/>
    <w:bookmarkEnd w:id="26"/>
    <w:p>
      <w:pPr>
        <w:ind w:firstLine="486"/>
        <w:spacing w:after="0" w:line="254" w:lineRule="auto"/>
        <w:rPr>
          <w:sz w:val="20"/>
          <w:szCs w:val="20"/>
          <w:color w:val="auto"/>
        </w:rPr>
      </w:pPr>
      <w:r>
        <w:rPr>
          <w:rFonts w:ascii="Times New Roman" w:cs="Times New Roman" w:eastAsia="Times New Roman" w:hAnsi="Times New Roman"/>
          <w:sz w:val="18"/>
          <w:szCs w:val="18"/>
          <w:color w:val="auto"/>
        </w:rPr>
        <w:t>U.S. federal, state, and local governments, and foreign governments have adopted or proposed numerous laws relating to the Processing of Personal Information relating to individuals and households, including contact information and pseudonymous identifiers, many with a particular focus on marketing and advertising uses of such Personal Information. The legal landscape for data privacy issues worldwide is complex, continually evolving and often conflicting, and is likely to remain uncertain for the foreseeable future. Because many of these laws are new, established interpretations and best practices are still emerging. Regulators could allege that our practices do not comply with such laws or regulations, despite our ongoing efforts to comply. Any failure or perceived failure to comply with applicable laws or regulations regarding privacy, data protection and cybersecurity could adversely affect our business, brand or reputation and may result in claims, actions, investigations or proceedings against us by regulators or individuals and require us to change our practices, all of which may result in significant costs.</w:t>
      </w:r>
    </w:p>
    <w:p>
      <w:pPr>
        <w:spacing w:after="0" w:line="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the United States, an ever-increasing number of laws and regulations apply to the Processing of Personal Information. In recent years, the U.S. federal and state legislatures, along with regulatory authorities at the state and federal level, have increased their focus on the collection and use of Personal Information, including relating to “interest-based,” “cross-context behavioral,” or “targeted” advertising. For example, the FTC has been very active in bringing enforcement actions against companies that handle personal data it views as sensitive for advertising purposes, including location data brokers and companies that process health-related data. These enforcement actions may signal increased ongoing regulatory scrutiny of advertising practices, particularly those that involve “sensitive” categories of personal data such as health data, data related to children and teens, and precise location information. The FTC could expand this focus by acting on new authority to enforce a federal law focused on disclosures of certain information it classifies as sensitive to certain restricted countries or entities under the control of such countries.</w:t>
      </w:r>
    </w:p>
    <w:p>
      <w:pPr>
        <w:spacing w:after="0" w:line="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State legislatures have also continued their focus in this area. For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State Privacy Laws also require or will require companies to respond to user-enabled opt out preference signals or "global privacy controls," such as those expressed through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Personal Information. These laws are generally enforced by each state’s attorney general with potentially steep penalties for violations.</w:t>
      </w:r>
    </w:p>
    <w:p>
      <w:pPr>
        <w:spacing w:after="0" w:line="80"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Lawmakers and regulators are also focused on data Processing by companies that do not have direct relationships with the consumers whose Personal Information they sell or share. Several states, including California, Oregon and Texas, have enacted or updated laws restricting the activities of data brokers.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will be required to honor deletion requests expressed by California residents through a centralized mechanism the state will create. Beginning in 2028, data brokers will be required to undergo audits verifying their compliance with the Delete Act. These obligations may reduce the data available to Viant, require us to develop complex and expensive compliance tools and procedures, and may result in reductions in revenue.</w:t>
      </w:r>
    </w:p>
    <w:p>
      <w:pPr>
        <w:spacing w:after="0" w:line="81" w:lineRule="exact"/>
        <w:rPr>
          <w:sz w:val="20"/>
          <w:szCs w:val="20"/>
          <w:color w:val="auto"/>
        </w:rPr>
      </w:pPr>
    </w:p>
    <w:p>
      <w:pPr>
        <w:ind w:right="160" w:firstLine="486"/>
        <w:spacing w:after="0" w:line="256" w:lineRule="auto"/>
        <w:rPr>
          <w:sz w:val="20"/>
          <w:szCs w:val="20"/>
          <w:color w:val="auto"/>
        </w:rPr>
      </w:pPr>
      <w:r>
        <w:rPr>
          <w:rFonts w:ascii="Times New Roman" w:cs="Times New Roman" w:eastAsia="Times New Roman" w:hAnsi="Times New Roman"/>
          <w:sz w:val="18"/>
          <w:szCs w:val="18"/>
          <w:color w:val="auto"/>
        </w:rPr>
        <w:t>Lawmakers, regulators, and advocates also continue to focus on activities involving the use of certain types of Personal Information perceived as especially sensitive, such as children’s and teen's data, health data, and location data, which will continue to impact the advertising industry. For example, the FTC actively enforces the Children's Online Privacy Protection Act of 1998 ("COPPA") and recently updated and expanded certain parts of the law, such as by requiring separate consent to disclose children’s personal information to third parties. Additionally, several State Privacy Laws have increased the age at which a consumer can be shown targeted ads (without opt-in consent) from 13 to 16 or 18 years of age, and other state laws may ban targeted advertising to minors outright.</w:t>
      </w:r>
    </w:p>
    <w:p>
      <w:pPr>
        <w:spacing w:after="0" w:line="79"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Related to health information, the Washington state My Health My Data Act ("MHMD") introduced a host of new requirements covering a very broadly defined notion of consumer health data, including obligations on disclosures of such data that will impact the advertising industry. MHMD is subject to a private right of action, and plaintiffs’ attorneys could explore claims testing the bounds of the law’s text. Other states (e.g., Nevada) have enacted similar laws (though without a private right of action), and we expect more states will follow.</w:t>
      </w:r>
    </w:p>
    <w:p>
      <w:pPr>
        <w:spacing w:after="0" w:line="72"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decades-old statutes, including federal wiretap and similar laws and the Video Privacy Protection Act to certain advertising and online tracking practices. Such laws, which include private causes of action, can be costly to settle or litigate, regardless of the merit of the claim, and may result in significant monetary liability. In addition, in order to help avoid data breaches that are reportable under various U.S laws, we must maintain adequate security measures, which require significant investments in resources and ongoing attention.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7" w:name="page28"/>
    <w:bookmarkEnd w:id="27"/>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companies targeting their services to EEA and the UK. The applicability analysis under the GDPR is complex, but if we were deemed to operate our business in a manner subject to GDPR, the GDPR provides for significant penalties for noncompliance of up to the greater of €20 million under the EU GDPR / 17.2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EU Member States may assess other penalties for noncompliance on companies subject to GDPR.</w:t>
      </w:r>
    </w:p>
    <w:p>
      <w:pPr>
        <w:spacing w:after="0" w:line="84"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spacing w:after="0" w:line="54" w:lineRule="exact"/>
        <w:rPr>
          <w:sz w:val="20"/>
          <w:szCs w:val="20"/>
          <w:color w:val="auto"/>
        </w:rPr>
      </w:pPr>
    </w:p>
    <w:p>
      <w:pPr>
        <w:jc w:val="both"/>
        <w:ind w:right="140" w:firstLine="486"/>
        <w:spacing w:after="0" w:line="261"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any new legal obligations. These changes to the regulatory landscape, coupled with EU and UK regulators’ increasing focus on compliance with requirements related to the online behavioral advertising 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72"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Furthermore, we may be unable to transfer Personal Information from Europe and other jurisdictions to the United States or other countries due to data localization requirements or limitations on cross-border transfers of Personal Information. In particular, the EEA and UK have significantly restricted the transfer of Personal Information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Information from the EEA and UK to the United States in compliance with law, these mechanisms are subject to ongoing legal challenges.</w:t>
      </w:r>
    </w:p>
    <w:p>
      <w:pPr>
        <w:spacing w:after="0" w:line="8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If there is no lawful manner for us to transfer Personal Information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Information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8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Additionally, our employees and personnel use, and increasingly rely on, generative AI and automated decision-making technologies to perform their work and our business offers services that utilize generative AI, and such usage may be subject to various laws and other obligations, including those related to privacy, and governments have passed and are likely to pass additional laws regulating generative AI.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75"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the Digital Advertising Alliance, and their international counterparts, apply to many players in the advertising technology ecosystem. Some of these self-regulatory bodies can discipline members, which could result in fines, penalties, and/or public censure. See “—</w:t>
      </w:r>
      <w:r>
        <w:rPr>
          <w:rFonts w:ascii="Times New Roman" w:cs="Times New Roman" w:eastAsia="Times New Roman" w:hAnsi="Times New Roman"/>
          <w:sz w:val="18"/>
          <w:szCs w:val="18"/>
          <w:i w:val="1"/>
          <w:iCs w:val="1"/>
          <w:color w:val="auto"/>
        </w:rPr>
        <w:t>Our business or ability to operate our platform could be impacted by changes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initiated by technology companies, end users, or government regulation. Such developments, including the restriction of “third-party cookies” and use of automated opt out signals, could cause instability in the advertising technology industry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120" w:firstLine="486"/>
        <w:spacing w:after="0" w:line="261" w:lineRule="auto"/>
        <w:rPr>
          <w:sz w:val="20"/>
          <w:szCs w:val="20"/>
          <w:color w:val="auto"/>
        </w:rPr>
      </w:pPr>
      <w:r>
        <w:rPr>
          <w:rFonts w:ascii="Times New Roman" w:cs="Times New Roman" w:eastAsia="Times New Roman" w:hAnsi="Times New Roman"/>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8" w:name="page29"/>
    <w:bookmarkEnd w:id="28"/>
    <w:p>
      <w:pPr>
        <w:ind w:right="40"/>
        <w:spacing w:after="0" w:line="258" w:lineRule="auto"/>
        <w:rPr>
          <w:sz w:val="20"/>
          <w:szCs w:val="20"/>
          <w:color w:val="auto"/>
        </w:rPr>
      </w:pPr>
      <w:r>
        <w:rPr>
          <w:rFonts w:ascii="Times New Roman" w:cs="Times New Roman" w:eastAsia="Times New Roman" w:hAnsi="Times New Roman"/>
          <w:sz w:val="18"/>
          <w:szCs w:val="18"/>
          <w:color w:val="auto"/>
        </w:rPr>
        <w:t>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or AI models. Any of these events could have a material adverse effect on our reputation, business, or financial condition, including but not limited to: loss of customers, additional costs and liabilities, damage our reputation, reduction in sales and demand for our platform, and harm our business.</w:t>
      </w:r>
    </w:p>
    <w:p>
      <w:pPr>
        <w:spacing w:after="0" w:line="86"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or ability to operate our platform could be impacted by changes in technology initiated by technology companies, end users, or government regulation. Such developments, including the restriction of “third-party cookies,” and use of automated opt out signals, could cause instability in the advertising technology industry.</w:t>
      </w:r>
    </w:p>
    <w:p>
      <w:pPr>
        <w:spacing w:after="0" w:line="67"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have changed and may continue to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80"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we believe our business is less reliant on cookies than some of our competitors because we do not need 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while it no longer plans to deprecate support for third-party cookies and user agent string entirely, Google has committed to enhancing its “Privacy Sandbox” label, which may result in modified targeting and measurement functionality to digital advertising ecosystem participants, and the introduction of new browser-level controls on Chrome, which will allow users to make an informed choice regarding cookies that will apply across their web browsing. We believe that Google’s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HHID and IRIS_ID,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9" w:name="page30"/>
    <w:bookmarkEnd w:id="29"/>
    <w:p>
      <w:pPr>
        <w:ind w:right="120" w:firstLine="486"/>
        <w:spacing w:after="0" w:line="274" w:lineRule="auto"/>
        <w:rPr>
          <w:sz w:val="20"/>
          <w:szCs w:val="20"/>
          <w:color w:val="auto"/>
        </w:rPr>
      </w:pPr>
      <w:r>
        <w:rPr>
          <w:rFonts w:ascii="Times New Roman" w:cs="Times New Roman" w:eastAsia="Times New Roman" w:hAnsi="Times New Roman"/>
          <w:sz w:val="17"/>
          <w:szCs w:val="17"/>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Privacy aspects of other channels for programmatic advertising, such as CTVs or over-the-top video, are still developing. Technical or policy changes, including regulation or industry self-regulation, could harm our growth in those channels.</w:t>
      </w:r>
    </w:p>
    <w:p>
      <w:pPr>
        <w:spacing w:after="0" w:line="65"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Digital advertising is also subject to government regulation which may impact our ability to collect and use data. As the collection and use of data for digital advertising has received ongoing media attention over the past several years, some government regulators such as the FTC, California Privacy Protection Agency, and state Attorneys General, as well as privacy advocates, have raised significant concerns around observed data and targeted advertising. This has led to an array of laws and pending legislation permitting individuals to easily opt out of targeted advertising through "universal opt out mechanisms" or "opt out preference signals" and developing such technical mannerisms and individuals are increasingly aware of these options. California recently passed legislation requiring browser manufacturers to provide easily locatable and configurable functionality that allows consumers to send such signals directly through their browsers. As a result, the number of consumers using such signals is likely to rise.</w:t>
      </w:r>
    </w:p>
    <w:p>
      <w:pPr>
        <w:spacing w:after="0" w:line="81" w:lineRule="exact"/>
        <w:rPr>
          <w:sz w:val="20"/>
          <w:szCs w:val="20"/>
          <w:color w:val="auto"/>
        </w:rPr>
      </w:pPr>
    </w:p>
    <w:p>
      <w:pPr>
        <w:ind w:right="700" w:firstLine="486"/>
        <w:spacing w:after="0" w:line="282"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legislation, or otherwise, may impact the performance of our platform and our business performance.</w:t>
      </w:r>
    </w:p>
    <w:p>
      <w:pPr>
        <w:spacing w:after="0" w:line="15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spacing w:after="0" w:line="51"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spacing w:after="0" w:line="7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spacing w:after="0" w:line="8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72"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spacing w:after="0" w:line="68"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Further, we rely upon third-party service providers and technologies to operate critical IT Systems and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30" w:name="page31"/>
    <w:bookmarkEnd w:id="30"/>
    <w:p>
      <w:pPr>
        <w:ind w:right="240"/>
        <w:spacing w:after="0" w:line="282" w:lineRule="auto"/>
        <w:rPr>
          <w:sz w:val="20"/>
          <w:szCs w:val="20"/>
          <w:color w:val="auto"/>
        </w:rPr>
      </w:pPr>
      <w:r>
        <w:rPr>
          <w:rFonts w:ascii="Times New Roman" w:cs="Times New Roman" w:eastAsia="Times New Roman" w:hAnsi="Times New Roman"/>
          <w:sz w:val="18"/>
          <w:szCs w:val="18"/>
          <w:color w:val="auto"/>
        </w:rPr>
        <w:t>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spacing w:after="0" w:line="54"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IT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IT Systems and security program.</w:t>
      </w:r>
    </w:p>
    <w:p>
      <w:pPr>
        <w:spacing w:after="0" w:line="72"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IT Systems Confidential Data, as more of our employees utilize network connections, computers and devices outside our premises or network, including working at home, while in transit and in public locations.</w:t>
      </w:r>
    </w:p>
    <w:p>
      <w:pPr>
        <w:spacing w:after="0" w:line="54"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spacing w:after="0" w:line="54"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Data, or business. There can also be no assurance that our cybersecurity risk management program and processes, including our policies, controls, or procedures, will be fully implemented, complied with or effective in protecting our IT Systems and Confidential Data.</w:t>
      </w:r>
    </w:p>
    <w:p>
      <w:pPr>
        <w:spacing w:after="0" w:line="75"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Myspace.com.</w:t>
      </w:r>
      <w:r>
        <w:rPr>
          <w:rFonts w:ascii="Times New Roman" w:cs="Times New Roman" w:eastAsia="Times New Roman" w:hAnsi="Times New Roman"/>
          <w:sz w:val="18"/>
          <w:szCs w:val="18"/>
          <w:color w:val="auto"/>
        </w:rPr>
        <w:t>” We take steps to detect and remediate vulnerabilities, but we may not be able to detect and remediate all vulnerabilities because the threats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84"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7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2" w:lineRule="exact"/>
        <w:rPr>
          <w:sz w:val="20"/>
          <w:szCs w:val="20"/>
          <w:color w:val="auto"/>
        </w:rPr>
      </w:pPr>
    </w:p>
    <w:p>
      <w:pPr>
        <w:jc w:val="both"/>
        <w:ind w:right="220" w:firstLine="486"/>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Data of the Company or our customers could be leaked, disclosed, or revealed as a result of or in connection with our employee’s, personnel’s, or vendor’s use of generative AI technologies.</w:t>
      </w:r>
    </w:p>
    <w:p>
      <w:pPr>
        <w:spacing w:after="0" w:line="7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w:t>
      </w:r>
    </w:p>
    <w:p>
      <w:pPr>
        <w:spacing w:after="0" w:line="7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20" w:right="399" w:bottom="1440" w:gutter="0" w:footer="0" w:header="0"/>
        </w:sectPr>
      </w:pPr>
    </w:p>
    <w:bookmarkStart w:id="31" w:name="page32"/>
    <w:bookmarkEnd w:id="31"/>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technologies may not result in the benefits we anticipate for our business, and may result in a decline in performance of our products, services and business, as well as our reputation and the reputations of our customers, or cause us to incur liability resulting from the violation of laws or contracts to which we are a party.</w:t>
      </w:r>
    </w:p>
    <w:p>
      <w:pPr>
        <w:spacing w:after="0" w:line="67"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We use AI technologies, including our ViantAI product suite (collectively, “AI Technologies”), throughout our business, and are making significant investments in this area. For example, our ViantAI suite currently includes AI Planning, which enables media planners to design high-impact campaigns in seconds, AI Bidding, which optimizes inventory costs by lowering the effective cost per mille ("eCPM") through automated bid adjustments, AI Measurement and Analysis, which provides accessible measurement and insights via a user-friendly chat interface, and recently released, AI Decisioning, which automates planning, execution, measurement and dynamic optimization of campaigns in real time.</w:t>
      </w:r>
    </w:p>
    <w:p>
      <w:pPr>
        <w:spacing w:after="0" w:line="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We expect that increased investment will be required in the future to continuously improve our use of AI Technologies. As with many technological innovations, there are significant risks involved in developing, maintaining and deploying these technologies and there can be no assurance that the usage of or our investments in such technologies will always enhance our products or services or be beneficial to our business, including our efficiency or profitability.</w:t>
      </w:r>
    </w:p>
    <w:p>
      <w:pPr>
        <w:spacing w:after="0" w:line="72"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Our deployment of AI Technologies presents particular risks. For example, the models underlying our AI Technologies may be incorrectly designed or implemented and exhibit defects. ViantAI uses machine learning trained on years of data; however, in any given use case, any data on which our AI Technologies are trained may be incomplete, inadequate, inaccurate, biased or otherwise poor-quality. As a result, ViantAI could produce inaccurate, unexpected or unfavorable results or behaviors, and therefore poorly-designed or executed campaigns, sub-optimal ad placement, targeting, or bidding, or misleading insights for our customers. In turn, these effects could reduce click-through rates, conversion rates, and ROAS. Any of the foregoing could impair the performance of our products, services and business, as well as our reputation and the reputations of our customers, and we could incur liability resulting from the violation of laws or contracts to which we are a party or civil claims.</w:t>
      </w:r>
    </w:p>
    <w:p>
      <w:pPr>
        <w:spacing w:after="0" w:line="8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market for products and services that incorporate AI Technologies such as ViantAI is rapidly evolving and unproven in many industries, including our own, and important assumptions about the characteristics of targeted markets, pricing, sales cycles, cost, performance, and perceived value associated with our services or products may be inaccurate. We cannot be sure that the market will continue to grow or that it will grow in ways we anticipate. In addition, market acceptance of solutions that incorporate AI Technology is uncertain, and the evolution of the use of AI and machine learning in digital advertising may create challenges and further ecosystem uncertainty. Our failure to successfully develop and commercialize solutions involving AI Technologies could depress the market price of our stock and impair our ability to: raise capital; expand our business; provide, improve and diversify our solutions; continue our operations and efficiently manage our operating expenses; and respond effectively to competitive developments. There can be no assurance that our AI initiatives will enhance our platform, products, or services as expected.</w:t>
      </w:r>
    </w:p>
    <w:p>
      <w:pPr>
        <w:spacing w:after="0" w:line="8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addition to our ViantAI product suite, we use AI Technologies licensed from third parties in our solutions and our operations and our ability to continue to use such technologies at the scale we need may be dependent on access to specific third-party software and infrastructure.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will be harmed. In addition, to the extent any third 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legal and regulatory landscape for AI Technologies is rapidly evolving as many U.S. federal, state, and foreign government bodies and agencies have introduced or are currently considering additional laws and regulations. Additionally, existing laws and regulations may be interpreted in ways that would affect the operation of the AI Technologies we provide or use, or could be rescinded or amended as new administrations take differing approaches to evolving AI Technologies. 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It is possible that evolution of the legal and regulatory landscape limits our ability to use AI Technologies for our business, or require us to change the way we use AI Technologies in a manner that negatively affects the performance of our offerings. We may need to expend resources to adjust our products or services in certain jurisdictions if laws or regulations are not consistent across jurisdictions. Further, the cost to comply with such laws and regulations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2" w:name="page33"/>
    <w:bookmarkEnd w:id="32"/>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51"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 protection can be difficult and expensive, the laws, procedures and restrictions may provide only limited protection, and protection may not be available for some of our technology, in particular technology that uses open-source software.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8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Moreover, there is significant uncertainty as to the patentability of technology created with the assistance of artificial intelligence. As a result, certain of our patents may be at risk, and pending or future patent applications may be more costly to prosecute, may result in issued patents of limited scope, if such patents are issued patents at all. The scope of patent protection can also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84"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third parties' proprietary rights, which would result in additional expense and potential damages.</w:t>
      </w:r>
    </w:p>
    <w:p>
      <w:pPr>
        <w:spacing w:after="0" w:line="51"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are and may continue to aggressively assert their rights in order to extract value from us.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diverts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customers to represent to us that they have the rights necessary to serve advertisements through our platform, we do not independently verify whether we are permitted to deliver, or review the content of, such advertisements. If customers do not have the rights necessary</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33" w:name="page34"/>
    <w:bookmarkEnd w:id="33"/>
    <w:p>
      <w:pPr>
        <w:ind w:right="140"/>
        <w:spacing w:after="0" w:line="266" w:lineRule="auto"/>
        <w:rPr>
          <w:sz w:val="20"/>
          <w:szCs w:val="20"/>
          <w:color w:val="auto"/>
        </w:rPr>
      </w:pPr>
      <w:r>
        <w:rPr>
          <w:rFonts w:ascii="Times New Roman" w:cs="Times New Roman" w:eastAsia="Times New Roman" w:hAnsi="Times New Roman"/>
          <w:sz w:val="18"/>
          <w:szCs w:val="18"/>
          <w:color w:val="auto"/>
        </w:rPr>
        <w:t>to serve 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Related Tax Matters</w:t>
      </w:r>
    </w:p>
    <w:p>
      <w:pPr>
        <w:spacing w:after="0" w:line="225"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Viant Technology LLC, and accordingly, we depend on distributions from Viant Technology LLC to pay any dividends, if declared, taxes and other expenses, including payments under the Tax Receivable Agreement.</w:t>
      </w:r>
    </w:p>
    <w:p>
      <w:pPr>
        <w:spacing w:after="0" w:line="5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managing member of Viant Technology LLC, and our only material assets are Class A units representing approximately 27.8% of the membership interests of Viant Technology LLC as of December 31, 2025. We do not have any independent means of generating revenue or cash flow, and our ability to pay dividends in the future, if any, will depend upon the financial results and cash flows of Viant Technology LLC.</w:t>
      </w:r>
    </w:p>
    <w:p>
      <w:pPr>
        <w:spacing w:after="0" w:line="72"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As its sole managing member and pursuant to the Viant Technology LLC Operating Agreement,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spacing w:after="0" w:line="8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spacing w:after="0" w:line="67"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 (not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spacing w:after="0" w:line="7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4" w:name="page35"/>
    <w:bookmarkEnd w:id="34"/>
    <w:p>
      <w:pPr>
        <w:ind w:right="180"/>
        <w:spacing w:after="0" w:line="282" w:lineRule="auto"/>
        <w:rPr>
          <w:sz w:val="20"/>
          <w:szCs w:val="20"/>
          <w:color w:val="auto"/>
        </w:rPr>
      </w:pPr>
      <w:r>
        <w:rPr>
          <w:rFonts w:ascii="Times New Roman" w:cs="Times New Roman" w:eastAsia="Times New Roman" w:hAnsi="Times New Roman"/>
          <w:sz w:val="18"/>
          <w:szCs w:val="18"/>
          <w:color w:val="auto"/>
        </w:rPr>
        <w:t>payments under the Tax Receivable Agreement are also not conditioned upon the continuing members of Viant Technology LLC maintaining a continued ownership interest in Viant Technology LLC.</w:t>
      </w:r>
    </w:p>
    <w:p>
      <w:pPr>
        <w:spacing w:after="0" w:line="54"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As of December 31, 2025, we concluded that it was more likely than not that our deferred tax assets subject to the Tax Receivable Agreement will be realized. Therefore, we recorded a liability related to the tax savings we may realize from utilization of such deferred tax assets. As of December 31, 2025, the total TRA liability is approximately $12.4 million. If utilization of the deferred tax asset subject to the TRA becomes not more likely than not in the future, we may reverse the liability related to the TRA.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spacing w:after="0" w:line="193"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amounts that we may be required to pay under the Tax Receivable Agreement may be accelerated and/or significantly exceed the actual tax benefits, if any, that we actually realize.</w:t>
      </w:r>
    </w:p>
    <w:p>
      <w:pPr>
        <w:spacing w:after="0" w:line="51"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spacing w:after="0" w:line="84"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5"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members of Viant Technology LLC under the Tax Receivable Agreement in the event that any tax benefits are disallowed.</w:t>
      </w:r>
    </w:p>
    <w:p>
      <w:pPr>
        <w:spacing w:after="0" w:line="5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and the Internal Revenue Service ("IRS") or another tax authority may challenge all or part of the tax basis increases, as well as other related tax positions we take, and a court could sustain such challenge. If any tax benefits that have given rise to payments under the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ind w:right="80"/>
        <w:spacing w:after="0" w:line="254" w:lineRule="auto"/>
        <w:rPr>
          <w:sz w:val="20"/>
          <w:szCs w:val="20"/>
          <w:color w:val="auto"/>
        </w:rPr>
      </w:pPr>
      <w:r>
        <w:rPr>
          <w:rFonts w:ascii="Times New Roman" w:cs="Times New Roman" w:eastAsia="Times New Roman" w:hAnsi="Times New Roman"/>
          <w:sz w:val="18"/>
          <w:szCs w:val="18"/>
          <w:color w:val="auto"/>
        </w:rPr>
        <w:t>Receivable Agreement are 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spacing w:after="0" w:line="18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us and the existing members of Viant Technology LLC, and the distributions that Viant Technology LLC will be required to make may be substantial.</w:t>
      </w:r>
    </w:p>
    <w:p>
      <w:pPr>
        <w:spacing w:after="0" w:line="5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0"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75"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us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units and corresponding shares of Class A common stock as a result of any cash dividend or excess distribution or any retention of cash by us. As a result, the holders of Viant Technology LLC units (other than us) may benefit from any value attributable to such cash balances if they acquire shares of Class A common stock in exchange for their LLC units, notwithstanding that such holders may have participated previously as holders of LLC units in distributions that resulted in such excess cash balances to us.</w:t>
      </w:r>
    </w:p>
    <w:p>
      <w:pPr>
        <w:spacing w:after="0" w:line="18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spacing w:after="0" w:line="67"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6" w:name="page37"/>
    <w:bookmarkEnd w:id="36"/>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tax liabilities may be greater than anticipated.</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Tax laws applicable to our business activities are subject to interpretation. We are subject to audit by the IRS and by taxing authorities in the state and local jurisdictions in which we operate. Our tax obligations are based on how tax authorities in such jurisdictions assess revenue-based taxes such as sales and use taxes. Taxing authorities are and may continue to challenge our tax positions and methodologies including our positions regarding the collection of sales and use taxes and the jurisdictions in which we are subject to taxes, which could expose us to additional taxes and penalties. Defending against such audits can result in significant legal and administrative costs and divert management’s attention and resources. In addition, our future tax expense could increase as a result of changes in tax laws, regulations or accounting principles, or changes in the interpretation of the same, or as a result of earning income in jurisdictions that have higher tax rates. Further, several jurisdictions have proposed or enacted taxes applicable to digital services, which include business activities on digital advertising and which may increase our tax obligations in such jurisdictions. An increase in our tax expense and/or penalties could have a negative effect on our financial position and results of operations. Moreover, the determination of our provision for income taxes and other tax liabilities requires significant estimates and judgment by management, and the tax treatment of certain transactions is uncertain. Although we believe we make reasonable estimates and judgments, the ultimate outcome of any particular issue may differ from the amounts previously recorded in our financial statements and any such occurrence could materially affect our financial position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51" w:lineRule="exact"/>
        <w:rPr>
          <w:sz w:val="20"/>
          <w:szCs w:val="20"/>
          <w:color w:val="auto"/>
        </w:rPr>
      </w:pPr>
    </w:p>
    <w:p>
      <w:pPr>
        <w:ind w:right="20" w:firstLine="486"/>
        <w:spacing w:after="0" w:line="252"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Operating and Financial Performance Measures—Use of Non-GAAP Financial Measures</w:t>
      </w:r>
      <w:r>
        <w:rPr>
          <w:rFonts w:ascii="Times New Roman" w:cs="Times New Roman" w:eastAsia="Times New Roman" w:hAnsi="Times New Roman"/>
          <w:sz w:val="18"/>
          <w:szCs w:val="18"/>
          <w:color w:val="auto"/>
        </w:rPr>
        <w:t>.” The varying nature of our pricing mix between periods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it more 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85" w:lineRule="exact"/>
        <w:rPr>
          <w:sz w:val="20"/>
          <w:szCs w:val="20"/>
          <w:color w:val="auto"/>
        </w:rPr>
      </w:pPr>
    </w:p>
    <w:p>
      <w:pPr>
        <w:ind w:left="980" w:right="76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our platform, including those related to the seasonal nature of our customers’ spending on digital advertising campaigns;</w:t>
      </w:r>
    </w:p>
    <w:p>
      <w:pPr>
        <w:spacing w:after="0" w:line="53" w:lineRule="exact"/>
        <w:rPr>
          <w:rFonts w:ascii="Times New Roman" w:cs="Times New Roman" w:eastAsia="Times New Roman" w:hAnsi="Times New Roman"/>
          <w:sz w:val="18"/>
          <w:szCs w:val="18"/>
          <w:color w:val="auto"/>
        </w:rPr>
      </w:pPr>
    </w:p>
    <w:p>
      <w:pPr>
        <w:ind w:left="980" w:right="2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7" w:name="page38"/>
    <w:bookmarkEnd w:id="37"/>
    <w:p>
      <w:pPr>
        <w:ind w:left="980" w:right="32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purchasing preferences that result in changes to our channel mix (including, for example, changes in demand for CTV and other emerging digital channels);</w:t>
      </w:r>
    </w:p>
    <w:p>
      <w:pPr>
        <w:spacing w:after="0" w:line="53"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53" w:lineRule="exact"/>
        <w:rPr>
          <w:rFonts w:ascii="Times New Roman" w:cs="Times New Roman" w:eastAsia="Times New Roman" w:hAnsi="Times New Roman"/>
          <w:sz w:val="18"/>
          <w:szCs w:val="18"/>
          <w:color w:val="auto"/>
        </w:rPr>
      </w:pPr>
    </w:p>
    <w:p>
      <w:pPr>
        <w:ind w:left="980" w:hanging="486"/>
        <w:spacing w:after="0" w:line="258"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prospects of marketers or the economy generally (due to pandemics, labor shortages, supply chain disruptions, tariffs, inflation and monetary supply shifts, high interest rates, tightening of credit markets, political cycles, changes in laws and interpretations of laws, changes in the volume and relative mix of U.S. government spending, cost-cutting and efficiency initiatives and potential disruptions from international conflicts and acts of terrorism or otherwise), which could alter marketers’ spending priorities, or could increase the time or costs required to complete advertising inventory sales;</w:t>
      </w:r>
    </w:p>
    <w:p>
      <w:pPr>
        <w:spacing w:after="0" w:line="75"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pacing w:after="0" w:line="225"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secure additional financing on favorable terms, or at all, to meet our future capital needs, which may in turn impair our growth.</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5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68" w:lineRule="exact"/>
        <w:rPr>
          <w:sz w:val="20"/>
          <w:szCs w:val="20"/>
          <w:color w:val="auto"/>
        </w:rPr>
      </w:pPr>
    </w:p>
    <w:p>
      <w:pPr>
        <w:ind w:left="980" w:right="7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8" w:name="page39"/>
    <w:bookmarkEnd w:id="38"/>
    <w:p>
      <w:pPr>
        <w:ind w:left="980" w:right="24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expenses relating to data collection and consumer privacy compliance, including additional infrastructure, automation and personnel;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117"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sustain profitability.</w:t>
      </w:r>
    </w:p>
    <w:p>
      <w:pPr>
        <w:spacing w:after="0" w:line="5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83"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Our asset-based revolving credit and security agreement (the "Amended Loan Agreement") with PNC Bank contains a number of covenants that limit our ability and our subsidiaries’ ability to, among other things, incur indebtedness, create liens, make investments, merge with or acquire other companies or the assets of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80" w:lineRule="exact"/>
        <w:rPr>
          <w:sz w:val="20"/>
          <w:szCs w:val="20"/>
          <w:color w:val="auto"/>
        </w:rPr>
      </w:pPr>
    </w:p>
    <w:p>
      <w:pPr>
        <w:jc w:val="both"/>
        <w:ind w:right="100" w:firstLine="486"/>
        <w:spacing w:after="0" w:line="258" w:lineRule="auto"/>
        <w:rPr>
          <w:sz w:val="20"/>
          <w:szCs w:val="20"/>
          <w:color w:val="auto"/>
        </w:rPr>
      </w:pPr>
      <w:r>
        <w:rPr>
          <w:rFonts w:ascii="Times New Roman" w:cs="Times New Roman" w:eastAsia="Times New Roman" w:hAnsi="Times New Roman"/>
          <w:sz w:val="18"/>
          <w:szCs w:val="18"/>
          <w:color w:val="auto"/>
        </w:rPr>
        <w:t>If we are unable to comply with our payment requirements, or obtain a waiver from our lender if needed,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or may decline regardless of our operating performance.</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including the price of our own Class A common stock, has historically experienced high levels of volatility.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t>litigation, it could subject us to substantial costs, divert resources and the attention of management from our business, and adversely affect our business.</w:t>
      </w:r>
    </w:p>
    <w:p>
      <w:pPr>
        <w:spacing w:after="0" w:line="22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51"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could impair our ability to raise capital through the sale of additional equity securities.</w:t>
      </w:r>
    </w:p>
    <w:p>
      <w:pPr>
        <w:spacing w:after="0" w:line="172"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5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5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Through their ownership of common stock, the Vanderhook Parties control approximately 69% of the voting power of our common stock in the election of directors as of December 31, 2025. This control limits or precludes your ability to influence corporate matters.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21"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72" w:lineRule="exact"/>
        <w:rPr>
          <w:sz w:val="20"/>
          <w:szCs w:val="20"/>
          <w:color w:val="auto"/>
        </w:rPr>
      </w:pPr>
    </w:p>
    <w:p>
      <w:pPr>
        <w:ind w:left="980" w:hanging="486"/>
        <w:spacing w:after="0" w:line="266"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7" w:lineRule="exact"/>
        <w:rPr>
          <w:rFonts w:ascii="Times New Roman" w:cs="Times New Roman" w:eastAsia="Times New Roman" w:hAnsi="Times New Roman"/>
          <w:sz w:val="18"/>
          <w:szCs w:val="18"/>
          <w:color w:val="auto"/>
        </w:rPr>
      </w:pPr>
    </w:p>
    <w:p>
      <w:pPr>
        <w:ind w:left="980" w:right="1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the Triggering Event, vacancies on our board of directors may be filled only by a majority of directors then in office, even though less than a quorum;</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7" w:lineRule="exact"/>
        <w:rPr>
          <w:rFonts w:ascii="Times New Roman" w:cs="Times New Roman" w:eastAsia="Times New Roman" w:hAnsi="Times New Roman"/>
          <w:sz w:val="18"/>
          <w:szCs w:val="18"/>
          <w:color w:val="auto"/>
        </w:rPr>
      </w:pPr>
    </w:p>
    <w:p>
      <w:pPr>
        <w:ind w:left="980" w:right="1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53" w:lineRule="exact"/>
        <w:rPr>
          <w:rFonts w:ascii="Times New Roman" w:cs="Times New Roman" w:eastAsia="Times New Roman" w:hAnsi="Times New Roman"/>
          <w:sz w:val="18"/>
          <w:szCs w:val="18"/>
          <w:color w:val="auto"/>
        </w:rPr>
      </w:pPr>
    </w:p>
    <w:p>
      <w:pPr>
        <w:ind w:left="980" w:right="22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Triggering Event, which requires all stockholder actions to be taken at a meeting of our stockholders;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0" w:name="page41"/>
    <w:bookmarkEnd w:id="40"/>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79"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5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0" w:lineRule="exact"/>
        <w:rPr>
          <w:sz w:val="20"/>
          <w:szCs w:val="20"/>
          <w:color w:val="auto"/>
        </w:rPr>
      </w:pPr>
    </w:p>
    <w:p>
      <w:pPr>
        <w:ind w:right="60" w:firstLine="486"/>
        <w:spacing w:after="0" w:line="277"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60"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or Class B units pursuant to our stock repurchase plan may affect the value of our Class A common stock, and there can be no assurance that our stock repurchase plan will enhance stockholder value.</w:t>
      </w:r>
    </w:p>
    <w:p>
      <w:pPr>
        <w:spacing w:after="0" w:line="5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pursuant to which we are authorized to repurchase up to $50 million of our Class A common stock or Class B units of Viant Technology LLC, including through open market purchases, in privately negotiated transactions, or by other means, including through the use of Rule 10b5-1 trading plans, each in accordance with applicable securities laws and other restrictions. On May 5, 2025, our board of directors authorized an increase to the existing stock repurchase program, approving the repurchase of up to an additional $50.0 million of the Company’s Class A common stock or Class B units of Viant Technology LLC.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and reduce our cash reserves, and the program may be suspended or terminated at any time, which may result in a decrease in the trading prices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51"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New and changing laws, regulations, executive orders and enforcement priorities can also create uncertainty about how such laws and regulations will be interpreted and applied. Noncompliance with applicable laws, regulations or requirements could subject us to investigations, enforcement actions, sanctions,</w:t>
      </w:r>
    </w:p>
    <w:p>
      <w:pPr>
        <w:sectPr>
          <w:pgSz w:w="11900" w:h="16838" w:orient="portrait"/>
          <w:cols w:equalWidth="0" w:num="1">
            <w:col w:w="11240"/>
          </w:cols>
          <w:pgMar w:left="320" w:top="1120"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41" w:name="page42"/>
    <w:bookmarkEnd w:id="41"/>
    <w:p>
      <w:pPr>
        <w:ind w:right="680"/>
        <w:spacing w:after="0" w:line="282" w:lineRule="auto"/>
        <w:rPr>
          <w:sz w:val="20"/>
          <w:szCs w:val="20"/>
          <w:color w:val="auto"/>
        </w:rPr>
      </w:pPr>
      <w:r>
        <w:rPr>
          <w:rFonts w:ascii="Times New Roman" w:cs="Times New Roman" w:eastAsia="Times New Roman" w:hAnsi="Times New Roman"/>
          <w:sz w:val="18"/>
          <w:szCs w:val="18"/>
          <w:color w:val="231F20"/>
        </w:rPr>
        <w:t>fines, damages, penalties, injunctions or termination of contracts. Any such matters could have a material adverse effect on our business,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Evolving expectations regarding environmental, social, and governance matters may impact our business and reputation.</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Companies across industries are facing scrutiny from a variety of stakeholders related to their ESG and sustainability practices. There is no guarantee that we will be able to meet the evolving standards of such stakeholders, particularly as stakeholder expectations vary and, at times, can conflict. For example, while some policymakers, including the European Union and the State of California, have adopted disclosure and other requirements relating to ESG matters, other policymakers have sought to constrain companies’ consideration of such matters. Both advocates and opponents to certain ESG matters are increasingly resorting to a range of activism forms, including media campaigns and litigation, to advance their perspectives. For example, there have been increasingly nuanced allegations of greenwashing against companies making significant ESG claims due to a variety of perceived deficiencies in disclosures, methodology, or performance, including as stakeholder perceptions of sustainability continue to evolve.</w:t>
      </w:r>
    </w:p>
    <w:p>
      <w:pPr>
        <w:spacing w:after="0" w:line="81"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We, at times, engage in initiatives to address ESG matters and associated stakeholder expectations; however, such initiatives may not have the desired effect. In addition to costs, our own approach to such matters has changed over time; we expect our approach may continue to change due to a variety of factors, which may be in or out of our control, and we cannot guarantee that our approach will align with the expectations or preferences of any particular stakeholder. ESG initiatives may be particularly prone to errors or misinterpretation, as they often involve substantial discretion given there is no consensus on specific best practices and related standards and methodologies, all of which continue to evolve. Moreover, various initiatives are subject to uncertainties associated with market, technological, or other conditions, including the actions of third-parties. Such risks can be exacerbated by the development of new environmental and social laws and regulations, or novel interpretations of existing laws and regulations, that may be promulgated in the United States and elsewhere, which may require us to incur costs (whether for compliance, stakeholder engagement, or otherwise) that may be substantial.</w:t>
      </w:r>
    </w:p>
    <w:p>
      <w:pPr>
        <w:spacing w:after="0" w:line="80" w:lineRule="exact"/>
        <w:rPr>
          <w:sz w:val="20"/>
          <w:szCs w:val="20"/>
          <w:color w:val="auto"/>
        </w:rPr>
      </w:pPr>
    </w:p>
    <w:p>
      <w:pPr>
        <w:ind w:right="360" w:firstLine="486"/>
        <w:spacing w:after="0" w:line="258" w:lineRule="auto"/>
        <w:rPr>
          <w:sz w:val="20"/>
          <w:szCs w:val="20"/>
          <w:color w:val="auto"/>
        </w:rPr>
      </w:pPr>
      <w:r>
        <w:rPr>
          <w:rFonts w:ascii="Times New Roman" w:cs="Times New Roman" w:eastAsia="Times New Roman" w:hAnsi="Times New Roman"/>
          <w:sz w:val="18"/>
          <w:szCs w:val="18"/>
          <w:color w:val="auto"/>
        </w:rPr>
        <w:t>Any failure to successfully navigate stakeholder expectations, as well as evolving laws and regulations, may result in reputational harm; loss of customers, employees, or business partners; regulatory or investor engagement; or other adverse impacts to our business,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Any such matters could have a material adverse effect on our business, results of operations and financial condition.</w:t>
      </w:r>
    </w:p>
    <w:p>
      <w:pPr>
        <w:spacing w:after="0" w:line="179"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5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82"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We are also a "smaller reporting company" as defined in the Exchange Act. We may take advantage of certain of the scaled disclosures available to smaller reporting companies as long as we qualify under this category, even after we are no longer an EGC, </w:t>
      </w:r>
      <w:r>
        <w:rPr>
          <w:rFonts w:ascii="Times New Roman" w:cs="Times New Roman" w:eastAsia="Times New Roman" w:hAnsi="Times New Roman"/>
          <w:sz w:val="18"/>
          <w:szCs w:val="18"/>
          <w:color w:val="000000"/>
        </w:rPr>
        <w:t>including reduced disclosure obligations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regarding executive compensation in our periodic reports and proxy statements.</w:t>
      </w:r>
    </w:p>
    <w:p>
      <w:pPr>
        <w:spacing w:after="0" w:line="68"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 reduced reporting and disclosure requirements applicable to us as an emerging growth company and a smaller reporting company could make our Class A common stock less attractive to investors.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2" w:name="page43"/>
    <w:bookmarkEnd w:id="42"/>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5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 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7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EGC and do not then qualify as a non-accelerated filer. At such time, our independent registered public accounting firm may issue an opinion on our internal control over financial reporting that is adverse in the event it is not satisfied with the level at which our internal control over financial reporting is documented, designed or operating.</w:t>
      </w:r>
    </w:p>
    <w:p>
      <w:pPr>
        <w:spacing w:after="0" w:line="72"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5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54"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 Management and Strategy</w:t>
      </w:r>
    </w:p>
    <w:p>
      <w:pPr>
        <w:spacing w:after="0" w:line="11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54" w:lineRule="exact"/>
        <w:rPr>
          <w:sz w:val="20"/>
          <w:szCs w:val="20"/>
          <w:color w:val="auto"/>
        </w:rPr>
      </w:pPr>
    </w:p>
    <w:p>
      <w:pPr>
        <w:jc w:val="both"/>
        <w:ind w:right="180" w:firstLine="486"/>
        <w:spacing w:after="0" w:line="289" w:lineRule="auto"/>
        <w:rPr>
          <w:sz w:val="20"/>
          <w:szCs w:val="20"/>
          <w:color w:val="auto"/>
        </w:rPr>
      </w:pPr>
      <w:r>
        <w:rPr>
          <w:rFonts w:ascii="Times New Roman" w:cs="Times New Roman" w:eastAsia="Times New Roman" w:hAnsi="Times New Roman"/>
          <w:sz w:val="17"/>
          <w:szCs w:val="17"/>
          <w:color w:val="auto"/>
        </w:rPr>
        <w:t>We use the CIS Critical Security Controls Version 8 (“CIS Controls”) as a framework to help guide the design and assessment of our cybersecurity risk management program. Reference to the CIS Controls does not imply that we meet any particular technical standards, specifications, or requirements, rather, we use the framework as a tool to inform our identification, assessment, and management of cybersecurity risks relevant to our business.</w:t>
      </w:r>
    </w:p>
    <w:p>
      <w:pPr>
        <w:spacing w:after="0" w:line="50"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cybersecurity risk management program operates under its own governance structure and includes established processes for identifying, monitoring, and reporting cybersecurity risks. The initial phase of the Company's enterprise risk management ("ERM") program has been completed and incorporates cybersecurity risk as part of the broader enterprise risk framework, alongside governance, process, technology, financial reporting, and fraud risks that could impact our financial statements. The Company continues to enhance and expand its ERM program to further integrate risk identification, assessment, and response activities across the enterprise on an ongoing basis.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 but are not limited to, the following:</w:t>
      </w:r>
    </w:p>
    <w:p>
      <w:pPr>
        <w:sectPr>
          <w:pgSz w:w="11900" w:h="16838" w:orient="portrait"/>
          <w:cols w:equalWidth="0" w:num="1">
            <w:col w:w="11240"/>
          </w:cols>
          <w:pgMar w:left="320" w:top="122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43" w:name="page44"/>
    <w:bookmarkEnd w:id="43"/>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identify material risks from cybersecurity threats to our critical systems and information;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dedicated security team principally responsible for managing (1) our cybersecurity risk assessment processes, (2) our security controls, and</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our response to cybersecurity incidents;</w:t>
      </w:r>
    </w:p>
    <w:p>
      <w:pPr>
        <w:spacing w:after="0" w:line="98"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service providers, where appropriate, to assess, test or otherwise assist with aspects of our security controls;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including incident response personnel and senior management;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formal cybersecurity incident response plan that includes procedures for responding to cybersecurity incidents; and</w:t>
      </w:r>
    </w:p>
    <w:p>
      <w:pPr>
        <w:spacing w:after="0" w:line="117" w:lineRule="exact"/>
        <w:rPr>
          <w:rFonts w:ascii="Times New Roman" w:cs="Times New Roman" w:eastAsia="Times New Roman" w:hAnsi="Times New Roman"/>
          <w:sz w:val="18"/>
          <w:szCs w:val="18"/>
          <w:color w:val="auto"/>
        </w:rPr>
      </w:pPr>
    </w:p>
    <w:p>
      <w:pPr>
        <w:ind w:left="980" w:right="40" w:hanging="486"/>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that evaluates significant service providers, suppliers, and vendors for cybersecurity risks based on our assessment of their criticality to our operations and respective risk profile.</w:t>
      </w:r>
    </w:p>
    <w:p>
      <w:pPr>
        <w:spacing w:after="0" w:line="54"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 xml:space="preserve">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We face risks from cybersecurity threats that, if realized, are reasonably likely to materially affect us, including our operations, business strategy, results of operations, or financial condition. See “Risk Factors – </w:t>
      </w:r>
      <w:r>
        <w:rPr>
          <w:rFonts w:ascii="Times New Roman" w:cs="Times New Roman" w:eastAsia="Times New Roman" w:hAnsi="Times New Roman"/>
          <w:sz w:val="18"/>
          <w:szCs w:val="18"/>
          <w:i w:val="1"/>
          <w:iCs w:val="1"/>
          <w:color w:val="auto"/>
        </w:rPr>
        <w:t>A significant breach of our IT Systems or disclosure of our Confidential Data, or of the security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or our customers’, suppliers’, or other third parties’ systems upon which we rely could be detrimental to our business, reputation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Governance</w:t>
      </w:r>
    </w:p>
    <w:p>
      <w:pPr>
        <w:spacing w:after="0" w:line="1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Our board of directors (the "Board") considers cybersecurity risk as part of its risk oversight responsibilities. While primary oversight is delegated to the Audit Committee, the Board directly oversees management’s implementation of our cybersecurity risk management program.</w:t>
      </w:r>
    </w:p>
    <w:p>
      <w:pPr>
        <w:spacing w:after="0" w:line="54"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Board receives regular reports from management on our cybersecurity risks. In addition, management updates the Board, where it deems appropriate, regarding any cybersecurity incidents it considers significant or potentially significant. Board members receive presentations on cybersecurity topics from our Chief Information Officer ("CIO").</w:t>
      </w:r>
    </w:p>
    <w:p>
      <w:pPr>
        <w:spacing w:after="0" w:line="68"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Our management team, including our CIO, is responsible for assessing and managing our material risks from cybersecurity threats. Our CIO has primary responsibility for our overall cybersecurity risk management program and supervises both our internal cybersecurity personnel and our retained external cybersecurity consultants. Our CIO's experience includes over twenty (20) years of design, implementation and management of cybersecurity programs at various levels and organizations.</w:t>
      </w:r>
    </w:p>
    <w:p>
      <w:pPr>
        <w:spacing w:after="0" w:line="72"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Management oversight of cybersecurity risks includes ongoing efforts to prevent, detect, mitigate, and remediate cybersecurity risks and incidents through various means. These efforts may include briefings from internal security personnel; threat intelligence and other information obtained from governmental, public or private sources, including external consultants engaged by us; and alerts, dashboards and reports generated by security tools deployed throughout our IT environment.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headquarters are located in Irvine, California, where we occupy facilities totaling approximately 56,000 square feet under a lease. We currently lease 10 other office spaces across the United States, and we do not own any real property. We believe that our current facilities are adequate to meet our current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Directors &amp; Executive Officers.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information with respect to the Board and executive officers is presented as of March 11, 2026:</w:t>
      </w:r>
    </w:p>
    <w:p>
      <w:pPr>
        <w:sectPr>
          <w:pgSz w:w="11900" w:h="16838" w:orient="portrait"/>
          <w:cols w:equalWidth="0" w:num="1">
            <w:col w:w="11200"/>
          </w:cols>
          <w:pgMar w:left="320" w:top="112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232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Position at Viant Technology Inc.</w:t>
            </w:r>
          </w:p>
        </w:tc>
        <w:tc>
          <w:tcPr>
            <w:tcW w:w="430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Principal Employment</w:t>
            </w:r>
          </w:p>
        </w:tc>
      </w:tr>
      <w:tr>
        <w:trPr>
          <w:trHeight w:val="223"/>
        </w:trPr>
        <w:tc>
          <w:tcPr>
            <w:tcW w:w="180" w:type="dxa"/>
            <w:vAlign w:val="bottom"/>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 Vanderhook</w:t>
            </w:r>
          </w:p>
        </w:tc>
        <w:tc>
          <w:tcPr>
            <w:tcW w:w="8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tcBorders>
              <w:top w:val="single" w:sz="8" w:color="CCEEFF"/>
            </w:tcBorders>
            <w:shd w:val="clear" w:color="auto" w:fill="CCEEFF"/>
          </w:tcPr>
          <w:p>
            <w:pPr>
              <w:spacing w:after="0"/>
              <w:rPr>
                <w:sz w:val="19"/>
                <w:szCs w:val="19"/>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80" w:type="dxa"/>
            <w:vAlign w:val="bottom"/>
            <w:tcBorders>
              <w:top w:val="single" w:sz="8" w:color="CCEEFF"/>
            </w:tcBorders>
            <w:shd w:val="clear" w:color="auto" w:fill="CCEEFF"/>
          </w:tcPr>
          <w:p>
            <w:pPr>
              <w:spacing w:after="0"/>
              <w:rPr>
                <w:sz w:val="19"/>
                <w:szCs w:val="19"/>
                <w:color w:val="auto"/>
              </w:rPr>
            </w:pPr>
          </w:p>
        </w:tc>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w:t>
            </w:r>
          </w:p>
        </w:tc>
        <w:tc>
          <w:tcPr>
            <w:tcW w:w="18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 Vanderhook</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8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Same</w:t>
            </w:r>
          </w:p>
        </w:tc>
        <w:tc>
          <w:tcPr>
            <w:tcW w:w="180" w:type="dxa"/>
            <w:vAlign w:val="bottom"/>
          </w:tcPr>
          <w:p>
            <w:pPr>
              <w:spacing w:after="0"/>
              <w:rPr>
                <w:sz w:val="19"/>
                <w:szCs w:val="19"/>
                <w:color w:val="auto"/>
              </w:rPr>
            </w:pPr>
          </w:p>
        </w:tc>
      </w:tr>
      <w:tr>
        <w:trPr>
          <w:trHeight w:val="229"/>
        </w:trPr>
        <w:tc>
          <w:tcPr>
            <w:tcW w:w="180" w:type="dxa"/>
            <w:vAlign w:val="bottom"/>
          </w:tcPr>
          <w:p>
            <w:pPr>
              <w:spacing w:after="0"/>
              <w:rPr>
                <w:sz w:val="19"/>
                <w:szCs w:val="19"/>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Larry Madden</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8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Same</w:t>
            </w:r>
          </w:p>
        </w:tc>
        <w:tc>
          <w:tcPr>
            <w:tcW w:w="180" w:type="dxa"/>
            <w:vAlign w:val="bottom"/>
          </w:tcPr>
          <w:p>
            <w:pPr>
              <w:spacing w:after="0"/>
              <w:rPr>
                <w:sz w:val="19"/>
                <w:szCs w:val="19"/>
                <w:color w:val="auto"/>
              </w:rPr>
            </w:pPr>
          </w:p>
        </w:tc>
      </w:tr>
      <w:tr>
        <w:trPr>
          <w:trHeight w:val="176"/>
        </w:trPr>
        <w:tc>
          <w:tcPr>
            <w:tcW w:w="1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Former Chief Financial Officer and Executive Vice</w:t>
            </w:r>
          </w:p>
        </w:tc>
        <w:tc>
          <w:tcPr>
            <w:tcW w:w="180" w:type="dxa"/>
            <w:vAlign w:val="bottom"/>
          </w:tcPr>
          <w:p>
            <w:pPr>
              <w:spacing w:after="0"/>
              <w:rPr>
                <w:sz w:val="15"/>
                <w:szCs w:val="15"/>
                <w:color w:val="auto"/>
              </w:rPr>
            </w:pPr>
          </w:p>
        </w:tc>
      </w:tr>
      <w:tr>
        <w:trPr>
          <w:trHeight w:val="184"/>
        </w:trPr>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President of First American Financial Corporation</w:t>
            </w:r>
          </w:p>
        </w:tc>
      </w:tr>
      <w:tr>
        <w:trPr>
          <w:trHeight w:val="234"/>
        </w:trPr>
        <w:tc>
          <w:tcPr>
            <w:tcW w:w="180" w:type="dxa"/>
            <w:vAlign w:val="bottom"/>
          </w:tcPr>
          <w:p>
            <w:pPr>
              <w:spacing w:after="0"/>
              <w:rPr>
                <w:sz w:val="20"/>
                <w:szCs w:val="20"/>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Max Valdes</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8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(NYSE: FAF), a financial services company.</w:t>
            </w:r>
          </w:p>
        </w:tc>
      </w:tr>
      <w:tr>
        <w:trPr>
          <w:trHeight w:val="176"/>
        </w:trPr>
        <w:tc>
          <w:tcPr>
            <w:tcW w:w="180" w:type="dxa"/>
            <w:vAlign w:val="bottom"/>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Former Chief Legal Officer of The Trade Desk, Inc.</w:t>
            </w:r>
          </w:p>
        </w:tc>
        <w:tc>
          <w:tcPr>
            <w:tcW w:w="180" w:type="dxa"/>
            <w:vAlign w:val="bottom"/>
          </w:tcPr>
          <w:p>
            <w:pPr>
              <w:spacing w:after="0"/>
              <w:rPr>
                <w:sz w:val="15"/>
                <w:szCs w:val="15"/>
                <w:color w:val="auto"/>
              </w:rPr>
            </w:pPr>
          </w:p>
        </w:tc>
      </w:tr>
      <w:tr>
        <w:trPr>
          <w:trHeight w:val="184"/>
        </w:trPr>
        <w:tc>
          <w:tcPr>
            <w:tcW w:w="180" w:type="dxa"/>
            <w:vAlign w:val="bottom"/>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12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(Nasdaq: TTD), a provider of a global technology</w:t>
            </w:r>
          </w:p>
        </w:tc>
        <w:tc>
          <w:tcPr>
            <w:tcW w:w="180" w:type="dxa"/>
            <w:vAlign w:val="bottom"/>
          </w:tcPr>
          <w:p>
            <w:pPr>
              <w:spacing w:after="0"/>
              <w:rPr>
                <w:sz w:val="16"/>
                <w:szCs w:val="16"/>
                <w:color w:val="auto"/>
              </w:rPr>
            </w:pPr>
          </w:p>
        </w:tc>
      </w:tr>
      <w:tr>
        <w:trPr>
          <w:trHeight w:val="234"/>
        </w:trPr>
        <w:tc>
          <w:tcPr>
            <w:tcW w:w="180" w:type="dxa"/>
            <w:vAlign w:val="bottom"/>
          </w:tcPr>
          <w:p>
            <w:pPr>
              <w:spacing w:after="0"/>
              <w:rPr>
                <w:sz w:val="20"/>
                <w:szCs w:val="20"/>
                <w:color w:val="auto"/>
              </w:rPr>
            </w:pP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Vivian Yang</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80" w:type="dxa"/>
            <w:vAlign w:val="bottom"/>
            <w:shd w:val="clear" w:color="auto" w:fill="CCEEFF"/>
          </w:tcPr>
          <w:p>
            <w:pPr>
              <w:spacing w:after="0"/>
              <w:rPr>
                <w:sz w:val="20"/>
                <w:szCs w:val="20"/>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for buyers of advertising.</w:t>
            </w:r>
          </w:p>
        </w:tc>
        <w:tc>
          <w:tcPr>
            <w:tcW w:w="180" w:type="dxa"/>
            <w:vAlign w:val="bottom"/>
          </w:tcPr>
          <w:p>
            <w:pPr>
              <w:spacing w:after="0"/>
              <w:rPr>
                <w:sz w:val="20"/>
                <w:szCs w:val="20"/>
                <w:color w:val="auto"/>
              </w:rPr>
            </w:pPr>
          </w:p>
        </w:tc>
      </w:tr>
      <w:tr>
        <w:trPr>
          <w:trHeight w:val="175"/>
        </w:trPr>
        <w:tc>
          <w:tcPr>
            <w:tcW w:w="1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Co-founder and general partner at Swift Ventures, a</w:t>
            </w:r>
          </w:p>
        </w:tc>
        <w:tc>
          <w:tcPr>
            <w:tcW w:w="180" w:type="dxa"/>
            <w:vAlign w:val="bottom"/>
          </w:tcPr>
          <w:p>
            <w:pPr>
              <w:spacing w:after="0"/>
              <w:rPr>
                <w:sz w:val="15"/>
                <w:szCs w:val="15"/>
                <w:color w:val="auto"/>
              </w:rPr>
            </w:pPr>
          </w:p>
        </w:tc>
      </w:tr>
      <w:tr>
        <w:trPr>
          <w:trHeight w:val="184"/>
        </w:trPr>
        <w:tc>
          <w:tcPr>
            <w:tcW w:w="1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venture capital firm, and former Chief Executive</w:t>
            </w:r>
          </w:p>
        </w:tc>
      </w:tr>
      <w:tr>
        <w:trPr>
          <w:trHeight w:val="180"/>
        </w:trPr>
        <w:tc>
          <w:tcPr>
            <w:tcW w:w="1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0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Officer, President and co-founder of TubeMogul</w:t>
            </w:r>
          </w:p>
        </w:tc>
      </w:tr>
      <w:tr>
        <w:trPr>
          <w:trHeight w:val="175"/>
        </w:trPr>
        <w:tc>
          <w:tcPr>
            <w:tcW w:w="1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3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(Nasdaq: TUBE), a software provider for brand</w:t>
            </w:r>
          </w:p>
        </w:tc>
      </w:tr>
      <w:tr>
        <w:trPr>
          <w:trHeight w:val="243"/>
        </w:trPr>
        <w:tc>
          <w:tcPr>
            <w:tcW w:w="180" w:type="dxa"/>
            <w:vAlign w:val="bottom"/>
          </w:tcPr>
          <w:p>
            <w:pPr>
              <w:spacing w:after="0"/>
              <w:rPr>
                <w:sz w:val="21"/>
                <w:szCs w:val="21"/>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Brett Wilson</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8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advertising.</w:t>
            </w:r>
          </w:p>
        </w:tc>
      </w:tr>
      <w:tr>
        <w:trPr>
          <w:trHeight w:val="743"/>
        </w:trPr>
        <w:tc>
          <w:tcPr>
            <w:tcW w:w="1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6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18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5" w:name="page46"/>
    <w:bookmarkEnd w:id="4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right="520" w:firstLine="486"/>
        <w:spacing w:after="0" w:line="266" w:lineRule="auto"/>
        <w:rPr>
          <w:sz w:val="20"/>
          <w:szCs w:val="20"/>
          <w:color w:val="auto"/>
        </w:rPr>
      </w:pPr>
      <w:r>
        <w:rPr>
          <w:rFonts w:ascii="Times New Roman" w:cs="Times New Roman" w:eastAsia="Times New Roman" w:hAnsi="Times New Roman"/>
          <w:sz w:val="18"/>
          <w:szCs w:val="18"/>
          <w:color w:val="auto"/>
        </w:rPr>
        <w:t>Our Class A common stock has been listed on Nasdaq under the symbol “DSP” since February 10, 2021. There is no market for our Class B common stock. Each share of Class B common stock has no economic rights but entitles its holders to one vote on all matters to be voted on by our stockholders generally.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As of March 10, 2026, there was one holder of record of our Class A common stock and four holders of record of our Class B common stock. Because many of our shares of Class A common stock are held by brokers and other institutions on behalf of stockholders, we are unable to estimate the total number of stockholders represented by these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our capital stock and have no present intention to pay cash dividends on our capital stock. Any determination to pay dividends to holders of our capital stock will be at the discretion of our board of directors and will depend upon many factors, including our financial condition, results of operations, projections, liquidity, earnings, legal requirements, restrictions in our existing and any future debt, including pursuant to the Amended Loan Agreement with PNC Bank, and other factors that our board of directors deems relevant.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with authorization to purchase up to $50.0 million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 For additional information related to share repurchases, refer to Note 9—Stockholders' Equity to our consolidated financial statements included elsewhere in this Annual Report.</w:t>
      </w:r>
    </w:p>
    <w:p>
      <w:pPr>
        <w:spacing w:after="0" w:line="7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shares repurchased under the stock repurchase program, during the year ended December 31, 2025, we repurchased shares of Class A common stock in connection with the vesting of restricted stock units to provide the holders of such restricted units with cash to satisfy the estimated taxes incidental to the vesting of the related awards.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shares repurchased during the periods presented:</w:t>
      </w:r>
    </w:p>
    <w:p>
      <w:pPr>
        <w:spacing w:after="0" w:line="131"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Number (or</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5"/>
                <w:szCs w:val="15"/>
                <w:color w:val="auto"/>
              </w:rPr>
            </w:pPr>
          </w:p>
        </w:tc>
        <w:tc>
          <w:tcPr>
            <w:tcW w:w="1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Purchased</w:t>
            </w:r>
          </w:p>
        </w:tc>
        <w:tc>
          <w:tcPr>
            <w:tcW w:w="100" w:type="dxa"/>
            <w:vAlign w:val="bottom"/>
          </w:tcPr>
          <w:p>
            <w:pPr>
              <w:spacing w:after="0"/>
              <w:rPr>
                <w:sz w:val="16"/>
                <w:szCs w:val="16"/>
                <w:color w:val="auto"/>
              </w:rPr>
            </w:pPr>
          </w:p>
        </w:tc>
        <w:tc>
          <w:tcPr>
            <w:tcW w:w="13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180"/>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100" w:type="dxa"/>
            <w:vAlign w:val="bottom"/>
          </w:tcPr>
          <w:p>
            <w:pPr>
              <w:spacing w:after="0"/>
              <w:rPr>
                <w:sz w:val="15"/>
                <w:szCs w:val="15"/>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Average Price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Average Price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as Part of</w:t>
            </w:r>
          </w:p>
        </w:tc>
        <w:tc>
          <w:tcPr>
            <w:tcW w:w="100" w:type="dxa"/>
            <w:vAlign w:val="bottom"/>
          </w:tcPr>
          <w:p>
            <w:pPr>
              <w:spacing w:after="0"/>
              <w:rPr>
                <w:sz w:val="15"/>
                <w:szCs w:val="15"/>
                <w:color w:val="auto"/>
              </w:rPr>
            </w:pPr>
          </w:p>
        </w:tc>
        <w:tc>
          <w:tcPr>
            <w:tcW w:w="1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75"/>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Publicly</w:t>
            </w:r>
          </w:p>
        </w:tc>
        <w:tc>
          <w:tcPr>
            <w:tcW w:w="100" w:type="dxa"/>
            <w:vAlign w:val="bottom"/>
          </w:tcPr>
          <w:p>
            <w:pPr>
              <w:spacing w:after="0"/>
              <w:rPr>
                <w:sz w:val="15"/>
                <w:szCs w:val="15"/>
                <w:color w:val="auto"/>
              </w:rPr>
            </w:pPr>
          </w:p>
        </w:tc>
        <w:tc>
          <w:tcPr>
            <w:tcW w:w="13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181"/>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A Shares</w:t>
            </w:r>
          </w:p>
        </w:tc>
        <w:tc>
          <w:tcPr>
            <w:tcW w:w="13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Class B Units</w:t>
            </w:r>
          </w:p>
        </w:tc>
        <w:tc>
          <w:tcPr>
            <w:tcW w:w="100" w:type="dxa"/>
            <w:vAlign w:val="bottom"/>
          </w:tcPr>
          <w:p>
            <w:pPr>
              <w:spacing w:after="0"/>
              <w:rPr>
                <w:sz w:val="15"/>
                <w:szCs w:val="15"/>
                <w:color w:val="auto"/>
              </w:rPr>
            </w:pPr>
          </w:p>
        </w:tc>
        <w:tc>
          <w:tcPr>
            <w:tcW w:w="142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Paid per Class A</w:t>
            </w:r>
          </w:p>
        </w:tc>
        <w:tc>
          <w:tcPr>
            <w:tcW w:w="144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Paid per Class B</w:t>
            </w:r>
          </w:p>
        </w:tc>
        <w:tc>
          <w:tcPr>
            <w:tcW w:w="13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Announced Plans</w:t>
            </w:r>
          </w:p>
        </w:tc>
        <w:tc>
          <w:tcPr>
            <w:tcW w:w="100" w:type="dxa"/>
            <w:vAlign w:val="bottom"/>
          </w:tcPr>
          <w:p>
            <w:pPr>
              <w:spacing w:after="0"/>
              <w:rPr>
                <w:sz w:val="15"/>
                <w:szCs w:val="15"/>
                <w:color w:val="auto"/>
              </w:rPr>
            </w:pPr>
          </w:p>
        </w:tc>
        <w:tc>
          <w:tcPr>
            <w:tcW w:w="13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or Programs (in</w:t>
            </w:r>
          </w:p>
        </w:tc>
        <w:tc>
          <w:tcPr>
            <w:tcW w:w="0" w:type="dxa"/>
            <w:vAlign w:val="bottom"/>
          </w:tcPr>
          <w:p>
            <w:pPr>
              <w:spacing w:after="0"/>
              <w:rPr>
                <w:sz w:val="1"/>
                <w:szCs w:val="1"/>
                <w:color w:val="auto"/>
              </w:rPr>
            </w:pPr>
          </w:p>
        </w:tc>
      </w:tr>
      <w:tr>
        <w:trPr>
          <w:trHeight w:val="23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100" w:type="dxa"/>
            <w:vAlign w:val="bottom"/>
          </w:tcPr>
          <w:p>
            <w:pPr>
              <w:spacing w:after="0"/>
              <w:rPr>
                <w:sz w:val="20"/>
                <w:szCs w:val="20"/>
                <w:color w:val="auto"/>
              </w:rPr>
            </w:pPr>
          </w:p>
        </w:tc>
        <w:tc>
          <w:tcPr>
            <w:tcW w:w="1040" w:type="dxa"/>
            <w:vAlign w:val="bottom"/>
          </w:tcPr>
          <w:p>
            <w:pPr>
              <w:spacing w:after="0" w:line="237"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Programs</w:t>
            </w:r>
          </w:p>
        </w:tc>
        <w:tc>
          <w:tcPr>
            <w:tcW w:w="10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thousands)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10/1/25 to 10/31/25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40,410</w:t>
            </w:r>
          </w:p>
        </w:tc>
        <w:tc>
          <w:tcPr>
            <w:tcW w:w="0" w:type="dxa"/>
            <w:vAlign w:val="bottom"/>
          </w:tcPr>
          <w:p>
            <w:pPr>
              <w:spacing w:after="0"/>
              <w:rPr>
                <w:sz w:val="1"/>
                <w:szCs w:val="1"/>
                <w:color w:val="auto"/>
              </w:rPr>
            </w:pPr>
          </w:p>
        </w:tc>
      </w:tr>
      <w:tr>
        <w:trPr>
          <w:trHeight w:val="23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11/1/25 to 11/30/25</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40,410</w:t>
            </w:r>
          </w:p>
        </w:tc>
        <w:tc>
          <w:tcPr>
            <w:tcW w:w="0" w:type="dxa"/>
            <w:vAlign w:val="bottom"/>
          </w:tcPr>
          <w:p>
            <w:pPr>
              <w:spacing w:after="0"/>
              <w:rPr>
                <w:sz w:val="1"/>
                <w:szCs w:val="1"/>
                <w:color w:val="auto"/>
              </w:rPr>
            </w:pPr>
          </w:p>
        </w:tc>
      </w:tr>
      <w:tr>
        <w:trPr>
          <w:trHeight w:val="229"/>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12/1/25 to 12/31/25</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40,410</w:t>
            </w:r>
          </w:p>
        </w:tc>
        <w:tc>
          <w:tcPr>
            <w:tcW w:w="0" w:type="dxa"/>
            <w:vAlign w:val="bottom"/>
          </w:tcPr>
          <w:p>
            <w:pPr>
              <w:spacing w:after="0"/>
              <w:rPr>
                <w:sz w:val="1"/>
                <w:szCs w:val="1"/>
                <w:color w:val="auto"/>
              </w:rPr>
            </w:pPr>
          </w:p>
        </w:tc>
      </w:tr>
      <w:tr>
        <w:trPr>
          <w:trHeight w:val="22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Borders>
              <w:top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Borders>
              <w:top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300" w:right="80" w:hanging="320"/>
        <w:spacing w:after="0" w:line="282" w:lineRule="auto"/>
        <w:tabs>
          <w:tab w:leader="none" w:pos="12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Class A common stock repurchased under the publicly announced stock repurchase program, average price paid per share includes costs associated with such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The following Management’s Discussion and Analysis of Financial Condition and Results of Operations of Viant Technology Inc. and its subsidiaries (“Viant,” “we,” “us,” “our” or the “Company”) should be read in conjunction with, and is qualified in its entirety by reference to, our consolidated financial statements and the related notes included within this Annual Report on Form 10-K ("Annual Report").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headings </w:t>
      </w:r>
      <w:r>
        <w:rPr>
          <w:rFonts w:ascii="Times New Roman" w:cs="Times New Roman" w:eastAsia="Times New Roman" w:hAnsi="Times New Roman"/>
          <w:sz w:val="18"/>
          <w:szCs w:val="18"/>
          <w:color w:val="auto"/>
        </w:rPr>
        <w:t>“Special Note Regarding Forward-Looking Statements</w:t>
      </w:r>
      <w:r>
        <w:rPr>
          <w:rFonts w:ascii="Times New Roman" w:cs="Times New Roman" w:eastAsia="Times New Roman" w:hAnsi="Times New Roman"/>
          <w:sz w:val="18"/>
          <w:szCs w:val="18"/>
          <w:i w:val="1"/>
          <w:iCs w:val="1"/>
          <w:color w:val="auto"/>
        </w:rPr>
        <w:t>” and “</w:t>
      </w:r>
      <w:r>
        <w:rPr>
          <w:rFonts w:ascii="Times New Roman" w:cs="Times New Roman" w:eastAsia="Times New Roman" w:hAnsi="Times New Roman"/>
          <w:sz w:val="18"/>
          <w:szCs w:val="18"/>
          <w:color w:val="auto"/>
        </w:rPr>
        <w:t>Risk Factors</w:t>
      </w:r>
      <w:r>
        <w:rPr>
          <w:rFonts w:ascii="Times New Roman" w:cs="Times New Roman" w:eastAsia="Times New Roman" w:hAnsi="Times New Roman"/>
          <w:sz w:val="18"/>
          <w:szCs w:val="18"/>
          <w:i w:val="1"/>
          <w:iCs w:val="1"/>
          <w:color w:val="auto"/>
        </w:rPr>
        <w:t>” and discussed elsewhere in this Annual Report. Additionally, our historical results are not necessarily indicative of the results that may be expected for any period in the future.</w:t>
      </w:r>
    </w:p>
    <w:p>
      <w:pPr>
        <w:spacing w:after="0" w:line="75" w:lineRule="exact"/>
        <w:rPr>
          <w:sz w:val="20"/>
          <w:szCs w:val="20"/>
          <w:color w:val="auto"/>
        </w:rPr>
      </w:pPr>
    </w:p>
    <w:p>
      <w:pPr>
        <w:ind w:right="18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discusses our financial condition and results of operations for our fiscal year ended December 31, 2025 compared to our fiscal year ended December 31, 2024 as well as discussions of our financial condition and results of operations for our fiscal year ended December 31, 2024 compared to our fiscal year ended December 31,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6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Our DSP is used by marketers and their advertising agencies to centralize the planning, buying and measurement of their digital advertising across most channels. Through our omnichannel platform, a marketer can easily buy ads on connected TV ("CTV"), streaming audio, digital out-of-home, mobile and desktop.</w:t>
      </w:r>
    </w:p>
    <w:p>
      <w:pPr>
        <w:spacing w:after="0" w:line="68"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Additionally, our artificial intelligence product suite, ViantAI, will be the foundational component of our long-term vision for autonomous advertising. We expect it to power every stage of the programmatic advertising lifecycle and create the most efficient and cost-effective experience for our customers. Our ViantAI suite currently includes AI Planning, which enables media planners to design high-impact campaigns in seconds, AI Bidding, which optimizes inventory costs by lowering the effective cost per mille ("eCPM") through automated bid adjustments, AI Measurement and Analysis, which provides accessible measurement and insights via a user-friendly chat interface, and recently released AI Decisioning, which automates planning, execution, measurement and dynamic optimization of campaigns in real-time. The launch of AI Decisioning was accompanied by the introduction of Outcomes, our autonomous advertising performance solution that utilizes each of the four phases of ViantAI, and various signals within our intelligence layer, to build and execute campaigns designed to deliver an optimal outcome.</w:t>
      </w:r>
    </w:p>
    <w:p>
      <w:pPr>
        <w:spacing w:after="0" w:line="84"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DSP is an easy-to-use self-service platform that provides our customers with transparency and control over their advertising campaigns. Customers can choose to maintain hands-on control over every campaign detail or have our platform autonomously execute, optimize, and measure their advertising investments. Our platform offers customers unique visibility across a variety of inventory, allowing them to create customized audience segments and leverage our addressability solutions, Household ID ("HHID") and IRIS_ID,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across channels, a feature we believe helps us grow our customer base as more customers recognize its benefits.</w:t>
      </w:r>
    </w:p>
    <w:p>
      <w:pPr>
        <w:spacing w:after="0" w:line="8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We generate revenue by charging platform fees and service fees pursuant to agreements that enable a wide variety of marketers and their agencies to select the mix of pricing and service options that suits their unique business and advertising budget.</w:t>
      </w:r>
    </w:p>
    <w:p>
      <w:pPr>
        <w:spacing w:after="0" w:line="54" w:lineRule="exact"/>
        <w:rPr>
          <w:sz w:val="20"/>
          <w:szCs w:val="20"/>
          <w:color w:val="auto"/>
        </w:rPr>
      </w:pPr>
    </w:p>
    <w:p>
      <w:pPr>
        <w:ind w:right="260" w:firstLine="486"/>
        <w:spacing w:after="0" w:line="255" w:lineRule="auto"/>
        <w:rPr>
          <w:sz w:val="20"/>
          <w:szCs w:val="20"/>
          <w:color w:val="auto"/>
        </w:rPr>
      </w:pPr>
      <w:r>
        <w:rPr>
          <w:rFonts w:ascii="Times New Roman" w:cs="Times New Roman" w:eastAsia="Times New Roman" w:hAnsi="Times New Roman"/>
          <w:sz w:val="18"/>
          <w:szCs w:val="18"/>
          <w:color w:val="auto"/>
        </w:rPr>
        <w:t>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percentage of spend. Customers who prefer to use our fixed CPM pricing option enter into insertion order (“IO”) arrangements with us, and we generate revenue by charging these customers a platform fee at a price for every 1,000 impressions 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w:t>
      </w:r>
    </w:p>
    <w:p>
      <w:pPr>
        <w:spacing w:after="0" w:line="81" w:lineRule="exact"/>
        <w:rPr>
          <w:sz w:val="20"/>
          <w:szCs w:val="20"/>
          <w:color w:val="auto"/>
        </w:rPr>
      </w:pPr>
    </w:p>
    <w:p>
      <w:pPr>
        <w:ind w:right="780" w:firstLine="486"/>
        <w:spacing w:after="0" w:line="282" w:lineRule="auto"/>
        <w:rPr>
          <w:sz w:val="20"/>
          <w:szCs w:val="20"/>
          <w:color w:val="auto"/>
        </w:rPr>
      </w:pPr>
      <w:r>
        <w:rPr>
          <w:rFonts w:ascii="Times New Roman" w:cs="Times New Roman" w:eastAsia="Times New Roman" w:hAnsi="Times New Roman"/>
          <w:sz w:val="18"/>
          <w:szCs w:val="18"/>
          <w:color w:val="auto"/>
        </w:rPr>
        <w:t>We believe that offering a mix of pricing and service options provides greater flexibility and access to our platform for marketers and their advertising agencies seeking to plan, buy and measure programmatic campaigns.</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financial results for the fiscal years ended December 31, 2025 and 2024, respectively, include:</w:t>
      </w:r>
    </w:p>
    <w:p>
      <w:pPr>
        <w:spacing w:after="0" w:line="117" w:lineRule="exact"/>
        <w:rPr>
          <w:sz w:val="20"/>
          <w:szCs w:val="20"/>
          <w:color w:val="auto"/>
        </w:rPr>
      </w:pPr>
    </w:p>
    <w:p>
      <w:pPr>
        <w:ind w:left="980" w:hanging="48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$344.2 million and $289.2 million, representing an increase of 19.0%;</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48" w:name="page49"/>
    <w:bookmarkEnd w:id="4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262"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$157.6 million and $132.1 million, representing an increase of 19.3%;</w:t>
      </w:r>
    </w:p>
    <w:p>
      <w:pPr>
        <w:spacing w:after="0" w:line="1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auto"/>
        </w:rPr>
        <w:t xml:space="preserve"> of $208.7 million and $177.4 million, representing an increase of 17.6%;</w:t>
      </w:r>
    </w:p>
    <w:p>
      <w:pPr>
        <w:spacing w:after="0" w:line="6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$24.1 million and $12.5 million, representing an increase of 93.5%;</w:t>
      </w:r>
    </w:p>
    <w:p>
      <w:pPr>
        <w:spacing w:after="0" w:line="11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net income</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auto"/>
        </w:rPr>
        <w:t xml:space="preserve"> of $41.1 million and $34.7 million, representing an increase of 18.6%; and</w:t>
      </w:r>
    </w:p>
    <w:p>
      <w:pPr>
        <w:spacing w:after="0" w:line="5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auto"/>
        </w:rPr>
        <w:t xml:space="preserve"> of $57.4 million and $44.4 million, representing an increase of 29.2%.</w:t>
      </w:r>
    </w:p>
    <w:p>
      <w:pPr>
        <w:spacing w:after="0" w:line="116" w:lineRule="exact"/>
        <w:rPr>
          <w:rFonts w:ascii="Times New Roman" w:cs="Times New Roman" w:eastAsia="Times New Roman" w:hAnsi="Times New Roman"/>
          <w:sz w:val="18"/>
          <w:szCs w:val="18"/>
          <w:color w:val="auto"/>
        </w:rPr>
      </w:pPr>
    </w:p>
    <w:p>
      <w:pPr>
        <w:ind w:left="900" w:hanging="325"/>
        <w:spacing w:after="0" w:line="261" w:lineRule="auto"/>
        <w:tabs>
          <w:tab w:leader="none" w:pos="89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ex-TAC, non-GAAP net income and adjusted EBITDA are non-GAAP financial measures. For a detailed discussion of our key operating and financial performance measures and a reconciliation of contribution ex-TAC, non-GAAP net income and adjusted EBITDA to the most directly comparable financial measures calculated in accordance with generally accepted accounting principles in the United States of America ("GAAP"), see “</w:t>
      </w:r>
      <w:r>
        <w:rPr>
          <w:rFonts w:ascii="Times New Roman" w:cs="Times New Roman" w:eastAsia="Times New Roman" w:hAnsi="Times New Roman"/>
          <w:sz w:val="18"/>
          <w:szCs w:val="18"/>
          <w:i w:val="1"/>
          <w:iCs w:val="1"/>
          <w:color w:val="auto"/>
        </w:rPr>
        <w:t>—Key Operating and Financial Performance Measures—Use of Non-GAAP Financial Measures.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 Retain and Grow our Customer Base</w:t>
      </w:r>
    </w:p>
    <w:p>
      <w:pPr>
        <w:spacing w:after="0" w:line="1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future growth depends on our ability to enhance and improve our offerings and platform to increase adoption and usage across our customer base, while also supporting ongoing customer acquisition. We believe many advertisers are in the early stages of moving a greater percentage of their advertising budgets to programmatic channels. By providing solutions for the planning, buying and measuring of their media spend across most channels, we believe we are well 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We expect ViantAI to continue accelerating market share gains and expanding our total addressable market. Further, we intend to continue to grow our sales and marketing efforts to increase awareness of our DSP and highlight the advantages of our addressability solutions, HHID and IRIS_ID, supply quality scoring and strategic partner data as a superior option to cookie-based targeting.</w:t>
      </w:r>
    </w:p>
    <w:p>
      <w:pPr>
        <w:spacing w:after="0" w:line="80"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We evaluate our customers' usage of our platform based on changes in revenue and contribution ex-TAC and we evaluate market penetration based on changes in advertiser spend. We define advertiser spend as the total amount billed to our customers for activity on our platform inclusive of the costs of advertising media, third-party data, other add-on features and our platform fee that we charge customers. For the year ended December 31, 2025 compared to the year ended December 31, 2024, our revenue grew 19.0%. We believe growing customer adoption of our newer products and platform features continued to drive incremental revenue, gross profit and contribution ex-TAC during the year. For a detailed discussion of our key operating measures, see “</w:t>
      </w:r>
      <w:r>
        <w:rPr>
          <w:rFonts w:ascii="Times New Roman" w:cs="Times New Roman" w:eastAsia="Times New Roman" w:hAnsi="Times New Roman"/>
          <w:sz w:val="18"/>
          <w:szCs w:val="18"/>
          <w:i w:val="1"/>
          <w:iCs w:val="1"/>
          <w:color w:val="auto"/>
        </w:rPr>
        <w:t>—Key Operating and Financial Performance Measures—Use of Non-GAAP Financial Measures.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Growth</w:t>
      </w:r>
    </w:p>
    <w:p>
      <w:pPr>
        <w:spacing w:after="0" w:line="121"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and in sales and marketing to acquire new customers and increase our customers’ usage of our platform. We believe that these investments will contribute to our long-term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Macroeconomic and Geopolitical Conditions</w:t>
      </w:r>
    </w:p>
    <w:p>
      <w:pPr>
        <w:spacing w:after="0" w:line="121"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Macroeconomic conditions and geopolitical events, such as pandemics, inflation, high interest rates, tariffs, international trade conflict, tightening of credit markets, recession risks, labor shortages, supply chain disruptions, political cycles, changes in laws and interpretations of laws, changes in the volume and relative mix of U.S. government spending, cost-cutting and efficiency initiatives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customers,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Growth of the Digital Advertising Market</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We expect to continue to benefit from overall adoption of programmatic advertising by marketers and their agencies. We also expect to benefit from the broader industry shift of advertising budgets from linear television to CTV, which is significantly expanding</w:t>
      </w:r>
    </w:p>
    <w:p>
      <w:pPr>
        <w:sectPr>
          <w:pgSz w:w="11900" w:h="16838" w:orient="portrait"/>
          <w:cols w:equalWidth="0" w:num="1">
            <w:col w:w="11200"/>
          </w:cols>
          <w:pgMar w:left="320" w:top="104" w:right="37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type w:val="continuous"/>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26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total addressable market for programmatic advertising. We believe we are well-positioned to capitalize on this shift and momentum as advertisers increasingly allocate budgets to CTV. Any material change in the growth rate of digital advertising or the rate of adoption of programmatic advertising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one primary business activity and operate in a single operating and reportable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generate revenue by providing marketers and their advertising agencies with the ability to plan, buy and measure their digital advertising campaigns using our DSP. We charge platform fees and service fees pursuant to agreements with our customers that enable them to select their preferred mix of pricing and service options.</w:t>
      </w:r>
    </w:p>
    <w:p>
      <w:pPr>
        <w:spacing w:after="0" w:line="6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We generate platform fees pursuant to MSAs, which allow customers to use our platform on a self-service basis in connection with our percentage of spend pricing option, and IOs, where we charge customers a platform fee at a price for every 1,000 impressions an ad receives in connection with the fixed CPM pricing option. We also generate </w:t>
      </w:r>
      <w:r>
        <w:rPr>
          <w:rFonts w:ascii="Times New Roman" w:cs="Times New Roman" w:eastAsia="Times New Roman" w:hAnsi="Times New Roman"/>
          <w:sz w:val="18"/>
          <w:szCs w:val="18"/>
          <w:color w:val="231F20"/>
        </w:rPr>
        <w:t>service</w:t>
      </w:r>
      <w:r>
        <w:rPr>
          <w:rFonts w:ascii="Times New Roman" w:cs="Times New Roman" w:eastAsia="Times New Roman" w:hAnsi="Times New Roman"/>
          <w:sz w:val="18"/>
          <w:szCs w:val="18"/>
          <w:color w:val="auto"/>
        </w:rPr>
        <w:t xml:space="preserve"> fees pursuant to MSAs and IOs for </w:t>
      </w:r>
      <w:r>
        <w:rPr>
          <w:rFonts w:ascii="Times New Roman" w:cs="Times New Roman" w:eastAsia="Times New Roman" w:hAnsi="Times New Roman"/>
          <w:sz w:val="18"/>
          <w:szCs w:val="18"/>
          <w:color w:val="231F20"/>
        </w:rPr>
        <w:t>data management, media execution and advanced reporting</w:t>
      </w:r>
      <w:r>
        <w:rPr>
          <w:rFonts w:ascii="Times New Roman" w:cs="Times New Roman" w:eastAsia="Times New Roman" w:hAnsi="Times New Roman"/>
          <w:sz w:val="18"/>
          <w:szCs w:val="18"/>
          <w:color w:val="auto"/>
        </w:rPr>
        <w:t xml:space="preserve"> services that are available to customers under our percentage of spend and fixed CPM pricing options.</w:t>
      </w:r>
    </w:p>
    <w:p>
      <w:pPr>
        <w:spacing w:after="0" w:line="72"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We recognize revenue when we transfer control of promised services directly to our customers in an amount that reflects the consideration to which we expect to be entitled in exchange for those services. For the percentage of spend pricing option, we recognize revenue at the point in time when a purchase by the customer occurs through our platform. Revenue is generally reported net of amounts incurred and payable to suppliers for the cost of advertising media, third-party data and other add-on features (collectively, “traffic acquisition costs” or “TAC”) since we arrange for the transfer of TAC from the supplier to the customer through the use of our platform and do not control such features prior to transfer to the customer. In certain percentage of spend arrangements, revenue is reported on a gross basis because we control the advertising inventory before it is transferred to our customers.</w:t>
      </w:r>
    </w:p>
    <w:p>
      <w:pPr>
        <w:spacing w:after="0" w:line="7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For the fixed CPM pricing option, we recognize platform fees as revenue at the point in time when the advertising impressions are delivered to the customer. This revenue is reported gross of any amounts incurred and payable to suppliers for TAC, since we control such features prior to transfer to the customer.</w:t>
      </w:r>
    </w:p>
    <w:p>
      <w:pPr>
        <w:spacing w:after="0" w:line="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Critical Accounting Policies and Estimates—Revenue Recognition</w:t>
      </w:r>
      <w:r>
        <w:rPr>
          <w:rFonts w:ascii="Times New Roman" w:cs="Times New Roman" w:eastAsia="Times New Roman" w:hAnsi="Times New Roman"/>
          <w:sz w:val="18"/>
          <w:szCs w:val="18"/>
          <w:color w:val="auto"/>
        </w:rPr>
        <w:t>” for a description of our revenue recognition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Each expense category includes overhead such as rent and occupancy charges, which is allocated based on headcount.</w:t>
      </w:r>
    </w:p>
    <w:p>
      <w:pPr>
        <w:spacing w:after="0" w:line="52"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Platform Operations</w:t>
      </w:r>
      <w:r>
        <w:rPr>
          <w:rFonts w:ascii="Times New Roman" w:cs="Times New Roman" w:eastAsia="Times New Roman" w:hAnsi="Times New Roman"/>
          <w:sz w:val="18"/>
          <w:szCs w:val="18"/>
          <w:color w:val="auto"/>
        </w:rPr>
        <w:t>. Platform operations expense, which represents our cost of revenues, primarily consists of TAC, hosting costs, personnel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of capitalized software development costs related to our platform, customer support costs and allocated overhead. TAC recorded in platform operations consist of amounts incurred and payable to suppliers for costs associated with our fixed CPM pricing option and certain arrangements related to our percentage of spend pricing option. Personnel costs within platform operations include salaries, bonuses, stock-based compensation and employee benefit costs primarily attributable to personnel who directly support our platform.</w:t>
      </w:r>
    </w:p>
    <w:p>
      <w:pPr>
        <w:spacing w:after="0" w:line="7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Other than TAC, many of the costs included in platform operations expense do not increase or decrease proportionately with increases or decreases in our revenue. We expect platform operations expense to increase in future periods, primarily as a result of depreciation of capitalized software development costs, hosting costs and personnel costs as we continue to invest in the development</w:t>
      </w:r>
    </w:p>
    <w:p>
      <w:pPr>
        <w:sectPr>
          <w:pgSz w:w="11900" w:h="16838" w:orient="portrait"/>
          <w:cols w:equalWidth="0" w:num="1">
            <w:col w:w="11240"/>
          </w:cols>
          <w:pgMar w:left="320" w:top="10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50" w:name="page51"/>
    <w:bookmarkEnd w:id="5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2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of our platform to add new features and functions, increase the number of advertising media and data suppliers, scale customer activity on our platform resulting in increased volumes of transactions, and hire additional personnel to support our customers.</w:t>
      </w:r>
    </w:p>
    <w:p>
      <w:pPr>
        <w:spacing w:after="0" w:line="52" w:lineRule="exact"/>
        <w:rPr>
          <w:sz w:val="20"/>
          <w:szCs w:val="20"/>
          <w:color w:val="auto"/>
        </w:rPr>
      </w:pPr>
    </w:p>
    <w:p>
      <w:pPr>
        <w:ind w:right="32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 consists primarily of personnel costs, including salaries, bonuses,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67"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sales and marketing organization focuses on marketing our platform to increase customer adoption. As a result, we expect sales and marketing expenses to increase in future periods as we increase our sales and marketing team and our focus on market development programs. Sales and marketing expense as a percentage of revenue may fluctuate from period to period based on revenue levels and the timing of our investments in our sales and marketing functions as these investments may vary in scope and scale over time.</w:t>
      </w:r>
    </w:p>
    <w:p>
      <w:pPr>
        <w:spacing w:after="0" w:line="70" w:lineRule="exact"/>
        <w:rPr>
          <w:sz w:val="20"/>
          <w:szCs w:val="20"/>
          <w:color w:val="auto"/>
        </w:rPr>
      </w:pPr>
    </w:p>
    <w:p>
      <w:pPr>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Technology and Development</w:t>
      </w:r>
      <w:r>
        <w:rPr>
          <w:rFonts w:ascii="Times New Roman" w:cs="Times New Roman" w:eastAsia="Times New Roman" w:hAnsi="Times New Roman"/>
          <w:sz w:val="18"/>
          <w:szCs w:val="18"/>
          <w:color w:val="auto"/>
        </w:rPr>
        <w:t>. Technology and development expense consists primarily of personnel costs, including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employee benefit costs associated with the ongoing development and maintenance of our platform, hosting costs and allocated overhead. We record depreciation for capitalized software development costs not related to our platform within technology and development expense.</w:t>
      </w:r>
    </w:p>
    <w:p>
      <w:pPr>
        <w:spacing w:after="0" w:line="67"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We believe that continued investment in our platform is critical to attaining our strategic objectives and long-term growth. We therefore expect technology and development expense to increase as we continue to invest in the development of our platform to support and maintain additional features and functions, increase the number of advertising media and data suppliers, and scale customer activity on our platform.</w:t>
      </w:r>
    </w:p>
    <w:p>
      <w:pPr>
        <w:spacing w:after="0" w:line="66"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 consists primarily of personnel costs, including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employee benefit costs associated with our executive, accounting, finance, legal, human resources and other administrative personnel. Additionally, this includes accounting, legal and other professional services fees, business insurance expense, bad debt expense and allocated overhead.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 Net</w:t>
      </w:r>
    </w:p>
    <w:p>
      <w:pPr>
        <w:spacing w:after="0" w:line="119" w:lineRule="exact"/>
        <w:rPr>
          <w:sz w:val="20"/>
          <w:szCs w:val="20"/>
          <w:color w:val="auto"/>
        </w:rPr>
      </w:pPr>
    </w:p>
    <w:p>
      <w:pPr>
        <w:ind w:right="3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Interest expense (income), net</w:t>
      </w:r>
      <w:r>
        <w:rPr>
          <w:rFonts w:ascii="Times New Roman" w:cs="Times New Roman" w:eastAsia="Times New Roman" w:hAnsi="Times New Roman"/>
          <w:sz w:val="18"/>
          <w:szCs w:val="18"/>
          <w:color w:val="auto"/>
        </w:rPr>
        <w:t>. Interest expense (income), net primarily consists of interest income on our cash and cash equivalents and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on our revolving credit facility under the Amended Loan Agreement (as defined below) with PNC Bank.</w:t>
      </w:r>
    </w:p>
    <w:p>
      <w:pPr>
        <w:spacing w:after="0" w:line="50"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Other expense, net</w:t>
      </w:r>
      <w:r>
        <w:rPr>
          <w:rFonts w:ascii="Times New Roman" w:cs="Times New Roman" w:eastAsia="Times New Roman" w:hAnsi="Times New Roman"/>
          <w:sz w:val="18"/>
          <w:szCs w:val="18"/>
          <w:color w:val="auto"/>
        </w:rPr>
        <w:t>. Other expense, net primarily consists of miscellaneous expenses not attributable to operations and foreign currency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gains and losses.</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 remeasurement expense</w:t>
      </w:r>
      <w:r>
        <w:rPr>
          <w:rFonts w:ascii="Times New Roman" w:cs="Times New Roman" w:eastAsia="Times New Roman" w:hAnsi="Times New Roman"/>
          <w:sz w:val="18"/>
          <w:szCs w:val="18"/>
          <w:color w:val="auto"/>
        </w:rPr>
        <w:t>. Tax Receivable Agreement ("TRA") remeasurement expense reflects the remeasurement of the TRA liability.</w:t>
      </w:r>
    </w:p>
    <w:p>
      <w:pPr>
        <w:spacing w:after="0" w:line="117" w:lineRule="exact"/>
        <w:rPr>
          <w:sz w:val="20"/>
          <w:szCs w:val="20"/>
          <w:color w:val="auto"/>
        </w:rPr>
      </w:pPr>
    </w:p>
    <w:p>
      <w:pPr>
        <w:ind w:right="2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Employee retention credit</w:t>
      </w:r>
      <w:r>
        <w:rPr>
          <w:rFonts w:ascii="Times New Roman" w:cs="Times New Roman" w:eastAsia="Times New Roman" w:hAnsi="Times New Roman"/>
          <w:sz w:val="18"/>
          <w:szCs w:val="18"/>
          <w:color w:val="auto"/>
        </w:rPr>
        <w:t>. Employee retention credit represents proceeds from a government grant enacted under the CARES ("Coronavirus Aid,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Relief, and Economic Security") 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51" w:name="page52"/>
    <w:bookmarkEnd w:id="5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consolidated results of operations, our consolidated results of operations as a percentage of revenue, and the impact of stock-based compensation, depreciation and amortization on each operating expense line item for the fiscal years ended December 31, 2025 and 2024:</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344,201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289,235</w:t>
            </w:r>
          </w:p>
        </w:tc>
      </w:tr>
      <w:tr>
        <w:trPr>
          <w:trHeight w:val="230"/>
        </w:trPr>
        <w:tc>
          <w:tcPr>
            <w:tcW w:w="7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157,164</w:t>
            </w:r>
          </w:p>
        </w:tc>
      </w:tr>
      <w:tr>
        <w:trPr>
          <w:trHeight w:val="23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53,750</w:t>
            </w:r>
          </w:p>
        </w:tc>
      </w:tr>
      <w:tr>
        <w:trPr>
          <w:trHeight w:val="229"/>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w:t>
            </w:r>
          </w:p>
        </w:tc>
      </w:tr>
      <w:tr>
        <w:trPr>
          <w:trHeight w:val="229"/>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51,103</w:t>
            </w: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332,123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285,757</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r>
      <w:tr>
        <w:trPr>
          <w:trHeight w:val="23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w:t>
            </w: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29"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48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19"/>
                <w:szCs w:val="19"/>
                <w:color w:val="auto"/>
              </w:rPr>
            </w:pPr>
          </w:p>
        </w:tc>
      </w:tr>
      <w:tr>
        <w:trPr>
          <w:trHeight w:val="264"/>
        </w:trPr>
        <w:tc>
          <w:tcPr>
            <w:tcW w:w="7240" w:type="dxa"/>
            <w:vAlign w:val="bottom"/>
          </w:tcPr>
          <w:p>
            <w:pPr>
              <w:spacing w:after="0"/>
              <w:rPr>
                <w:sz w:val="22"/>
                <w:szCs w:val="22"/>
                <w:color w:val="auto"/>
              </w:rPr>
            </w:pPr>
          </w:p>
        </w:tc>
        <w:tc>
          <w:tcPr>
            <w:tcW w:w="252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540" w:type="dxa"/>
            <w:vAlign w:val="bottom"/>
          </w:tcPr>
          <w:p>
            <w:pPr>
              <w:spacing w:after="0"/>
              <w:rPr>
                <w:sz w:val="22"/>
                <w:szCs w:val="22"/>
                <w:color w:val="auto"/>
              </w:rPr>
            </w:pPr>
          </w:p>
        </w:tc>
      </w:tr>
      <w:tr>
        <w:trPr>
          <w:trHeight w:val="229"/>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0"/>
        </w:trPr>
        <w:tc>
          <w:tcPr>
            <w:tcW w:w="82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r>
      <w:tr>
        <w:trPr>
          <w:trHeight w:val="230"/>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29"/>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30"/>
        </w:trPr>
        <w:tc>
          <w:tcPr>
            <w:tcW w:w="8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8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3"/>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7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Percentages may not sum due to rounding</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52" w:name="page53"/>
    <w:bookmarkEnd w:id="5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(1) Stock-based compensation, depreciation and amortization included in operating expenses are as follows: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2,114</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11,965</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21,034</w:t>
            </w:r>
          </w:p>
        </w:tc>
      </w:tr>
      <w:tr>
        <w:trPr>
          <w:trHeight w:val="21"/>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13,782</w:t>
            </w: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16,278</w:t>
            </w:r>
          </w:p>
        </w:tc>
      </w:tr>
      <w:tr>
        <w:trPr>
          <w:trHeight w:val="21"/>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60" w:type="dxa"/>
            <w:vAlign w:val="bottom"/>
            <w:tcBorders>
              <w:bottom w:val="single" w:sz="8" w:color="auto"/>
            </w:tcBorders>
            <w:gridSpan w:val="9"/>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3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gridSpan w:val="5"/>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62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Comparison of the Fiscal Years Ended December 31, 2025, 2024 and 2023</w:t>
            </w: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360" w:type="dxa"/>
            <w:vAlign w:val="bottom"/>
            <w:gridSpan w:val="12"/>
            <w:vMerge w:val="continue"/>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gridSpan w:val="8"/>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80" w:type="dxa"/>
            <w:vAlign w:val="bottom"/>
          </w:tcPr>
          <w:p>
            <w:pPr>
              <w:spacing w:after="0"/>
              <w:rPr>
                <w:sz w:val="24"/>
                <w:szCs w:val="24"/>
                <w:color w:val="auto"/>
              </w:rPr>
            </w:pPr>
          </w:p>
        </w:tc>
        <w:tc>
          <w:tcPr>
            <w:tcW w:w="2280" w:type="dxa"/>
            <w:vAlign w:val="bottom"/>
            <w:gridSpan w:val="6"/>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5"/>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80" w:type="dxa"/>
            <w:vAlign w:val="bottom"/>
            <w:gridSpan w:val="8"/>
            <w:vMerge w:val="continue"/>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23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289,235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54,966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spacing w:after="0"/>
              <w:rPr>
                <w:sz w:val="19"/>
                <w:szCs w:val="19"/>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66,301</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Revenue increased by $55.0 million, or 19%, during the year ended December 31, 2025 compared to the year ended December 31, 2024. The increase was primarily due to a 36% increase in revenue from marketers in the healthcare, business services, retail, and consumer goods industry verticals and a net 14% increase in all other industry verticals excluding the political industry vertical, which decreased by 97% due to the prior year presidential election cycle.</w:t>
      </w:r>
    </w:p>
    <w:p>
      <w:pPr>
        <w:spacing w:after="0" w:line="7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$66.3 million, or 30%, during the year ended December 31, 2024 compared to the year ended December 31, 2023. The increase was primarily due to a 62% increase in revenue from marketers in the public services, consumer goods, travel, healthcare and automotive industry verticals and a net 12% increase in all other industry verticals.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53" w:name="page54"/>
    <w:bookmarkEnd w:id="5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Platform Operations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vMerge w:val="continue"/>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135,549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111,845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79,552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51,067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45,319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40,927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8"/>
        </w:trPr>
        <w:tc>
          <w:tcPr>
            <w:tcW w:w="80" w:type="dxa"/>
            <w:vAlign w:val="bottom"/>
          </w:tcPr>
          <w:p>
            <w:pPr>
              <w:spacing w:after="0"/>
              <w:rPr>
                <w:sz w:val="21"/>
                <w:szCs w:val="21"/>
                <w:color w:val="auto"/>
              </w:rPr>
            </w:pPr>
          </w:p>
        </w:tc>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186,616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157,164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120,479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 w:type="dxa"/>
            <w:vAlign w:val="bottom"/>
          </w:tcPr>
          <w:p>
            <w:pPr>
              <w:spacing w:after="0"/>
              <w:rPr>
                <w:sz w:val="18"/>
                <w:szCs w:val="18"/>
                <w:color w:val="auto"/>
              </w:rPr>
            </w:pPr>
          </w:p>
        </w:tc>
        <w:tc>
          <w:tcPr>
            <w:tcW w:w="26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40" w:firstLine="486"/>
        <w:spacing w:after="0" w:line="255" w:lineRule="auto"/>
        <w:rPr>
          <w:sz w:val="20"/>
          <w:szCs w:val="20"/>
          <w:color w:val="auto"/>
        </w:rPr>
      </w:pPr>
      <w:r>
        <w:rPr>
          <w:rFonts w:ascii="Times New Roman" w:cs="Times New Roman" w:eastAsia="Times New Roman" w:hAnsi="Times New Roman"/>
          <w:sz w:val="18"/>
          <w:szCs w:val="18"/>
          <w:color w:val="auto"/>
        </w:rPr>
        <w:t xml:space="preserve">Platform operations expense increased by $29.5 million, or 19%, during the year ended December 31, 2025 compared to the year ended December 31, 2024. This increase </w:t>
      </w:r>
      <w:r>
        <w:rPr>
          <w:rFonts w:ascii="Times New Roman" w:cs="Times New Roman" w:eastAsia="Times New Roman" w:hAnsi="Times New Roman"/>
          <w:sz w:val="18"/>
          <w:szCs w:val="18"/>
          <w:color w:val="231F20"/>
        </w:rPr>
        <w:t>was primarily due to a</w:t>
      </w:r>
      <w:r>
        <w:rPr>
          <w:rFonts w:ascii="Times New Roman" w:cs="Times New Roman" w:eastAsia="Times New Roman" w:hAnsi="Times New Roman"/>
          <w:sz w:val="18"/>
          <w:szCs w:val="18"/>
          <w:color w:val="auto"/>
        </w:rPr>
        <w:t xml:space="preserve"> $23.7 </w:t>
      </w:r>
      <w:r>
        <w:rPr>
          <w:rFonts w:ascii="Times New Roman" w:cs="Times New Roman" w:eastAsia="Times New Roman" w:hAnsi="Times New Roman"/>
          <w:sz w:val="18"/>
          <w:szCs w:val="18"/>
          <w:color w:val="231F20"/>
        </w:rPr>
        <w:t>million increase in TAC,</w:t>
      </w:r>
      <w:r>
        <w:rPr>
          <w:rFonts w:ascii="Times New Roman" w:cs="Times New Roman" w:eastAsia="Times New Roman" w:hAnsi="Times New Roman"/>
          <w:sz w:val="18"/>
          <w:szCs w:val="18"/>
          <w:color w:val="auto"/>
        </w:rPr>
        <w:t xml:space="preserve"> a variable function of revenue related to our fixed CPM pricing option and certain arrangements related to our percentage of spend pricing option. The increase was also due to higher other platform operations expense which was driven by a $</w:t>
      </w:r>
      <w:r>
        <w:rPr>
          <w:rFonts w:ascii="Times New Roman" w:cs="Times New Roman" w:eastAsia="Times New Roman" w:hAnsi="Times New Roman"/>
          <w:sz w:val="18"/>
          <w:szCs w:val="18"/>
          <w:color w:val="231F20"/>
        </w:rPr>
        <w:t>1.8</w:t>
      </w:r>
      <w:r>
        <w:rPr>
          <w:rFonts w:ascii="Times New Roman" w:cs="Times New Roman" w:eastAsia="Times New Roman" w:hAnsi="Times New Roman"/>
          <w:sz w:val="18"/>
          <w:szCs w:val="18"/>
          <w:color w:val="auto"/>
        </w:rPr>
        <w:t xml:space="preserve"> million increase in stock-based compensation, a $</w:t>
      </w:r>
      <w:r>
        <w:rPr>
          <w:rFonts w:ascii="Times New Roman" w:cs="Times New Roman" w:eastAsia="Times New Roman" w:hAnsi="Times New Roman"/>
          <w:sz w:val="18"/>
          <w:szCs w:val="18"/>
          <w:color w:val="231F20"/>
        </w:rPr>
        <w:t>1.7</w:t>
      </w:r>
      <w:r>
        <w:rPr>
          <w:rFonts w:ascii="Times New Roman" w:cs="Times New Roman" w:eastAsia="Times New Roman" w:hAnsi="Times New Roman"/>
          <w:sz w:val="18"/>
          <w:szCs w:val="18"/>
          <w:color w:val="auto"/>
        </w:rPr>
        <w:t xml:space="preserve"> million increase in personnel costs, a $</w:t>
      </w:r>
      <w:r>
        <w:rPr>
          <w:rFonts w:ascii="Times New Roman" w:cs="Times New Roman" w:eastAsia="Times New Roman" w:hAnsi="Times New Roman"/>
          <w:sz w:val="18"/>
          <w:szCs w:val="18"/>
          <w:color w:val="231F20"/>
        </w:rPr>
        <w:t>1.1</w:t>
      </w:r>
      <w:r>
        <w:rPr>
          <w:rFonts w:ascii="Times New Roman" w:cs="Times New Roman" w:eastAsia="Times New Roman" w:hAnsi="Times New Roman"/>
          <w:sz w:val="18"/>
          <w:szCs w:val="18"/>
          <w:color w:val="auto"/>
        </w:rPr>
        <w:t xml:space="preserve"> million increase in cloud and data center services in support of our DSP, a $</w:t>
      </w:r>
      <w:r>
        <w:rPr>
          <w:rFonts w:ascii="Times New Roman" w:cs="Times New Roman" w:eastAsia="Times New Roman" w:hAnsi="Times New Roman"/>
          <w:sz w:val="18"/>
          <w:szCs w:val="18"/>
          <w:color w:val="231F20"/>
        </w:rPr>
        <w:t>1.0</w:t>
      </w:r>
      <w:r>
        <w:rPr>
          <w:rFonts w:ascii="Times New Roman" w:cs="Times New Roman" w:eastAsia="Times New Roman" w:hAnsi="Times New Roman"/>
          <w:sz w:val="18"/>
          <w:szCs w:val="18"/>
          <w:color w:val="auto"/>
        </w:rPr>
        <w:t xml:space="preserve"> million increase in depreciation and amortization expense driven by our continued investment in developed technology and a $0.9 million increase in data-related costs in support of our DSP, partially offset by a $0.7 million decrease related to non-operational media purchases.</w:t>
      </w:r>
    </w:p>
    <w:p>
      <w:pPr>
        <w:spacing w:after="0" w:line="81" w:lineRule="exact"/>
        <w:rPr>
          <w:sz w:val="20"/>
          <w:szCs w:val="20"/>
          <w:color w:val="auto"/>
        </w:rPr>
      </w:pPr>
    </w:p>
    <w:p>
      <w:pPr>
        <w:ind w:right="160" w:firstLine="486"/>
        <w:spacing w:after="0" w:line="274" w:lineRule="auto"/>
        <w:rPr>
          <w:sz w:val="20"/>
          <w:szCs w:val="20"/>
          <w:color w:val="auto"/>
        </w:rPr>
      </w:pPr>
      <w:r>
        <w:rPr>
          <w:rFonts w:ascii="Times New Roman" w:cs="Times New Roman" w:eastAsia="Times New Roman" w:hAnsi="Times New Roman"/>
          <w:sz w:val="17"/>
          <w:szCs w:val="17"/>
          <w:color w:val="auto"/>
        </w:rPr>
        <w:t>Platform operations expense increased by $36.7 million, or 30%, during the year ended December 31, 2024 compared to the year ended December 31, 2023. This increase was driven by a $32.3 million increase in TAC, a variable function of revenue related to our fixed CPM pricing option and certain arrangements related to our percentage of spend pricing option. The increase was also due to higher other platform operations expense which was driven by a $2.8 million increase in cloud and data center services in support of our DSP, a $1.7 million increase in depreciation driven by our continued investment in developed technology, a $1.3 million increase in platform costs related to non-operational media purchases and a $0.8 million increase in personnel costs, partially offset by a $2.0 million decrease in stock-based compensation and a $0.2 million decrease in facilities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60" w:type="dxa"/>
            <w:vAlign w:val="bottom"/>
            <w:gridSpan w:val="6"/>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19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vMerge w:val="continue"/>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64,801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53,750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11,051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 xml:space="preserve">Sales and marketing expense increased by $11.1 million, or 21%, during the year ended December 31, 2025 compared to the year ended December 31, 2024. This increase </w:t>
      </w:r>
      <w:r>
        <w:rPr>
          <w:rFonts w:ascii="Times New Roman" w:cs="Times New Roman" w:eastAsia="Times New Roman" w:hAnsi="Times New Roman"/>
          <w:sz w:val="18"/>
          <w:szCs w:val="18"/>
          <w:color w:val="231F20"/>
        </w:rPr>
        <w:t>was primarily due to a $4.0 million increase in personnel costs, a $3.9 million increase in advertising expense, a $2.6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million increase in stock-based compensation, a $0.5 million increase in facilities expense, a $0.3 million increase in depreciation expense, a $0.2 million increase in technology costs and a $0.2 million increase in professional services expense, partially offset by a $0.6 million decrease in travel and entertainment.</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Sales and marketing expense increased by $3.1 million, or 6%, during the year ended December 31, 2024 compared to the year ended December 31,</w:t>
      </w:r>
    </w:p>
    <w:p>
      <w:pPr>
        <w:spacing w:after="0" w:line="39" w:lineRule="exact"/>
        <w:rPr>
          <w:sz w:val="20"/>
          <w:szCs w:val="20"/>
          <w:color w:val="auto"/>
        </w:rPr>
      </w:pPr>
    </w:p>
    <w:p>
      <w:pPr>
        <w:jc w:val="both"/>
        <w:ind w:right="480"/>
        <w:spacing w:after="0" w:line="255" w:lineRule="auto"/>
        <w:rPr>
          <w:sz w:val="20"/>
          <w:szCs w:val="20"/>
          <w:color w:val="auto"/>
        </w:rPr>
      </w:pPr>
      <w:r>
        <w:rPr>
          <w:rFonts w:ascii="Times New Roman" w:cs="Times New Roman" w:eastAsia="Times New Roman" w:hAnsi="Times New Roman"/>
          <w:sz w:val="18"/>
          <w:szCs w:val="18"/>
          <w:color w:val="auto"/>
        </w:rPr>
        <w:t>2023. This increase was primarily due to a $5.3 million increase in personnel costs, a $2.8 million increase in advertising expense and a $0.6 million increase in travel and entertainment expense, partially offset by a $5.4 million decrease in stock-based compensation and a $0.2 million decrease in facilities expense.</w:t>
      </w: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4" w:right="399" w:bottom="1440" w:gutter="0" w:footer="0" w:header="0"/>
        </w:sectPr>
      </w:pPr>
    </w:p>
    <w:bookmarkStart w:id="54" w:name="page55"/>
    <w:bookmarkEnd w:id="5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Technology and Development</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6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8"/>
              </w:rPr>
              <w:t>2024 vs 2023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6"/>
            <w:vMerge w:val="continue"/>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4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30,534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23,740</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8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Technology and development expense increased by $6.8 million, or 29%, during the year ended December 31, 2025 compared to the year ended December 31, 2024. This increase was primarily due to a $</w:t>
      </w:r>
      <w:r>
        <w:rPr>
          <w:rFonts w:ascii="Times New Roman" w:cs="Times New Roman" w:eastAsia="Times New Roman" w:hAnsi="Times New Roman"/>
          <w:sz w:val="18"/>
          <w:szCs w:val="18"/>
          <w:color w:val="231F20"/>
        </w:rPr>
        <w:t>2.8</w:t>
      </w:r>
      <w:r>
        <w:rPr>
          <w:rFonts w:ascii="Times New Roman" w:cs="Times New Roman" w:eastAsia="Times New Roman" w:hAnsi="Times New Roman"/>
          <w:sz w:val="18"/>
          <w:szCs w:val="18"/>
          <w:color w:val="auto"/>
        </w:rPr>
        <w:t xml:space="preserve"> million increase in personnel costs, a $</w:t>
      </w:r>
      <w:r>
        <w:rPr>
          <w:rFonts w:ascii="Times New Roman" w:cs="Times New Roman" w:eastAsia="Times New Roman" w:hAnsi="Times New Roman"/>
          <w:sz w:val="18"/>
          <w:szCs w:val="18"/>
          <w:color w:val="231F20"/>
        </w:rPr>
        <w:t>1.4</w:t>
      </w:r>
      <w:r>
        <w:rPr>
          <w:rFonts w:ascii="Times New Roman" w:cs="Times New Roman" w:eastAsia="Times New Roman" w:hAnsi="Times New Roman"/>
          <w:sz w:val="18"/>
          <w:szCs w:val="18"/>
          <w:color w:val="auto"/>
        </w:rPr>
        <w:t xml:space="preserve"> million increase in depreciation expense, a $1.3 million increase in stock-based compensation, a $</w:t>
      </w:r>
      <w:r>
        <w:rPr>
          <w:rFonts w:ascii="Times New Roman" w:cs="Times New Roman" w:eastAsia="Times New Roman" w:hAnsi="Times New Roman"/>
          <w:sz w:val="18"/>
          <w:szCs w:val="18"/>
          <w:color w:val="231F20"/>
        </w:rPr>
        <w:t>1.1</w:t>
      </w:r>
      <w:r>
        <w:rPr>
          <w:rFonts w:ascii="Times New Roman" w:cs="Times New Roman" w:eastAsia="Times New Roman" w:hAnsi="Times New Roman"/>
          <w:sz w:val="18"/>
          <w:szCs w:val="18"/>
          <w:color w:val="auto"/>
        </w:rPr>
        <w:t xml:space="preserve"> million increase in technology costs in support of our DSP and a $</w:t>
      </w:r>
      <w:r>
        <w:rPr>
          <w:rFonts w:ascii="Times New Roman" w:cs="Times New Roman" w:eastAsia="Times New Roman" w:hAnsi="Times New Roman"/>
          <w:sz w:val="18"/>
          <w:szCs w:val="18"/>
          <w:color w:val="231F20"/>
        </w:rPr>
        <w:t>0.2</w:t>
      </w:r>
      <w:r>
        <w:rPr>
          <w:rFonts w:ascii="Times New Roman" w:cs="Times New Roman" w:eastAsia="Times New Roman" w:hAnsi="Times New Roman"/>
          <w:sz w:val="18"/>
          <w:szCs w:val="18"/>
          <w:color w:val="auto"/>
        </w:rPr>
        <w:t xml:space="preserve"> million increase in facilities expense.</w:t>
      </w:r>
    </w:p>
    <w:p>
      <w:pPr>
        <w:spacing w:after="0" w:line="72" w:lineRule="exact"/>
        <w:rPr>
          <w:sz w:val="20"/>
          <w:szCs w:val="20"/>
          <w:color w:val="auto"/>
        </w:rPr>
      </w:pPr>
    </w:p>
    <w:p>
      <w:pPr>
        <w:ind w:right="400" w:firstLine="486"/>
        <w:spacing w:after="0" w:line="261" w:lineRule="auto"/>
        <w:rPr>
          <w:sz w:val="20"/>
          <w:szCs w:val="20"/>
          <w:color w:val="auto"/>
        </w:rPr>
      </w:pPr>
      <w:r>
        <w:rPr>
          <w:rFonts w:ascii="Times New Roman" w:cs="Times New Roman" w:eastAsia="Times New Roman" w:hAnsi="Times New Roman"/>
          <w:sz w:val="18"/>
          <w:szCs w:val="18"/>
          <w:color w:val="auto"/>
        </w:rPr>
        <w:t>Technology and development expense decreased by $1.0 million, or 4%, during the year ended December 31, 2024 compared to the year ended December 31, 2023. This decrease was primarily due to a $3.0 million decrease in stock-based compensation and a $0.2 million decrease in facilities expense, partially offset by a $1.3 million increase in personnel costs, a $0.4 million increase in technology costs in support of our DSP, a $0.3 million increase in professional services and a $0.2 million increase in depreciation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6"/>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19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6"/>
            <w:vMerge w:val="continue"/>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50,172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45,345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decreased by $0.9 million, or 2%, during the year ended December 31, 2025 compared to the year ended December 31, 2024. This decrease was primarily due to a $1.9 million decrease in stock-based compensation, a $1.0 million decrease in accounting, legal, investor relations and consulting expenses associated with general corporate and compliance matters, a $0.8 million decrease in bad debt expense, a $0.5 million decrease in depreciation and amortization expense and a $0.4 million decrease in business insurance, partially offset by a $2.0 million increase in personnel costs and a $1.7 million increase in travel and entertainment expense driven by company events and employee-related expenses.</w:t>
      </w:r>
    </w:p>
    <w:p>
      <w:pPr>
        <w:spacing w:after="0" w:line="7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increased by $5.8 million, or 13%, during the year ended December 31, 2024 compared to the year ended December 31, 2023. This increase was primarily due to a $3.1 million increase in accounting, legal, and consulting expenses associated with general corporate and compliance matters, a $2.0 million increase in personnel costs, a $1.3 million increase in bad debt expense, a $0.9 million increase in travel and entertainment expense, a $0.2 million increase in charitable contributions expense and a $0.2 million increase in facilities expense, partially offset by a $0.9 million decrease in business insurance, licenses and taxes expense, a $0.6 million decrease in stock-based compensation and a $0.4 million decrease in recruiting services.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9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w w:val="99"/>
              </w:rPr>
              <w:t>Total Other Expense (Income), Net</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80" w:type="dxa"/>
            <w:vAlign w:val="bottom"/>
            <w:gridSpan w:val="6"/>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2025 vs 2024</w:t>
            </w:r>
          </w:p>
        </w:tc>
        <w:tc>
          <w:tcPr>
            <w:tcW w:w="196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(9,223)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11,170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Total other expense (income), net decreased by $11.2 million, or 121%, during the year ended December 31, 2025 compared to the year ended December 31, 2024. This decrease was primarily attributable to a TRA expense of $10.9 million related to the release of our valuation allowance and a $3.1 million decrease in interest income on cash and cash equivalents driven by lower interest rates and lower money market fund balances, partially offset by employee retention credit proceeds of $2.8 million from a government grant enacted under the CARES Act.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5" w:name="page56"/>
    <w:bookmarkEnd w:id="5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Total other income, net increased by $0.7 million, or 8%, during the year ended December 31, 2024 compared to the year ended December 31, 2023.</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primarily attributable to higher interest income on cash and cash equivalents driven by higher cash balances.</w:t>
      </w:r>
    </w:p>
    <w:p>
      <w:pPr>
        <w:spacing w:after="0" w:line="9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For each of the years ended December 31, 2025, 2024 and 2023, interest expense incurred was $0.4 million. Interest costs capitalized during the years ended December 31, 2025, 2024 and 2023 were de minimis.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(Benefit From) Income Taxes</w:t>
      </w:r>
    </w:p>
    <w:p>
      <w:pPr>
        <w:spacing w:after="0" w:line="241"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6"/>
            <w:vMerge w:val="restart"/>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2025 vs 2024</w:t>
            </w: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8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2024 vs 2023</w:t>
            </w:r>
          </w:p>
        </w:tc>
        <w:tc>
          <w:tcPr>
            <w:tcW w:w="0" w:type="dxa"/>
            <w:vAlign w:val="bottom"/>
          </w:tcPr>
          <w:p>
            <w:pPr>
              <w:spacing w:after="0"/>
              <w:rPr>
                <w:sz w:val="1"/>
                <w:szCs w:val="1"/>
                <w:color w:val="auto"/>
              </w:rPr>
            </w:pPr>
          </w:p>
        </w:tc>
      </w:tr>
      <w:tr>
        <w:trPr>
          <w:trHeight w:val="243"/>
        </w:trPr>
        <w:tc>
          <w:tcPr>
            <w:tcW w:w="2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vMerge w:val="continue"/>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5"/>
        </w:trPr>
        <w:tc>
          <w:tcPr>
            <w:tcW w:w="264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Provision for (benefit from) income</w:t>
            </w:r>
          </w:p>
        </w:tc>
        <w:tc>
          <w:tcPr>
            <w:tcW w:w="2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(13,965)</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(14,214)</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0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(5708)%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Percentage of revenue</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spacing w:after="0"/>
              <w:rPr>
                <w:sz w:val="20"/>
                <w:szCs w:val="20"/>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ind w:right="32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years ended </w:t>
      </w:r>
      <w:r>
        <w:rPr>
          <w:rFonts w:ascii="Times New Roman" w:cs="Times New Roman" w:eastAsia="Times New Roman" w:hAnsi="Times New Roman"/>
          <w:sz w:val="18"/>
          <w:szCs w:val="18"/>
          <w:color w:val="000000"/>
        </w:rPr>
        <w:t>December 31, 2025</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 xml:space="preserve">. The benefit from income taxes was </w:t>
      </w:r>
      <w:r>
        <w:rPr>
          <w:rFonts w:ascii="Times New Roman" w:cs="Times New Roman" w:eastAsia="Times New Roman" w:hAnsi="Times New Roman"/>
          <w:sz w:val="18"/>
          <w:szCs w:val="18"/>
          <w:color w:val="000000"/>
        </w:rPr>
        <w:t>$14.0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resulting in an increase of $14.2 million, during the year ended December 31, 2025 </w:t>
      </w:r>
      <w:r>
        <w:rPr>
          <w:rFonts w:ascii="Times New Roman" w:cs="Times New Roman" w:eastAsia="Times New Roman" w:hAnsi="Times New Roman"/>
          <w:sz w:val="18"/>
          <w:szCs w:val="18"/>
          <w:color w:val="231F20"/>
        </w:rPr>
        <w:t>compared to the year ended</w:t>
      </w:r>
      <w:r>
        <w:rPr>
          <w:rFonts w:ascii="Times New Roman" w:cs="Times New Roman" w:eastAsia="Times New Roman" w:hAnsi="Times New Roman"/>
          <w:sz w:val="18"/>
          <w:szCs w:val="18"/>
          <w:color w:val="000000"/>
        </w:rPr>
        <w:t xml:space="preserve"> December 31, 2024</w:t>
      </w:r>
      <w:r>
        <w:rPr>
          <w:rFonts w:ascii="Times New Roman" w:cs="Times New Roman" w:eastAsia="Times New Roman" w:hAnsi="Times New Roman"/>
          <w:sz w:val="18"/>
          <w:szCs w:val="18"/>
          <w:color w:val="231F20"/>
        </w:rPr>
        <w:t>. This benefit from</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income taxes was due to the release of the valuation allowance and recognition of our deferred tax assets.</w:t>
      </w:r>
    </w:p>
    <w:p>
      <w:pPr>
        <w:spacing w:after="0" w:line="68"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years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The provision for income taxes increased by </w:t>
      </w:r>
      <w:r>
        <w:rPr>
          <w:rFonts w:ascii="Times New Roman" w:cs="Times New Roman" w:eastAsia="Times New Roman" w:hAnsi="Times New Roman"/>
          <w:sz w:val="18"/>
          <w:szCs w:val="18"/>
          <w:color w:val="000000"/>
        </w:rPr>
        <w:t>$0.1</w:t>
      </w:r>
      <w:r>
        <w:rPr>
          <w:rFonts w:ascii="Times New Roman" w:cs="Times New Roman" w:eastAsia="Times New Roman" w:hAnsi="Times New Roman"/>
          <w:sz w:val="18"/>
          <w:szCs w:val="18"/>
          <w:color w:val="231F20"/>
        </w:rPr>
        <w:t xml:space="preserve"> million, or 65%, during the year ended </w:t>
      </w:r>
      <w:r>
        <w:rPr>
          <w:rFonts w:ascii="Times New Roman" w:cs="Times New Roman" w:eastAsia="Times New Roman" w:hAnsi="Times New Roman"/>
          <w:sz w:val="18"/>
          <w:szCs w:val="18"/>
          <w:color w:val="000000"/>
        </w:rPr>
        <w:t>December 31, 2024 compared to the year ended December 31, 2023.</w:t>
      </w:r>
      <w:r>
        <w:rPr>
          <w:rFonts w:ascii="Times New Roman" w:cs="Times New Roman" w:eastAsia="Times New Roman" w:hAnsi="Times New Roman"/>
          <w:sz w:val="18"/>
          <w:szCs w:val="18"/>
          <w:color w:val="231F20"/>
        </w:rPr>
        <w:t xml:space="preserve"> This increase was attributable to federal and state taxes resulting from Viant Technology Inc.'s pro-rata share of taxable income from Viant Technology LLC.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and Financial Performance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monitor certain non-GAAP financial measures to help us evaluate growth trends, establish budgets, measure the effectiveness of our sales and marketing efforts and assess our operational efficiencies. We believe these measures enhance an understanding of our overall performance and investors’ ability to review our business from the same perspective as management and facilitate comparisons of this period’s results with prior periods on a consistent basis by excluding items that management does not believe are indicative of our ongoing operating performance. These non-GAAP financial measures 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w:t>
      </w:r>
    </w:p>
    <w:p>
      <w:pPr>
        <w:spacing w:after="0" w:line="84"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 Some of these potential limitations include:</w:t>
      </w:r>
    </w:p>
    <w:p>
      <w:pPr>
        <w:spacing w:after="0" w:line="72" w:lineRule="exact"/>
        <w:rPr>
          <w:sz w:val="20"/>
          <w:szCs w:val="20"/>
          <w:color w:val="auto"/>
        </w:rPr>
      </w:pPr>
    </w:p>
    <w:p>
      <w:pPr>
        <w:ind w:left="980" w:right="460" w:hanging="486"/>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industry that have similar business arrangements, may report similarly titled measures, but calculate them differently, which reduces their usefulness as comparative measures;</w:t>
      </w:r>
    </w:p>
    <w:p>
      <w:pPr>
        <w:spacing w:after="0" w:line="53" w:lineRule="exact"/>
        <w:rPr>
          <w:rFonts w:ascii="Times New Roman" w:cs="Times New Roman" w:eastAsia="Times New Roman" w:hAnsi="Times New Roman"/>
          <w:sz w:val="18"/>
          <w:szCs w:val="18"/>
          <w:color w:val="auto"/>
        </w:rPr>
      </w:pPr>
    </w:p>
    <w:p>
      <w:pPr>
        <w:ind w:left="980" w:hanging="486"/>
        <w:spacing w:after="0" w:line="266"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these non-GAAP financial measures do not reflect cash capital expenditure requirements for such replacements or for new capital expenditure requirements; and</w:t>
      </w:r>
    </w:p>
    <w:p>
      <w:pPr>
        <w:spacing w:after="0" w:line="67" w:lineRule="exact"/>
        <w:rPr>
          <w:rFonts w:ascii="Times New Roman" w:cs="Times New Roman" w:eastAsia="Times New Roman" w:hAnsi="Times New Roman"/>
          <w:sz w:val="18"/>
          <w:szCs w:val="18"/>
          <w:color w:val="auto"/>
        </w:rPr>
      </w:pPr>
    </w:p>
    <w:p>
      <w:pPr>
        <w:ind w:left="980" w:right="140" w:hanging="486"/>
        <w:spacing w:after="0" w:line="282" w:lineRule="auto"/>
        <w:tabs>
          <w:tab w:leader="none" w:pos="9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non-GAAP financial measures do not reflect changes in, or cash requirements for, our working capital needs or the potentially dilutive impact of stock-based compensation.</w:t>
      </w:r>
    </w:p>
    <w:p>
      <w:pPr>
        <w:spacing w:after="0" w:line="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Because of these and other potential limitations, you should consider our non-GAAP financial measures only as supplemental to other GAAP-based financial performance measures.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23"/>
        </w:trPr>
        <w:tc>
          <w:tcPr>
            <w:tcW w:w="36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 v 2024</w:t>
            </w:r>
          </w:p>
        </w:tc>
        <w:tc>
          <w:tcPr>
            <w:tcW w:w="80" w:type="dxa"/>
            <w:vAlign w:val="bottom"/>
          </w:tcPr>
          <w:p>
            <w:pPr>
              <w:spacing w:after="0"/>
              <w:rPr>
                <w:sz w:val="19"/>
                <w:szCs w:val="19"/>
                <w:color w:val="auto"/>
              </w:rPr>
            </w:pPr>
          </w:p>
        </w:tc>
        <w:tc>
          <w:tcPr>
            <w:tcW w:w="14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 v 2023</w:t>
            </w:r>
          </w:p>
        </w:tc>
      </w:tr>
      <w:tr>
        <w:trPr>
          <w:trHeight w:val="213"/>
        </w:trPr>
        <w:tc>
          <w:tcPr>
            <w:tcW w:w="3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NM = Not Meaningful</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
        </w:trPr>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Operating and Financial Performance</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Measures</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157,585</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132,071</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102,455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208,652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177,390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143,382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332,123</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285,757</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241,230</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151,228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132,949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114,281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24,096</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12,452</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225 %</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29,101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as a percentage of gross profit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NM</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176"/>
        </w:trPr>
        <w:tc>
          <w:tcPr>
            <w:tcW w:w="3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Adjusted EBITDA as a percentage of contribution</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4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ex-TAC</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NM</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41,096</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34,661</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21,743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r>
      <w:tr>
        <w:trPr>
          <w:trHeight w:val="229"/>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161 %</w:t>
            </w:r>
          </w:p>
        </w:tc>
      </w:tr>
      <w:tr>
        <w:trPr>
          <w:trHeight w:val="23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earnings (loss) per share—basic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4"/>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earnings (loss) per share—diluted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0.45</w:t>
            </w:r>
          </w:p>
        </w:tc>
        <w:tc>
          <w:tcPr>
            <w:tcW w:w="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20"/>
                <w:szCs w:val="20"/>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ex-TAC</w:t>
      </w:r>
    </w:p>
    <w:p>
      <w:pPr>
        <w:spacing w:after="0" w:line="11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 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8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231F20"/>
        </w:rPr>
        <w:t xml:space="preserve">The following table presents the calculation of gross profit and reconciliation of gross profit to contribution ex-TAC </w:t>
      </w:r>
      <w:r>
        <w:rPr>
          <w:rFonts w:ascii="Times New Roman" w:cs="Times New Roman" w:eastAsia="Times New Roman" w:hAnsi="Times New Roman"/>
          <w:sz w:val="18"/>
          <w:szCs w:val="18"/>
          <w:color w:val="000000"/>
        </w:rPr>
        <w:t>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700" w:type="dxa"/>
            <w:vAlign w:val="bottom"/>
            <w:tcBorders>
              <w:bottom w:val="single" w:sz="8" w:color="CCEEFF"/>
            </w:tcBorders>
          </w:tcPr>
          <w:p>
            <w:pPr>
              <w:spacing w:after="0"/>
              <w:rPr>
                <w:sz w:val="19"/>
                <w:szCs w:val="19"/>
                <w:color w:val="auto"/>
              </w:rPr>
            </w:pPr>
          </w:p>
        </w:tc>
        <w:tc>
          <w:tcPr>
            <w:tcW w:w="2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289,235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222,934</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Platform operations</w:t>
            </w:r>
          </w:p>
        </w:tc>
        <w:tc>
          <w:tcPr>
            <w:tcW w:w="2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(186,616)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(157,164)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(120,479)</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102,455</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19"/>
                <w:szCs w:val="19"/>
                <w:color w:val="auto"/>
              </w:rPr>
            </w:pPr>
          </w:p>
        </w:tc>
        <w:tc>
          <w:tcPr>
            <w:tcW w:w="37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Other platform operations</w:t>
            </w:r>
          </w:p>
        </w:tc>
        <w:tc>
          <w:tcPr>
            <w:tcW w:w="20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40,927</w:t>
            </w: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00" w:type="dxa"/>
            <w:vAlign w:val="bottom"/>
          </w:tcPr>
          <w:p>
            <w:pPr>
              <w:spacing w:after="0"/>
              <w:rPr>
                <w:sz w:val="21"/>
                <w:szCs w:val="21"/>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20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177,390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143,382</w:t>
            </w: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CCEEFF"/>
            </w:tcBorders>
            <w:vMerge w:val="restart"/>
          </w:tcPr>
          <w:p>
            <w:pPr>
              <w:jc w:val="right"/>
              <w:ind w:right="530"/>
              <w:spacing w:after="0"/>
              <w:rPr>
                <w:sz w:val="20"/>
                <w:szCs w:val="20"/>
                <w:color w:val="auto"/>
              </w:rPr>
            </w:pPr>
            <w:r>
              <w:rPr>
                <w:rFonts w:ascii="Times New Roman" w:cs="Times New Roman" w:eastAsia="Times New Roman" w:hAnsi="Times New Roman"/>
                <w:sz w:val="18"/>
                <w:szCs w:val="18"/>
                <w:color w:val="auto"/>
              </w:rPr>
              <w:t>56</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6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operating expenses</w:t>
      </w:r>
    </w:p>
    <w:p>
      <w:pPr>
        <w:spacing w:after="0" w:line="11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Non-GAAP operating expenses is a non-GAAP financial measure. Total operating expenses is the most comparable GAAP financial measure. Non-GAAP operating expenses is defined by us as total operating expenses plus other expense, net, less TAC, stock-based compensation, depreciation, amortization and certain other items that are not related to our core operations, such as restructuring and other charges, transaction expense and non-operational media purchases.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8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total operating expenses to non-GAAP operating expenses for the periods presented:</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157,164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120,479</w:t>
            </w:r>
          </w:p>
        </w:tc>
      </w:tr>
      <w:tr>
        <w:trPr>
          <w:trHeight w:val="229"/>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50,650</w:t>
            </w:r>
          </w:p>
        </w:tc>
      </w:tr>
      <w:tr>
        <w:trPr>
          <w:trHeight w:val="23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24,756</w:t>
            </w:r>
          </w:p>
        </w:tc>
      </w:tr>
      <w:tr>
        <w:trPr>
          <w:trHeight w:val="23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51,103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45,345</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332,123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241,230</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(79,552)</w:t>
            </w:r>
          </w:p>
        </w:tc>
      </w:tr>
      <w:tr>
        <w:trPr>
          <w:trHeight w:val="230"/>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w:t>
            </w:r>
          </w:p>
        </w:tc>
      </w:tr>
      <w:tr>
        <w:trPr>
          <w:trHeight w:val="23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(14,731)</w:t>
            </w:r>
          </w:p>
        </w:tc>
      </w:tr>
      <w:tr>
        <w:trPr>
          <w:trHeight w:val="229"/>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6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151,228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132,949</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114,281</w:t>
            </w: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00" w:right="20" w:hanging="325"/>
        <w:spacing w:after="0" w:line="266" w:lineRule="auto"/>
        <w:tabs>
          <w:tab w:leader="none" w:pos="8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for the year ended December 31, 2025 includes severance and other charges incurred in connection with organizational restructuring initiatives and for the years ended December 31, 2024, and 2023 is related to aligning our workforce with our strategic performance goals.</w:t>
      </w:r>
    </w:p>
    <w:p>
      <w:pPr>
        <w:spacing w:after="0" w:line="67" w:lineRule="exact"/>
        <w:rPr>
          <w:rFonts w:ascii="Times New Roman" w:cs="Times New Roman" w:eastAsia="Times New Roman" w:hAnsi="Times New Roman"/>
          <w:sz w:val="18"/>
          <w:szCs w:val="18"/>
          <w:color w:val="auto"/>
        </w:rPr>
      </w:pPr>
    </w:p>
    <w:p>
      <w:pPr>
        <w:jc w:val="both"/>
        <w:ind w:left="900" w:right="180" w:hanging="325"/>
        <w:spacing w:after="0" w:line="266" w:lineRule="auto"/>
        <w:tabs>
          <w:tab w:leader="none" w:pos="8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consists of costs incurred related to our contemplated and completed acquisitions for the year ended December 31, 2025 and costs incurred related to our completed acquisition as well as the filing of a "shelf" registration statement on Form S-3 for the year ended December 31, 2024.</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non-operating supplier purchases that are not billable to the customer for the years ended December 31, 2025 and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as a percentage of contribution ex-TAC</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and other charges, transaction expense, non-operational media purchases, TRA remeasurement expense, and employee retention credit. Net income (loss) is the most comparable GAAP financial measure. Adjusted EBITDA as a percentage of contribution ex-TAC is a non-GAAP financial measure we calculate by dividing adjusted EBITDA by contribution ex-TAC for the period or periods presented. Net income (loss) as a percentage of gross profit is the most comparable GAAP financial measure.</w:t>
      </w:r>
    </w:p>
    <w:p>
      <w:pPr>
        <w:spacing w:after="0" w:line="7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the periods presented:</w:t>
      </w:r>
    </w:p>
    <w:p>
      <w:pPr>
        <w:spacing w:after="0" w:line="262" w:lineRule="exact"/>
        <w:rPr>
          <w:sz w:val="20"/>
          <w:szCs w:val="20"/>
          <w:color w:val="auto"/>
        </w:rPr>
      </w:pPr>
    </w:p>
    <w:tbl>
      <w:tblPr>
        <w:tblLayout w:type="fixed"/>
        <w:tblInd w:w="60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7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r>
      <w:tr>
        <w:trPr>
          <w:trHeight w:val="22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(8,594)</w:t>
            </w: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0"/>
        </w:trPr>
        <w:tc>
          <w:tcPr>
            <w:tcW w:w="5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14,731</w:t>
            </w:r>
          </w:p>
        </w:tc>
      </w:tr>
      <w:tr>
        <w:trPr>
          <w:trHeight w:val="229"/>
        </w:trPr>
        <w:tc>
          <w:tcPr>
            <w:tcW w:w="5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r>
      <w:tr>
        <w:trPr>
          <w:trHeight w:val="230"/>
        </w:trPr>
        <w:tc>
          <w:tcPr>
            <w:tcW w:w="57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30"/>
        </w:trPr>
        <w:tc>
          <w:tcPr>
            <w:tcW w:w="57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3"/>
                <w:szCs w:val="23"/>
                <w:color w:val="auto"/>
                <w:vertAlign w:val="superscript"/>
              </w:rPr>
              <w:t>(3)</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6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3"/>
                <w:szCs w:val="23"/>
                <w:color w:val="auto"/>
                <w:vertAlign w:val="superscript"/>
              </w:rPr>
              <w:t>(4)</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6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Employee retention credit</w:t>
            </w:r>
            <w:r>
              <w:rPr>
                <w:rFonts w:ascii="Times New Roman" w:cs="Times New Roman" w:eastAsia="Times New Roman" w:hAnsi="Times New Roman"/>
                <w:sz w:val="23"/>
                <w:szCs w:val="23"/>
                <w:color w:val="auto"/>
                <w:vertAlign w:val="superscript"/>
              </w:rPr>
              <w:t>(5)</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44,441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29,101</w:t>
            </w:r>
          </w:p>
        </w:tc>
      </w:tr>
      <w:tr>
        <w:trPr>
          <w:trHeight w:val="21"/>
        </w:trPr>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900" w:right="40" w:hanging="325"/>
        <w:spacing w:after="0" w:line="266" w:lineRule="auto"/>
        <w:tabs>
          <w:tab w:leader="none" w:pos="8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for the year ended December 31, 2025 includes severance and other charges incurred in connection with organizational restructuring initiatives and for the years ended December 31, 2024, and 2023 is related to aligning our workforce with our strategic performance goals.</w:t>
      </w:r>
    </w:p>
    <w:p>
      <w:pPr>
        <w:spacing w:after="0" w:line="67" w:lineRule="exact"/>
        <w:rPr>
          <w:rFonts w:ascii="Times New Roman" w:cs="Times New Roman" w:eastAsia="Times New Roman" w:hAnsi="Times New Roman"/>
          <w:sz w:val="18"/>
          <w:szCs w:val="18"/>
          <w:color w:val="auto"/>
        </w:rPr>
      </w:pPr>
    </w:p>
    <w:p>
      <w:pPr>
        <w:jc w:val="both"/>
        <w:ind w:left="900" w:right="200" w:hanging="325"/>
        <w:spacing w:after="0" w:line="266" w:lineRule="auto"/>
        <w:tabs>
          <w:tab w:leader="none" w:pos="8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consists of costs incurred related to our contemplated and completed acquisitions for the year ended December 31, 2025 and costs incurred related to our completed acquisition as well as the filing of a "shelf" registration statement on Form S-3 for the year ended December 31, 2024.</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8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non-operating supplier purchases that are not billable to the customer for the years ended December 31, 2025 and 2024.</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remeasurement expense reflects the remeasurement of the TRA liability for the year ended December 31, 2025.</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credit represents proceeds from a government grant enacted under the CARES Act for the year ended December 31,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62"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net income (loss) as a percentage of gross profit and the calculation of adjusted EBITDA as a percentage of contribution ex-TAC for the periods presented:</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Borders>
              <w:bottom w:val="single" w:sz="8" w:color="auto"/>
            </w:tcBorders>
          </w:tcPr>
          <w:p>
            <w:pPr>
              <w:spacing w:after="0"/>
              <w:rPr>
                <w:sz w:val="20"/>
                <w:szCs w:val="20"/>
                <w:color w:val="auto"/>
              </w:rPr>
            </w:pPr>
          </w:p>
        </w:tc>
      </w:tr>
      <w:tr>
        <w:trPr>
          <w:trHeight w:val="223"/>
        </w:trPr>
        <w:tc>
          <w:tcPr>
            <w:tcW w:w="5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157,585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132,071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102,455</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(9,943)</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as a percentage of gross profit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56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3"/>
                <w:szCs w:val="23"/>
                <w:color w:val="auto"/>
                <w:vertAlign w:val="superscript"/>
              </w:rPr>
              <w:t>(1)</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208,652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177,390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143,382</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57,424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44,441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29,101</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as a percentage of contribution ex-TAC</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177" w:lineRule="exact"/>
        <w:rPr>
          <w:sz w:val="20"/>
          <w:szCs w:val="20"/>
          <w:color w:val="auto"/>
        </w:rPr>
      </w:pPr>
    </w:p>
    <w:p>
      <w:pPr>
        <w:ind w:left="900" w:right="260" w:hanging="325"/>
        <w:spacing w:after="0" w:line="284" w:lineRule="auto"/>
        <w:tabs>
          <w:tab w:leader="none" w:pos="89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w:t>
      </w:r>
      <w:r>
        <w:rPr>
          <w:rFonts w:ascii="Times New Roman" w:cs="Times New Roman" w:eastAsia="Times New Roman" w:hAnsi="Times New Roman"/>
          <w:sz w:val="18"/>
          <w:szCs w:val="18"/>
          <w:color w:val="231F20"/>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net income (loss)</w:t>
      </w:r>
    </w:p>
    <w:p>
      <w:pPr>
        <w:spacing w:after="0" w:line="119" w:lineRule="exact"/>
        <w:rPr>
          <w:sz w:val="20"/>
          <w:szCs w:val="20"/>
          <w:color w:val="auto"/>
        </w:rPr>
      </w:pPr>
    </w:p>
    <w:p>
      <w:pPr>
        <w:ind w:right="140" w:firstLine="486"/>
        <w:spacing w:after="0" w:line="254" w:lineRule="auto"/>
        <w:rPr>
          <w:sz w:val="20"/>
          <w:szCs w:val="20"/>
          <w:color w:val="auto"/>
        </w:rPr>
      </w:pPr>
      <w:r>
        <w:rPr>
          <w:rFonts w:ascii="Times New Roman" w:cs="Times New Roman" w:eastAsia="Times New Roman" w:hAnsi="Times New Roman"/>
          <w:sz w:val="18"/>
          <w:szCs w:val="18"/>
          <w:color w:val="auto"/>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 non-operational media purchases, TRA remeasurement expense, income tax benefit resulting from the release of the valuation allowance and employee retention credit,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8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non-GAAP net income (loss)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6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000" w:type="dxa"/>
            <w:vAlign w:val="bottom"/>
          </w:tcPr>
          <w:p>
            <w:pPr>
              <w:ind w:left="160"/>
              <w:spacing w:after="0" w:line="230"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Non-operational media purchases</w:t>
            </w:r>
            <w:r>
              <w:rPr>
                <w:rFonts w:ascii="Times New Roman" w:cs="Times New Roman" w:eastAsia="Times New Roman" w:hAnsi="Times New Roman"/>
                <w:sz w:val="23"/>
                <w:szCs w:val="23"/>
                <w:color w:val="auto"/>
                <w:vertAlign w:val="superscript"/>
              </w:rPr>
              <w:t>(3)</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TRA remeasurement expense</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benefit resulting from the release of the valuation allowance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Employee retention credit</w:t>
            </w:r>
            <w:r>
              <w:rPr>
                <w:rFonts w:ascii="Times New Roman" w:cs="Times New Roman" w:eastAsia="Times New Roman" w:hAnsi="Times New Roman"/>
                <w:sz w:val="23"/>
                <w:szCs w:val="23"/>
                <w:color w:val="auto"/>
                <w:vertAlign w:val="superscript"/>
              </w:rPr>
              <w:t>(5)</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6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expense (benefit) related to Viant Technology Inc.’s share of non-</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6000" w:type="dxa"/>
            <w:vAlign w:val="bottom"/>
            <w:tcBorders>
              <w:bottom w:val="single" w:sz="8" w:color="CCEEFF"/>
            </w:tcBorders>
          </w:tcPr>
          <w:p>
            <w:pPr>
              <w:ind w:left="260"/>
              <w:spacing w:after="0" w:line="243" w:lineRule="exact"/>
              <w:rPr>
                <w:sz w:val="20"/>
                <w:szCs w:val="20"/>
                <w:color w:val="auto"/>
              </w:rPr>
            </w:pPr>
            <w:r>
              <w:rPr>
                <w:rFonts w:ascii="Times New Roman" w:cs="Times New Roman" w:eastAsia="Times New Roman" w:hAnsi="Times New Roman"/>
                <w:sz w:val="18"/>
                <w:szCs w:val="18"/>
                <w:color w:val="auto"/>
              </w:rPr>
              <w:t>GAAP pre-tax income</w:t>
            </w:r>
            <w:r>
              <w:rPr>
                <w:rFonts w:ascii="Times New Roman" w:cs="Times New Roman" w:eastAsia="Times New Roman" w:hAnsi="Times New Roman"/>
                <w:sz w:val="23"/>
                <w:szCs w:val="23"/>
                <w:color w:val="auto"/>
                <w:vertAlign w:val="superscript"/>
              </w:rPr>
              <w:t>(6)</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6000" w:type="dxa"/>
            <w:vAlign w:val="bottom"/>
            <w:tcBorders>
              <w:top w:val="single" w:sz="8" w:color="CCEEFF"/>
              <w:bottom w:val="single" w:sz="8" w:color="CCEEFF"/>
            </w:tcBorders>
            <w:vMerge w:val="restart"/>
          </w:tcPr>
          <w:p>
            <w:pPr>
              <w:ind w:left="504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500" w:type="dxa"/>
            <w:vAlign w:val="bottom"/>
            <w:vMerge w:val="continue"/>
          </w:tcPr>
          <w:p>
            <w:pPr>
              <w:spacing w:after="0"/>
              <w:rPr>
                <w:sz w:val="24"/>
                <w:szCs w:val="24"/>
                <w:color w:val="auto"/>
              </w:rPr>
            </w:pPr>
          </w:p>
        </w:tc>
        <w:tc>
          <w:tcPr>
            <w:tcW w:w="6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6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62" w:lineRule="exact"/>
        <w:rPr>
          <w:sz w:val="20"/>
          <w:szCs w:val="20"/>
          <w:color w:val="auto"/>
        </w:rPr>
      </w:pPr>
    </w:p>
    <w:p>
      <w:pPr>
        <w:ind w:left="900" w:right="40" w:hanging="325"/>
        <w:spacing w:after="0" w:line="266" w:lineRule="auto"/>
        <w:tabs>
          <w:tab w:leader="none" w:pos="8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for the year ended December 31, 2025 includes severance and other charges incurred in connection with organizational restructuring initiatives and for the years ended December 31, 2024, and 2023 is related to aligning our workforce with our strategic performance goals.</w:t>
      </w:r>
    </w:p>
    <w:p>
      <w:pPr>
        <w:spacing w:after="0" w:line="67" w:lineRule="exact"/>
        <w:rPr>
          <w:rFonts w:ascii="Times New Roman" w:cs="Times New Roman" w:eastAsia="Times New Roman" w:hAnsi="Times New Roman"/>
          <w:sz w:val="18"/>
          <w:szCs w:val="18"/>
          <w:color w:val="auto"/>
        </w:rPr>
      </w:pPr>
    </w:p>
    <w:p>
      <w:pPr>
        <w:jc w:val="both"/>
        <w:ind w:left="900" w:right="200" w:hanging="325"/>
        <w:spacing w:after="0" w:line="266" w:lineRule="auto"/>
        <w:tabs>
          <w:tab w:leader="none" w:pos="8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consists of costs incurred related to our contemplated and completed acquisitions for the year ended December 31, 2025 and costs incurred related to our completed acquisition as well as the filing of a "shelf" registration statement on Form S-3 for the year ended December 31, 2024.</w:t>
      </w:r>
    </w:p>
    <w:p>
      <w:pPr>
        <w:spacing w:after="0" w:line="6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8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non-operating supplier purchases that are not billable to the customer for the years ended December 31, 2025 and 2024.</w:t>
      </w:r>
    </w:p>
    <w:p>
      <w:pPr>
        <w:spacing w:after="0" w:line="5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remeasurement expense reflects the remeasurement of the TRA liability for the year ended December 31, 2025.</w:t>
      </w:r>
    </w:p>
    <w:p>
      <w:pPr>
        <w:spacing w:after="0" w:line="11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credit represents proceeds from a government grant enacted under the CARES Act for the year ended December 31, 2025.</w:t>
      </w:r>
    </w:p>
    <w:p>
      <w:pPr>
        <w:spacing w:after="0" w:line="117"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8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income tax effect of our share of income (loss) after non-GAAP reconciling items for the years ended December 31, 2025, 2024 and 2023 is calculated using assumed blended tax rates of 25%, 25% and 21%, respectively, which represent our expected corporate tax rates, excluding discrete and non-recurring tax items.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earnings (loss) per share of Class A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basic and diluted</w:t>
      </w:r>
    </w:p>
    <w:p>
      <w:pPr>
        <w:spacing w:after="0" w:line="11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 non-operational media purchases, TRA remeasurement expense, income tax benefit resulting from the release of the valuation allowance and employee retention credit, as well as the income tax effect of these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 basic and diluted provides information to investors and the market generally that aids in the understanding and evaluation of our results of operations in the same manner as our management and board of directors.</w:t>
      </w:r>
    </w:p>
    <w:p>
      <w:pPr>
        <w:spacing w:after="0" w:line="84"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 potential limitations, you should consider our non-GAAP financial measures only as supplemental to other GAAP-based financial performance measures, including earnings (loss) per share of Class A common stock—basic and diluted.</w:t>
      </w:r>
    </w:p>
    <w:p>
      <w:pPr>
        <w:spacing w:after="0" w:line="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Basic non-GAAP earnings (loss) per share of Class A common stock is calculated by dividing the non-GAAP net income (loss) attributable to Class A common stockholders by the number of weighted-average shares of Class A common stock outstanding. Shares of our Class B common stock do not share in our earnings or losses and are therefore not participating securities. As such, separate presentation of basic and diluted non-GAAP earnings (loss) of Class B common stock under the two-class method has not been presented.</w:t>
      </w:r>
    </w:p>
    <w:p>
      <w:pPr>
        <w:spacing w:after="0" w:line="7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Diluted non-GAAP earnings (loss) per share of Class A common stock adjusts the basic non-GAAP earnings (loss) per share for the potential dilutive impact of shares of Class A common stock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restricted stock units ("RSUs") and nonqualified stock options ("NQSOs") are considered potentially dilutive shares of Class A common stock.</w:t>
      </w:r>
    </w:p>
    <w:p>
      <w:pPr>
        <w:spacing w:after="0" w:line="75"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reconciliation of earnings (loss) per share of Class A common stock—basic and diluted to non-GAAP earnings (loss) per share of Class A common stock—basic and diluted for the years ended December 31, 2025, 2024 and 2023.</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61" w:name="page62"/>
    <w:bookmarkEnd w:id="61"/>
    <w:p>
      <w:pPr>
        <w:jc w:val="center"/>
        <w:ind w:right="515"/>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515"/>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515"/>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98" w:lineRule="exact"/>
        <w:rPr>
          <w:sz w:val="20"/>
          <w:szCs w:val="20"/>
          <w:color w:val="auto"/>
        </w:rPr>
      </w:pPr>
    </w:p>
    <w:p>
      <w:pPr>
        <w:ind w:left="7085"/>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31" w:lineRule="exact"/>
        <w:rPr>
          <w:sz w:val="20"/>
          <w:szCs w:val="20"/>
          <w:color w:val="auto"/>
        </w:rPr>
      </w:pPr>
    </w:p>
    <w:tbl>
      <w:tblPr>
        <w:tblLayout w:type="fixed"/>
        <w:tblInd w:w="145" w:type="dxa"/>
        <w:tblCellMar>
          <w:top w:w="0" w:type="dxa"/>
          <w:left w:w="0" w:type="dxa"/>
          <w:bottom w:w="0" w:type="dxa"/>
          <w:right w:w="0" w:type="dxa"/>
        </w:tblCellMar>
      </w:tblPr>
      <w:tr>
        <w:trPr>
          <w:trHeight w:val="131"/>
        </w:trPr>
        <w:tc>
          <w:tcPr>
            <w:tcW w:w="6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112"/>
              <w:spacing w:after="0" w:line="131"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6"/>
        </w:trPr>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52"/>
              <w:spacing w:after="0" w:line="146"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2"/>
                <w:szCs w:val="12"/>
                <w:color w:val="auto"/>
              </w:rPr>
            </w:pPr>
          </w:p>
        </w:tc>
        <w:tc>
          <w:tcPr>
            <w:tcW w:w="1220" w:type="dxa"/>
            <w:vAlign w:val="bottom"/>
          </w:tcPr>
          <w:p>
            <w:pPr>
              <w:jc w:val="center"/>
              <w:ind w:right="112"/>
              <w:spacing w:after="0" w:line="146"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29"/>
        </w:trPr>
        <w:tc>
          <w:tcPr>
            <w:tcW w:w="6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Non-operational media purchases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29"/>
        </w:trPr>
        <w:tc>
          <w:tcPr>
            <w:tcW w:w="6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TRA remeasurement expense</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Income tax benefit resulting from the release of the valuation allowance</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Less: Employee retention credit</w:t>
            </w:r>
            <w:r>
              <w:rPr>
                <w:rFonts w:ascii="Times New Roman" w:cs="Times New Roman" w:eastAsia="Times New Roman" w:hAnsi="Times New Roman"/>
                <w:sz w:val="23"/>
                <w:szCs w:val="23"/>
                <w:color w:val="auto"/>
                <w:vertAlign w:val="superscript"/>
              </w:rPr>
              <w:t>(5)</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0" w:type="dxa"/>
            <w:vAlign w:val="bottom"/>
          </w:tcPr>
          <w:p>
            <w:pPr>
              <w:spacing w:after="0"/>
              <w:rPr>
                <w:sz w:val="1"/>
                <w:szCs w:val="1"/>
                <w:color w:val="auto"/>
              </w:rPr>
            </w:pPr>
          </w:p>
        </w:tc>
      </w:tr>
      <w:tr>
        <w:trPr>
          <w:trHeight w:val="175"/>
        </w:trPr>
        <w:tc>
          <w:tcPr>
            <w:tcW w:w="6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expense (benefit) related to Viant Technology Inc.’s share of non-</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60"/>
              <w:spacing w:after="0" w:line="243" w:lineRule="exact"/>
              <w:rPr>
                <w:sz w:val="20"/>
                <w:szCs w:val="20"/>
                <w:color w:val="auto"/>
              </w:rPr>
            </w:pPr>
            <w:r>
              <w:rPr>
                <w:rFonts w:ascii="Times New Roman" w:cs="Times New Roman" w:eastAsia="Times New Roman" w:hAnsi="Times New Roman"/>
                <w:sz w:val="18"/>
                <w:szCs w:val="18"/>
                <w:color w:val="auto"/>
              </w:rPr>
              <w:t>GAAP pre-tax income</w:t>
            </w:r>
            <w:r>
              <w:rPr>
                <w:rFonts w:ascii="Times New Roman" w:cs="Times New Roman" w:eastAsia="Times New Roman" w:hAnsi="Times New Roman"/>
                <w:sz w:val="23"/>
                <w:szCs w:val="23"/>
                <w:color w:val="auto"/>
                <w:vertAlign w:val="superscript"/>
              </w:rPr>
              <w:t>(6)</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r>
              <w:rPr>
                <w:rFonts w:ascii="Times New Roman" w:cs="Times New Roman" w:eastAsia="Times New Roman" w:hAnsi="Times New Roman"/>
                <w:sz w:val="23"/>
                <w:szCs w:val="23"/>
                <w:color w:val="auto"/>
                <w:vertAlign w:val="superscript"/>
              </w:rPr>
              <w:t>(7)</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32,920</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Inc.—basic</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8,176</w:t>
            </w:r>
          </w:p>
        </w:tc>
        <w:tc>
          <w:tcPr>
            <w:tcW w:w="0" w:type="dxa"/>
            <w:vAlign w:val="bottom"/>
          </w:tcPr>
          <w:p>
            <w:pPr>
              <w:spacing w:after="0"/>
              <w:rPr>
                <w:sz w:val="1"/>
                <w:szCs w:val="1"/>
                <w:color w:val="auto"/>
              </w:rPr>
            </w:pPr>
          </w:p>
        </w:tc>
      </w:tr>
      <w:tr>
        <w:trPr>
          <w:trHeight w:val="156"/>
        </w:trPr>
        <w:tc>
          <w:tcPr>
            <w:tcW w:w="6000" w:type="dxa"/>
            <w:vAlign w:val="bottom"/>
            <w:shd w:val="clear" w:color="auto" w:fill="CCEEFF"/>
          </w:tcPr>
          <w:p>
            <w:pPr>
              <w:ind w:left="180"/>
              <w:spacing w:after="0" w:line="156" w:lineRule="exact"/>
              <w:rPr>
                <w:sz w:val="20"/>
                <w:szCs w:val="20"/>
                <w:color w:val="auto"/>
              </w:rPr>
            </w:pPr>
            <w:r>
              <w:rPr>
                <w:rFonts w:ascii="Times New Roman" w:cs="Times New Roman" w:eastAsia="Times New Roman" w:hAnsi="Times New Roman"/>
                <w:sz w:val="18"/>
                <w:szCs w:val="18"/>
                <w:color w:val="auto"/>
              </w:rPr>
              <w:t>Add back: Reallocation of net income attributable to noncontrolling interest</w:t>
            </w: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from the assumed exchange of RSUs and NQSOs for Class A common stock</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175"/>
        </w:trPr>
        <w:tc>
          <w:tcPr>
            <w:tcW w:w="6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from the assumed exchange of RSUs and NQSOs</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Class A common stock</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(less): Net income attributable to noncontrolling interests</w:t>
            </w:r>
            <w:r>
              <w:rPr>
                <w:rFonts w:ascii="Times New Roman" w:cs="Times New Roman" w:eastAsia="Times New Roman" w:hAnsi="Times New Roman"/>
                <w:sz w:val="23"/>
                <w:szCs w:val="23"/>
                <w:color w:val="auto"/>
                <w:vertAlign w:val="superscript"/>
              </w:rPr>
              <w:t>(7)</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Inc.—diluted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outstanding—diluted</w:t>
            </w: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 Class A common</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stock—diluted: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45,717</w:t>
            </w:r>
          </w:p>
        </w:tc>
        <w:tc>
          <w:tcPr>
            <w:tcW w:w="0" w:type="dxa"/>
            <w:vAlign w:val="bottom"/>
          </w:tcPr>
          <w:p>
            <w:pPr>
              <w:spacing w:after="0"/>
              <w:rPr>
                <w:sz w:val="1"/>
                <w:szCs w:val="1"/>
                <w:color w:val="auto"/>
              </w:rPr>
            </w:pPr>
          </w:p>
        </w:tc>
      </w:tr>
      <w:tr>
        <w:trPr>
          <w:trHeight w:val="155"/>
        </w:trPr>
        <w:tc>
          <w:tcPr>
            <w:tcW w:w="6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shares excluded from earnings (loss) per share of Class A common stock—</w:t>
            </w:r>
          </w:p>
        </w:tc>
        <w:tc>
          <w:tcPr>
            <w:tcW w:w="2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45,717</w:t>
            </w: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325" w:hanging="325"/>
        <w:spacing w:after="0" w:line="282" w:lineRule="auto"/>
        <w:tabs>
          <w:tab w:leader="none" w:pos="3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for the year ended December 31, 2025 includes severance and other charges incurred in connection with organizational restructuring initiatives.</w:t>
      </w:r>
    </w:p>
    <w:p>
      <w:pPr>
        <w:spacing w:after="0" w:line="378" w:lineRule="exact"/>
        <w:rPr>
          <w:sz w:val="20"/>
          <w:szCs w:val="20"/>
          <w:color w:val="auto"/>
        </w:rPr>
      </w:pPr>
    </w:p>
    <w:p>
      <w:pPr>
        <w:jc w:val="center"/>
        <w:ind w:right="515"/>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5"/>
          </w:cols>
          <w:pgMar w:left="895" w:top="104" w:right="379" w:bottom="1440" w:gutter="0" w:footer="0" w:header="0"/>
        </w:sectPr>
      </w:pPr>
    </w:p>
    <w:bookmarkStart w:id="62" w:name="page63"/>
    <w:bookmarkEnd w:id="62"/>
    <w:p>
      <w:pPr>
        <w:jc w:val="center"/>
        <w:ind w:right="475"/>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475"/>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475"/>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62" w:lineRule="exact"/>
        <w:rPr>
          <w:sz w:val="20"/>
          <w:szCs w:val="20"/>
          <w:color w:val="auto"/>
        </w:rPr>
      </w:pPr>
    </w:p>
    <w:p>
      <w:pPr>
        <w:ind w:left="325" w:hanging="325"/>
        <w:spacing w:after="0"/>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consists of costs incurred related to our contemplated and completed acquisitions for the year ended December 31, 2025.</w:t>
      </w:r>
    </w:p>
    <w:p>
      <w:pPr>
        <w:spacing w:after="0" w:line="117" w:lineRule="exact"/>
        <w:rPr>
          <w:rFonts w:ascii="Times New Roman" w:cs="Times New Roman" w:eastAsia="Times New Roman" w:hAnsi="Times New Roman"/>
          <w:sz w:val="18"/>
          <w:szCs w:val="18"/>
          <w:color w:val="auto"/>
        </w:rPr>
      </w:pPr>
    </w:p>
    <w:p>
      <w:pPr>
        <w:ind w:left="325" w:right="60" w:hanging="325"/>
        <w:spacing w:after="0" w:line="282" w:lineRule="auto"/>
        <w:tabs>
          <w:tab w:leader="none" w:pos="3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non-operating supplier purchases that are not billable to the customer for the year ended December 31, 2025.</w:t>
      </w:r>
    </w:p>
    <w:p>
      <w:pPr>
        <w:spacing w:after="0" w:line="53"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remeasurement expense reflects the remeasurement of the TRA liability for the year ended December 31, 2025.</w:t>
      </w:r>
    </w:p>
    <w:p>
      <w:pPr>
        <w:spacing w:after="0" w:line="117" w:lineRule="exact"/>
        <w:rPr>
          <w:rFonts w:ascii="Times New Roman" w:cs="Times New Roman" w:eastAsia="Times New Roman" w:hAnsi="Times New Roman"/>
          <w:sz w:val="18"/>
          <w:szCs w:val="18"/>
          <w:color w:val="auto"/>
        </w:rPr>
      </w:pPr>
    </w:p>
    <w:p>
      <w:pPr>
        <w:ind w:left="325" w:hanging="325"/>
        <w:spacing w:after="0"/>
        <w:tabs>
          <w:tab w:leader="none" w:pos="32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retention credit represents proceeds from a government grant enacted under the CARES Act for the year ended December 31, 2025.</w:t>
      </w:r>
    </w:p>
    <w:p>
      <w:pPr>
        <w:spacing w:after="0" w:line="128" w:lineRule="exact"/>
        <w:rPr>
          <w:rFonts w:ascii="Times New Roman" w:cs="Times New Roman" w:eastAsia="Times New Roman" w:hAnsi="Times New Roman"/>
          <w:sz w:val="17"/>
          <w:szCs w:val="17"/>
          <w:color w:val="auto"/>
        </w:rPr>
      </w:pPr>
    </w:p>
    <w:p>
      <w:pPr>
        <w:ind w:left="325" w:right="20" w:hanging="325"/>
        <w:spacing w:after="0" w:line="312" w:lineRule="auto"/>
        <w:tabs>
          <w:tab w:leader="none" w:pos="319"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estimated income tax effect of our share of income after non-GAAP reconciling items for the year ended December 31, 2025 is calculated using an assumed blended tax rate of 25%, which represents our expected corporate tax rate, excluding discrete and non-recurring tax items.</w:t>
      </w:r>
    </w:p>
    <w:p>
      <w:pPr>
        <w:spacing w:after="0" w:line="31" w:lineRule="exact"/>
        <w:rPr>
          <w:rFonts w:ascii="Times New Roman" w:cs="Times New Roman" w:eastAsia="Times New Roman" w:hAnsi="Times New Roman"/>
          <w:sz w:val="17"/>
          <w:szCs w:val="17"/>
          <w:color w:val="auto"/>
        </w:rPr>
      </w:pPr>
    </w:p>
    <w:p>
      <w:pPr>
        <w:ind w:left="325" w:right="260" w:hanging="325"/>
        <w:spacing w:after="0" w:line="266" w:lineRule="auto"/>
        <w:tabs>
          <w:tab w:leader="none" w:pos="31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net income attributable to noncontrolling interests represents stock-based compensation, restructuring and other charges, transaction expense, non-operational media purchases and employee retention credit attributed to the noncontrolling interests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475"/>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5"/>
          </w:cols>
          <w:pgMar w:left="895" w:top="104" w:right="419" w:bottom="1440" w:gutter="0" w:footer="0" w:header="0"/>
        </w:sectPr>
      </w:pPr>
    </w:p>
    <w:bookmarkStart w:id="63" w:name="page64"/>
    <w:bookmarkEnd w:id="63"/>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400"/>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390"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6"/>
        </w:trPr>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200" w:type="dxa"/>
            <w:vAlign w:val="bottom"/>
          </w:tcPr>
          <w:p>
            <w:pPr>
              <w:spacing w:after="0"/>
              <w:rPr>
                <w:sz w:val="12"/>
                <w:szCs w:val="12"/>
                <w:color w:val="auto"/>
              </w:rPr>
            </w:pPr>
          </w:p>
        </w:tc>
        <w:tc>
          <w:tcPr>
            <w:tcW w:w="14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20" w:type="dxa"/>
            <w:vAlign w:val="bottom"/>
          </w:tcPr>
          <w:p>
            <w:pPr>
              <w:jc w:val="center"/>
              <w:ind w:right="75"/>
              <w:spacing w:after="0" w:line="146"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22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3"/>
                <w:szCs w:val="23"/>
                <w:color w:val="auto"/>
                <w:vertAlign w:val="superscript"/>
              </w:rPr>
              <w:t>(2)</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Non-operational media purchases</w:t>
            </w:r>
            <w:r>
              <w:rPr>
                <w:rFonts w:ascii="Times New Roman" w:cs="Times New Roman" w:eastAsia="Times New Roman" w:hAnsi="Times New Roman"/>
                <w:sz w:val="23"/>
                <w:szCs w:val="23"/>
                <w:color w:val="auto"/>
                <w:vertAlign w:val="superscript"/>
              </w:rPr>
              <w:t>(3)</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0" w:type="dxa"/>
            <w:vAlign w:val="bottom"/>
          </w:tcPr>
          <w:p>
            <w:pPr>
              <w:spacing w:after="0"/>
              <w:rPr>
                <w:sz w:val="1"/>
                <w:szCs w:val="1"/>
                <w:color w:val="auto"/>
              </w:rPr>
            </w:pPr>
          </w:p>
        </w:tc>
      </w:tr>
      <w:tr>
        <w:trPr>
          <w:trHeight w:val="176"/>
        </w:trPr>
        <w:tc>
          <w:tcPr>
            <w:tcW w:w="6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related to Viant Technology Inc.’s share of non-</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60"/>
              <w:spacing w:after="0" w:line="243" w:lineRule="exact"/>
              <w:rPr>
                <w:sz w:val="20"/>
                <w:szCs w:val="20"/>
                <w:color w:val="auto"/>
              </w:rPr>
            </w:pPr>
            <w:r>
              <w:rPr>
                <w:rFonts w:ascii="Times New Roman" w:cs="Times New Roman" w:eastAsia="Times New Roman" w:hAnsi="Times New Roman"/>
                <w:sz w:val="18"/>
                <w:szCs w:val="18"/>
                <w:color w:val="auto"/>
              </w:rPr>
              <w:t>GAAP pre-tax income (loss)</w:t>
            </w:r>
            <w:r>
              <w:rPr>
                <w:rFonts w:ascii="Times New Roman" w:cs="Times New Roman" w:eastAsia="Times New Roman" w:hAnsi="Times New Roman"/>
                <w:sz w:val="23"/>
                <w:szCs w:val="23"/>
                <w:color w:val="auto"/>
                <w:vertAlign w:val="superscript"/>
              </w:rPr>
              <w:t>(4)</w:t>
            </w:r>
          </w:p>
        </w:tc>
        <w:tc>
          <w:tcPr>
            <w:tcW w:w="22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0" w:type="dxa"/>
            <w:vAlign w:val="bottom"/>
          </w:tcPr>
          <w:p>
            <w:pPr>
              <w:spacing w:after="0"/>
              <w:rPr>
                <w:sz w:val="1"/>
                <w:szCs w:val="1"/>
                <w:color w:val="auto"/>
              </w:rPr>
            </w:pPr>
          </w:p>
        </w:tc>
      </w:tr>
      <w:tr>
        <w:trPr>
          <w:trHeight w:val="223"/>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2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34,661</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Less: Net income attributable to noncontrolling interests</w:t>
            </w:r>
            <w:r>
              <w:rPr>
                <w:rFonts w:ascii="Times New Roman" w:cs="Times New Roman" w:eastAsia="Times New Roman" w:hAnsi="Times New Roman"/>
                <w:sz w:val="23"/>
                <w:szCs w:val="23"/>
                <w:color w:val="auto"/>
                <w:vertAlign w:val="superscript"/>
              </w:rPr>
              <w:t>(5)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Viant Technology Inc.—basic</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680"/>
          </w:cols>
          <w:pgMar w:left="800" w:top="104" w:right="419" w:bottom="1440" w:gutter="0" w:footer="0" w:header="0"/>
        </w:sectPr>
      </w:pPr>
    </w:p>
    <w:p>
      <w:pPr>
        <w:ind w:left="260" w:right="360" w:hanging="80"/>
        <w:spacing w:after="0" w:line="226" w:lineRule="auto"/>
        <w:rPr>
          <w:sz w:val="20"/>
          <w:szCs w:val="20"/>
          <w:color w:val="auto"/>
        </w:rPr>
      </w:pPr>
      <w:r>
        <w:rPr>
          <w:rFonts w:ascii="Times New Roman" w:cs="Times New Roman" w:eastAsia="Times New Roman" w:hAnsi="Times New Roman"/>
          <w:sz w:val="18"/>
          <w:szCs w:val="18"/>
          <w:color w:val="auto"/>
        </w:rPr>
        <w:t>Add back: Reallocation of net income attributable to noncontrolling interest from the assumed exchange of RSUs and NQSOs for Class A common stock</w:t>
      </w:r>
    </w:p>
    <w:p>
      <w:pPr>
        <w:spacing w:after="0" w:line="10" w:lineRule="exact"/>
        <w:rPr>
          <w:sz w:val="20"/>
          <w:szCs w:val="20"/>
          <w:color w:val="auto"/>
        </w:rPr>
      </w:pPr>
    </w:p>
    <w:p>
      <w:pPr>
        <w:ind w:left="260" w:right="260" w:hanging="80"/>
        <w:spacing w:after="0" w:line="237" w:lineRule="auto"/>
        <w:rPr>
          <w:sz w:val="20"/>
          <w:szCs w:val="20"/>
          <w:color w:val="auto"/>
        </w:rPr>
      </w:pPr>
      <w:r>
        <w:rPr>
          <w:rFonts w:ascii="Times New Roman" w:cs="Times New Roman" w:eastAsia="Times New Roman" w:hAnsi="Times New Roman"/>
          <w:sz w:val="18"/>
          <w:szCs w:val="18"/>
          <w:color w:val="auto"/>
        </w:rPr>
        <w:t>Income tax benefit (expense) from the assumed exchange of RSUs and NQSOs for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-255905</wp:posOffset>
            </wp:positionV>
            <wp:extent cx="6532245" cy="2654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32245" cy="265430"/>
                    </a:xfrm>
                    <a:prstGeom prst="rect">
                      <a:avLst/>
                    </a:prstGeom>
                    <a:noFill/>
                  </pic:spPr>
                </pic:pic>
              </a:graphicData>
            </a:graphic>
          </wp:anchor>
        </w:drawing>
      </w:r>
    </w:p>
    <w:p>
      <w:pPr>
        <w:spacing w:after="0" w:line="3" w:lineRule="exact"/>
        <w:rPr>
          <w:sz w:val="20"/>
          <w:szCs w:val="20"/>
          <w:color w:val="auto"/>
        </w:rPr>
      </w:pPr>
    </w:p>
    <w:p>
      <w:pPr>
        <w:ind w:left="20"/>
        <w:spacing w:after="0"/>
        <w:tabs>
          <w:tab w:leader="none" w:pos="6000" w:val="left"/>
        </w:tabs>
        <w:rPr>
          <w:sz w:val="20"/>
          <w:szCs w:val="20"/>
          <w:color w:val="auto"/>
        </w:rPr>
      </w:pPr>
      <w:r>
        <w:rPr>
          <w:rFonts w:ascii="Times New Roman" w:cs="Times New Roman" w:eastAsia="Times New Roman" w:hAnsi="Times New Roman"/>
          <w:sz w:val="18"/>
          <w:szCs w:val="18"/>
          <w:color w:val="auto"/>
        </w:rPr>
        <w:t>Net income attributable to Viant Technology Inc.—diluted</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653224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32245" cy="14541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712</w:t>
            </w: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r>
      <w:tr>
        <w:trPr>
          <w:trHeight w:val="41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(177)</w:t>
            </w: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3"/>
              </w:rPr>
              <w:t>2,897</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8,010</w:t>
            </w:r>
          </w:p>
        </w:tc>
      </w:tr>
      <w:tr>
        <w:trPr>
          <w:trHeight w:val="20"/>
        </w:trPr>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-33655</wp:posOffset>
            </wp:positionV>
            <wp:extent cx="865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6550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-187960</wp:posOffset>
            </wp:positionV>
            <wp:extent cx="8655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202" w:lineRule="exact"/>
        <w:rPr>
          <w:sz w:val="20"/>
          <w:szCs w:val="20"/>
          <w:color w:val="auto"/>
        </w:rPr>
      </w:pPr>
    </w:p>
    <w:p>
      <w:pPr>
        <w:sectPr>
          <w:pgSz w:w="11900" w:h="16838" w:orient="portrait"/>
          <w:cols w:equalWidth="0" w:num="2">
            <w:col w:w="6160" w:space="720"/>
            <w:col w:w="3800"/>
          </w:cols>
          <w:pgMar w:left="800" w:top="104" w:right="41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5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outstanding—diluted</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15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5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15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 Class A common</w:t>
            </w:r>
          </w:p>
        </w:tc>
        <w:tc>
          <w:tcPr>
            <w:tcW w:w="4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stock—diluted:</w:t>
            </w:r>
          </w:p>
        </w:tc>
        <w:tc>
          <w:tcPr>
            <w:tcW w:w="4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440" w:type="dxa"/>
            <w:vAlign w:val="bottom"/>
          </w:tcPr>
          <w:p>
            <w:pPr>
              <w:spacing w:after="0"/>
              <w:rPr>
                <w:sz w:val="19"/>
                <w:szCs w:val="19"/>
                <w:color w:val="auto"/>
              </w:rPr>
            </w:pPr>
          </w:p>
        </w:tc>
        <w:tc>
          <w:tcPr>
            <w:tcW w:w="2480" w:type="dxa"/>
            <w:vAlign w:val="bottom"/>
            <w:gridSpan w:val="2"/>
          </w:tcPr>
          <w:p>
            <w:pPr>
              <w:jc w:val="right"/>
              <w:ind w:right="1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440" w:type="dxa"/>
            <w:vAlign w:val="bottom"/>
            <w:shd w:val="clear" w:color="auto" w:fill="CCEEFF"/>
          </w:tcPr>
          <w:p>
            <w:pPr>
              <w:spacing w:after="0"/>
              <w:rPr>
                <w:sz w:val="19"/>
                <w:szCs w:val="19"/>
                <w:color w:val="auto"/>
              </w:rPr>
            </w:pPr>
          </w:p>
        </w:tc>
        <w:tc>
          <w:tcPr>
            <w:tcW w:w="2480" w:type="dxa"/>
            <w:vAlign w:val="bottom"/>
            <w:gridSpan w:val="2"/>
            <w:shd w:val="clear" w:color="auto" w:fill="CCEEFF"/>
          </w:tcPr>
          <w:p>
            <w:pPr>
              <w:jc w:val="right"/>
              <w:ind w:right="16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4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46,754</w:t>
            </w:r>
          </w:p>
        </w:tc>
        <w:tc>
          <w:tcPr>
            <w:tcW w:w="156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46,754</w:t>
            </w:r>
          </w:p>
        </w:tc>
        <w:tc>
          <w:tcPr>
            <w:tcW w:w="0" w:type="dxa"/>
            <w:vAlign w:val="bottom"/>
          </w:tcPr>
          <w:p>
            <w:pPr>
              <w:spacing w:after="0"/>
              <w:rPr>
                <w:sz w:val="1"/>
                <w:szCs w:val="1"/>
                <w:color w:val="auto"/>
              </w:rPr>
            </w:pPr>
          </w:p>
        </w:tc>
      </w:tr>
      <w:tr>
        <w:trPr>
          <w:trHeight w:val="155"/>
        </w:trPr>
        <w:tc>
          <w:tcPr>
            <w:tcW w:w="60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shares excluded from earnings (loss) per share of Class A common stock—</w:t>
            </w:r>
          </w:p>
        </w:tc>
        <w:tc>
          <w:tcPr>
            <w:tcW w:w="44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46,754</w:t>
            </w:r>
          </w:p>
        </w:tc>
        <w:tc>
          <w:tcPr>
            <w:tcW w:w="15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46,754</w:t>
            </w:r>
          </w:p>
        </w:tc>
        <w:tc>
          <w:tcPr>
            <w:tcW w:w="0" w:type="dxa"/>
            <w:vAlign w:val="bottom"/>
          </w:tcPr>
          <w:p>
            <w:pPr>
              <w:spacing w:after="0"/>
              <w:rPr>
                <w:sz w:val="1"/>
                <w:szCs w:val="1"/>
                <w:color w:val="auto"/>
              </w:rPr>
            </w:pPr>
          </w:p>
        </w:tc>
      </w:tr>
      <w:tr>
        <w:trPr>
          <w:trHeight w:val="236"/>
        </w:trPr>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right="240" w:hanging="325"/>
        <w:spacing w:after="0" w:line="282" w:lineRule="auto"/>
        <w:tabs>
          <w:tab w:leader="none" w:pos="4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includes severance and other charges related to aligning our workforce with our strategic performance goals for the year ended December 31, 2024.</w:t>
      </w:r>
    </w:p>
    <w:p>
      <w:pPr>
        <w:spacing w:after="0" w:line="53" w:lineRule="exact"/>
        <w:rPr>
          <w:rFonts w:ascii="Times New Roman" w:cs="Times New Roman" w:eastAsia="Times New Roman" w:hAnsi="Times New Roman"/>
          <w:sz w:val="18"/>
          <w:szCs w:val="18"/>
          <w:color w:val="auto"/>
        </w:rPr>
      </w:pPr>
    </w:p>
    <w:p>
      <w:pPr>
        <w:ind w:left="420" w:hanging="325"/>
        <w:spacing w:after="0" w:line="282" w:lineRule="auto"/>
        <w:tabs>
          <w:tab w:leader="none" w:pos="4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consists of costs incurred related to our completed acquisition as well as filing of a "shelf" registration statement on Form S-3 for the year ended December 31, 2024.</w:t>
      </w:r>
    </w:p>
    <w:p>
      <w:pPr>
        <w:spacing w:after="0" w:line="53" w:lineRule="exact"/>
        <w:rPr>
          <w:rFonts w:ascii="Times New Roman" w:cs="Times New Roman" w:eastAsia="Times New Roman" w:hAnsi="Times New Roman"/>
          <w:sz w:val="18"/>
          <w:szCs w:val="18"/>
          <w:color w:val="auto"/>
        </w:rPr>
      </w:pPr>
    </w:p>
    <w:p>
      <w:pPr>
        <w:ind w:left="420" w:right="60" w:hanging="325"/>
        <w:spacing w:after="0" w:line="282" w:lineRule="auto"/>
        <w:tabs>
          <w:tab w:leader="none" w:pos="41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non-operating supplier purchases that are not billable to the customer for the year ended December 31, 2024.</w:t>
      </w:r>
    </w:p>
    <w:p>
      <w:pPr>
        <w:spacing w:after="0" w:line="53" w:lineRule="exact"/>
        <w:rPr>
          <w:rFonts w:ascii="Times New Roman" w:cs="Times New Roman" w:eastAsia="Times New Roman" w:hAnsi="Times New Roman"/>
          <w:sz w:val="18"/>
          <w:szCs w:val="18"/>
          <w:color w:val="auto"/>
        </w:rPr>
      </w:pPr>
    </w:p>
    <w:p>
      <w:pPr>
        <w:ind w:left="420" w:right="140" w:hanging="325"/>
        <w:spacing w:after="0" w:line="266" w:lineRule="auto"/>
        <w:tabs>
          <w:tab w:leader="none" w:pos="414" w:val="left"/>
        </w:tabs>
        <w:numPr>
          <w:ilvl w:val="0"/>
          <w:numId w:val="3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The estimated income tax effect of our share of income (loss) after non-GAAP reconciling items for the year ended December 31, 2024 is calculated using an assumed blended tax rate of 25%, which represents our expected corporate tax rate, excluding discrete and non-recurring tax items.</w:t>
      </w:r>
    </w:p>
    <w:p>
      <w:pPr>
        <w:spacing w:after="0" w:line="39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800" w:top="104" w:right="419" w:bottom="1440" w:gutter="0" w:footer="0" w:header="0"/>
          <w:type w:val="continuous"/>
        </w:sectPr>
      </w:pPr>
    </w:p>
    <w:bookmarkStart w:id="64" w:name="page65"/>
    <w:bookmarkEnd w:id="64"/>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260"/>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62" w:lineRule="exact"/>
        <w:rPr>
          <w:sz w:val="20"/>
          <w:szCs w:val="20"/>
          <w:color w:val="auto"/>
        </w:rPr>
      </w:pPr>
    </w:p>
    <w:p>
      <w:pPr>
        <w:ind w:left="420" w:right="200" w:hanging="325"/>
        <w:spacing w:after="0" w:line="312" w:lineRule="auto"/>
        <w:tabs>
          <w:tab w:leader="none" w:pos="414"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adjustment to net income (loss) attributable to noncontrolling interests represents stock-based compensation, restructuring and other charges, transaction expense and non-operational media purchases attributed to the noncontrolling interests outstanding during the period.</w:t>
      </w:r>
    </w:p>
    <w:p>
      <w:pPr>
        <w:spacing w:after="0" w:line="200" w:lineRule="exact"/>
        <w:rPr>
          <w:sz w:val="20"/>
          <w:szCs w:val="20"/>
          <w:color w:val="auto"/>
        </w:rPr>
      </w:pPr>
    </w:p>
    <w:p>
      <w:pPr>
        <w:spacing w:after="0" w:line="21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0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center"/>
              <w:ind w:right="172"/>
              <w:spacing w:after="0" w:line="131"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jc w:val="center"/>
              <w:ind w:right="72"/>
              <w:spacing w:after="0" w:line="131"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6"/>
        </w:trPr>
        <w:tc>
          <w:tcPr>
            <w:tcW w:w="6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192"/>
              <w:spacing w:after="0" w:line="146"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2"/>
                <w:szCs w:val="12"/>
                <w:color w:val="auto"/>
              </w:rPr>
            </w:pPr>
          </w:p>
        </w:tc>
        <w:tc>
          <w:tcPr>
            <w:tcW w:w="1220" w:type="dxa"/>
            <w:vAlign w:val="bottom"/>
          </w:tcPr>
          <w:p>
            <w:pPr>
              <w:jc w:val="center"/>
              <w:ind w:right="72"/>
              <w:spacing w:after="0" w:line="146"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6"/>
        </w:trPr>
        <w:tc>
          <w:tcPr>
            <w:tcW w:w="6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176"/>
        </w:trPr>
        <w:tc>
          <w:tcPr>
            <w:tcW w:w="6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related to Viant Technology Inc.’s share of non-</w:t>
            </w: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tcBorders>
              <w:bottom w:val="single" w:sz="8" w:color="CCEEFF"/>
            </w:tcBorders>
          </w:tcPr>
          <w:p>
            <w:pPr>
              <w:ind w:left="260"/>
              <w:spacing w:after="0" w:line="243" w:lineRule="exact"/>
              <w:rPr>
                <w:sz w:val="20"/>
                <w:szCs w:val="20"/>
                <w:color w:val="auto"/>
              </w:rPr>
            </w:pPr>
            <w:r>
              <w:rPr>
                <w:rFonts w:ascii="Times New Roman" w:cs="Times New Roman" w:eastAsia="Times New Roman" w:hAnsi="Times New Roman"/>
                <w:sz w:val="18"/>
                <w:szCs w:val="18"/>
                <w:color w:val="auto"/>
              </w:rPr>
              <w:t>GAAP pre-tax income (loss)</w:t>
            </w:r>
            <w:r>
              <w:rPr>
                <w:rFonts w:ascii="Times New Roman" w:cs="Times New Roman" w:eastAsia="Times New Roman" w:hAnsi="Times New Roman"/>
                <w:sz w:val="23"/>
                <w:szCs w:val="23"/>
                <w:color w:val="auto"/>
                <w:vertAlign w:val="superscript"/>
              </w:rPr>
              <w:t>(2)</w:t>
            </w: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21,743</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180"/>
              <w:spacing w:after="0" w:line="230" w:lineRule="exact"/>
              <w:rPr>
                <w:sz w:val="20"/>
                <w:szCs w:val="20"/>
                <w:color w:val="auto"/>
              </w:rPr>
            </w:pPr>
            <w:r>
              <w:rPr>
                <w:rFonts w:ascii="Times New Roman" w:cs="Times New Roman" w:eastAsia="Times New Roman" w:hAnsi="Times New Roman"/>
                <w:sz w:val="18"/>
                <w:szCs w:val="18"/>
                <w:color w:val="auto"/>
              </w:rPr>
              <w:t>Less: Net income (loss) attributable to noncontrolling interests</w:t>
            </w:r>
            <w:r>
              <w:rPr>
                <w:rFonts w:ascii="Times New Roman" w:cs="Times New Roman" w:eastAsia="Times New Roman" w:hAnsi="Times New Roman"/>
                <w:sz w:val="23"/>
                <w:szCs w:val="23"/>
                <w:color w:val="auto"/>
                <w:vertAlign w:val="superscript"/>
              </w:rPr>
              <w:t>(3)</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17,796</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Inc.—basic</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155"/>
        </w:trPr>
        <w:tc>
          <w:tcPr>
            <w:tcW w:w="6000" w:type="dxa"/>
            <w:vAlign w:val="bottom"/>
          </w:tcPr>
          <w:p>
            <w:pPr>
              <w:ind w:left="180"/>
              <w:spacing w:after="0" w:line="156" w:lineRule="exact"/>
              <w:rPr>
                <w:sz w:val="20"/>
                <w:szCs w:val="20"/>
                <w:color w:val="auto"/>
              </w:rPr>
            </w:pPr>
            <w:r>
              <w:rPr>
                <w:rFonts w:ascii="Times New Roman" w:cs="Times New Roman" w:eastAsia="Times New Roman" w:hAnsi="Times New Roman"/>
                <w:sz w:val="18"/>
                <w:szCs w:val="18"/>
                <w:color w:val="auto"/>
              </w:rPr>
              <w:t>Add back: Reallocation of net income (loss) attributable to noncontrolling</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00" w:type="dxa"/>
            <w:vAlign w:val="bottom"/>
          </w:tcPr>
          <w:p>
            <w:pPr>
              <w:ind w:left="260"/>
              <w:spacing w:after="0" w:line="184" w:lineRule="exact"/>
              <w:rPr>
                <w:sz w:val="20"/>
                <w:szCs w:val="20"/>
                <w:color w:val="auto"/>
              </w:rPr>
            </w:pPr>
            <w:r>
              <w:rPr>
                <w:rFonts w:ascii="Times New Roman" w:cs="Times New Roman" w:eastAsia="Times New Roman" w:hAnsi="Times New Roman"/>
                <w:sz w:val="18"/>
                <w:szCs w:val="18"/>
                <w:color w:val="auto"/>
              </w:rPr>
              <w:t>interest from the assumed exchange of RSUs and NQSOs for Class A common</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from the assumed exchange of RSUs and NQSOs</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for Class A common stock</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Inc.—diluted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outstanding—diluted</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60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 Class A common</w:t>
            </w:r>
          </w:p>
        </w:tc>
        <w:tc>
          <w:tcPr>
            <w:tcW w:w="2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stock—diluted:</w:t>
            </w: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47,032</w:t>
            </w:r>
          </w:p>
        </w:tc>
        <w:tc>
          <w:tcPr>
            <w:tcW w:w="0" w:type="dxa"/>
            <w:vAlign w:val="bottom"/>
          </w:tcPr>
          <w:p>
            <w:pPr>
              <w:spacing w:after="0"/>
              <w:rPr>
                <w:sz w:val="1"/>
                <w:szCs w:val="1"/>
                <w:color w:val="auto"/>
              </w:rPr>
            </w:pPr>
          </w:p>
        </w:tc>
      </w:tr>
      <w:tr>
        <w:trPr>
          <w:trHeight w:val="155"/>
        </w:trPr>
        <w:tc>
          <w:tcPr>
            <w:tcW w:w="600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shares excluded from earnings (loss) per share of Class A common stock—</w:t>
            </w:r>
          </w:p>
        </w:tc>
        <w:tc>
          <w:tcPr>
            <w:tcW w:w="2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56,415</w:t>
            </w:r>
          </w:p>
        </w:tc>
        <w:tc>
          <w:tcPr>
            <w:tcW w:w="0" w:type="dxa"/>
            <w:vAlign w:val="bottom"/>
          </w:tcPr>
          <w:p>
            <w:pPr>
              <w:spacing w:after="0"/>
              <w:rPr>
                <w:sz w:val="1"/>
                <w:szCs w:val="1"/>
                <w:color w:val="auto"/>
              </w:rPr>
            </w:pPr>
          </w:p>
        </w:tc>
      </w:tr>
      <w:tr>
        <w:trPr>
          <w:trHeight w:val="236"/>
        </w:trPr>
        <w:tc>
          <w:tcPr>
            <w:tcW w:w="6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420" w:right="100" w:hanging="325"/>
        <w:spacing w:after="0" w:line="282" w:lineRule="auto"/>
        <w:tabs>
          <w:tab w:leader="none" w:pos="414"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Restructuring and other includes severance and other charges related to aligning our workforce with our strategic performance goals for the year ended December 31, 2023.</w:t>
      </w:r>
    </w:p>
    <w:p>
      <w:pPr>
        <w:spacing w:after="0" w:line="53" w:lineRule="exact"/>
        <w:rPr>
          <w:rFonts w:ascii="Times New Roman" w:cs="Times New Roman" w:eastAsia="Times New Roman" w:hAnsi="Times New Roman"/>
          <w:sz w:val="18"/>
          <w:szCs w:val="18"/>
          <w:color w:val="231F20"/>
        </w:rPr>
      </w:pPr>
    </w:p>
    <w:p>
      <w:pPr>
        <w:ind w:left="420" w:hanging="325"/>
        <w:spacing w:after="0" w:line="266" w:lineRule="auto"/>
        <w:tabs>
          <w:tab w:leader="none" w:pos="4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income tax effect of our share of income (loss) after non-GAAP reconciling items for the year ended December 31, 2023 is calculated using an assumed blended tax rate of 21%, which represents our expected corporate tax rate, excluding discrete and non-recurring tax items.</w:t>
      </w:r>
    </w:p>
    <w:p>
      <w:pPr>
        <w:spacing w:after="0" w:line="67" w:lineRule="exact"/>
        <w:rPr>
          <w:rFonts w:ascii="Times New Roman" w:cs="Times New Roman" w:eastAsia="Times New Roman" w:hAnsi="Times New Roman"/>
          <w:sz w:val="18"/>
          <w:szCs w:val="18"/>
          <w:color w:val="auto"/>
        </w:rPr>
      </w:pPr>
    </w:p>
    <w:p>
      <w:pPr>
        <w:ind w:left="420" w:right="40" w:hanging="325"/>
        <w:spacing w:after="0" w:line="282" w:lineRule="auto"/>
        <w:tabs>
          <w:tab w:leader="none" w:pos="41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adjustment to net income (loss) attributable to noncontrolling interests represents stock-based compensation and restructuring and other charges attributed to the noncontrolling interests outstanding during the period.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800" w:top="104" w:right="5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$191.2 million and working capital, consisting of current assets less current liabilities, of $219.2 million, compared to cash and cash equivalents of $205.0 million and working capital of $217.0 million as of December 31, 2024.</w:t>
      </w:r>
    </w:p>
    <w:p>
      <w:pPr>
        <w:spacing w:after="0" w:line="54"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spacing w:after="0" w:line="7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primary uses of cash are capital expenditures to develop our technology in support of enhancing our platform; purchases of property and equipment in support of our expanding headcount as a result of our growth; other expenditures to finance our operations, platform development and rapid growth; future minimum payments under our non-cancelable operating leases; repurchases under the stock repurchase program; and acquisitions and investments. We intend to continue investing in critical areas of our business in 2026 to further accelerate demand for our product and growth across the platform.</w:t>
      </w:r>
    </w:p>
    <w:p>
      <w:pPr>
        <w:spacing w:after="0" w:line="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from the date of this report. We believe we will meet longer-term expected future cash requirements and obligations beyond the next 12 months through a combination of existing cash and cash equivalents, cash flow from operations and other sources of liquidity, which could include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2025, our material cash requirements from non-cancelable contractual obligations with an original duration of over one year included future minimum payments under our non-cancelable operating leases, which we estimate will be approximately $5.8 million in 2026, $5.5 million in 2027, $4.1 million in 2028, $3.6 million in 2029, and $3.2 million in 2030 and non-cancelable contractual agreements primarily related to the hosting of our data storage processing, storage, and other computing services, which we estimate will be approximately $16.6 million in 2025, $12.1 million in 2027, and $3.0 million in 2028.</w:t>
      </w:r>
    </w:p>
    <w:p>
      <w:pPr>
        <w:spacing w:after="0" w:line="7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We did not have any other off-balance sheet arrangements as of December 31, 2025 other than the minimum payments under the operating leases, hosting arrangements, and the indemnification agreements described above and in Note 13—Commitments and Contingencies to our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and Tax Receivable Agreement</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the IPO, we entered into a TRA with Viant Technology LLC, continuing members of Viant Technology LLC and the TRA Representative (as defined in the TRA) on February 9, 2021, as described under Note 10—Income Taxes and Tax Receivable Agreement to our consolidated financial statements included elsewhere in this Annual Report. As of December 31, 2025, we concluded that it was more likely than not that our deferred tax assets subject to the TRA will be realized. Therefore, we recorded a liability related to the tax savings we may realize from utilization of such deferred tax assets. As of December 31, 2025, the total TRA liability was approximately $12.4 million. If utilization of the deferred tax asset subject to the TRA becomes not more likely than not in the future, we may reverse the liability related to the TRA which will be recognized as a reduction in other expenses within its consolidated statements of operations.</w:t>
      </w:r>
    </w:p>
    <w:p>
      <w:pPr>
        <w:spacing w:after="0" w:line="81"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consolidated statements of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w:t>
      </w:r>
    </w:p>
    <w:p>
      <w:pPr>
        <w:sectPr>
          <w:pgSz w:w="11900" w:h="16838" w:orient="portrait"/>
          <w:cols w:equalWidth="0" w:num="1">
            <w:col w:w="11240"/>
          </w:cols>
          <w:pgMar w:left="320" w:top="104"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66" w:name="page67"/>
    <w:bookmarkEnd w:id="6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time of such offering and will be described in a prospectus supplement filed with the SEC prior to the completion of any such offering. We would not receive any proceeds from any sale of our Class A common stock by the selling securityholders.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200" w:firstLine="486"/>
        <w:spacing w:after="0" w:line="255" w:lineRule="auto"/>
        <w:rPr>
          <w:sz w:val="20"/>
          <w:szCs w:val="20"/>
          <w:color w:val="auto"/>
        </w:rPr>
      </w:pPr>
      <w:r>
        <w:rPr>
          <w:rFonts w:ascii="Times New Roman" w:cs="Times New Roman" w:eastAsia="Times New Roman" w:hAnsi="Times New Roman"/>
          <w:sz w:val="18"/>
          <w:szCs w:val="18"/>
          <w:color w:val="auto"/>
        </w:rPr>
        <w:t>On April 23, 2024, our board of directors approved a stock repurchase program with authorization to purchase up to $50 million in shares of our Class A common stock or Class B units of Viant Technology LLC. On May 5, 2025, our board of directors authorized an increase to the stock repurchase program, enabling the Company to repurchase up to an additional $50 million of the Company's Class A common stock or Class B units of Viant Technology LLC. For the year ended December 31, 2025, we repurchased 3.0 million shares of our Class A common stock for an aggregate amount of $37.9 million, including costs associated with the repurchases. As of December 31, 2025, $40.4 million remained available under the stock repurchase program for Class A common stock and Class B unit repurchases. For additional information related to share repurchases, refer to Note 9—Stockholders' Equity to our consolidated financial statements included elsewhere in this Annual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2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our Amended Loan Agreement provided us with access to a $75.0 million senior secured revolving credit facility with a maturity date of April 4, 2028 that is collateralized by security interests in substantially all of our assets. As of December 31, 2025, there was no outstanding balance and up to $74.1 million of undrawn availability under the revolving credit facility.</w:t>
      </w:r>
    </w:p>
    <w:p>
      <w:pPr>
        <w:spacing w:after="0" w:line="68"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December 31, 2025, </w:t>
      </w:r>
      <w:r>
        <w:rPr>
          <w:rFonts w:ascii="Times New Roman" w:cs="Times New Roman" w:eastAsia="Times New Roman" w:hAnsi="Times New Roman"/>
          <w:sz w:val="18"/>
          <w:szCs w:val="18"/>
          <w:color w:val="231F20"/>
        </w:rPr>
        <w:t>the Company was in compliance with all applicable covenants under the Amended Loan Agreement.</w:t>
      </w:r>
      <w:r>
        <w:rPr>
          <w:rFonts w:ascii="Times New Roman" w:cs="Times New Roman" w:eastAsia="Times New Roman" w:hAnsi="Times New Roman"/>
          <w:sz w:val="18"/>
          <w:szCs w:val="18"/>
          <w:color w:val="auto"/>
        </w:rPr>
        <w:t xml:space="preserve"> We do not believe this covenant or any other provision in the Amended Loan Agreement will materially impact our liquidity or otherwise restrict our ability to execute on our business plan during or beyond the next 12 months from the date of this Annual Report.</w:t>
      </w:r>
    </w:p>
    <w:p>
      <w:pPr>
        <w:spacing w:after="0" w:line="75"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spacing w:after="0" w:line="68"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For further discussion of our Amended Loan Agreement, refer to Note 8—Revolving Credit Facility to our consolidated financial statements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for the fiscal years ended December 31, 2025 and 2024, as reflected in the consolidated statements of cash flows included in Item 8 of this Annual Report, are summarized in the following table:</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rPr>
              <w:t>52,607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51,767</w:t>
            </w: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(22,342)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(27,744)</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7"/>
              </w:rPr>
              <w:t>(44,162)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(35,433)</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center"/>
              <w:ind w:left="350"/>
              <w:spacing w:after="0"/>
              <w:rPr>
                <w:sz w:val="20"/>
                <w:szCs w:val="20"/>
                <w:color w:val="auto"/>
              </w:rPr>
            </w:pPr>
            <w:r>
              <w:rPr>
                <w:rFonts w:ascii="Times New Roman" w:cs="Times New Roman" w:eastAsia="Times New Roman" w:hAnsi="Times New Roman"/>
                <w:sz w:val="18"/>
                <w:szCs w:val="18"/>
                <w:color w:val="auto"/>
                <w:w w:val="97"/>
              </w:rPr>
              <w:t>(13,897)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7"/>
              </w:rPr>
              <w:t>(11,410)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11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 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7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Cash flows provided by operating activities was $52.6 million, for the year ended December 31, 2025, resulting primarily from </w:t>
      </w:r>
      <w:r>
        <w:rPr>
          <w:rFonts w:ascii="Times New Roman" w:cs="Times New Roman" w:eastAsia="Times New Roman" w:hAnsi="Times New Roman"/>
          <w:sz w:val="18"/>
          <w:szCs w:val="18"/>
          <w:color w:val="231F20"/>
        </w:rPr>
        <w:t>net income of $24.1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million; noncash add back adjustments to net income of $44.7 million, including $24.8 million for stock-based compensation, $18.7 million for depreciation and amortization, $4.2 million of noncash lease expense, $(14.7) for deferred taxes, and</w:t>
      </w:r>
    </w:p>
    <w:p>
      <w:pPr>
        <w:sectPr>
          <w:pgSz w:w="11900" w:h="16838" w:orient="portrait"/>
          <w:cols w:equalWidth="0" w:num="1">
            <w:col w:w="11240"/>
          </w:cols>
          <w:pgMar w:left="320" w:top="10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$10.9 million for TRA remeasurement expense</w:t>
      </w:r>
      <w:r>
        <w:rPr>
          <w:rFonts w:ascii="Times New Roman" w:cs="Times New Roman" w:eastAsia="Times New Roman" w:hAnsi="Times New Roman"/>
          <w:sz w:val="18"/>
          <w:szCs w:val="18"/>
          <w:color w:val="231F20"/>
        </w:rPr>
        <w:t>; a decrease of $16.2 million from changes in working capital, including a net decrease of $27.9 million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accounts receivable and prepaid expenses and other assets primarily related to the timing of customer collections, a net increase of $17.3 million in accounts payable, accrued liabilities and accrued compensation primarily related to timing of payments, </w:t>
      </w:r>
      <w:r>
        <w:rPr>
          <w:rFonts w:ascii="Times New Roman" w:cs="Times New Roman" w:eastAsia="Times New Roman" w:hAnsi="Times New Roman"/>
          <w:sz w:val="18"/>
          <w:szCs w:val="18"/>
          <w:color w:val="000000"/>
        </w:rPr>
        <w:t>a decrease in operating lease liabilities of $4.5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 and a decrease in other liabilities of $1.1 million</w:t>
      </w:r>
      <w:r>
        <w:rPr>
          <w:rFonts w:ascii="Times New Roman" w:cs="Times New Roman" w:eastAsia="Times New Roman" w:hAnsi="Times New Roman"/>
          <w:sz w:val="18"/>
          <w:szCs w:val="18"/>
          <w:color w:val="231F20"/>
        </w:rPr>
        <w:t>.</w:t>
      </w:r>
    </w:p>
    <w:p>
      <w:pPr>
        <w:spacing w:after="0" w:line="72"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cash flows provided by operating activities of $51.8 million resulted primarily from an increase from net income of $12.5 million; an increase of $43.0 million primarily due to noncash add back adjustments to net income of $21.0 million for stock-based compensation, $16.5 million for depreciation and amortization, $4.0 million of noncash lease expense and $1.4 million for the provision for doubtful accounts; a decrease of $3.6 million from changes in working capital, including a net decrease of $34.1 million in accounts receivable, prepaid assets and other assets primarily related to higher sales and timing of customer collections due to seasonal fluctuations as well as an increase of $32.6 million in accounts payable, accrued liabilities and accrued compensation primarily related to timing of payments, a decrease in operating lease liabilities of $4.1 million, and an increase in other liabilities of $1.8 million.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primary investing activities have consisted of capital expenditures to develop our technology in support of enhancing our platform, cash paid for acquisitions and investments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the timing of our platform development cycles. As a result of continued capitalized software development costs and the growth of our business, we expect our capital expenditures and our investment activity to continue to increase.</w:t>
      </w:r>
    </w:p>
    <w:p>
      <w:pPr>
        <w:spacing w:after="0" w:line="84"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was $22.3 million for the year ended December 31, 2025, resulting primarily from $17.4 million of investments in capitalized software to develop our technology in support of enhancing our platform, $3.5 million of cash paid for investments, $0.9 million of purchases of property and equipment, and $0.5 million of cash paid for acquisitions.</w:t>
      </w:r>
    </w:p>
    <w:p>
      <w:pPr>
        <w:spacing w:after="0" w:line="68"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During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cash flows used in investing activities of </w:t>
      </w:r>
      <w:r>
        <w:rPr>
          <w:rFonts w:ascii="Times New Roman" w:cs="Times New Roman" w:eastAsia="Times New Roman" w:hAnsi="Times New Roman"/>
          <w:sz w:val="18"/>
          <w:szCs w:val="18"/>
          <w:color w:val="000000"/>
        </w:rPr>
        <w:t>$27.7</w:t>
      </w:r>
      <w:r>
        <w:rPr>
          <w:rFonts w:ascii="Times New Roman" w:cs="Times New Roman" w:eastAsia="Times New Roman" w:hAnsi="Times New Roman"/>
          <w:sz w:val="18"/>
          <w:szCs w:val="18"/>
          <w:color w:val="231F20"/>
        </w:rPr>
        <w:t xml:space="preserve"> million resulted from </w:t>
      </w:r>
      <w:r>
        <w:rPr>
          <w:rFonts w:ascii="Times New Roman" w:cs="Times New Roman" w:eastAsia="Times New Roman" w:hAnsi="Times New Roman"/>
          <w:sz w:val="18"/>
          <w:szCs w:val="18"/>
          <w:color w:val="000000"/>
        </w:rPr>
        <w:t>$15.2 million of</w:t>
      </w:r>
      <w:r>
        <w:rPr>
          <w:rFonts w:ascii="Times New Roman" w:cs="Times New Roman" w:eastAsia="Times New Roman" w:hAnsi="Times New Roman"/>
          <w:sz w:val="18"/>
          <w:szCs w:val="18"/>
          <w:color w:val="231F20"/>
        </w:rPr>
        <w:t xml:space="preserve"> investments in capitalized software development costs in support of enhancing our platform, $10.0 million of cash paid related to the acquisition of IRIS.TV, and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million of </w:t>
      </w:r>
      <w:r>
        <w:rPr>
          <w:rFonts w:ascii="Times New Roman" w:cs="Times New Roman" w:eastAsia="Times New Roman" w:hAnsi="Times New Roman"/>
          <w:sz w:val="18"/>
          <w:szCs w:val="18"/>
          <w:color w:val="231F20"/>
        </w:rPr>
        <w:t>purchases of property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financing activities have consisted primarily of payments of member distributions in accordance with their assumed tax liabilities, repurchases of stock in connection with the taxes paid related to the vesting of equity awards, repurchases of stock related to the stock repurchase program and proceeds related to the exercise of stock options. Net cash provided by or used in financing activities has been and will be used to finance our operations, capital expenditures, platform development and growth.</w:t>
      </w:r>
    </w:p>
    <w:p>
      <w:pPr>
        <w:spacing w:after="0" w:line="72"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 xml:space="preserve">Cash flows used in financing activities was $44.2 million for the year ended December 31, 2025, resulting primarily from $38.1 million for the repurchase of stock related to the stock repurchase program, $6.6 million for payments related to member tax distributions, and $3.2 million for the </w:t>
      </w:r>
      <w:r>
        <w:rPr>
          <w:rFonts w:ascii="Times New Roman" w:cs="Times New Roman" w:eastAsia="Times New Roman" w:hAnsi="Times New Roman"/>
          <w:sz w:val="18"/>
          <w:szCs w:val="18"/>
          <w:color w:val="231F20"/>
        </w:rPr>
        <w:t>repurchase of stock in connection with the taxes paid related to the vesting of equity award</w:t>
      </w:r>
      <w:r>
        <w:rPr>
          <w:rFonts w:ascii="Times New Roman" w:cs="Times New Roman" w:eastAsia="Times New Roman" w:hAnsi="Times New Roman"/>
          <w:sz w:val="18"/>
          <w:szCs w:val="18"/>
          <w:color w:val="000000"/>
        </w:rPr>
        <w:t>s, partially offset by $3.8 million of proceeds related to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exercise of stock options.</w:t>
      </w:r>
    </w:p>
    <w:p>
      <w:pPr>
        <w:spacing w:after="0" w:line="72"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231F20"/>
        </w:rPr>
        <w:t xml:space="preserve">During the year ended </w:t>
      </w:r>
      <w:r>
        <w:rPr>
          <w:rFonts w:ascii="Times New Roman" w:cs="Times New Roman" w:eastAsia="Times New Roman" w:hAnsi="Times New Roman"/>
          <w:sz w:val="18"/>
          <w:szCs w:val="18"/>
          <w:color w:val="000000"/>
        </w:rPr>
        <w:t>December 31, 2024</w:t>
      </w:r>
      <w:r>
        <w:rPr>
          <w:rFonts w:ascii="Times New Roman" w:cs="Times New Roman" w:eastAsia="Times New Roman" w:hAnsi="Times New Roman"/>
          <w:sz w:val="18"/>
          <w:szCs w:val="18"/>
          <w:color w:val="231F20"/>
        </w:rPr>
        <w:t xml:space="preserve">, cash used in financing activities of </w:t>
      </w:r>
      <w:r>
        <w:rPr>
          <w:rFonts w:ascii="Times New Roman" w:cs="Times New Roman" w:eastAsia="Times New Roman" w:hAnsi="Times New Roman"/>
          <w:sz w:val="18"/>
          <w:szCs w:val="18"/>
          <w:color w:val="000000"/>
        </w:rPr>
        <w:t>$35.4</w:t>
      </w:r>
      <w:r>
        <w:rPr>
          <w:rFonts w:ascii="Times New Roman" w:cs="Times New Roman" w:eastAsia="Times New Roman" w:hAnsi="Times New Roman"/>
          <w:sz w:val="18"/>
          <w:szCs w:val="18"/>
          <w:color w:val="231F20"/>
        </w:rPr>
        <w:t xml:space="preserve"> million resulted primarily from </w:t>
      </w:r>
      <w:r>
        <w:rPr>
          <w:rFonts w:ascii="Times New Roman" w:cs="Times New Roman" w:eastAsia="Times New Roman" w:hAnsi="Times New Roman"/>
          <w:sz w:val="18"/>
          <w:szCs w:val="18"/>
          <w:color w:val="000000"/>
        </w:rPr>
        <w:t>$21.6 million for the repurchase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of stock related to the stock repurchase program, $10.7 million for the </w:t>
      </w:r>
      <w:r>
        <w:rPr>
          <w:rFonts w:ascii="Times New Roman" w:cs="Times New Roman" w:eastAsia="Times New Roman" w:hAnsi="Times New Roman"/>
          <w:sz w:val="18"/>
          <w:szCs w:val="18"/>
          <w:color w:val="231F20"/>
        </w:rPr>
        <w:t>repurchase of stock in connection with the taxes paid related to the vesting of equity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award</w:t>
      </w:r>
      <w:r>
        <w:rPr>
          <w:rFonts w:ascii="Times New Roman" w:cs="Times New Roman" w:eastAsia="Times New Roman" w:hAnsi="Times New Roman"/>
          <w:sz w:val="18"/>
          <w:szCs w:val="18"/>
          <w:color w:val="000000"/>
        </w:rPr>
        <w:t>s, $6.0</w:t>
      </w:r>
      <w:r>
        <w:rPr>
          <w:rFonts w:ascii="Times New Roman" w:cs="Times New Roman" w:eastAsia="Times New Roman" w:hAnsi="Times New Roman"/>
          <w:sz w:val="18"/>
          <w:szCs w:val="18"/>
          <w:color w:val="231F20"/>
        </w:rPr>
        <w:t xml:space="preserve"> million for payments related to member tax distributions, partially offset by </w:t>
      </w:r>
      <w:r>
        <w:rPr>
          <w:rFonts w:ascii="Times New Roman" w:cs="Times New Roman" w:eastAsia="Times New Roman" w:hAnsi="Times New Roman"/>
          <w:sz w:val="18"/>
          <w:szCs w:val="18"/>
          <w:color w:val="000000"/>
        </w:rPr>
        <w:t>$3.1</w:t>
      </w:r>
      <w:r>
        <w:rPr>
          <w:rFonts w:ascii="Times New Roman" w:cs="Times New Roman" w:eastAsia="Times New Roman" w:hAnsi="Times New Roman"/>
          <w:sz w:val="18"/>
          <w:szCs w:val="18"/>
          <w:color w:val="231F20"/>
        </w:rPr>
        <w:t xml:space="preserve"> million of proceeds related to the exercise of stock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Fiscal Year </w:t>
      </w:r>
      <w:r>
        <w:rPr>
          <w:rFonts w:ascii="Times New Roman" w:cs="Times New Roman" w:eastAsia="Times New Roman" w:hAnsi="Times New Roman"/>
          <w:sz w:val="18"/>
          <w:szCs w:val="18"/>
          <w:color w:val="auto"/>
        </w:rPr>
        <w:t>2023</w:t>
      </w:r>
      <w:r>
        <w:rPr>
          <w:rFonts w:ascii="Times New Roman" w:cs="Times New Roman" w:eastAsia="Times New Roman" w:hAnsi="Times New Roman"/>
          <w:sz w:val="18"/>
          <w:szCs w:val="18"/>
          <w:i w:val="1"/>
          <w:iCs w:val="1"/>
          <w:color w:val="auto"/>
        </w:rPr>
        <w:t xml:space="preserve"> Changes in Cash Flows</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231F20"/>
        </w:rPr>
        <w:t xml:space="preserve">For the comparison of fiscal year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to fiscal year </w:t>
      </w:r>
      <w:r>
        <w:rPr>
          <w:rFonts w:ascii="Times New Roman" w:cs="Times New Roman" w:eastAsia="Times New Roman" w:hAnsi="Times New Roman"/>
          <w:sz w:val="18"/>
          <w:szCs w:val="18"/>
          <w:color w:val="000000"/>
        </w:rPr>
        <w:t>2022</w:t>
      </w:r>
      <w:r>
        <w:rPr>
          <w:rFonts w:ascii="Times New Roman" w:cs="Times New Roman" w:eastAsia="Times New Roman" w:hAnsi="Times New Roman"/>
          <w:sz w:val="18"/>
          <w:szCs w:val="18"/>
          <w:color w:val="231F20"/>
        </w:rPr>
        <w:t xml:space="preserve">, refer to Part II, Item 7 "Management's Discussion and Analysis of Financial Condition and Results of Operations— Liquidity and Capital Resources" included in our Annual Report on Form 10-K for our fiscal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31F20"/>
        </w:rPr>
        <w:t>, filed with the SEC on March 4, 2024 under the subheading "Liquidity and Capital Resources".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68" w:name="page69"/>
    <w:bookmarkEnd w:id="6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Results of Operations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following tables present our unaudited quarterly condensed consolidated statements of operations data for each quarter of our fiscal years ended December 31, 2025 and 2024. The information for each of these quarters has been prepared on a basis consistent with our consolidated financial statements and, in our opinion, includes all adjustments, consisting only of normal recurring adjustments necessary for the fair presentation of the financial information contained in those statements. The following unaudited quarterly condensed consolidated financial data should be read in conjunction with our annual audited consolidated financial statements and the related notes included elsewhere in this Annual Report. These quarterly results are not necessarily indicative of our operating results for a full year or any future period.</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b w:val="1"/>
                <w:bCs w:val="1"/>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53,393</w:t>
            </w:r>
          </w:p>
        </w:tc>
        <w:tc>
          <w:tcPr>
            <w:tcW w:w="0" w:type="dxa"/>
            <w:vAlign w:val="bottom"/>
          </w:tcPr>
          <w:p>
            <w:pPr>
              <w:spacing w:after="0"/>
              <w:rPr>
                <w:sz w:val="1"/>
                <w:szCs w:val="1"/>
                <w:color w:val="auto"/>
              </w:rPr>
            </w:pPr>
          </w:p>
        </w:tc>
      </w:tr>
      <w:tr>
        <w:trPr>
          <w:trHeight w:val="216"/>
        </w:trPr>
        <w:tc>
          <w:tcPr>
            <w:tcW w:w="262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Platform operations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41,970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40,080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29,880</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14,281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14,769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11,074</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97,430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81,351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77,841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75,501</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84,151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75,884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66,637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59,085</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(4,859)</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(5,692)</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other expense (income), net</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(2,379)</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(3,460)</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(3,313)</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Provision for (benefit from) income</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(14,062)</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20,463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165"/>
        </w:trPr>
        <w:tc>
          <w:tcPr>
            <w:tcW w:w="26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Less: Net income (loss) attributable to</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6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attributable to Viant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8,256</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996</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80" w:type="dxa"/>
            <w:vAlign w:val="bottom"/>
          </w:tcPr>
          <w:p>
            <w:pPr>
              <w:spacing w:after="0"/>
              <w:rPr>
                <w:sz w:val="12"/>
                <w:szCs w:val="12"/>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1,747</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1,507</w:t>
            </w:r>
          </w:p>
        </w:tc>
        <w:tc>
          <w:tcPr>
            <w:tcW w:w="8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194"/>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 Inc.</w:t>
            </w: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4"/>
                <w:szCs w:val="14"/>
                <w:color w:val="auto"/>
              </w:rPr>
              <w:t>Earnings (loss) per share of Class A</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0.49</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shd w:val="clear" w:color="auto" w:fill="CCEEFF"/>
          </w:tcPr>
          <w:p>
            <w:pPr>
              <w:spacing w:after="0"/>
              <w:rPr>
                <w:sz w:val="11"/>
                <w:szCs w:val="11"/>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8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6"/>
                <w:szCs w:val="16"/>
                <w:color w:val="auto"/>
              </w:rPr>
              <w:t>common stock—basic</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vMerge w:val="continue"/>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bottom w:val="single" w:sz="8" w:color="CCEEFF"/>
            </w:tcBorders>
            <w:vMerge w:val="restart"/>
          </w:tcPr>
          <w:p>
            <w:pPr>
              <w:ind w:left="20"/>
              <w:spacing w:after="0" w:line="149" w:lineRule="exact"/>
              <w:rPr>
                <w:sz w:val="20"/>
                <w:szCs w:val="20"/>
                <w:color w:val="auto"/>
              </w:rPr>
            </w:pPr>
            <w:r>
              <w:rPr>
                <w:rFonts w:ascii="Times New Roman" w:cs="Times New Roman" w:eastAsia="Times New Roman" w:hAnsi="Times New Roman"/>
                <w:sz w:val="16"/>
                <w:szCs w:val="16"/>
                <w:color w:val="auto"/>
              </w:rPr>
              <w:t>Earnings (loss) per share of Class A</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2620" w:type="dxa"/>
            <w:vAlign w:val="bottom"/>
            <w:vMerge w:val="continue"/>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9"/>
                <w:szCs w:val="9"/>
                <w:color w:val="auto"/>
              </w:rPr>
            </w:pP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tcPr>
          <w:p>
            <w:pPr>
              <w:spacing w:after="0"/>
              <w:rPr>
                <w:sz w:val="9"/>
                <w:szCs w:val="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0.00</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194"/>
        </w:trPr>
        <w:tc>
          <w:tcPr>
            <w:tcW w:w="2620" w:type="dxa"/>
            <w:vAlign w:val="bottom"/>
          </w:tcPr>
          <w:p>
            <w:pPr>
              <w:ind w:left="20"/>
              <w:spacing w:after="0" w:line="189" w:lineRule="exact"/>
              <w:rPr>
                <w:sz w:val="20"/>
                <w:szCs w:val="20"/>
                <w:color w:val="auto"/>
              </w:rPr>
            </w:pPr>
            <w:r>
              <w:rPr>
                <w:rFonts w:ascii="Times New Roman" w:cs="Times New Roman" w:eastAsia="Times New Roman" w:hAnsi="Times New Roman"/>
                <w:sz w:val="16"/>
                <w:szCs w:val="16"/>
                <w:color w:val="auto"/>
              </w:rPr>
              <w:t>common stock—diluted</w:t>
            </w:r>
            <w:r>
              <w:rPr>
                <w:rFonts w:ascii="Times New Roman" w:cs="Times New Roman" w:eastAsia="Times New Roman" w:hAnsi="Times New Roman"/>
                <w:sz w:val="21"/>
                <w:szCs w:val="21"/>
                <w:color w:val="auto"/>
                <w:vertAlign w:val="superscript"/>
              </w:rPr>
              <w:t>(2)</w:t>
            </w: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69" w:name="page70"/>
    <w:bookmarkEnd w:id="6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23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40" w:type="dxa"/>
            <w:vAlign w:val="bottom"/>
          </w:tcPr>
          <w:p>
            <w:pPr>
              <w:spacing w:after="0"/>
              <w:rPr>
                <w:sz w:val="13"/>
                <w:szCs w:val="13"/>
                <w:color w:val="auto"/>
              </w:rPr>
            </w:pPr>
          </w:p>
        </w:tc>
        <w:tc>
          <w:tcPr>
            <w:tcW w:w="11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2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8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1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4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2240" w:type="dxa"/>
            <w:vAlign w:val="bottom"/>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9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49"/>
        </w:trPr>
        <w:tc>
          <w:tcPr>
            <w:tcW w:w="2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4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(percentage of revenue*)</w:t>
            </w: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expenses</w:t>
            </w: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Platform operations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19"/>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0" w:type="dxa"/>
            <w:vAlign w:val="bottom"/>
          </w:tcPr>
          <w:p>
            <w:pPr>
              <w:spacing w:after="0"/>
              <w:rPr>
                <w:sz w:val="1"/>
                <w:szCs w:val="1"/>
                <w:color w:val="auto"/>
              </w:rPr>
            </w:pPr>
          </w:p>
        </w:tc>
      </w:tr>
      <w:tr>
        <w:trPr>
          <w:trHeight w:val="212"/>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93 %</w:t>
            </w: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0" w:type="dxa"/>
            <w:vAlign w:val="bottom"/>
          </w:tcPr>
          <w:p>
            <w:pPr>
              <w:spacing w:after="0"/>
              <w:rPr>
                <w:sz w:val="1"/>
                <w:szCs w:val="1"/>
                <w:color w:val="auto"/>
              </w:rPr>
            </w:pPr>
          </w:p>
        </w:tc>
      </w:tr>
      <w:tr>
        <w:trPr>
          <w:trHeight w:val="207"/>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Total other expense (income),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2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Income (loss) before income</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w:t>
            </w:r>
          </w:p>
        </w:tc>
        <w:tc>
          <w:tcPr>
            <w:tcW w:w="10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Provision for (benefit from)</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0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1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taxes</w:t>
            </w:r>
          </w:p>
        </w:tc>
        <w:tc>
          <w:tcPr>
            <w:tcW w:w="10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8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80" w:type="dxa"/>
            <w:vAlign w:val="bottom"/>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5"/>
        </w:trPr>
        <w:tc>
          <w:tcPr>
            <w:tcW w:w="22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Less: Net income (loss)</w:t>
            </w:r>
          </w:p>
        </w:tc>
        <w:tc>
          <w:tcPr>
            <w:tcW w:w="1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noncontrolling</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21"/>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interests</w:t>
            </w: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2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Net income (loss) attributable to</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2"/>
                <w:szCs w:val="12"/>
                <w:color w:val="auto"/>
              </w:rPr>
            </w:pPr>
          </w:p>
        </w:tc>
        <w:tc>
          <w:tcPr>
            <w:tcW w:w="10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89"/>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Viant Technology Inc.</w:t>
            </w: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Percentages may not sum due to rounding</w:t>
      </w:r>
    </w:p>
    <w:p>
      <w:pPr>
        <w:spacing w:after="0" w:line="225" w:lineRule="exact"/>
        <w:rPr>
          <w:rFonts w:ascii="Times New Roman" w:cs="Times New Roman" w:eastAsia="Times New Roman" w:hAnsi="Times New Roman"/>
          <w:sz w:val="18"/>
          <w:szCs w:val="18"/>
          <w:color w:val="auto"/>
        </w:rPr>
      </w:pPr>
    </w:p>
    <w:p>
      <w:pPr>
        <w:ind w:left="900" w:right="620" w:hanging="325"/>
        <w:spacing w:after="0" w:line="282" w:lineRule="auto"/>
        <w:tabs>
          <w:tab w:leader="none" w:pos="8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amortization, and stock-based compensation included in operating expenses for each quarter of our fiscal years ended December 31, 2025 and 2024 are as follows:</w:t>
      </w: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4" w:right="579" w:bottom="1440" w:gutter="0" w:footer="0" w:header="0"/>
        </w:sectPr>
      </w:pPr>
    </w:p>
    <w:bookmarkStart w:id="70" w:name="page71"/>
    <w:bookmarkEnd w:id="70"/>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60"/>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5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3"/>
                <w:szCs w:val="13"/>
                <w:color w:val="auto"/>
              </w:rPr>
            </w:pPr>
          </w:p>
        </w:tc>
        <w:tc>
          <w:tcPr>
            <w:tcW w:w="9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0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8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5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Depreciation:</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Platform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Total depreciation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4,834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4,147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4,098</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Platform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Total amortization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
        </w:trPr>
        <w:tc>
          <w:tcPr>
            <w:tcW w:w="2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Stock-based compensation:</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Platform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9"/>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3,193</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w:t>
            </w:r>
          </w:p>
        </w:tc>
        <w:tc>
          <w:tcPr>
            <w:tcW w:w="0" w:type="dxa"/>
            <w:vAlign w:val="bottom"/>
          </w:tcPr>
          <w:p>
            <w:pPr>
              <w:spacing w:after="0"/>
              <w:rPr>
                <w:sz w:val="1"/>
                <w:szCs w:val="1"/>
                <w:color w:val="auto"/>
              </w:rPr>
            </w:pPr>
          </w:p>
        </w:tc>
      </w:tr>
      <w:tr>
        <w:trPr>
          <w:trHeight w:val="212"/>
        </w:trPr>
        <w:tc>
          <w:tcPr>
            <w:tcW w:w="2580" w:type="dxa"/>
            <w:vAlign w:val="bottom"/>
          </w:tcPr>
          <w:p>
            <w:pPr>
              <w:spacing w:after="0"/>
              <w:rPr>
                <w:sz w:val="20"/>
                <w:szCs w:val="20"/>
                <w:color w:val="auto"/>
              </w:rPr>
            </w:pPr>
            <w:r>
              <w:rPr>
                <w:rFonts w:ascii="Times New Roman" w:cs="Times New Roman" w:eastAsia="Times New Roman" w:hAnsi="Times New Roman"/>
                <w:sz w:val="16"/>
                <w:szCs w:val="16"/>
                <w:color w:val="auto"/>
              </w:rPr>
              <w:t>Total stock-based compensation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40" w:right="540"/>
        <w:spacing w:after="0" w:line="282" w:lineRule="auto"/>
        <w:rPr>
          <w:sz w:val="20"/>
          <w:szCs w:val="20"/>
          <w:color w:val="auto"/>
        </w:rPr>
      </w:pPr>
      <w:r>
        <w:rPr>
          <w:rFonts w:ascii="Times New Roman" w:cs="Times New Roman" w:eastAsia="Times New Roman" w:hAnsi="Times New Roman"/>
          <w:sz w:val="18"/>
          <w:szCs w:val="18"/>
          <w:color w:val="auto"/>
        </w:rPr>
        <w:t>See Note 4, Note 6 and Note 9 to our consolidated financial statements included elsewhere in this Annual Report for more information regarding depreciation, amortization and stock-based compensation expense, respectively.</w:t>
      </w:r>
    </w:p>
    <w:p>
      <w:pPr>
        <w:spacing w:after="0" w:line="162" w:lineRule="exact"/>
        <w:rPr>
          <w:sz w:val="20"/>
          <w:szCs w:val="20"/>
          <w:color w:val="auto"/>
        </w:rPr>
      </w:pPr>
    </w:p>
    <w:p>
      <w:pPr>
        <w:ind w:left="640" w:right="320" w:hanging="325"/>
        <w:spacing w:after="0" w:line="282" w:lineRule="auto"/>
        <w:tabs>
          <w:tab w:leader="none" w:pos="63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 and Note 11 to our consolidated financial statements included elsewhere in this Annual Report for more information regarding earnings (loss) per share—basic and diluted computations.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580" w:top="104" w:right="439" w:bottom="1440" w:gutter="0" w:footer="0" w:header="0"/>
        </w:sectPr>
      </w:pPr>
    </w:p>
    <w:bookmarkStart w:id="71" w:name="page72"/>
    <w:bookmarkEnd w:id="71"/>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1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Non-GAAP Financial Measures</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 xml:space="preserve">We monitor certain non-GAAP financial measures such as contribution ex-TAC, non-GAAP operating expenses, adjusted EBITDA, adjusted EBITDA as a percentage of contribution ex-TAC, and non-GAAP net income when evaluating our quarterly results of operations to help us evaluate growth trends, establish budgets, measure the effectiveness of our sales and marketing efforts and assess our operational efficiencies. Reconciliations of these non-GAAP financial measures for each quarter of our fiscal years ended December 31, 2025 and 2024 to the most directly comparable financial measures calculated and presented in accordance with GAAP are provided in the financial tables presented below. For a description of management’s use of each non-GAAP financial measure contained in this Annual Report, see </w:t>
      </w:r>
      <w:r>
        <w:rPr>
          <w:rFonts w:ascii="Times New Roman" w:cs="Times New Roman" w:eastAsia="Times New Roman" w:hAnsi="Times New Roman"/>
          <w:sz w:val="18"/>
          <w:szCs w:val="18"/>
          <w:i w:val="1"/>
          <w:iCs w:val="1"/>
          <w:color w:val="auto"/>
        </w:rPr>
        <w:t>“—Key Operating and Financial Performance Measures—Use of Non-GAAP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Measures.”</w:t>
      </w:r>
    </w:p>
    <w:p>
      <w:pPr>
        <w:spacing w:after="0" w:line="259"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200" w:type="dxa"/>
            <w:vAlign w:val="bottom"/>
          </w:tcPr>
          <w:p>
            <w:pPr>
              <w:spacing w:after="0"/>
              <w:rPr>
                <w:sz w:val="13"/>
                <w:szCs w:val="13"/>
                <w:color w:val="auto"/>
              </w:rPr>
            </w:pPr>
          </w:p>
        </w:tc>
        <w:tc>
          <w:tcPr>
            <w:tcW w:w="10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8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9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94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90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214"/>
        </w:trPr>
        <w:tc>
          <w:tcPr>
            <w:tcW w:w="2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44"/>
        </w:trPr>
        <w:tc>
          <w:tcPr>
            <w:tcW w:w="220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Operating and Financial</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Performance Measures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51,301</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39,839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35,883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30,562</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42,490</w:t>
            </w:r>
          </w:p>
        </w:tc>
        <w:tc>
          <w:tcPr>
            <w:tcW w:w="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35,324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30,744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 ex-TAC</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64,560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52,990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48,372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42,729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54,359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47,352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41,558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34,121</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97,430</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81,351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77,841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75,501</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84,151</w:t>
            </w:r>
          </w:p>
        </w:tc>
        <w:tc>
          <w:tcPr>
            <w:tcW w:w="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75,884</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66,637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59,085</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39,849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36,961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37,089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37,327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37,268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32,677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31,958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31,046</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20,463</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5,153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(3,307)</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7,720</w:t>
            </w:r>
          </w:p>
        </w:tc>
        <w:tc>
          <w:tcPr>
            <w:tcW w:w="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6,458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19"/>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24,711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17,091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14,675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162"/>
        </w:trPr>
        <w:tc>
          <w:tcPr>
            <w:tcW w:w="22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as a</w:t>
            </w:r>
          </w:p>
        </w:tc>
        <w:tc>
          <w:tcPr>
            <w:tcW w:w="2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3"/>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percentage of gross profit</w:t>
            </w:r>
          </w:p>
        </w:tc>
        <w:tc>
          <w:tcPr>
            <w:tcW w:w="2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Adjusted EBITDA as a</w:t>
            </w: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percentage of contribution ex-</w:t>
            </w:r>
          </w:p>
        </w:tc>
        <w:tc>
          <w:tcPr>
            <w:tcW w:w="22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TAC</w:t>
            </w:r>
          </w:p>
        </w:tc>
        <w:tc>
          <w:tcPr>
            <w:tcW w:w="22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18,985</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11,205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8,012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2,816</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13,831</w:t>
            </w:r>
          </w:p>
        </w:tc>
        <w:tc>
          <w:tcPr>
            <w:tcW w:w="8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12,283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7,207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ex-TAC</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periods presented:</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20" w:type="dxa"/>
            <w:vAlign w:val="bottom"/>
          </w:tcPr>
          <w:p>
            <w:pPr>
              <w:spacing w:after="0"/>
              <w:rPr>
                <w:sz w:val="13"/>
                <w:szCs w:val="13"/>
                <w:color w:val="auto"/>
              </w:rPr>
            </w:pPr>
          </w:p>
        </w:tc>
        <w:tc>
          <w:tcPr>
            <w:tcW w:w="860" w:type="dxa"/>
            <w:vAlign w:val="bottom"/>
            <w:vMerge w:val="restart"/>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85,582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77,853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70,642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90,054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79,922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65,866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53,393</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Platform operations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(58,823)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8"/>
              </w:rPr>
              <w:t>(45,743)</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color w:val="auto"/>
              </w:rPr>
              <w:t>(41,970)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rPr>
              <w:t>(40,080)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color w:val="auto"/>
              </w:rPr>
              <w:t>(47,564)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8"/>
              </w:rPr>
              <w:t>(44,598)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color w:val="auto"/>
              </w:rPr>
              <w:t>(35,122)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rPr>
              <w:t>(29,880)</w:t>
            </w: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39,839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35,883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30,562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42,490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35,324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30,744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1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Other platform operations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13,259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w w:val="99"/>
              </w:rPr>
              <w:t>13,151</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9"/>
              </w:rPr>
              <w:t>12,489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rPr>
              <w:t>12,167</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w w:val="99"/>
              </w:rPr>
              <w:t>11,869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w w:val="99"/>
              </w:rPr>
              <w:t>12,028</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left="179"/>
              <w:spacing w:after="0"/>
              <w:rPr>
                <w:sz w:val="20"/>
                <w:szCs w:val="20"/>
                <w:color w:val="auto"/>
              </w:rPr>
            </w:pPr>
            <w:r>
              <w:rPr>
                <w:rFonts w:ascii="Times New Roman" w:cs="Times New Roman" w:eastAsia="Times New Roman" w:hAnsi="Times New Roman"/>
                <w:sz w:val="16"/>
                <w:szCs w:val="16"/>
                <w:color w:val="auto"/>
                <w:w w:val="99"/>
              </w:rPr>
              <w:t>10,814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199"/>
              <w:spacing w:after="0"/>
              <w:rPr>
                <w:sz w:val="20"/>
                <w:szCs w:val="20"/>
                <w:color w:val="auto"/>
              </w:rPr>
            </w:pPr>
            <w:r>
              <w:rPr>
                <w:rFonts w:ascii="Times New Roman" w:cs="Times New Roman" w:eastAsia="Times New Roman" w:hAnsi="Times New Roman"/>
                <w:sz w:val="16"/>
                <w:szCs w:val="16"/>
                <w:color w:val="auto"/>
              </w:rPr>
              <w:t>10,608</w:t>
            </w:r>
          </w:p>
        </w:tc>
        <w:tc>
          <w:tcPr>
            <w:tcW w:w="0" w:type="dxa"/>
            <w:vAlign w:val="bottom"/>
          </w:tcPr>
          <w:p>
            <w:pPr>
              <w:spacing w:after="0"/>
              <w:rPr>
                <w:sz w:val="1"/>
                <w:szCs w:val="1"/>
                <w:color w:val="auto"/>
              </w:rPr>
            </w:pPr>
          </w:p>
        </w:tc>
      </w:tr>
      <w:tr>
        <w:trPr>
          <w:trHeight w:val="237"/>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 ex-TAC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64,560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52,990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48,372</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42,729</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54,359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w w:val="99"/>
              </w:rPr>
              <w:t>47,352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center"/>
              <w:ind w:left="179"/>
              <w:spacing w:after="0"/>
              <w:rPr>
                <w:sz w:val="20"/>
                <w:szCs w:val="20"/>
                <w:color w:val="auto"/>
              </w:rPr>
            </w:pPr>
            <w:r>
              <w:rPr>
                <w:rFonts w:ascii="Times New Roman" w:cs="Times New Roman" w:eastAsia="Times New Roman" w:hAnsi="Times New Roman"/>
                <w:sz w:val="16"/>
                <w:szCs w:val="16"/>
                <w:color w:val="auto"/>
                <w:w w:val="99"/>
              </w:rPr>
              <w:t>41,558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center"/>
              <w:ind w:left="199"/>
              <w:spacing w:after="0"/>
              <w:rPr>
                <w:sz w:val="20"/>
                <w:szCs w:val="20"/>
                <w:color w:val="auto"/>
              </w:rPr>
            </w:pPr>
            <w:r>
              <w:rPr>
                <w:rFonts w:ascii="Times New Roman" w:cs="Times New Roman" w:eastAsia="Times New Roman" w:hAnsi="Times New Roman"/>
                <w:sz w:val="16"/>
                <w:szCs w:val="16"/>
                <w:color w:val="auto"/>
              </w:rPr>
              <w:t>34,121</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4" w:right="459" w:bottom="1440" w:gutter="0" w:footer="0" w:header="0"/>
        </w:sectPr>
      </w:pPr>
    </w:p>
    <w:bookmarkStart w:id="72" w:name="page73"/>
    <w:bookmarkEnd w:id="7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Operating Expenses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total operating expenses to non-GAAP operating expenses for the periods presented:</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960" w:type="dxa"/>
            <w:vAlign w:val="bottom"/>
            <w:gridSpan w:val="2"/>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19"/>
              <w:spacing w:after="0" w:line="162" w:lineRule="exact"/>
              <w:rPr>
                <w:sz w:val="20"/>
                <w:szCs w:val="20"/>
                <w:color w:val="auto"/>
              </w:rPr>
            </w:pPr>
            <w:r>
              <w:rPr>
                <w:rFonts w:ascii="Times New Roman" w:cs="Times New Roman" w:eastAsia="Times New Roman" w:hAnsi="Times New Roman"/>
                <w:sz w:val="16"/>
                <w:szCs w:val="16"/>
                <w:b w:val="1"/>
                <w:bCs w:val="1"/>
                <w:color w:val="auto"/>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339"/>
              <w:spacing w:after="0" w:line="162" w:lineRule="exact"/>
              <w:rPr>
                <w:sz w:val="20"/>
                <w:szCs w:val="20"/>
                <w:color w:val="auto"/>
              </w:rPr>
            </w:pPr>
            <w:r>
              <w:rPr>
                <w:rFonts w:ascii="Times New Roman" w:cs="Times New Roman" w:eastAsia="Times New Roman" w:hAnsi="Times New Roman"/>
                <w:sz w:val="16"/>
                <w:szCs w:val="16"/>
                <w:b w:val="1"/>
                <w:bCs w:val="1"/>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Platform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58,823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41,970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40,080</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47,564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44,598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35,122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29,880</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12,899</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5,232</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12,648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11,074</w:t>
            </w:r>
          </w:p>
        </w:tc>
        <w:tc>
          <w:tcPr>
            <w:tcW w:w="0" w:type="dxa"/>
            <w:vAlign w:val="bottom"/>
          </w:tcPr>
          <w:p>
            <w:pPr>
              <w:spacing w:after="0"/>
              <w:rPr>
                <w:sz w:val="1"/>
                <w:szCs w:val="1"/>
                <w:color w:val="auto"/>
              </w:rPr>
            </w:pPr>
          </w:p>
        </w:tc>
      </w:tr>
      <w:tr>
        <w:trPr>
          <w:trHeight w:val="207"/>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81,351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75,501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84,151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75,884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59,085</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Other expense, net</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Traffic acquisition costs</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(32,592)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(32,570)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(19,272)</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Restructuring and other</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Transaction expense</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Non-operational media purchases</w:t>
            </w:r>
            <w:r>
              <w:rPr>
                <w:rFonts w:ascii="Times New Roman" w:cs="Times New Roman" w:eastAsia="Times New Roman" w:hAnsi="Times New Roman"/>
                <w:sz w:val="21"/>
                <w:szCs w:val="21"/>
                <w:color w:val="auto"/>
                <w:vertAlign w:val="superscript"/>
              </w:rPr>
              <w:t>(4)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operating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39,849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36,961</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37,089</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37,327</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37,268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32,677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31,958</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31,046</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00" w:hanging="325"/>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 net excludes $0.3 million related to the TRA remeasurement expense for the three months ended March 31, 2025.</w:t>
      </w:r>
    </w:p>
    <w:p>
      <w:pPr>
        <w:spacing w:after="0" w:line="117" w:lineRule="exact"/>
        <w:rPr>
          <w:rFonts w:ascii="Times New Roman" w:cs="Times New Roman" w:eastAsia="Times New Roman" w:hAnsi="Times New Roman"/>
          <w:sz w:val="18"/>
          <w:szCs w:val="18"/>
          <w:color w:val="auto"/>
        </w:rPr>
      </w:pPr>
    </w:p>
    <w:p>
      <w:pPr>
        <w:ind w:left="900" w:hanging="325"/>
        <w:spacing w:after="0" w:line="266" w:lineRule="auto"/>
        <w:tabs>
          <w:tab w:leader="none" w:pos="8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includes severance and other charges incurred in connection with organizational restructuring initiatives for the three month period in the year ended December 31, 2025 and are related to aligning our workforce with our strategic performance goals for the three month periods in the year ended December 31, 2024.</w:t>
      </w:r>
    </w:p>
    <w:p>
      <w:pPr>
        <w:spacing w:after="0" w:line="67"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8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consists of costs incurred related to our contemplated and completed acquisitions for the three month periods in the year ended December 31, 2025 and costs incurred related to our completed acquisition as well as the filing of a "shelf" registration statement on Form S-3 for the three month periods in the year ended December 31, 2024.</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non-operating supplier purchases that are not billable to the customer for the three month periods in the years ended December 31, 2025 and 2024.</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73" w:name="page74"/>
    <w:bookmarkEnd w:id="7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adjusted EBITDA for the periods presented:</w:t>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6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3"/>
                <w:szCs w:val="13"/>
                <w:color w:val="auto"/>
              </w:rPr>
            </w:pPr>
          </w:p>
        </w:tc>
        <w:tc>
          <w:tcPr>
            <w:tcW w:w="96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September</w:t>
            </w: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(less):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 net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(2,381)</w:t>
            </w:r>
          </w:p>
        </w:tc>
        <w:tc>
          <w:tcPr>
            <w:tcW w:w="0" w:type="dxa"/>
            <w:vAlign w:val="bottom"/>
          </w:tcPr>
          <w:p>
            <w:pPr>
              <w:spacing w:after="0"/>
              <w:rPr>
                <w:sz w:val="1"/>
                <w:szCs w:val="1"/>
                <w:color w:val="auto"/>
              </w:rPr>
            </w:pPr>
          </w:p>
        </w:tc>
      </w:tr>
      <w:tr>
        <w:trPr>
          <w:trHeight w:val="162"/>
        </w:trPr>
        <w:tc>
          <w:tcPr>
            <w:tcW w:w="26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Provision for (benefit from) income</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(14,062)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4,146</w:t>
            </w:r>
          </w:p>
        </w:tc>
        <w:tc>
          <w:tcPr>
            <w:tcW w:w="0" w:type="dxa"/>
            <w:vAlign w:val="bottom"/>
          </w:tcPr>
          <w:p>
            <w:pPr>
              <w:spacing w:after="0"/>
              <w:rPr>
                <w:sz w:val="1"/>
                <w:szCs w:val="1"/>
                <w:color w:val="auto"/>
              </w:rPr>
            </w:pPr>
          </w:p>
        </w:tc>
      </w:tr>
      <w:tr>
        <w:trPr>
          <w:trHeight w:val="213"/>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Restructuring and other</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Transaction expense</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Non-operational media purchases</w:t>
            </w:r>
            <w:r>
              <w:rPr>
                <w:rFonts w:ascii="Times New Roman" w:cs="Times New Roman" w:eastAsia="Times New Roman" w:hAnsi="Times New Roman"/>
                <w:sz w:val="21"/>
                <w:szCs w:val="21"/>
                <w:color w:val="auto"/>
                <w:vertAlign w:val="superscript"/>
              </w:rPr>
              <w:t>(3)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TRA remeasurement expense</w:t>
            </w:r>
            <w:r>
              <w:rPr>
                <w:rFonts w:ascii="Times New Roman" w:cs="Times New Roman" w:eastAsia="Times New Roman" w:hAnsi="Times New Roman"/>
                <w:sz w:val="21"/>
                <w:szCs w:val="21"/>
                <w:color w:val="auto"/>
                <w:vertAlign w:val="superscript"/>
              </w:rPr>
              <w:t>(4)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Employee retention credit</w:t>
            </w:r>
            <w:r>
              <w:rPr>
                <w:rFonts w:ascii="Times New Roman" w:cs="Times New Roman" w:eastAsia="Times New Roman" w:hAnsi="Times New Roman"/>
                <w:sz w:val="21"/>
                <w:szCs w:val="21"/>
                <w:color w:val="auto"/>
                <w:vertAlign w:val="superscript"/>
              </w:rPr>
              <w:t>(5)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24,711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16,029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11,283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5,402</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17,091</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14,675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900" w:hanging="325"/>
        <w:spacing w:after="0" w:line="266" w:lineRule="auto"/>
        <w:tabs>
          <w:tab w:leader="none" w:pos="8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includes severance and other charges incurred in connection with organizational restructuring initiatives for the three month period in the year ended December 31, 2025 and are related to aligning our workforce with our strategic performance goals for the three month periods in the year ended December 31, 2024.</w:t>
      </w:r>
    </w:p>
    <w:p>
      <w:pPr>
        <w:spacing w:after="0" w:line="67"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8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consists of costs incurred related to our contemplated and completed acquisitions for the three month periods in the year ended December 31, 2025 and costs incurred related to our completed acquisition as well as the filing of a "shelf" registration statement on Form S-3 for the three month periods in the year ended December 31, 2024.</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non-operating supplier purchases that are not billable to the customer for the three month periods in the years ended December 31, 2025 and 2024.</w:t>
      </w:r>
    </w:p>
    <w:p>
      <w:pPr>
        <w:spacing w:after="0" w:line="53"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8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remeasurement expense reflects the remeasurement of the TRA liability for the three months ended March 31, 2025 and the year ended December 31, 2025.</w:t>
      </w:r>
    </w:p>
    <w:p>
      <w:pPr>
        <w:spacing w:after="0" w:line="53" w:lineRule="exact"/>
        <w:rPr>
          <w:rFonts w:ascii="Times New Roman" w:cs="Times New Roman" w:eastAsia="Times New Roman" w:hAnsi="Times New Roman"/>
          <w:sz w:val="18"/>
          <w:szCs w:val="18"/>
          <w:color w:val="auto"/>
        </w:rPr>
      </w:pPr>
    </w:p>
    <w:p>
      <w:pPr>
        <w:ind w:left="900" w:right="920" w:hanging="325"/>
        <w:spacing w:after="0" w:line="282" w:lineRule="auto"/>
        <w:tabs>
          <w:tab w:leader="none" w:pos="89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credit represents proceeds from a government grant enacted under the CARES Act for the three months ended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as a percentage of contribution ex-TAC</w:t>
      </w:r>
    </w:p>
    <w:p>
      <w:pPr>
        <w:spacing w:after="0" w:line="119"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net income (loss) as a percentage of gross profit and the calculation of adjusted EBITDA as a percentage of contribution ex-TAC for the periods presented:</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215"/>
        </w:trPr>
        <w:tc>
          <w:tcPr>
            <w:tcW w:w="2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180" w:type="dxa"/>
            <w:vAlign w:val="bottom"/>
          </w:tcPr>
          <w:p>
            <w:pPr>
              <w:spacing w:after="0"/>
              <w:rPr>
                <w:sz w:val="13"/>
                <w:szCs w:val="13"/>
                <w:color w:val="auto"/>
              </w:rPr>
            </w:pPr>
          </w:p>
        </w:tc>
        <w:tc>
          <w:tcPr>
            <w:tcW w:w="11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960" w:type="dxa"/>
            <w:vAlign w:val="bottom"/>
            <w:gridSpan w:val="2"/>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98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1100" w:type="dxa"/>
            <w:vAlign w:val="bottom"/>
            <w:gridSpan w:val="3"/>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160" w:type="dxa"/>
            <w:vAlign w:val="bottom"/>
            <w:gridSpan w:val="3"/>
          </w:tcPr>
          <w:p>
            <w:pPr>
              <w:ind w:left="20"/>
              <w:spacing w:after="0" w:line="158"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60" w:type="dxa"/>
            <w:vAlign w:val="bottom"/>
          </w:tcPr>
          <w:p>
            <w:pPr>
              <w:spacing w:after="0"/>
              <w:rPr>
                <w:sz w:val="13"/>
                <w:szCs w:val="13"/>
                <w:color w:val="auto"/>
              </w:rPr>
            </w:pPr>
          </w:p>
        </w:tc>
        <w:tc>
          <w:tcPr>
            <w:tcW w:w="9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3"/>
                <w:szCs w:val="13"/>
                <w:color w:val="auto"/>
              </w:rPr>
            </w:pPr>
          </w:p>
        </w:tc>
        <w:tc>
          <w:tcPr>
            <w:tcW w:w="920" w:type="dxa"/>
            <w:vAlign w:val="bottom"/>
          </w:tcPr>
          <w:p>
            <w:pPr>
              <w:jc w:val="right"/>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March 31,</w:t>
            </w:r>
          </w:p>
        </w:tc>
        <w:tc>
          <w:tcPr>
            <w:tcW w:w="0" w:type="dxa"/>
            <w:vAlign w:val="bottom"/>
          </w:tcPr>
          <w:p>
            <w:pPr>
              <w:spacing w:after="0"/>
              <w:rPr>
                <w:sz w:val="1"/>
                <w:szCs w:val="1"/>
                <w:color w:val="auto"/>
              </w:rPr>
            </w:pPr>
          </w:p>
        </w:tc>
      </w:tr>
      <w:tr>
        <w:trPr>
          <w:trHeight w:val="214"/>
        </w:trPr>
        <w:tc>
          <w:tcPr>
            <w:tcW w:w="2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51,301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39,839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35,883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30,562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42,490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35,324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30,744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13"/>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20,463</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1,787</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(3,307)</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7,720</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6,458</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1,488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165"/>
        </w:trPr>
        <w:tc>
          <w:tcPr>
            <w:tcW w:w="21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Net income (loss) as a</w:t>
            </w: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percentage of gross profit</w:t>
            </w: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Contribution ex-TAC</w:t>
            </w:r>
            <w:r>
              <w:rPr>
                <w:rFonts w:ascii="Times New Roman" w:cs="Times New Roman" w:eastAsia="Times New Roman" w:hAnsi="Times New Roman"/>
                <w:sz w:val="21"/>
                <w:szCs w:val="21"/>
                <w:color w:val="auto"/>
                <w:vertAlign w:val="superscript"/>
              </w:rPr>
              <w:t>(1)</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64,560</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52,990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48,372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42,729</w:t>
            </w:r>
          </w:p>
        </w:tc>
        <w:tc>
          <w:tcPr>
            <w:tcW w:w="8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54,359</w:t>
            </w:r>
          </w:p>
        </w:tc>
        <w:tc>
          <w:tcPr>
            <w:tcW w:w="8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47,352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41,558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34,121</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24,711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16,029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11,283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5,402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14,675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3,075</w:t>
            </w:r>
          </w:p>
        </w:tc>
        <w:tc>
          <w:tcPr>
            <w:tcW w:w="0" w:type="dxa"/>
            <w:vAlign w:val="bottom"/>
          </w:tcPr>
          <w:p>
            <w:pPr>
              <w:spacing w:after="0"/>
              <w:rPr>
                <w:sz w:val="1"/>
                <w:szCs w:val="1"/>
                <w:color w:val="auto"/>
              </w:rPr>
            </w:pPr>
          </w:p>
        </w:tc>
      </w:tr>
      <w:tr>
        <w:trPr>
          <w:trHeight w:val="162"/>
        </w:trPr>
        <w:tc>
          <w:tcPr>
            <w:tcW w:w="2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Adjusted EBITDA as a</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percentage of contribution ex-</w:t>
            </w: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0" w:type="dxa"/>
            <w:vAlign w:val="bottom"/>
          </w:tcPr>
          <w:p>
            <w:pPr>
              <w:spacing w:after="0"/>
              <w:rPr>
                <w:sz w:val="1"/>
                <w:szCs w:val="1"/>
                <w:color w:val="auto"/>
              </w:rPr>
            </w:pPr>
          </w:p>
        </w:tc>
      </w:tr>
      <w:tr>
        <w:trPr>
          <w:trHeight w:val="210"/>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TAC</w:t>
            </w: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74" w:name="page75"/>
    <w:bookmarkEnd w:id="7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379" w:lineRule="exact"/>
        <w:rPr>
          <w:sz w:val="20"/>
          <w:szCs w:val="20"/>
          <w:color w:val="auto"/>
        </w:rPr>
      </w:pPr>
    </w:p>
    <w:p>
      <w:pPr>
        <w:ind w:left="900" w:right="200" w:hanging="325"/>
        <w:spacing w:after="0" w:line="284" w:lineRule="auto"/>
        <w:tabs>
          <w:tab w:leader="none" w:pos="8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Contribution ex-TAC."</w:t>
      </w:r>
    </w:p>
    <w:p>
      <w:pPr>
        <w:spacing w:after="0" w:line="50" w:lineRule="exact"/>
        <w:rPr>
          <w:rFonts w:ascii="Times New Roman" w:cs="Times New Roman" w:eastAsia="Times New Roman" w:hAnsi="Times New Roman"/>
          <w:sz w:val="18"/>
          <w:szCs w:val="18"/>
          <w:color w:val="auto"/>
        </w:rPr>
      </w:pPr>
    </w:p>
    <w:p>
      <w:pPr>
        <w:ind w:left="900" w:right="400" w:hanging="325"/>
        <w:spacing w:after="0" w:line="284" w:lineRule="auto"/>
        <w:tabs>
          <w:tab w:leader="none" w:pos="8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reconciliation of adjusted EBITDA to the most directly comparable financial measure calculated in accordance with GAAP, see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Adjusted EBITDA."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net income (loss)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net income (loss) to non-GAAP net income (loss) for the periods presented:</w:t>
      </w:r>
    </w:p>
    <w:p>
      <w:pPr>
        <w:spacing w:after="0" w:line="200" w:lineRule="exact"/>
        <w:rPr>
          <w:sz w:val="20"/>
          <w:szCs w:val="20"/>
          <w:color w:val="auto"/>
        </w:rPr>
      </w:pPr>
    </w:p>
    <w:p>
      <w:pPr>
        <w:spacing w:after="0" w:line="20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20" w:type="dxa"/>
            <w:vAlign w:val="bottom"/>
          </w:tcPr>
          <w:p>
            <w:pPr>
              <w:spacing w:after="0"/>
              <w:rPr>
                <w:sz w:val="13"/>
                <w:szCs w:val="13"/>
                <w:color w:val="auto"/>
              </w:rPr>
            </w:pPr>
          </w:p>
        </w:tc>
        <w:tc>
          <w:tcPr>
            <w:tcW w:w="94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December</w:t>
            </w: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0" w:type="dxa"/>
            <w:vAlign w:val="bottom"/>
          </w:tcPr>
          <w:p>
            <w:pPr>
              <w:spacing w:after="0"/>
              <w:rPr>
                <w:sz w:val="13"/>
                <w:szCs w:val="13"/>
                <w:color w:val="auto"/>
              </w:rPr>
            </w:pPr>
          </w:p>
        </w:tc>
        <w:tc>
          <w:tcPr>
            <w:tcW w:w="90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3"/>
                <w:szCs w:val="13"/>
                <w:color w:val="auto"/>
              </w:rPr>
            </w:pPr>
          </w:p>
        </w:tc>
        <w:tc>
          <w:tcPr>
            <w:tcW w:w="8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March 31,</w:t>
            </w:r>
          </w:p>
        </w:tc>
        <w:tc>
          <w:tcPr>
            <w:tcW w:w="0" w:type="dxa"/>
            <w:vAlign w:val="bottom"/>
          </w:tcPr>
          <w:p>
            <w:pPr>
              <w:spacing w:after="0"/>
              <w:rPr>
                <w:sz w:val="1"/>
                <w:szCs w:val="1"/>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31,</w:t>
            </w: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center"/>
              <w:ind w:right="99"/>
              <w:spacing w:after="0" w:line="162" w:lineRule="exact"/>
              <w:rPr>
                <w:sz w:val="20"/>
                <w:szCs w:val="20"/>
                <w:color w:val="auto"/>
              </w:rPr>
            </w:pPr>
            <w:r>
              <w:rPr>
                <w:rFonts w:ascii="Times New Roman" w:cs="Times New Roman" w:eastAsia="Times New Roman" w:hAnsi="Times New Roman"/>
                <w:sz w:val="16"/>
                <w:szCs w:val="16"/>
                <w:b w:val="1"/>
                <w:bCs w:val="1"/>
                <w:color w:val="auto"/>
                <w:w w:val="99"/>
              </w:rPr>
              <w:t>31,</w:t>
            </w:r>
          </w:p>
        </w:tc>
        <w:tc>
          <w:tcPr>
            <w:tcW w:w="8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0" w:type="dxa"/>
            <w:vAlign w:val="bottom"/>
          </w:tcPr>
          <w:p>
            <w:pPr>
              <w:spacing w:after="0"/>
              <w:rPr>
                <w:sz w:val="1"/>
                <w:szCs w:val="1"/>
                <w:color w:val="auto"/>
              </w:rPr>
            </w:pPr>
          </w:p>
        </w:tc>
      </w:tr>
      <w:tr>
        <w:trPr>
          <w:trHeight w:val="213"/>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back (less):</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5,537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4,440</w:t>
            </w: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Restructuring and other</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Transaction expense</w:t>
            </w:r>
            <w:r>
              <w:rPr>
                <w:rFonts w:ascii="Times New Roman" w:cs="Times New Roman" w:eastAsia="Times New Roman" w:hAnsi="Times New Roman"/>
                <w:sz w:val="21"/>
                <w:szCs w:val="21"/>
                <w:color w:val="auto"/>
                <w:vertAlign w:val="superscript"/>
              </w:rPr>
              <w:t>(2)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Non-operational media purchases</w:t>
            </w:r>
            <w:r>
              <w:rPr>
                <w:rFonts w:ascii="Times New Roman" w:cs="Times New Roman" w:eastAsia="Times New Roman" w:hAnsi="Times New Roman"/>
                <w:sz w:val="21"/>
                <w:szCs w:val="21"/>
                <w:color w:val="auto"/>
                <w:vertAlign w:val="superscript"/>
              </w:rPr>
              <w:t>(3)</w:t>
            </w: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TRA remeasurement expense</w:t>
            </w:r>
            <w:r>
              <w:rPr>
                <w:rFonts w:ascii="Times New Roman" w:cs="Times New Roman" w:eastAsia="Times New Roman" w:hAnsi="Times New Roman"/>
                <w:sz w:val="21"/>
                <w:szCs w:val="21"/>
                <w:color w:val="auto"/>
                <w:vertAlign w:val="superscript"/>
              </w:rPr>
              <w:t>(4)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Income tax benefit resulting from</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the release of the valuation</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(14,685)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allowance</w:t>
            </w: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64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Employee retention credit</w:t>
            </w:r>
            <w:r>
              <w:rPr>
                <w:rFonts w:ascii="Times New Roman" w:cs="Times New Roman" w:eastAsia="Times New Roman" w:hAnsi="Times New Roman"/>
                <w:sz w:val="21"/>
                <w:szCs w:val="21"/>
                <w:color w:val="auto"/>
                <w:vertAlign w:val="superscript"/>
              </w:rPr>
              <w:t>(5)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64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Income tax expense (benefit) related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40" w:type="dxa"/>
            <w:vAlign w:val="bottom"/>
          </w:tcPr>
          <w:p>
            <w:pPr>
              <w:ind w:left="260"/>
              <w:spacing w:after="0" w:line="162" w:lineRule="exact"/>
              <w:rPr>
                <w:sz w:val="20"/>
                <w:szCs w:val="20"/>
                <w:color w:val="auto"/>
              </w:rPr>
            </w:pPr>
            <w:r>
              <w:rPr>
                <w:rFonts w:ascii="Times New Roman" w:cs="Times New Roman" w:eastAsia="Times New Roman" w:hAnsi="Times New Roman"/>
                <w:sz w:val="16"/>
                <w:szCs w:val="16"/>
                <w:color w:val="auto"/>
              </w:rPr>
              <w:t>to Viant Technology Inc.’s share of</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(975)</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CCEEFF"/>
            </w:tcBorders>
          </w:tcPr>
          <w:p>
            <w:pPr>
              <w:ind w:left="260"/>
              <w:spacing w:after="0" w:line="216" w:lineRule="exact"/>
              <w:rPr>
                <w:sz w:val="20"/>
                <w:szCs w:val="20"/>
                <w:color w:val="auto"/>
              </w:rPr>
            </w:pPr>
            <w:r>
              <w:rPr>
                <w:rFonts w:ascii="Times New Roman" w:cs="Times New Roman" w:eastAsia="Times New Roman" w:hAnsi="Times New Roman"/>
                <w:sz w:val="16"/>
                <w:szCs w:val="16"/>
                <w:color w:val="auto"/>
              </w:rPr>
              <w:t>non-GAAP pre-tax income (loss)</w:t>
            </w:r>
            <w:r>
              <w:rPr>
                <w:rFonts w:ascii="Times New Roman" w:cs="Times New Roman" w:eastAsia="Times New Roman" w:hAnsi="Times New Roman"/>
                <w:sz w:val="21"/>
                <w:szCs w:val="21"/>
                <w:color w:val="auto"/>
                <w:vertAlign w:val="superscript"/>
              </w:rPr>
              <w:t>(6)</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11,205</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13,831</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12,283</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7,207</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900" w:hanging="325"/>
        <w:spacing w:after="0" w:line="266" w:lineRule="auto"/>
        <w:tabs>
          <w:tab w:leader="none" w:pos="8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other includes severance and other charges incurred in connection with organizational restructuring initiatives for the three month period in the year ended December 31, 2025 and are related to aligning our workforce with our strategic performance goals for the three month periods in the year ended December 31, 2024.</w:t>
      </w:r>
    </w:p>
    <w:p>
      <w:pPr>
        <w:spacing w:after="0" w:line="67" w:lineRule="exact"/>
        <w:rPr>
          <w:rFonts w:ascii="Times New Roman" w:cs="Times New Roman" w:eastAsia="Times New Roman" w:hAnsi="Times New Roman"/>
          <w:sz w:val="18"/>
          <w:szCs w:val="18"/>
          <w:color w:val="auto"/>
        </w:rPr>
      </w:pPr>
    </w:p>
    <w:p>
      <w:pPr>
        <w:ind w:left="900" w:right="160" w:hanging="325"/>
        <w:spacing w:after="0" w:line="266" w:lineRule="auto"/>
        <w:tabs>
          <w:tab w:leader="none" w:pos="8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expense consists of costs incurred related to our contemplated and completed acquisitions for the three month periods in the year ended December 31, 2025 and costs incurred related to our completed acquisition as well as the filing of a "shelf" registration statement on Form S-3 for the three month periods in the year ended December 31, 2024.</w:t>
      </w:r>
    </w:p>
    <w:p>
      <w:pPr>
        <w:spacing w:after="0" w:line="67" w:lineRule="exact"/>
        <w:rPr>
          <w:rFonts w:ascii="Times New Roman" w:cs="Times New Roman" w:eastAsia="Times New Roman" w:hAnsi="Times New Roman"/>
          <w:sz w:val="18"/>
          <w:szCs w:val="18"/>
          <w:color w:val="auto"/>
        </w:rPr>
      </w:pPr>
    </w:p>
    <w:p>
      <w:pPr>
        <w:ind w:left="900" w:right="60" w:hanging="325"/>
        <w:spacing w:after="0" w:line="282" w:lineRule="auto"/>
        <w:tabs>
          <w:tab w:leader="none" w:pos="8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Non-operational media purchases reflects costs incurred for non-operating supplier purchases that are not billable to the customer for the three month periods in the years ended December 31, 2025 and 2024.</w:t>
      </w:r>
    </w:p>
    <w:p>
      <w:pPr>
        <w:spacing w:after="0" w:line="53" w:lineRule="exact"/>
        <w:rPr>
          <w:rFonts w:ascii="Times New Roman" w:cs="Times New Roman" w:eastAsia="Times New Roman" w:hAnsi="Times New Roman"/>
          <w:sz w:val="18"/>
          <w:szCs w:val="18"/>
          <w:color w:val="auto"/>
        </w:rPr>
      </w:pPr>
    </w:p>
    <w:p>
      <w:pPr>
        <w:ind w:left="900" w:right="160" w:hanging="325"/>
        <w:spacing w:after="0" w:line="282" w:lineRule="auto"/>
        <w:tabs>
          <w:tab w:leader="none" w:pos="8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 remeasurement expense reflects the remeasurement of the TRA liability for the three months ended March 31, 2025 and the year ended December 31, 2025.</w:t>
      </w:r>
    </w:p>
    <w:p>
      <w:pPr>
        <w:spacing w:after="0" w:line="53" w:lineRule="exact"/>
        <w:rPr>
          <w:rFonts w:ascii="Times New Roman" w:cs="Times New Roman" w:eastAsia="Times New Roman" w:hAnsi="Times New Roman"/>
          <w:sz w:val="18"/>
          <w:szCs w:val="18"/>
          <w:color w:val="auto"/>
        </w:rPr>
      </w:pPr>
    </w:p>
    <w:p>
      <w:pPr>
        <w:ind w:left="900" w:right="920" w:hanging="325"/>
        <w:spacing w:after="0" w:line="282" w:lineRule="auto"/>
        <w:tabs>
          <w:tab w:leader="none" w:pos="8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credit represents proceeds from a government grant enacted under the CARES Act for the three months ended December 31, 2025.</w:t>
      </w:r>
    </w:p>
    <w:p>
      <w:pPr>
        <w:spacing w:after="0" w:line="53" w:lineRule="exact"/>
        <w:rPr>
          <w:rFonts w:ascii="Times New Roman" w:cs="Times New Roman" w:eastAsia="Times New Roman" w:hAnsi="Times New Roman"/>
          <w:sz w:val="18"/>
          <w:szCs w:val="18"/>
          <w:color w:val="auto"/>
        </w:rPr>
      </w:pPr>
    </w:p>
    <w:p>
      <w:pPr>
        <w:ind w:left="900" w:hanging="325"/>
        <w:spacing w:after="0" w:line="282" w:lineRule="auto"/>
        <w:tabs>
          <w:tab w:leader="none" w:pos="89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income tax effect of our share of income (loss) after non-GAAP reconciling items is calculated using quarterly assumed blended tax rates, which represent our expected corporate tax rates, excluding discrete and non-recurring tax items.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75" w:name="page76"/>
    <w:bookmarkEnd w:id="7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2"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231F20"/>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net versus gross revenue recognition in our customer arrangements, the assumptions used in the valuation models to determine the fair value of common stock and stock-based compensation, the estimates and judgment involved in the capitalization of internal-use software development costs, the judgment in estimating deferred tax assets and liabilities, including the realizability of deferred tax assets, and the judgment in estimating the TRA liability, have the greatest potential impact on our consolidated financial statements. Therefore, we consider these to be our critical accounting policies and estimates.</w:t>
      </w:r>
    </w:p>
    <w:p>
      <w:pPr>
        <w:spacing w:after="0" w:line="81"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231F20"/>
        </w:rPr>
        <w:t>See Note 2</w:t>
      </w:r>
      <w:r>
        <w:rPr>
          <w:rFonts w:ascii="Times New Roman" w:cs="Times New Roman" w:eastAsia="Times New Roman" w:hAnsi="Times New Roman"/>
          <w:sz w:val="18"/>
          <w:szCs w:val="18"/>
          <w:color w:val="000000"/>
        </w:rPr>
        <w:t>—Basis of Presentation and Summary of Significant Accounting Policies</w:t>
      </w:r>
      <w:r>
        <w:rPr>
          <w:rFonts w:ascii="Times New Roman" w:cs="Times New Roman" w:eastAsia="Times New Roman" w:hAnsi="Times New Roman"/>
          <w:sz w:val="18"/>
          <w:szCs w:val="18"/>
          <w:color w:val="231F20"/>
        </w:rPr>
        <w:t xml:space="preserve"> to our consolidated financial statements included elsewhere in this Annual Report for additional information on the </w:t>
      </w:r>
      <w:r>
        <w:rPr>
          <w:rFonts w:ascii="Times New Roman" w:cs="Times New Roman" w:eastAsia="Times New Roman" w:hAnsi="Times New Roman"/>
          <w:sz w:val="18"/>
          <w:szCs w:val="18"/>
          <w:color w:val="000000"/>
        </w:rPr>
        <w:t>significant accounting policies and methods used in the preparation of our consolidated</w:t>
      </w:r>
      <w:r>
        <w:rPr>
          <w:rFonts w:ascii="Times New Roman" w:cs="Times New Roman" w:eastAsia="Times New Roman" w:hAnsi="Times New Roman"/>
          <w:sz w:val="18"/>
          <w:szCs w:val="18"/>
          <w:color w:val="231F20"/>
        </w:rPr>
        <w:t xml:space="preserve">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Revenue Recognition</w:t>
      </w:r>
    </w:p>
    <w:p>
      <w:pPr>
        <w:spacing w:after="0" w:line="11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generate revenue by providing marketers and advertising agencies with the ability to plan, buy and measure their digital advertising campaigns using our DSP. Our platform enables marketers and their advertising agencies to reach their target audience across a wide range of advertising channels and formats.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apply a five-step approach as defined in Financial Accounting Standards Board (“FASB”) Accounting Standards Codification (“ASC”) 606,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Contracts with Customers (“ASC 606”), in determining the amount and timing of revenue to be recognized:</w:t>
      </w:r>
    </w:p>
    <w:p>
      <w:pPr>
        <w:spacing w:after="0" w:line="99" w:lineRule="exact"/>
        <w:rPr>
          <w:sz w:val="20"/>
          <w:szCs w:val="20"/>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11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make our platform available through different pricing options to tailor to multiple customer types and customer needs. These options consist of a percentage of spend option and a fixed CPM option. “CPM” refers to a payment option in which customers pay a price for every 1,000 impressions an ad receives. We maintain agreements with our customers in the form of MSAs in connection with the percentage of spend pricing option and we maintain IOs in connection with the fixed CPM pricing option. The nature of our performance obligations is to enable customers to plan, buy and measure advertising campaigns using our platform and provide campaign execution services as requested.</w:t>
      </w:r>
    </w:p>
    <w:p>
      <w:pPr>
        <w:spacing w:after="0" w:line="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the percentage of spend pricing option, which primarily relates to the usage of our platform on a self-service basis, we generate revenue by charging a platform fee that is a percentage of spend. We also offer our customers value-added services to aid them in data management, media execution and advanced reporting. When customers utilize these value-added services, we generate revenue by charging a separate service fee. For this option, we bill customers the platform fee and the additional service fees, if applicable, plus the cost of TAC. We recognize revenue at the point in time when a purchase of media by the customer occurs through our platform associated with their advertising campaign.</w:t>
      </w:r>
    </w:p>
    <w:p>
      <w:pPr>
        <w:spacing w:after="0" w:line="7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For the fixed CPM pricing option, we generate revenue by charging a fixed CPM based on advertising impressions delivered through the platform. We also offer our customers third party data segments and measurement reporting. We recognize revenue at the point in time when the advertising impressions are delivered to the customer.</w:t>
      </w:r>
    </w:p>
    <w:p>
      <w:pPr>
        <w:spacing w:after="0" w:line="6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w:t>
      </w:r>
    </w:p>
    <w:p>
      <w:pPr>
        <w:spacing w:after="0" w:line="7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For the percentage of spend pricing option, we typically act as an agent because we arrange for the transfer of costs from the supplier to the customer through the use of our platform and do not control such features prior to transfer to the customer. We do not</w:t>
      </w:r>
    </w:p>
    <w:p>
      <w:pPr>
        <w:sectPr>
          <w:pgSz w:w="11900" w:h="16838" w:orient="portrait"/>
          <w:cols w:equalWidth="0" w:num="1">
            <w:col w:w="11240"/>
          </w:cols>
          <w:pgMar w:left="320" w:top="10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76" w:name="page77"/>
    <w:bookmarkEnd w:id="7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have primary responsibility for meeting customer specifications and do not have discretion in establishing the price of TAC related to this pricing option. As we act as the agent in these arrangements, we report revenue on a net basis. In certain percentage of spend arrangements, we act as a principal because we control the advertising inventory before it is transferred to the customer and we bear sole responsibility for fulfillment of the advertising promise. As we act as the principal in these certain arrangements, we report revenue and the related costs incurred on a gross basis.</w:t>
      </w:r>
    </w:p>
    <w:p>
      <w:pPr>
        <w:spacing w:after="0" w:line="72"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For the fixed CPM pricing option, we have the primary responsibility for meeting customer specifications and have discretion in establishing the price of TAC. As we act as the principal in these arrangements, we report revenue and the related costs incurred on a gross basis.</w:t>
      </w:r>
    </w:p>
    <w:p>
      <w:pPr>
        <w:spacing w:after="0" w:line="54"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We invoice our customers on a monthly basis for all pricing options. Invoice payment terms, negotiated on a customer-by-customer basis, are typically 30 to 90 days. Many advertising agency customer contracts have sequential liability terms, which means payments are not due to us from our advertising agency customer until the advertising agency customer has received payment from its customer, the advertiser.</w:t>
      </w:r>
    </w:p>
    <w:p>
      <w:pPr>
        <w:spacing w:after="0" w:line="6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There are no contract assets recorded on the consolidated balance sheets because our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spacing w:after="0" w:line="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ASC 606 provides various optional practical expedients. We elected the use of the practical expedient relating to the disclosure of remaining performance obligations within a contract and will not disclose remaining performance obligations for contracts with an original expected duration of one year or less.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Internal Use Software</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231F20"/>
        </w:rPr>
        <w:t>We capitalize certain costs associated with creating and enhancing internally developed software. These costs include personnel and related employee benefits expenses for employees who are directly associated with and who devote time to software development projects. Software development costs that do not qualify for capitalization are expensed as incurred and recorded in technology and development expense in the consolidated statements of operations.</w:t>
      </w:r>
    </w:p>
    <w:p>
      <w:pPr>
        <w:spacing w:after="0" w:line="72"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231F20"/>
        </w:rPr>
        <w:t>Software development activities typically consist of three stages: (1) the planning stage; (2) the application and infrastructure development stage; and (3) the post-implementation stage. Costs incurred in the planning and post-implementation stages, including costs associated with training and repairs and maintenance of the developed technologies, are expensed as incurred. We capitalize costs associated with software developed when the preliminary project stage is completed, management implicitly or explicitly authorizes and commits to funding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is ready for its intended purpose, at which point the software begins to be depreciated over its estimated useful life.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Stock-based compensation relates to equity awards granted under the Company’s 2021 Long-Term Incentive Plan (the “LTIP”), which is measured and recognized in the consolidated financial statements based on the fair value of the equity awards granted. Since inception of the LTIP, the Company has only granted restricted stock units (“RSUs”) and nonqualified stock options ("NQSOs"). The fair value of RSUs is calculated using the closing market price of the Company’s Class A common stock on the date of grant. The fair value of nonqualified stock options is estimated using the Black-Scholes option pricing model. The Black-Scholes option pricing model is impacted by the fair value of the Company’s Class A common stock, as well as changes in certain assumptions, including but not limited to, the expected Class A common stock price volatility over the term of the nonqualified stock options, the expected term of the nonqualified stock options, the risk-free interest rate, and the expected dividend yield. The Company records compensation for all equity awards under the LTIP under the straight-line attribution method over the requisite service period. The Company has elected the accounting policy for stock-based compensation to account for forfeitures as they occur.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 and Tax Receivable Agreement</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Viant Technology LLC is a pass-through entity for U.S. federal and most applicable state and local income tax purposes following a corporate reorganization effected in connection with our initial public offering. As an entity classified as a partnership for tax purposes, Viant Technology LLC generally is not subject to U.S. federal and certain state and local income taxes. Any taxable income or loss generated by Viant Technology LLC is passed through to and included in the taxable income or loss of its members, including us. The Company is taxed as a corporation and pays corporate federal, state and local taxes with respect to income allocated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77" w:name="page78"/>
    <w:bookmarkEnd w:id="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percentages and per share data)</w:t>
      </w:r>
    </w:p>
    <w:p>
      <w:pPr>
        <w:spacing w:after="0" w:line="200" w:lineRule="exact"/>
        <w:rPr>
          <w:sz w:val="20"/>
          <w:szCs w:val="20"/>
          <w:color w:val="auto"/>
        </w:rPr>
      </w:pPr>
    </w:p>
    <w:p>
      <w:pPr>
        <w:spacing w:after="0" w:line="2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from Viant Technology LLC. As a result, our effective tax rate may differ from the U.S. statutory rate due to our ownership interest, noncontrolling interests and state and local taxes.</w:t>
      </w:r>
    </w:p>
    <w:p>
      <w:pPr>
        <w:spacing w:after="0" w:line="5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United States and its state and local jurisdictions. Our income tax provision may be significantly affected by changes to our estimates for tax in the local jurisdictions in which we operate and other estimates utilized in determining the effective tax rate. We account for income taxes using an asset and liability method, which requires the recognition of deferred tax assets and liabilities (“DTAs” and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w:t>
      </w:r>
    </w:p>
    <w:p>
      <w:pPr>
        <w:spacing w:after="0" w:line="8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A valuation allowance is used to reduce some or all of the deferred tax assets if, based upon the weight of available evidence, it is more likely than not that those deferred tax assets will not be realized. The assessment of the realizability of DTAs requires significant judgment, including estimates of future taxable income, the reversal of existing taxable temporary differences and available tax planning strategies. Changes in these assumptions could materially affect the amount of DTAs recognized and our effective tax rate in future periods.</w:t>
      </w:r>
    </w:p>
    <w:p>
      <w:pPr>
        <w:spacing w:after="0" w:line="72"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connection with the IPO, the Company entered into a TRA with Viant Technology LLC, the holders of Class B units of Viant Technology LLC and the TRA Representative. In the event that holders of Class B units of Viant Technology LLC exchange any or all of their Class B units for Class A common stock (including those already exchanged in connection with our IPO), the TRA requires the Company to make payments to such holders for 85% of the tax benefits realized, or in some cases deemed to be realized, by the Company by such exchange as a result of (i) increases in the Company’s tax basis of its ownership interest in the net assets of Viant Technology LLC resulting from any redemptions or exchanges of noncontrolling interest, (ii) tax basis increases attributable to payments made under the TRA and (iii) deductions attributable to imputed interest pursuant to the TRA (the “TRA Payments”). The annual tax benefits are determined by comparing the income taxes actually payable after giving effect to the applicable tax attributes with the income taxes that would have been payable in the absence of such attributes, with the difference representing the realized tax benefit. The Company expects to benefit from the remaining 15% of any tax benefits that it may actually realize. The TRA Payments are not conditioned upon any continued ownership interest in Viant Technology LLC or the Company. To the extent that the Company is unable to timely make payments under the TRA for any reason, such payments generally will be deferred and will accrue interest until paid. The obligations under the TRA will be Viant Technology Inc.’s obligations and not obligations of Viant Technology LLC.</w:t>
      </w:r>
    </w:p>
    <w:p>
      <w:pPr>
        <w:spacing w:after="0" w:line="82"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TRA liability is dependent on estimates of future taxable income, the timing of exchanges of Class B units and the realization of related tax attributes. The recognition of DTAs, including the release of the valuation allowance, increases the expected future tax benefits and results in a corresponding increase in the TRA liability. Changes in our estimates of future taxable income or other assumptions could materially increase or decrease the TRA liability, and adjustments are recorded in earnings.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121"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On April 5, 2012, the JOBS Act was signed into law. The JOBS Act contains provisions that, among other things, reduce certain reporting requirements for qualifying public companies. As an “emerging growth company,” we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$1 billion or less of non-convertible debt over a three-year period and is not deemed to be a large accelerated filer under the rules of the SEC. We will remain an emerging growth company until December 31, 2026, or sooner if we no longer qualify.</w:t>
      </w:r>
    </w:p>
    <w:p>
      <w:pPr>
        <w:spacing w:after="0" w:line="7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We have elected to take advantage of the benefits of this extended transition period for complying with new or revised accounting standards that have different effective dates for public and private companies until the first to occur of the date that we are (i) no longer an “emerging growth company” or (ii) affirmatively and irrevocably opt out of this extended transition period provided by Securities Act Section 7(a)(2)(B).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issued accounting pronouncements, see Note 2—Basis of Presentation and Summary of Significant Accounting Policies to our consolidated financial statements included elsewhere in this Annual Report.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Our operations are primarily within the United States, and we are exposed to market risks in the ordinary course of our business, including the effects of interest rate changes, foreign currency fluctuations and inflation.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may be exposed to market risk from changes in interest rates on our Amended Loan Agreement, which accrues interest at a variable rate. We have not used any derivative financial instruments to manage our interest rate risk exposure. As of December 31, 2025, we had no outstanding balances on our revolving credit facility and had no market risk from changes in interest rates as of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744855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4" w:right="43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9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23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8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3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No.34)</w:t>
            </w:r>
          </w:p>
        </w:tc>
        <w:tc>
          <w:tcPr>
            <w:tcW w:w="2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520" w:type="dxa"/>
            <w:vAlign w:val="bottom"/>
          </w:tcPr>
          <w:p>
            <w:pPr>
              <w:spacing w:after="0"/>
              <w:rPr>
                <w:sz w:val="18"/>
                <w:szCs w:val="18"/>
                <w:color w:val="auto"/>
              </w:rPr>
            </w:pPr>
          </w:p>
        </w:tc>
        <w:tc>
          <w:tcPr>
            <w:tcW w:w="28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Consolidated Statements of Operations</w:t>
            </w:r>
          </w:p>
        </w:tc>
        <w:tc>
          <w:tcPr>
            <w:tcW w:w="1400" w:type="dxa"/>
            <w:vAlign w:val="bottom"/>
            <w:tcBorders>
              <w:top w:val="single" w:sz="8" w:color="0000FF"/>
            </w:tcBorders>
            <w:gridSpan w:val="4"/>
          </w:tcPr>
          <w:p>
            <w:pPr>
              <w:spacing w:after="0"/>
              <w:rPr>
                <w:sz w:val="18"/>
                <w:szCs w:val="18"/>
                <w:color w:val="auto"/>
              </w:rPr>
            </w:pPr>
          </w:p>
        </w:tc>
        <w:tc>
          <w:tcPr>
            <w:tcW w:w="4180" w:type="dxa"/>
            <w:vAlign w:val="bottom"/>
          </w:tcPr>
          <w:p>
            <w:pPr>
              <w:spacing w:after="0"/>
              <w:rPr>
                <w:sz w:val="18"/>
                <w:szCs w:val="18"/>
                <w:color w:val="auto"/>
              </w:rPr>
            </w:pPr>
          </w:p>
        </w:tc>
        <w:tc>
          <w:tcPr>
            <w:tcW w:w="2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81</w:t>
            </w:r>
          </w:p>
        </w:tc>
      </w:tr>
      <w:tr>
        <w:trPr>
          <w:trHeight w:val="210"/>
        </w:trPr>
        <w:tc>
          <w:tcPr>
            <w:tcW w:w="520" w:type="dxa"/>
            <w:vAlign w:val="bottom"/>
          </w:tcPr>
          <w:p>
            <w:pPr>
              <w:spacing w:after="0"/>
              <w:rPr>
                <w:sz w:val="18"/>
                <w:szCs w:val="18"/>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2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82</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8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09"/>
        </w:trPr>
        <w:tc>
          <w:tcPr>
            <w:tcW w:w="520" w:type="dxa"/>
            <w:vAlign w:val="bottom"/>
          </w:tcPr>
          <w:p>
            <w:pPr>
              <w:spacing w:after="0"/>
              <w:rPr>
                <w:sz w:val="18"/>
                <w:szCs w:val="18"/>
                <w:color w:val="auto"/>
              </w:rPr>
            </w:pPr>
          </w:p>
        </w:tc>
        <w:tc>
          <w:tcPr>
            <w:tcW w:w="3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Consolidated Statements of Stockholders' Equity</w:t>
            </w:r>
          </w:p>
        </w:tc>
        <w:tc>
          <w:tcPr>
            <w:tcW w:w="4880" w:type="dxa"/>
            <w:vAlign w:val="bottom"/>
            <w:gridSpan w:val="2"/>
          </w:tcPr>
          <w:p>
            <w:pPr>
              <w:spacing w:after="0"/>
              <w:rPr>
                <w:sz w:val="18"/>
                <w:szCs w:val="18"/>
                <w:color w:val="auto"/>
              </w:rPr>
            </w:pPr>
          </w:p>
        </w:tc>
        <w:tc>
          <w:tcPr>
            <w:tcW w:w="2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520" w:type="dxa"/>
            <w:vAlign w:val="bottom"/>
          </w:tcPr>
          <w:p>
            <w:pPr>
              <w:spacing w:after="0"/>
              <w:rPr>
                <w:sz w:val="18"/>
                <w:szCs w:val="18"/>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2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520" w:type="dxa"/>
            <w:vAlign w:val="bottom"/>
            <w:tcBorders>
              <w:right w:val="single" w:sz="8" w:color="0000FF"/>
            </w:tcBorders>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10"/>
        </w:trPr>
        <w:tc>
          <w:tcPr>
            <w:tcW w:w="520" w:type="dxa"/>
            <w:vAlign w:val="bottom"/>
          </w:tcPr>
          <w:p>
            <w:pPr>
              <w:spacing w:after="0"/>
              <w:rPr>
                <w:sz w:val="18"/>
                <w:szCs w:val="18"/>
                <w:color w:val="auto"/>
              </w:rPr>
            </w:pPr>
          </w:p>
        </w:tc>
        <w:tc>
          <w:tcPr>
            <w:tcW w:w="83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3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85</w:t>
            </w:r>
          </w:p>
        </w:tc>
      </w:tr>
      <w:tr>
        <w:trPr>
          <w:trHeight w:val="763"/>
        </w:trPr>
        <w:tc>
          <w:tcPr>
            <w:tcW w:w="520" w:type="dxa"/>
            <w:vAlign w:val="bottom"/>
          </w:tcPr>
          <w:p>
            <w:pPr>
              <w:spacing w:after="0"/>
              <w:rPr>
                <w:sz w:val="24"/>
                <w:szCs w:val="24"/>
                <w:color w:val="auto"/>
              </w:rPr>
            </w:pPr>
          </w:p>
        </w:tc>
        <w:tc>
          <w:tcPr>
            <w:tcW w:w="3120" w:type="dxa"/>
            <w:vAlign w:val="bottom"/>
            <w:tcBorders>
              <w:top w:val="single" w:sz="8" w:color="0000FF"/>
            </w:tcBorders>
            <w:gridSpan w:val="4"/>
          </w:tcPr>
          <w:p>
            <w:pPr>
              <w:spacing w:after="0"/>
              <w:rPr>
                <w:sz w:val="24"/>
                <w:szCs w:val="24"/>
                <w:color w:val="auto"/>
              </w:rPr>
            </w:pPr>
          </w:p>
        </w:tc>
        <w:tc>
          <w:tcPr>
            <w:tcW w:w="526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79</w:t>
            </w:r>
          </w:p>
        </w:tc>
        <w:tc>
          <w:tcPr>
            <w:tcW w:w="2340" w:type="dxa"/>
            <w:vAlign w:val="bottom"/>
          </w:tcPr>
          <w:p>
            <w:pPr>
              <w:spacing w:after="0"/>
              <w:rPr>
                <w:sz w:val="24"/>
                <w:szCs w:val="24"/>
                <w:color w:val="auto"/>
              </w:rPr>
            </w:pPr>
          </w:p>
        </w:tc>
      </w:tr>
      <w:tr>
        <w:trPr>
          <w:trHeight w:val="115"/>
        </w:trPr>
        <w:tc>
          <w:tcPr>
            <w:tcW w:w="52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18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Viant Technology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Viant Technology Inc. and subsidiaries (the "Company") as of December 31, 2025 and 2024, the related consolidated statements of operations,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222,934</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120,479</w:t>
            </w: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24,756</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50,172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45,345</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285,757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241,230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(18,296)</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 remeasurement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Employee retention credit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(8,504)</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Class A common stock: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6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ind w:left="26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0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800" w:top="333" w:right="819" w:bottom="1440" w:gutter="0" w:footer="0" w:header="0"/>
        </w:sectPr>
      </w:pPr>
    </w:p>
    <w:bookmarkStart w:id="82" w:name="page83"/>
    <w:bookmarkEnd w:id="82"/>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ind w:right="660"/>
        <w:spacing w:after="0"/>
        <w:rPr>
          <w:sz w:val="20"/>
          <w:szCs w:val="20"/>
          <w:color w:val="auto"/>
        </w:rPr>
      </w:pPr>
      <w:r>
        <w:rPr>
          <w:rFonts w:ascii="Times New Roman" w:cs="Times New Roman" w:eastAsia="Times New Roman" w:hAnsi="Times New Roman"/>
          <w:sz w:val="18"/>
          <w:szCs w:val="18"/>
          <w:color w:val="auto"/>
        </w:rPr>
        <w:t>(in thousands, except share and per share data)</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205,048</w:t>
            </w: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146,951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w:t>
            </w:r>
          </w:p>
        </w:tc>
        <w:tc>
          <w:tcPr>
            <w:tcW w:w="0" w:type="dxa"/>
            <w:vAlign w:val="bottom"/>
          </w:tcPr>
          <w:p>
            <w:pPr>
              <w:spacing w:after="0"/>
              <w:rPr>
                <w:sz w:val="1"/>
                <w:szCs w:val="1"/>
                <w:color w:val="auto"/>
              </w:rPr>
            </w:pPr>
          </w:p>
        </w:tc>
      </w:tr>
      <w:tr>
        <w:trPr>
          <w:trHeight w:val="223"/>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376,192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362,489</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23,663</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19,190</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48"/>
        </w:trPr>
        <w:tc>
          <w:tcPr>
            <w:tcW w:w="744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440,804</w:t>
            </w: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4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71,320</w:t>
            </w: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47,352</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w:t>
            </w: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9,955</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145,451</w:t>
            </w: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21,278</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portion of TRA liability</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166,729</w:t>
            </w:r>
          </w:p>
        </w:tc>
        <w:tc>
          <w:tcPr>
            <w:tcW w:w="0" w:type="dxa"/>
            <w:vAlign w:val="bottom"/>
          </w:tcPr>
          <w:p>
            <w:pPr>
              <w:spacing w:after="0"/>
              <w:rPr>
                <w:sz w:val="1"/>
                <w:szCs w:val="1"/>
                <w:color w:val="auto"/>
              </w:rPr>
            </w:pPr>
          </w:p>
        </w:tc>
      </w:tr>
      <w:tr>
        <w:trPr>
          <w:trHeight w:val="21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 18,271,293 and 17,933,825</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 17,593,198 and 16,368,452</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30"/>
        </w:trPr>
        <w:tc>
          <w:tcPr>
            <w:tcW w:w="7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and outstanding — 45,717,216 and 46,753,841</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182,744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(50,566)</w:t>
            </w:r>
          </w:p>
        </w:tc>
        <w:tc>
          <w:tcPr>
            <w:tcW w:w="0" w:type="dxa"/>
            <w:vAlign w:val="bottom"/>
          </w:tcPr>
          <w:p>
            <w:pPr>
              <w:spacing w:after="0"/>
              <w:rPr>
                <w:sz w:val="1"/>
                <w:szCs w:val="1"/>
                <w:color w:val="auto"/>
              </w:rPr>
            </w:pP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678,095 and 1,565,373 shares held</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(21,046)</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53,839</w:t>
            </w: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206,664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220,236</w:t>
            </w:r>
          </w:p>
        </w:tc>
        <w:tc>
          <w:tcPr>
            <w:tcW w:w="0" w:type="dxa"/>
            <w:vAlign w:val="bottom"/>
          </w:tcPr>
          <w:p>
            <w:pPr>
              <w:spacing w:after="0"/>
              <w:rPr>
                <w:sz w:val="1"/>
                <w:szCs w:val="1"/>
                <w:color w:val="auto"/>
              </w:rPr>
            </w:pPr>
          </w:p>
        </w:tc>
      </w:tr>
      <w:tr>
        <w:trPr>
          <w:trHeight w:val="223"/>
        </w:trPr>
        <w:tc>
          <w:tcPr>
            <w:tcW w:w="74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288,801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274,075</w:t>
            </w:r>
          </w:p>
        </w:tc>
        <w:tc>
          <w:tcPr>
            <w:tcW w:w="0" w:type="dxa"/>
            <w:vAlign w:val="bottom"/>
          </w:tcPr>
          <w:p>
            <w:pPr>
              <w:spacing w:after="0"/>
              <w:rPr>
                <w:sz w:val="1"/>
                <w:szCs w:val="1"/>
                <w:color w:val="auto"/>
              </w:rPr>
            </w:pPr>
          </w:p>
        </w:tc>
      </w:tr>
      <w:tr>
        <w:trPr>
          <w:trHeight w:val="223"/>
        </w:trPr>
        <w:tc>
          <w:tcPr>
            <w:tcW w:w="74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440,804</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0300"/>
          </w:cols>
          <w:pgMar w:left="1120" w:top="104" w:right="47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120" w:top="104" w:right="479" w:bottom="1440" w:gutter="0" w:footer="0" w:header="0"/>
          <w:type w:val="continuous"/>
        </w:sectPr>
      </w:pPr>
    </w:p>
    <w:bookmarkStart w:id="83" w:name="page84"/>
    <w:bookmarkEnd w:id="8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Class B</w:t>
            </w:r>
          </w:p>
        </w:tc>
        <w:tc>
          <w:tcPr>
            <w:tcW w:w="100" w:type="dxa"/>
            <w:vAlign w:val="bottom"/>
          </w:tcPr>
          <w:p>
            <w:pPr>
              <w:spacing w:after="0"/>
              <w:rPr>
                <w:sz w:val="12"/>
                <w:szCs w:val="12"/>
                <w:color w:val="auto"/>
              </w:rPr>
            </w:pPr>
          </w:p>
        </w:tc>
        <w:tc>
          <w:tcPr>
            <w:tcW w:w="7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5"/>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Treasury</w:t>
            </w: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5"/>
          </w:tcPr>
          <w:p>
            <w:pPr>
              <w:jc w:val="center"/>
              <w:ind w:right="180"/>
              <w:spacing w:after="0" w:line="122"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284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tcPr>
          <w:p>
            <w:pPr>
              <w:jc w:val="center"/>
              <w:ind w:right="180"/>
              <w:spacing w:after="0" w:line="75" w:lineRule="exact"/>
              <w:rPr>
                <w:sz w:val="20"/>
                <w:szCs w:val="20"/>
                <w:color w:val="auto"/>
              </w:rPr>
            </w:pPr>
            <w:r>
              <w:rPr>
                <w:rFonts w:ascii="Times New Roman" w:cs="Times New Roman" w:eastAsia="Times New Roman" w:hAnsi="Times New Roman"/>
                <w:sz w:val="8"/>
                <w:szCs w:val="8"/>
                <w:b w:val="1"/>
                <w:bCs w:val="1"/>
                <w:color w:val="auto"/>
              </w:rPr>
              <w:t>Paid-In</w:t>
            </w:r>
          </w:p>
        </w:tc>
        <w:tc>
          <w:tcPr>
            <w:tcW w:w="900" w:type="dxa"/>
            <w:vAlign w:val="bottom"/>
            <w:gridSpan w:val="3"/>
          </w:tcPr>
          <w:p>
            <w:pPr>
              <w:jc w:val="center"/>
              <w:ind w:right="100"/>
              <w:spacing w:after="0" w:line="7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3"/>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Noncontrolling</w:t>
            </w:r>
          </w:p>
        </w:tc>
        <w:tc>
          <w:tcPr>
            <w:tcW w:w="140" w:type="dxa"/>
            <w:vAlign w:val="bottom"/>
          </w:tcPr>
          <w:p>
            <w:pPr>
              <w:spacing w:after="0"/>
              <w:rPr>
                <w:sz w:val="6"/>
                <w:szCs w:val="6"/>
                <w:color w:val="auto"/>
              </w:rPr>
            </w:pPr>
          </w:p>
        </w:tc>
        <w:tc>
          <w:tcPr>
            <w:tcW w:w="660" w:type="dxa"/>
            <w:vAlign w:val="bottom"/>
          </w:tcPr>
          <w:p>
            <w:pPr>
              <w:jc w:val="right"/>
              <w:ind w:right="218"/>
              <w:spacing w:after="0" w:line="75" w:lineRule="exact"/>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183"/>
        </w:trPr>
        <w:tc>
          <w:tcPr>
            <w:tcW w:w="2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0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40" w:type="dxa"/>
            <w:vAlign w:val="bottom"/>
          </w:tcPr>
          <w:p>
            <w:pPr>
              <w:spacing w:after="0"/>
              <w:rPr>
                <w:sz w:val="15"/>
                <w:szCs w:val="15"/>
                <w:color w:val="auto"/>
              </w:rPr>
            </w:pPr>
          </w:p>
        </w:tc>
        <w:tc>
          <w:tcPr>
            <w:tcW w:w="660" w:type="dxa"/>
            <w:vAlign w:val="bottom"/>
          </w:tcPr>
          <w:p>
            <w:pPr>
              <w:jc w:val="right"/>
              <w:ind w:right="158"/>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22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(36,261)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265,768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100"/>
              <w:spacing w:after="0" w:line="109" w:lineRule="exact"/>
              <w:rPr>
                <w:sz w:val="20"/>
                <w:szCs w:val="20"/>
                <w:color w:val="auto"/>
              </w:rPr>
            </w:pPr>
            <w:r>
              <w:rPr>
                <w:rFonts w:ascii="Times New Roman" w:cs="Times New Roman" w:eastAsia="Times New Roman" w:hAnsi="Times New Roman"/>
                <w:sz w:val="12"/>
                <w:szCs w:val="12"/>
                <w:color w:val="auto"/>
              </w:rPr>
              <w:t>Cumulative impact of ASU 2016-13 adoption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2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3"/>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(CECL)</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0" w:type="dxa"/>
            <w:vAlign w:val="bottom"/>
          </w:tcPr>
          <w:p>
            <w:pPr>
              <w:spacing w:after="0"/>
              <w:rPr>
                <w:sz w:val="1"/>
                <w:szCs w:val="1"/>
                <w:color w:val="auto"/>
              </w:rPr>
            </w:pPr>
          </w:p>
        </w:tc>
      </w:tr>
      <w:tr>
        <w:trPr>
          <w:trHeight w:val="22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January 1, 2023</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95,922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(36,470)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206,520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265,559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100"/>
              <w:spacing w:after="0" w:line="109" w:lineRule="exact"/>
              <w:rPr>
                <w:sz w:val="20"/>
                <w:szCs w:val="20"/>
                <w:color w:val="auto"/>
              </w:rPr>
            </w:pPr>
            <w:r>
              <w:rPr>
                <w:rFonts w:ascii="Times New Roman" w:cs="Times New Roman" w:eastAsia="Times New Roman" w:hAnsi="Times New Roman"/>
                <w:sz w:val="12"/>
                <w:szCs w:val="12"/>
                <w:color w:val="auto"/>
              </w:rPr>
              <w:t>Issuance of Class A common stock related to vesting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 restricted stock units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1,102</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21"/>
        </w:trPr>
        <w:tc>
          <w:tcPr>
            <w:tcW w:w="28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Exchange of Class B common stock for Class A</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8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Repurchase of stock related to tax withholdings on</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 equity awards</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(4,248)</w:t>
            </w:r>
          </w:p>
        </w:tc>
        <w:tc>
          <w:tcPr>
            <w:tcW w:w="0" w:type="dxa"/>
            <w:vAlign w:val="bottom"/>
          </w:tcPr>
          <w:p>
            <w:pPr>
              <w:spacing w:after="0"/>
              <w:rPr>
                <w:sz w:val="1"/>
                <w:szCs w:val="1"/>
                <w:color w:val="auto"/>
              </w:rPr>
            </w:pPr>
          </w:p>
        </w:tc>
      </w:tr>
      <w:tr>
        <w:trPr>
          <w:trHeight w:val="195"/>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Reissuance of treasury stock</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Allocation of equity to noncontrolling interests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member tax distributions</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37,706</w:t>
            </w:r>
          </w:p>
        </w:tc>
        <w:tc>
          <w:tcPr>
            <w:tcW w:w="0" w:type="dxa"/>
            <w:vAlign w:val="bottom"/>
          </w:tcPr>
          <w:p>
            <w:pPr>
              <w:spacing w:after="0"/>
              <w:rPr>
                <w:sz w:val="1"/>
                <w:szCs w:val="1"/>
                <w:color w:val="auto"/>
              </w:rPr>
            </w:pPr>
          </w:p>
        </w:tc>
      </w:tr>
      <w:tr>
        <w:trPr>
          <w:trHeight w:val="196"/>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(9,943)</w:t>
            </w:r>
          </w:p>
        </w:tc>
        <w:tc>
          <w:tcPr>
            <w:tcW w:w="0" w:type="dxa"/>
            <w:vAlign w:val="bottom"/>
          </w:tcPr>
          <w:p>
            <w:pPr>
              <w:spacing w:after="0"/>
              <w:rPr>
                <w:sz w:val="1"/>
                <w:szCs w:val="1"/>
                <w:color w:val="auto"/>
              </w:rPr>
            </w:pPr>
          </w:p>
        </w:tc>
      </w:tr>
      <w:tr>
        <w:trPr>
          <w:trHeight w:val="22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15,938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112,830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206,132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274,389</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bottom w:val="single" w:sz="8" w:color="CCEEFF"/>
            </w:tcBorders>
            <w:vMerge w:val="restart"/>
          </w:tcPr>
          <w:p>
            <w:pPr>
              <w:ind w:left="100"/>
              <w:spacing w:after="0" w:line="109" w:lineRule="exact"/>
              <w:rPr>
                <w:sz w:val="20"/>
                <w:szCs w:val="20"/>
                <w:color w:val="auto"/>
              </w:rPr>
            </w:pPr>
            <w:r>
              <w:rPr>
                <w:rFonts w:ascii="Times New Roman" w:cs="Times New Roman" w:eastAsia="Times New Roman" w:hAnsi="Times New Roman"/>
                <w:sz w:val="12"/>
                <w:szCs w:val="12"/>
                <w:color w:val="auto"/>
              </w:rPr>
              <w:t>Issuance of Class A common stock related to vesting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8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of restricted stock units</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1,397</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1"/>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0" w:type="dxa"/>
            <w:vAlign w:val="bottom"/>
          </w:tcPr>
          <w:p>
            <w:pPr>
              <w:spacing w:after="0"/>
              <w:rPr>
                <w:sz w:val="1"/>
                <w:szCs w:val="1"/>
                <w:color w:val="auto"/>
              </w:rPr>
            </w:pPr>
          </w:p>
        </w:tc>
      </w:tr>
      <w:tr>
        <w:trPr>
          <w:trHeight w:val="122"/>
        </w:trPr>
        <w:tc>
          <w:tcPr>
            <w:tcW w:w="28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Exchange of Class B common stock for Class A</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28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Repurchase of stock related to tax withholdings on</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vested equity awards</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(10,658)</w:t>
            </w:r>
          </w:p>
        </w:tc>
        <w:tc>
          <w:tcPr>
            <w:tcW w:w="0" w:type="dxa"/>
            <w:vAlign w:val="bottom"/>
          </w:tcPr>
          <w:p>
            <w:pPr>
              <w:spacing w:after="0"/>
              <w:rPr>
                <w:sz w:val="1"/>
                <w:szCs w:val="1"/>
                <w:color w:val="auto"/>
              </w:rPr>
            </w:pPr>
          </w:p>
        </w:tc>
      </w:tr>
      <w:tr>
        <w:trPr>
          <w:trHeight w:val="135"/>
        </w:trPr>
        <w:tc>
          <w:tcPr>
            <w:tcW w:w="284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Repurchase of stock related to the stock repurchase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program</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(21,715)</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Reissuance of treasury stock</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w:t>
            </w:r>
          </w:p>
        </w:tc>
        <w:tc>
          <w:tcPr>
            <w:tcW w:w="0" w:type="dxa"/>
            <w:vAlign w:val="bottom"/>
          </w:tcPr>
          <w:p>
            <w:pPr>
              <w:spacing w:after="0"/>
              <w:rPr>
                <w:sz w:val="1"/>
                <w:szCs w:val="1"/>
                <w:color w:val="auto"/>
              </w:rPr>
            </w:pPr>
          </w:p>
        </w:tc>
      </w:tr>
      <w:tr>
        <w:trPr>
          <w:trHeight w:val="195"/>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Allocation of equity to noncontrolling interests</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(4,014)</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4,014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Accrued member tax distributions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(6,827)</w:t>
            </w:r>
          </w:p>
        </w:tc>
        <w:tc>
          <w:tcPr>
            <w:tcW w:w="0" w:type="dxa"/>
            <w:vAlign w:val="bottom"/>
          </w:tcPr>
          <w:p>
            <w:pPr>
              <w:spacing w:after="0"/>
              <w:rPr>
                <w:sz w:val="1"/>
                <w:szCs w:val="1"/>
                <w:color w:val="auto"/>
              </w:rPr>
            </w:pPr>
          </w:p>
        </w:tc>
      </w:tr>
      <w:tr>
        <w:trPr>
          <w:trHeight w:val="195"/>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23,359</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12,452</w:t>
            </w:r>
          </w:p>
        </w:tc>
        <w:tc>
          <w:tcPr>
            <w:tcW w:w="0" w:type="dxa"/>
            <w:vAlign w:val="bottom"/>
          </w:tcPr>
          <w:p>
            <w:pPr>
              <w:spacing w:after="0"/>
              <w:rPr>
                <w:sz w:val="1"/>
                <w:szCs w:val="1"/>
                <w:color w:val="auto"/>
              </w:rPr>
            </w:pPr>
          </w:p>
        </w:tc>
      </w:tr>
      <w:tr>
        <w:trPr>
          <w:trHeight w:val="166"/>
        </w:trPr>
        <w:tc>
          <w:tcPr>
            <w:tcW w:w="28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17,934</w:t>
            </w:r>
          </w:p>
        </w:tc>
        <w:tc>
          <w:tcPr>
            <w:tcW w:w="80" w:type="dxa"/>
            <w:vAlign w:val="bottom"/>
          </w:tcPr>
          <w:p>
            <w:pPr>
              <w:spacing w:after="0"/>
              <w:rPr>
                <w:sz w:val="14"/>
                <w:szCs w:val="14"/>
                <w:color w:val="auto"/>
              </w:rPr>
            </w:pPr>
          </w:p>
        </w:tc>
        <w:tc>
          <w:tcPr>
            <w:tcW w:w="400" w:type="dxa"/>
            <w:vAlign w:val="bottom"/>
            <w:tcBorders>
              <w:top w:val="single" w:sz="8" w:color="auto"/>
            </w:tcBorders>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46,754</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125,386</w:t>
            </w:r>
          </w:p>
        </w:tc>
        <w:tc>
          <w:tcPr>
            <w:tcW w:w="80" w:type="dxa"/>
            <w:vAlign w:val="bottom"/>
          </w:tcPr>
          <w:p>
            <w:pPr>
              <w:spacing w:after="0"/>
              <w:rPr>
                <w:sz w:val="14"/>
                <w:szCs w:val="14"/>
                <w:color w:val="auto"/>
              </w:rPr>
            </w:pPr>
          </w:p>
        </w:tc>
        <w:tc>
          <w:tcPr>
            <w:tcW w:w="1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(50,566)</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(1,565)</w:t>
            </w:r>
          </w:p>
        </w:tc>
        <w:tc>
          <w:tcPr>
            <w:tcW w:w="8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(21,046)</w:t>
            </w:r>
          </w:p>
        </w:tc>
        <w:tc>
          <w:tcPr>
            <w:tcW w:w="80" w:type="dxa"/>
            <w:vAlign w:val="bottom"/>
          </w:tcPr>
          <w:p>
            <w:pPr>
              <w:spacing w:after="0"/>
              <w:rPr>
                <w:sz w:val="14"/>
                <w:szCs w:val="14"/>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220,236</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274,075</w:t>
            </w:r>
          </w:p>
        </w:tc>
        <w:tc>
          <w:tcPr>
            <w:tcW w:w="0" w:type="dxa"/>
            <w:vAlign w:val="bottom"/>
          </w:tcPr>
          <w:p>
            <w:pPr>
              <w:spacing w:after="0"/>
              <w:rPr>
                <w:sz w:val="1"/>
                <w:szCs w:val="1"/>
                <w:color w:val="auto"/>
              </w:rPr>
            </w:pPr>
          </w:p>
        </w:tc>
      </w:tr>
      <w:tr>
        <w:trPr>
          <w:trHeight w:val="30"/>
        </w:trPr>
        <w:tc>
          <w:tcPr>
            <w:tcW w:w="28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840" w:type="dxa"/>
            <w:vAlign w:val="bottom"/>
            <w:shd w:val="clear" w:color="auto" w:fill="CCEEFF"/>
          </w:tcPr>
          <w:p>
            <w:pPr>
              <w:ind w:left="100"/>
              <w:spacing w:after="0" w:line="89" w:lineRule="exact"/>
              <w:rPr>
                <w:sz w:val="20"/>
                <w:szCs w:val="20"/>
                <w:color w:val="auto"/>
              </w:rPr>
            </w:pPr>
            <w:r>
              <w:rPr>
                <w:rFonts w:ascii="Times New Roman" w:cs="Times New Roman" w:eastAsia="Times New Roman" w:hAnsi="Times New Roman"/>
                <w:sz w:val="10"/>
                <w:szCs w:val="10"/>
                <w:color w:val="auto"/>
              </w:rPr>
              <w:t>Issuance of Class A common stock related to vesting</w:t>
            </w: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of restricted stock units</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Exercise of stock options</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8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Exchange of Class B common stock for Class A</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2"/>
        </w:trPr>
        <w:tc>
          <w:tcPr>
            <w:tcW w:w="2840" w:type="dxa"/>
            <w:vAlign w:val="bottom"/>
          </w:tcPr>
          <w:p>
            <w:pPr>
              <w:ind w:left="100"/>
              <w:spacing w:after="0" w:line="122" w:lineRule="exact"/>
              <w:rPr>
                <w:sz w:val="20"/>
                <w:szCs w:val="20"/>
                <w:color w:val="auto"/>
              </w:rPr>
            </w:pPr>
            <w:r>
              <w:rPr>
                <w:rFonts w:ascii="Times New Roman" w:cs="Times New Roman" w:eastAsia="Times New Roman" w:hAnsi="Times New Roman"/>
                <w:sz w:val="13"/>
                <w:szCs w:val="13"/>
                <w:color w:val="auto"/>
              </w:rPr>
              <w:t>Repurchase of stock related to tax withholdings on</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8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vested equity awards</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(3,232)</w:t>
            </w:r>
          </w:p>
        </w:tc>
        <w:tc>
          <w:tcPr>
            <w:tcW w:w="0" w:type="dxa"/>
            <w:vAlign w:val="bottom"/>
          </w:tcPr>
          <w:p>
            <w:pPr>
              <w:spacing w:after="0"/>
              <w:rPr>
                <w:sz w:val="1"/>
                <w:szCs w:val="1"/>
                <w:color w:val="auto"/>
              </w:rPr>
            </w:pPr>
          </w:p>
        </w:tc>
      </w:tr>
      <w:tr>
        <w:trPr>
          <w:trHeight w:val="143"/>
        </w:trPr>
        <w:tc>
          <w:tcPr>
            <w:tcW w:w="2840" w:type="dxa"/>
            <w:vAlign w:val="bottom"/>
            <w:shd w:val="clear" w:color="auto" w:fill="CCEEFF"/>
          </w:tcPr>
          <w:p>
            <w:pPr>
              <w:ind w:left="100"/>
              <w:spacing w:after="0" w:line="143" w:lineRule="exact"/>
              <w:rPr>
                <w:sz w:val="20"/>
                <w:szCs w:val="20"/>
                <w:color w:val="auto"/>
              </w:rPr>
            </w:pPr>
            <w:r>
              <w:rPr>
                <w:rFonts w:ascii="Times New Roman" w:cs="Times New Roman" w:eastAsia="Times New Roman" w:hAnsi="Times New Roman"/>
                <w:sz w:val="13"/>
                <w:szCs w:val="13"/>
                <w:color w:val="auto"/>
              </w:rPr>
              <w:t>Repurchase of stock related to the stock repurchase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program</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(3,031)</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(37,945)</w:t>
            </w:r>
          </w:p>
        </w:tc>
        <w:tc>
          <w:tcPr>
            <w:tcW w:w="0" w:type="dxa"/>
            <w:vAlign w:val="bottom"/>
          </w:tcPr>
          <w:p>
            <w:pPr>
              <w:spacing w:after="0"/>
              <w:rPr>
                <w:sz w:val="1"/>
                <w:szCs w:val="1"/>
                <w:color w:val="auto"/>
              </w:rPr>
            </w:pPr>
          </w:p>
        </w:tc>
      </w:tr>
      <w:tr>
        <w:trPr>
          <w:trHeight w:val="195"/>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Retirement of treasury stock</w:t>
            </w: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Reissuance of treasury stock</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3,765</w:t>
            </w:r>
          </w:p>
        </w:tc>
        <w:tc>
          <w:tcPr>
            <w:tcW w:w="0" w:type="dxa"/>
            <w:vAlign w:val="bottom"/>
          </w:tcPr>
          <w:p>
            <w:pPr>
              <w:spacing w:after="0"/>
              <w:rPr>
                <w:sz w:val="1"/>
                <w:szCs w:val="1"/>
                <w:color w:val="auto"/>
              </w:rPr>
            </w:pPr>
          </w:p>
        </w:tc>
      </w:tr>
      <w:tr>
        <w:trPr>
          <w:trHeight w:val="195"/>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w w:val="98"/>
              </w:rPr>
              <w:t>Remeasurement of tax receivable agreement liability</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1,257</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Allocation of equity to noncontrolling interests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(29,316)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5"/>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member tax distributions</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6"/>
                <w:szCs w:val="16"/>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(1,483)</w:t>
            </w: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28,268</w:t>
            </w:r>
          </w:p>
        </w:tc>
        <w:tc>
          <w:tcPr>
            <w:tcW w:w="0" w:type="dxa"/>
            <w:vAlign w:val="bottom"/>
          </w:tcPr>
          <w:p>
            <w:pPr>
              <w:spacing w:after="0"/>
              <w:rPr>
                <w:sz w:val="1"/>
                <w:szCs w:val="1"/>
                <w:color w:val="auto"/>
              </w:rPr>
            </w:pPr>
          </w:p>
        </w:tc>
      </w:tr>
      <w:tr>
        <w:trPr>
          <w:trHeight w:val="196"/>
        </w:trPr>
        <w:tc>
          <w:tcPr>
            <w:tcW w:w="28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24,096</w:t>
            </w:r>
          </w:p>
        </w:tc>
        <w:tc>
          <w:tcPr>
            <w:tcW w:w="0" w:type="dxa"/>
            <w:vAlign w:val="bottom"/>
          </w:tcPr>
          <w:p>
            <w:pPr>
              <w:spacing w:after="0"/>
              <w:rPr>
                <w:sz w:val="1"/>
                <w:szCs w:val="1"/>
                <w:color w:val="auto"/>
              </w:rPr>
            </w:pPr>
          </w:p>
        </w:tc>
      </w:tr>
      <w:tr>
        <w:trPr>
          <w:trHeight w:val="228"/>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206,664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288,801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0"/>
          </w:cols>
          <w:pgMar w:left="700" w:top="333" w:right="69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6"/>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20" w:type="dxa"/>
            <w:vAlign w:val="bottom"/>
            <w:tcBorders>
              <w:bottom w:val="single" w:sz="8" w:color="auto"/>
            </w:tcBorders>
          </w:tcPr>
          <w:p>
            <w:pPr>
              <w:spacing w:after="0"/>
              <w:rPr>
                <w:sz w:val="18"/>
                <w:szCs w:val="18"/>
                <w:color w:val="auto"/>
              </w:rPr>
            </w:pPr>
          </w:p>
        </w:tc>
      </w:tr>
      <w:tr>
        <w:trPr>
          <w:trHeight w:val="211"/>
        </w:trPr>
        <w:tc>
          <w:tcPr>
            <w:tcW w:w="6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24,096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(9,943)</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income (loss) to net cash provided by operating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14,731</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32,291</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disposal of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lease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3,952</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TRA remeasurement expense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(16,123)</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10,038</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4,192</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(3,780)</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r>
      <w:tr>
        <w:trPr>
          <w:trHeight w:val="207"/>
        </w:trPr>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52,607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51,767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37,752</w:t>
            </w:r>
          </w:p>
        </w:tc>
      </w:tr>
      <w:tr>
        <w:trPr>
          <w:trHeight w:val="19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(12,281)</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acquisitions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investments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6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(22,342)</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(27,744)</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(13,476)</w:t>
            </w:r>
          </w:p>
        </w:tc>
      </w:tr>
      <w:tr>
        <w:trPr>
          <w:trHeight w:val="19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of stock related to tax withholdings on vested equity awards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(4,248)</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 of stock related to the stock repurchase program</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member tax distributions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(10,155)</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exercise of stock options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offering costs</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65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(44,162)</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(14,391)</w:t>
            </w:r>
          </w:p>
        </w:tc>
      </w:tr>
      <w:tr>
        <w:trPr>
          <w:trHeight w:val="207"/>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and cash equivalents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9,885</w:t>
            </w:r>
          </w:p>
        </w:tc>
      </w:tr>
      <w:tr>
        <w:trPr>
          <w:trHeight w:val="21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period</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205,048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216,458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206,573</w:t>
            </w:r>
          </w:p>
        </w:tc>
      </w:tr>
      <w:tr>
        <w:trPr>
          <w:trHeight w:val="211"/>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191,151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205,048</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216,458</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 activities: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included in capitalized software development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5,415</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 assets obtained in exchange for operating lease liabilities including adjustments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213"/>
        </w:trPr>
        <w:tc>
          <w:tcPr>
            <w:tcW w:w="6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r>
      <w:tr>
        <w:trPr>
          <w:trHeight w:val="219"/>
        </w:trPr>
        <w:tc>
          <w:tcPr>
            <w:tcW w:w="6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member tax distributions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r>
    </w:tbl>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117" w:right="719" w:bottom="1440" w:gutter="0" w:footer="0" w:header="0"/>
        </w:sectPr>
      </w:pPr>
    </w:p>
    <w:bookmarkStart w:id="85" w:name="page86"/>
    <w:bookmarkEnd w:id="8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 Nature of Operations</w:t>
      </w:r>
    </w:p>
    <w:p>
      <w:pPr>
        <w:spacing w:after="0" w:line="113"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231F20"/>
        </w:rPr>
        <w:t>Viant Technology Inc. (the “Company,” “we,” “us,” “our” or “Viant”) was incorporated in the State of Delaware on October 9,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The Company operates a cloud-based demand side platform ("DSP") that is used by marketers and their advertising agencies to centralize the planning, buying and measurement of their advertising across a wide range of advertising channels and formats.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2. Basis of Presentation and Summary of Significant Accounting Policies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generally accepted accounting principles in the United States of America (“GAAP”) and include the operations of the Company, Viant Technology LLC and its wholly owned subsidiaries. Viant Technology LLC is considered a variable interest entity (“VIE”).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w:t>
      </w:r>
    </w:p>
    <w:p>
      <w:pPr>
        <w:spacing w:after="0" w:line="75"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Management believes that the accompanying consolidated financial statements reflect the adjustments necessary for the fair statement of its consolidated balance sheets as of December 31, 2025 and 2024, statements of operations for the years ended December 31, 2025, 2024 and 2023 ("fiscal year 2025", "fiscal year 2024", and "fiscal year 2023"), statements of stockholders' equity as of December 31, 2025, 2024 and 2023, and statements of cash flows for the years ended December 31, 2025, 2024 and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GAAP requires management to make estimates and assumptions that affect the reported amounts of assets and liabilities and disclosures of contingent assets and liabilities at the date of the consolidated financial statements and the reported amounts of revenue and expenses during the reporting period. On an ongoing basis, management evaluates its estimates, primarily those related to revenue recognition, stock-based compensation, income taxes, allowances for doubtful accounts, leases, the useful lives of capitalized software development costs and other property, equipment and software and assumptions used in the impairment analyses of long-lived assets, investments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84" w:lineRule="exact"/>
        <w:rPr>
          <w:sz w:val="20"/>
          <w:szCs w:val="20"/>
          <w:color w:val="auto"/>
        </w:rPr>
      </w:pPr>
    </w:p>
    <w:p>
      <w:pPr>
        <w:ind w:right="180" w:firstLine="486"/>
        <w:spacing w:after="0" w:line="256" w:lineRule="auto"/>
        <w:rPr>
          <w:sz w:val="20"/>
          <w:szCs w:val="20"/>
          <w:color w:val="auto"/>
        </w:rPr>
      </w:pPr>
      <w:r>
        <w:rPr>
          <w:rFonts w:ascii="Times New Roman" w:cs="Times New Roman" w:eastAsia="Times New Roman" w:hAnsi="Times New Roman"/>
          <w:sz w:val="18"/>
          <w:szCs w:val="18"/>
          <w:color w:val="auto"/>
        </w:rPr>
        <w:t>The impact of widespread macroeconomic and geopolitical uncertainties, including the impact of bank failures, tariffs and international trade conflict, high interest rates, inflationary pressures, labor shortages, shortages of goods and services, supply chain constraints, pandemics, political cycles, changes in laws and interpretations of laws,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the periods presented, net income (loss) is equal to comprehensive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 has a single reportable operating segment which owns and operates a DSP that enables marketers and their advertising agencies to automate and centralize the planning, buying and measurement of their video, audio and display ads across most channels, including CTV, streaming audio, digital out-of-home, mobile and desktop in the United States. The Company derives its revenues from the services it provides through utilization of its platform. In reaching this conclusion of a single reportable operating segment, management considers the definition of the chief operating decision maker (“CODM”), how the business is defined by the CODM, the nature of the information provided to the CODM and how that information is used to make operating decisions, allocate resources and assess performance.</w:t>
      </w:r>
    </w:p>
    <w:p>
      <w:pPr>
        <w:spacing w:after="0" w:line="7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The Company’s CODM is comprised of the chief executive officer and chief operating officer. The CODM uses multiple measures within the consolidated statements of operations, balance sheets, and cash flows and thus utilizes the entirety of those consolidated statements to make key resource decisions and assess performance at the consolidated level. The CODM does not review segment assets at a different asset level and category. The consolidated net income (loss) is the measure of segment net income (loss) that is most consistent with U.S. GAAP. In addition to the consolidated operating expenses as noted on the consolidated statements of</w:t>
      </w:r>
    </w:p>
    <w:p>
      <w:pPr>
        <w:sectPr>
          <w:pgSz w:w="11900" w:h="16838" w:orient="portrait"/>
          <w:cols w:equalWidth="0" w:num="1">
            <w:col w:w="11220"/>
          </w:cols>
          <w:pgMar w:left="320" w:top="104" w:right="35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the CODM is regularly provided with traffic acquisition costs which are included within platform operations as presented below:</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135,549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79,552</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40,927</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186,616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120,479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The Company generates revenue by providing marketers and advertising agencies with the ability to plan, buy and measure their digital advertising campaigns using its DSP. Our platform enables marketers to reach their target audience across a wide range of advertising channels and formats.</w:t>
      </w:r>
    </w:p>
    <w:p>
      <w:pPr>
        <w:spacing w:after="0" w:line="54" w:lineRule="exact"/>
        <w:rPr>
          <w:sz w:val="20"/>
          <w:szCs w:val="20"/>
          <w:color w:val="auto"/>
        </w:rPr>
      </w:pPr>
    </w:p>
    <w:p>
      <w:pPr>
        <w:ind w:right="520" w:firstLine="486"/>
        <w:spacing w:after="0" w:line="312" w:lineRule="auto"/>
        <w:rPr>
          <w:sz w:val="20"/>
          <w:szCs w:val="20"/>
          <w:color w:val="auto"/>
        </w:rPr>
      </w:pPr>
      <w:r>
        <w:rPr>
          <w:rFonts w:ascii="Times New Roman" w:cs="Times New Roman" w:eastAsia="Times New Roman" w:hAnsi="Times New Roman"/>
          <w:sz w:val="17"/>
          <w:szCs w:val="17"/>
          <w:color w:val="auto"/>
        </w:rPr>
        <w:t>The Company applies a five-step approach as defined in Financial Accounting Standards Board (“FASB”) Accounting Standards Codification (“ASC”) 606, Revenue from Contracts with Customers (“ASC 606”), in determining the amount and timing of revenue to be recognized:</w:t>
      </w:r>
    </w:p>
    <w:p>
      <w:pPr>
        <w:spacing w:after="0" w:line="32" w:lineRule="exact"/>
        <w:rPr>
          <w:sz w:val="20"/>
          <w:szCs w:val="20"/>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a contract with a customer;</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performance obligations are satisfied.</w:t>
      </w:r>
    </w:p>
    <w:p>
      <w:pPr>
        <w:spacing w:after="0" w:line="11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make our platform available through different pricing options to tailor to multiple customer types and customer needs. These options consist of a percentage of spend option and a fixed cost per mille (“CPM”) option. CPM refers to a payment option in which customers pay a price for every 1,000 impressions an ad receives. We maintain agreements with our customers in the form of master service agreements in connection with the percentage of spend pricing option and we maintain insertion orders in connection with the fixed CPM pricing option. The nature of our performance obligations is to enable customers to plan, buy and measure advertising campaigns using our platform and provide campaign execution services as requested.</w:t>
      </w:r>
    </w:p>
    <w:p>
      <w:pPr>
        <w:spacing w:after="0" w:line="75"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For the percentage of spend pricing option, which primarily relates to the usage of our platform on a self-service basis, we generate revenue by charging a platform fee that is a percentage of spend. We also offer our customers value-added services to aid them in data management, media execution and advanced reporting. When customers utilize these value-added services, we generate revenue by charging a separate service fee. For this option, we bill customers the platform fee and the additional service fees, if applicable, plus the cost of TAC. We recognize revenue at the point in time when a purchase of media by the customer occurs through our platform associated with their advertising campaign.</w:t>
      </w:r>
    </w:p>
    <w:p>
      <w:pPr>
        <w:spacing w:after="0" w:line="75"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For the fixed CPM pricing option, we generate revenue by charging a fixed CPM based on advertising impressions delivered through the platform. We also offer our customers third party data segments and measurement reporting. We recognize revenue at the point in time when the advertising impressions are delivered to the customer.</w:t>
      </w:r>
    </w:p>
    <w:p>
      <w:pPr>
        <w:spacing w:after="0" w:line="68"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determination of whether revenue should be reported on a gross or net basis is based on an assessment of whether we are acting as the principal or an agent in the transaction. In determining whether we are acting as the principal or an agent, we follow the accounting guidance for principal-agent considerations. Making such determinations involves judgment and is based on an evaluation of the terms of each arrangement, none of which are considered presumptive or determinative.</w:t>
      </w:r>
    </w:p>
    <w:p>
      <w:pPr>
        <w:spacing w:after="0" w:line="72"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For the percentage of spend pricing option, we typically act as an agent because we arrange for the transfer of costs from the supplier to the customer through the use of our platform and do not control such features prior to transfer to the customer. We do not have primary responsibility for meeting customer specifications and do not have discretion in establishing the price of TAC related to this pricing option. As we act as the agent in these arrangements, we report revenue on a net basis. In certain percentage of spend arrangements, we act as a principal because we control the advertising inventory before it is transferred to the customer and we bear sole responsibility for fulfillment of the advertising promise. As we act as the principal in these certain arrangements, we report revenue and the related costs incurred on a gross basis.</w:t>
      </w:r>
    </w:p>
    <w:p>
      <w:pPr>
        <w:spacing w:after="0" w:line="7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For the fixed CPM pricing option, we have the primary responsibility for meeting customer specifications and have discretion in establishing the price of TAC. As we act as the principal in these arrangements, we report revenue and the related costs incurred on a gross basis.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7" w:name="page88"/>
    <w:bookmarkEnd w:id="8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invoices its customers on a monthly basis for all pricing options. Invoice payment terms, negotiated on a customer-by-customer basis, are typically 30 to 90 days. Many advertising agency customer contracts have sequential liability terms, which means payments are not due to the Company from its advertising agency customer until the advertising agency customer has received payment from its customer, the advertiser.</w:t>
      </w:r>
    </w:p>
    <w:p>
      <w:pPr>
        <w:spacing w:after="0" w:line="68"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There are no contract assets recorded on the consolidated balance sheets because the Company’s right to any unbilled consideration for performance obligations satisfied is only conditional upon the passage of time. Contract liabilities, or deferred revenue, are recorded for amounts that are collected in advance of the satisfaction of performance obligations. These liabilities are classified as current if the respective performance obligations are anticipated to be satisfied during the succeeding 12-month period per the terms of the contract, and the remaining portion is recorded as non-current deferred revenue in the consolidated balance sheets.</w:t>
      </w:r>
    </w:p>
    <w:p>
      <w:pPr>
        <w:spacing w:after="0" w:line="75" w:lineRule="exact"/>
        <w:rPr>
          <w:sz w:val="20"/>
          <w:szCs w:val="20"/>
          <w:color w:val="auto"/>
        </w:rPr>
      </w:pPr>
    </w:p>
    <w:p>
      <w:pPr>
        <w:ind w:right="520" w:firstLine="486"/>
        <w:spacing w:after="0" w:line="266" w:lineRule="auto"/>
        <w:rPr>
          <w:sz w:val="20"/>
          <w:szCs w:val="20"/>
          <w:color w:val="auto"/>
        </w:rPr>
      </w:pPr>
      <w:r>
        <w:rPr>
          <w:rFonts w:ascii="Times New Roman" w:cs="Times New Roman" w:eastAsia="Times New Roman" w:hAnsi="Times New Roman"/>
          <w:sz w:val="18"/>
          <w:szCs w:val="18"/>
          <w:color w:val="auto"/>
        </w:rPr>
        <w:t>ASC 606 provides various optional practical expedients. The Company elected the use of the practical expedient relating to the disclosure of remaining performance obligations within a contract and will not disclose remaining performance obligations for contracts with an original expected duration of one year or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classify our operating expenses into the following four categories. Each expense category includes overhead such as rent and occupancy charges, which is allocated based on headcount.</w:t>
      </w:r>
    </w:p>
    <w:p>
      <w:pPr>
        <w:spacing w:after="0" w:line="52"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Platform Operations. </w:t>
      </w:r>
      <w:r>
        <w:rPr>
          <w:rFonts w:ascii="Times New Roman" w:cs="Times New Roman" w:eastAsia="Times New Roman" w:hAnsi="Times New Roman"/>
          <w:sz w:val="18"/>
          <w:szCs w:val="18"/>
          <w:color w:val="auto"/>
        </w:rPr>
        <w:t>Platform operations expense, which represents our cost of revenues, primarily consists of TAC, hosting costs, personnel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of capitalized software development costs related to our platform, customer support costs and allocated overhead. TAC recorded in platform operations consists of amounts incurred and payable to suppliers for costs associated with our fixed CPM pricing option and certain arrangements related to our percentage of spend pricing option. Personnel costs within platform operations include salaries, bonuses, stock-based compensation and employee benefit costs primarily attributable to personnel who directly support our platform.</w:t>
      </w:r>
    </w:p>
    <w:p>
      <w:pPr>
        <w:spacing w:after="0" w:line="75" w:lineRule="exact"/>
        <w:rPr>
          <w:sz w:val="20"/>
          <w:szCs w:val="20"/>
          <w:color w:val="auto"/>
        </w:rPr>
      </w:pPr>
    </w:p>
    <w:p>
      <w:pPr>
        <w:ind w:right="3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 consists primarily of personnel costs, including salaries, bonuses, stock-based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benefit costs and commissions for our sales personnel. Sales and marketing expense also includes costs for market development programs, advertising, promotional and other marketing activities and allocated overhead. Commissions are expensed as incurred.</w:t>
      </w:r>
    </w:p>
    <w:p>
      <w:pPr>
        <w:spacing w:after="0" w:line="67"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Company incurred advertising costs of $9.8 million, $6.2 million, and $3.4 million for the years ended December 31, 2025, 2024 and 2023, respectively, related to the promotion of the Company, its brands, products and services to potential customers. Advertising costs are expensed as incurred and recorded in sales and marketing expense within the consolidated statements of operations.</w:t>
      </w:r>
    </w:p>
    <w:p>
      <w:pPr>
        <w:spacing w:after="0" w:line="66"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Technology and Development. </w:t>
      </w:r>
      <w:r>
        <w:rPr>
          <w:rFonts w:ascii="Times New Roman" w:cs="Times New Roman" w:eastAsia="Times New Roman" w:hAnsi="Times New Roman"/>
          <w:sz w:val="18"/>
          <w:szCs w:val="18"/>
          <w:color w:val="auto"/>
        </w:rPr>
        <w:t>Technology and development expense consists primarily of personnel costs, including salaries, bonuses,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and employee benefit costs associated with the ongoing development and maintenance of our platform, hosting costs and allocated overhead. We record depreciation for capitalized software development costs not related to our platform within technology and development expense.</w:t>
      </w:r>
    </w:p>
    <w:p>
      <w:pPr>
        <w:spacing w:after="0" w:line="65" w:lineRule="exact"/>
        <w:rPr>
          <w:sz w:val="20"/>
          <w:szCs w:val="20"/>
          <w:color w:val="auto"/>
        </w:rPr>
      </w:pPr>
    </w:p>
    <w:p>
      <w:pPr>
        <w:ind w:right="200" w:firstLine="486"/>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 consists primarily of personnel costs, including salaries, bonuses,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and employee benefit costs associated with our executive, accounting, finance, legal, human resources, and other administrative personnel. Additionally, this includes accounting, legal and other professional services fees, business insurance expense, bad debt expense and allocated overhead.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Stock-based compensation relates to equity awards granted under the Company’s 2021 Long-Term Incentive Plan (the "LTIP"), which is measured and recognized in the consolidated financial statements based on the fair value of the equity awards granted. Since inception of the LTIP, the Company has only granted restricted stock units (“RSUs”) and nonqualified stock options ("NQSOs"). The fair value of RSUs is calculated using the closing market price of the Company’s Class A common stock on the date of grant. The fair value of NQSOs is estimated using the Black-Scholes option pricing model. The Black-Scholes option pricing model is impacted by the fair value of the Company’s Class A common stock, as well as changes in certain assumptions, including but not limited to, the expected Class A common stock price volatility over the term of the NQSOs, the expected term of the NQSOs, the risk-free interest rate, and the expected dividend yield. The Company records compensation for all equity awards under the LTIP under the straight-line attribution method over the requisite service period. The Company has elected the accounting policy for stock-based compensation to account for forfeitures as they occur.</w:t>
      </w:r>
    </w:p>
    <w:p>
      <w:pPr>
        <w:spacing w:after="0" w:line="80"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RSUs granted to employees generally vest over a period of two-to-four years, contingent upon continued employment through the vesting date. RSUs awarded to members of our board of directors ("the board") upon their initial appointment vest over a three-year period on each of the first, second, and third anniversaries of the date of appointment. Board members are also awarded annual grants of RSUs on the date of each annual meeting of Viant's stockholders (the "annual meeting") that vest in full on the earlier of (i)</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88" w:name="page89"/>
    <w:bookmarkEnd w:id="8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date of the following year’s annual meeting or (ii) the first anniversary of the date of grant. If board members are appointed on a date other than the date of an annual meeting, such board members will receive a prorated annual grant of RSUs vesting in full on the date of the next annual meeting. As of December 31, 2025, NQSOs generally vest over a period of two-to-four years and have a contractual term of ten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Basic earnings (loss) per share is calculated by dividing the earnings (loss) attributable to Class A common stockholders by the number of weighted-average shares of Class A common stock outstanding during the period. The Company’s RSUs, NQSOs and shares of Class B common stock do not share in the earnings or losses of the Company and are therefore not participating securities. As such, separate presentation of basic and diluted earnings (loss) per share of RSUs, NQSOs and Class B common stock under the two-class method has not been presented.</w:t>
      </w:r>
    </w:p>
    <w:p>
      <w:pPr>
        <w:spacing w:after="0" w:line="72"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Diluted earnings (loss) per share adjusts the basic earnings (loss) per share calculation for the potential dilutive impact of common shares such as equity awards using the if-converted or treasury-stock method, as applicable. Diluted earnings (loss) per share considers the impact of potentially dilutive securities except in periods in which there is a loss because the inclusion of the potential common shares would have an anti-dilutive effect. Shares of our Class B common stock, RSUs, and NQSOs are considered potentially dilutive shares of Class A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December 31, 2025, cash equivalents included money market funds of $161.3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21"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Accounts receivable are recorded at the invoiced amount, net of an allowance for doubtful accounts, and are unsecured and do not bear interest. The allowance for doubtful accounts is based on the best estimate of the amount of expected credit losses in accounts receivable. The allowance for doubtful accounts is determined based on historical collection experience, our assessment of the financial condition of companies with which we do business, current macroeconomic conditions, and reasonable and supportable forecasts of future macroeconomic conditions, as well as the review in each period of the status of the then-outstanding accounts receivable. Account balances are charged off against the allowance when the Company believes it is probable the receivable will not be recovered. Recoveries of accounts receivable previously written off are recorded when received.</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30"/>
        </w:trPr>
        <w:tc>
          <w:tcPr>
            <w:tcW w:w="7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0"/>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r>
      <w:tr>
        <w:trPr>
          <w:trHeight w:val="20"/>
        </w:trPr>
        <w:tc>
          <w:tcPr>
            <w:tcW w:w="7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p>
      <w:pPr>
        <w:spacing w:after="0" w:line="121"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Property, equipment and software are recorded at historical cost, less accumulated depreciation. Depreciation is computed using the straight-line method based upon the following estimated useful lives:</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89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7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 Leasehold improvements are depreciated on a straight-line basis over the term of the lease, or the useful life of the assets, whichever is shorter.</w:t>
      </w:r>
    </w:p>
    <w:p>
      <w:pPr>
        <w:spacing w:after="0" w:line="117"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Repair and maintenance costs are expensed as incurred, while improvements are capitalized. When assets are retired or otherwise disposed of, the cost and related accumulated depreciation are removed from the accounts and any resulting gain or loss is recorded in operating expenses within the consolidated statements of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Software Development Costs</w:t>
      </w:r>
    </w:p>
    <w:p>
      <w:pPr>
        <w:spacing w:after="0" w:line="11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Company capitalizes certain costs associated with creating and enhancing internally developed software related to the Company’s technology infrastructure and such costs are recorded within property, equipment and software, net. These costs include personnel and related employee benefit expenses for employees who are directly associated with and who devote time to software development projects. Software development costs that do not qualify for capitalization are expensed as incurred and recorded in technology and development expense or platform operations expense in the consolidated statements of operations.</w:t>
      </w:r>
    </w:p>
    <w:p>
      <w:pPr>
        <w:spacing w:after="0" w:line="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Software development activities typically consist of three stages: (1) the planning stage; (2) the application and infrastructure development stage; and (3) the post-implementation stage. Costs incurred in the planning and post-implementation stages, including costs associated with training and repairs and maintenance of the developed technologies, are expensed as incurred. The Company capitalizes costs associated with software development when the preliminary project stage is completed, management implicitly or explicitly authorizes and commits to funding the project and it is probable that the project will be completed and perform as intended. Costs incurred in the application and infrastructure development stage, including significant enhancements and upgrades, are capitalized. Capitalization ends once a project is substantially complete and the software is ready for its intended purpose. Software development costs are depreciated using a straight-line method over the estimated useful life, commencing when the software is ready for its intended use. The straight-line recognition method approximates the manner in which the expected benefit will be derived.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Interest</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The Company capitalizes interest on borrowings related to eligible capital expenditures including development costs related to internal use software which is recorded within property, equipment and software, net. Capitalized interest is added to the cost of the qualified assets and depreciated over the estimated useful lives of the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Long-lived assets consist of property, equipment and software and intangible assets with estimable useful lives subject to depreciation and amortization. The Company reviews long-lived assets for impairment whenever events or changes in circumstances indicate that the carrying amount of an asset or asset group may not be recoverable. Recoverability of an asset or asset group to be held and used is measured by a comparison of the carrying amount of an asset or asset group to the estimated undiscounted future cash flows expected to be generated by the asset or asset group. If the carrying amount of the asset or asset group exceeds its estimated future cash flows, an impairment charge is recognized in the amount by which the carrying amount of the asset or asset group exceeds the fair value of the asset or asset group.</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Goodwill is tested for impairment at least annually, as of the first day of the fourth fiscal quarter, or more frequently if indicators of impairment exist during the fiscal year. Events or circumstances which could trigger an impairment review include a significant adverse change in legal factors or in the business climate, loss of key customers, an adverse action or assessment by a regulator, unanticipated competition, a loss of key personnel, significant changes in the manner of the Company’s use of the acquired assets or the strategy for the Company’s overall business, significant negative industry or economic trends, or significant underperformance relative to expected historical or projected future results of operations. The Company assesses its conclusion regarding reporting units in conjunction with its annual goodwill impairment test and has determined that it has one reporting unit for the purposes of allocating and testing goodwill.</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When testing goodwill for impairment, the Company first performs a qualitative assessment. If the Company determines it is more likely than not that a reporting unit’s fair value is less than its carrying amount, then a one-step impairment test is required. If the Company determines it is not more likely than not a reporting unit’s fair value is less than its carrying amount, then no further analysis is necessary. To identify whether a potential impairment exists, the Company compares the estimated fair value of the reporting unit with its carrying amount, including goodwill. If the estimated fair value of the reporting unit exceeds its carrying amount, goodwill is not considered to be impaired. If, however, the fair value of the reporting unit is less than its carrying amount, then such balance would be recorded as an impairment loss. Any impairment loss is limited to the carrying amount of goodwill within the entity.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0" w:name="page91"/>
    <w:bookmarkEnd w:id="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Retention Credit</w:t>
      </w:r>
    </w:p>
    <w:p>
      <w:pPr>
        <w:spacing w:after="0" w:line="121"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The Coronavirus Aid, Relief, and Economic Security Act, as amended by the Consolidated Appropriations Act, 2021 (the "Appropriations Act"), provided for an employee retention credit ("ERC"), a refundable tax credit against certain employment taxes for eligible employers that paid qualified wages to some or all employees after March 12, 2020 and before January 1, 2022. The Appropriations Act amended the ERC to be equal to 70% of qualified wages paid to employees during 2021.</w:t>
      </w:r>
    </w:p>
    <w:p>
      <w:pPr>
        <w:spacing w:after="0" w:line="72"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Company qualified for the ERC for underlying wages paid during the year ended December 31, 2020 as well as during the three months ended March 31, 2021 and filed a cash refund claim during the year ended December 31, 2021. The Company deferred recognition of the credit until the related uncertainty was resolved and receipt of the refund became realizable. During the year ended December 31, 2025, the Company received $2.8 million related to the ERC which was recorded within Other expense (income), net in the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framework for measuring fair value and related disclosure requirements about fair value measurements are provided in ASC 820, Fair Value Measurement (“ASC 820”). This pronouncement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ASC 820 contains three input levels as follows:</w:t>
      </w:r>
    </w:p>
    <w:p>
      <w:pPr>
        <w:spacing w:after="0" w:line="68" w:lineRule="exact"/>
        <w:rPr>
          <w:sz w:val="20"/>
          <w:szCs w:val="20"/>
          <w:color w:val="auto"/>
        </w:rPr>
      </w:pPr>
    </w:p>
    <w:p>
      <w:pPr>
        <w:ind w:left="980" w:right="380" w:hanging="486"/>
        <w:spacing w:after="0" w:line="28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Level 1</w:t>
      </w:r>
      <w:r>
        <w:rPr>
          <w:rFonts w:ascii="Times New Roman" w:cs="Times New Roman" w:eastAsia="Times New Roman" w:hAnsi="Times New Roman"/>
          <w:sz w:val="18"/>
          <w:szCs w:val="18"/>
          <w:color w:val="auto"/>
        </w:rPr>
        <w:t>: Unadjusted quoted prices in active markets for identical assets or liabilities accessible to the reporting entity at the measurement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w:t>
      </w:r>
    </w:p>
    <w:p>
      <w:pPr>
        <w:spacing w:after="0" w:line="46" w:lineRule="exact"/>
        <w:rPr>
          <w:rFonts w:ascii="Times New Roman" w:cs="Times New Roman" w:eastAsia="Times New Roman" w:hAnsi="Times New Roman"/>
          <w:sz w:val="18"/>
          <w:szCs w:val="18"/>
          <w:color w:val="auto"/>
        </w:rPr>
      </w:pPr>
    </w:p>
    <w:p>
      <w:pPr>
        <w:ind w:left="980" w:right="480" w:hanging="486"/>
        <w:spacing w:after="0" w:line="28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Level 2</w:t>
      </w:r>
      <w:r>
        <w:rPr>
          <w:rFonts w:ascii="Times New Roman" w:cs="Times New Roman" w:eastAsia="Times New Roman" w:hAnsi="Times New Roman"/>
          <w:sz w:val="18"/>
          <w:szCs w:val="18"/>
          <w:color w:val="auto"/>
        </w:rPr>
        <w:t>: Other than quoted prices included in Level 1 inputs that are observable for the asset or liability, either directly or indirectly,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substantially the full term of the asset or liability.</w:t>
      </w:r>
    </w:p>
    <w:p>
      <w:pPr>
        <w:spacing w:after="0" w:line="46" w:lineRule="exact"/>
        <w:rPr>
          <w:rFonts w:ascii="Times New Roman" w:cs="Times New Roman" w:eastAsia="Times New Roman" w:hAnsi="Times New Roman"/>
          <w:sz w:val="18"/>
          <w:szCs w:val="18"/>
          <w:color w:val="auto"/>
        </w:rPr>
      </w:pPr>
    </w:p>
    <w:p>
      <w:pPr>
        <w:ind w:left="980" w:right="40" w:hanging="486"/>
        <w:spacing w:after="0" w:line="286" w:lineRule="auto"/>
        <w:tabs>
          <w:tab w:leader="none" w:pos="9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Level 3</w:t>
      </w:r>
      <w:r>
        <w:rPr>
          <w:rFonts w:ascii="Times New Roman" w:cs="Times New Roman" w:eastAsia="Times New Roman" w:hAnsi="Times New Roman"/>
          <w:sz w:val="18"/>
          <w:szCs w:val="18"/>
          <w:color w:val="auto"/>
        </w:rPr>
        <w:t>: Unobservable inputs for the asset or liability used to measure fair value to the extent that observable inputs are not available, thereby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allowing for situations in which there is little, if any, market activity for the asset or liability at the measurement date.</w:t>
      </w:r>
    </w:p>
    <w:p>
      <w:pPr>
        <w:spacing w:after="0" w:line="51"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carrying amounts of the Company’s cash and cash equivalents, accounts receivable, accounts payable, accrued compensation and accrued liabilities approximate fair value due to the short-term nature of these instruments.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Recorded at Fair Value on a Recurring Basis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Certain financial instruments, including debt, are not measured at fair value on a recurring basis in the consolidated balance sheets. The fair value of debt is estimated using primarily level 2 inputs including quoted market prices or discounted cash flow analyses, based on estimated incremental borrowing rates for similar types of borrowing arrangements. As of December 31, 2025 and 2024, there was no outstanding balance under the Amended Loan Agreement (as defined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and Liabilities Recorded at Fair Value on a Non-Recurring Basis</w:t>
      </w:r>
    </w:p>
    <w:p>
      <w:pPr>
        <w:spacing w:after="0" w:line="11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Certain assets and liabilities, including goodwill and intangible assets, are subject to measurement at fair value on a non-recurring basis if there are indicators of impairment or if they are deemed to be impaired as a result of an impairment review.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framework for measuring lease assets and liabilities and related disclosure requirements are provided in ASC 842, Leases, ("ASC 842"). This pronouncement requires lessees to record the present value of operating lease payments as operating lease assets and lease liabilities on its balance sheet and disclose key information about leasing arrangements. In accordance with the guidance, the Company elected the practical expedient to exclude leases with a term of less than one year from the measurement of operating lease assets and lease liabilities. The Company also elected the practical expedient that allows lessees the option to account for lease and non-lease components together as a single component for all real estate classes of underlying assets.</w:t>
      </w:r>
    </w:p>
    <w:p>
      <w:pPr>
        <w:spacing w:after="0" w:line="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Under ASC 842, the Company determines whether an arrangement is a lease at the contract inception date. Our leases may require us to make fixed or variable lease payments. Variable lease payments are based on a variety of factors including property values, tax and utility rates, property services fees, and other factors. Since these costs are variable in nature, they are excluded from the measurement of the reported operating lease assets and liabilities and are expensed as incurred. The Company records rent expense for operating leases, some of which have escalating rent payments, on a straight-line basis over the lease term.</w:t>
      </w:r>
    </w:p>
    <w:p>
      <w:pPr>
        <w:spacing w:after="0" w:line="75"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252525"/>
        </w:rPr>
        <w:t xml:space="preserve">The present value of the lease payments is calculated using the Company’s incremental borrowing rate applicable to the lease, which is </w:t>
      </w:r>
      <w:r>
        <w:rPr>
          <w:rFonts w:ascii="Times New Roman" w:cs="Times New Roman" w:eastAsia="Times New Roman" w:hAnsi="Times New Roman"/>
          <w:sz w:val="18"/>
          <w:szCs w:val="18"/>
          <w:color w:val="000000"/>
        </w:rPr>
        <w:t>determined</w:t>
      </w:r>
      <w:r>
        <w:rPr>
          <w:rFonts w:ascii="Times New Roman" w:cs="Times New Roman" w:eastAsia="Times New Roman" w:hAnsi="Times New Roman"/>
          <w:sz w:val="18"/>
          <w:szCs w:val="18"/>
          <w:color w:val="252525"/>
        </w:rPr>
        <w:t xml:space="preserve"> by estimating what it would cost the Company to borrow a collateralized amount equal to the total lease payments over the lease term based on the contractual terms of the lease and the location of the leased asset. </w:t>
      </w:r>
      <w:r>
        <w:rPr>
          <w:rFonts w:ascii="Times New Roman" w:cs="Times New Roman" w:eastAsia="Times New Roman" w:hAnsi="Times New Roman"/>
          <w:sz w:val="18"/>
          <w:szCs w:val="18"/>
          <w:color w:val="000000"/>
        </w:rPr>
        <w:t>Refer to Note 5—Leases for additional information.</w:t>
      </w:r>
    </w:p>
    <w:p>
      <w:pPr>
        <w:sectPr>
          <w:pgSz w:w="11900" w:h="16838" w:orient="portrait"/>
          <w:cols w:equalWidth="0" w:num="1">
            <w:col w:w="11220"/>
          </w:cols>
          <w:pgMar w:left="320" w:top="104" w:right="35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type w:val="continuous"/>
        </w:sectPr>
      </w:pPr>
    </w:p>
    <w:bookmarkStart w:id="91" w:name="page92"/>
    <w:bookmarkEnd w:id="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includes amounts due from customers with principal operations primarily in the United States.</w:t>
      </w:r>
    </w:p>
    <w:p>
      <w:pPr>
        <w:spacing w:after="0" w:line="75"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advertising agency holding companies and individual customers as a percentage of the Company’s total revenues for the periods presented.</w:t>
      </w:r>
    </w:p>
    <w:p>
      <w:pPr>
        <w:spacing w:after="0" w:line="90"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3060" w:type="dxa"/>
            <w:vAlign w:val="bottom"/>
            <w:tcBorders>
              <w:bottom w:val="single" w:sz="8" w:color="auto"/>
            </w:tcBorders>
            <w:gridSpan w:val="5"/>
          </w:tcPr>
          <w:p>
            <w:pPr>
              <w:ind w:left="10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Borders>
              <w:bottom w:val="single" w:sz="8" w:color="auto"/>
            </w:tcBorders>
          </w:tcPr>
          <w:p>
            <w:pPr>
              <w:spacing w:after="0"/>
              <w:rPr>
                <w:sz w:val="20"/>
                <w:szCs w:val="20"/>
                <w:color w:val="auto"/>
              </w:rPr>
            </w:pPr>
          </w:p>
        </w:tc>
      </w:tr>
      <w:tr>
        <w:trPr>
          <w:trHeight w:val="223"/>
        </w:trPr>
        <w:tc>
          <w:tcPr>
            <w:tcW w:w="59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Agency Holding Company</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&lt;10.0 %</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Individual Customer</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4"/>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&lt;10.0 %</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14.1 %</w:t>
            </w:r>
          </w:p>
        </w:tc>
      </w:tr>
    </w:tbl>
    <w:p>
      <w:pPr>
        <w:spacing w:after="0" w:line="17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two advertising agency holding companies accounted for 14.9% and 12.0% of consolidated accounts receivable. As of December 31, 2024, one individual customer accounted for 13.9% of consolidated accounts receivable.</w:t>
      </w:r>
    </w:p>
    <w:p>
      <w:pPr>
        <w:spacing w:after="0" w:line="54"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one individual supplier accounted for 16.8% of consolidated accounts payable and accrued liabilities. As of December 31, 2024, three suppliers accounted for 14.0%, 12.6% and 12.6%, respectively, of consolidated accounts payable and accrued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Non-Marketable Equity Securities</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hold investments in non-marketable equity securities that represent investments in privately held companies without readily determinable fair values. The Company measures investments without readily determinable fair values at cost, less impairment, adjusted for observable price changes. These investments are included within other assets on our consolidated balance sheets.</w:t>
      </w:r>
    </w:p>
    <w:p>
      <w:pPr>
        <w:spacing w:after="0" w:line="68"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non-marketable equity investments without readily determinable fair value of $3.5 million and none as of December 31, 2024. The Company did not record any adjustments to the carrying value resulting from observable price changes or impairment and accordingly did not recognize any gains or losses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Relationships</w:t>
      </w:r>
    </w:p>
    <w:p>
      <w:pPr>
        <w:spacing w:after="0" w:line="121" w:lineRule="exact"/>
        <w:rPr>
          <w:sz w:val="20"/>
          <w:szCs w:val="20"/>
          <w:color w:val="auto"/>
        </w:rPr>
      </w:pPr>
    </w:p>
    <w:p>
      <w:pPr>
        <w:ind w:right="20" w:firstLine="486"/>
        <w:spacing w:after="0" w:line="312" w:lineRule="auto"/>
        <w:rPr>
          <w:sz w:val="20"/>
          <w:szCs w:val="20"/>
          <w:color w:val="auto"/>
        </w:rPr>
      </w:pPr>
      <w:r>
        <w:rPr>
          <w:rFonts w:ascii="Times New Roman" w:cs="Times New Roman" w:eastAsia="Times New Roman" w:hAnsi="Times New Roman"/>
          <w:sz w:val="17"/>
          <w:szCs w:val="17"/>
          <w:color w:val="auto"/>
        </w:rPr>
        <w:t>Capital V LLC (formerly Four Brothers 2 LLC), the holder of Class B common stock as of December 31, 2025, is controlled by the Company’s co-founders, Tim Vanderhook and Chris Vanderhook, and therefore is considered a related party. Refer to Note 14—Related Parties for additional information.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is the sole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our initial public offering. As an entity classified as a partnership for tax purposes, Viant Technology LLC generally is not subject to U.S. federal and certain state and local income taxes. Any taxable income or loss generated by Viant Technology LLC is passed through to and included in the taxable income or loss of its members, including the Company. The Company is taxed as a corporation and pays corporate federal, state and local taxes with respect to income allocated from Viant Technology LLC, based on the Company's 27.8% interest in Viant Technology LLC.</w:t>
      </w:r>
    </w:p>
    <w:p>
      <w:pPr>
        <w:spacing w:after="0" w:line="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which requires the recognition of deferred tax assets and liabilities (“DTAs” and “DTLs”) for the expected future tax consequences of events that have been included in the financial statements. Under this method, we determine DTAs and DTLs on the basis of the differences between the financial statement and tax bases of assets and liabilities by using enacted tax rates in effect for the year in which the differences are expected to reverse. The effect of a change in tax rates on DTAs and DTLs is recognized in income in the period that includes the enactment date. We recognize DTAs to the extent that we believe that these assets are more likely than not to be realized. In making such a determination, we consider all available positive and negative evidence, including future reversals of existing taxable temporary differences, projected future taxable income, tax-planning strategies, carryback potential if permitted under the tax law and results of recent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operations. If we determine that we would be able to realize our DTAs in the future in excess of their net recorded amount, we would make an adjustment to the DTA valuation allowance which, would impact the provision for income taxes.</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Company records uncertain tax positions in accordance with ASC 740 on the basis of a two-step process in which (1) we determine whether it is more likely than not that the tax positions will be sustained on the basis of the technical merits of the position and (2) for those tax positions that meet the more-likely-than-not recognition threshold, we recognize the largest amount of tax benefit that is more than 50 percent likely to be realized upon ultimate settlement with the related tax authority.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Company expects to obtain an increase in its share of tax basis in the net assets of Viant Technology LLC when Class B units are exchanged by the holders of Class B units for shares of Class A common stock of the Company and upon other qualifying transactions. Each change in outstanding shares of Class A common stock of the Company results in a corresponding increase or decrease in the Company's ownership of Class A units of Viant Technology LLC. The Company intends to treat any exchanges of Class B units as direct purchases of LLC interests for U.S. federal income tax purposes. These increases in tax basis may reduce the amounts that the Company would otherwise pay in the future to various taxing authorities. They may also decrease gains (or increase losses) on future dispositions of certain capital assets to the extent tax basis is allocated to those capital assets.</w:t>
      </w:r>
    </w:p>
    <w:p>
      <w:pPr>
        <w:spacing w:after="0" w:line="7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its initial public offering ("IPO"), the Company entered into a Tax Receivable Agreement (the “TRA”) with Viant Technology LLC, continuing members of Viant Technology LLC (not including us) and the TRA Representative. The TRA provides for payment by us to continuing members of Viant Technology LLC (not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such continuing members of Viant Technology LLC in connection with the IPO and in future exchanges and (ii) any payments we make under the TRA (including tax benefits related to imputed interest). We will retain the benefit of the remaining 15% of these net cash tax savings. The obligations under the TRA will be Viant Technology Inc.’s obligations and not obligations of Viant Technology LLC.</w:t>
      </w:r>
    </w:p>
    <w:p>
      <w:pPr>
        <w:spacing w:after="0" w:line="8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TRA could be significant. The term of the TRA will continue until all tax benefits that are subject to the TRA have been utilized or have expired, unless we exercise our right to terminate the TRA (or it is otherwise terminated pursuant to its terms, including due to a change in control or our breach of a material obligation thereunder), in which case, we will be required to make the termination payment specified in the TRA. In addition, any payments we make under the TRA will be increased by any interest accrued from the due date (without extensions) of the corresponding tax return. Any actual future payments to the continuing members of Viant Technology LLC will vary based on the factors discussed below. Estimating the amount and timing of payments that may be made under the TRA is by its nature imprecise, as the calculation of amounts payable depends on a variety of factors and future events. We expect to receive distributions from Viant Technology LLC in order to make any required payments under the TRA. However, we may need to incur debt to finance payments under the TRA to the extent such distributions or our cash resources are insufficient to meet our obligations under the TRA as a result of timing discrepancies or otherwise. The payments under the TRA are also not conditioned upon the continuing members of Viant Technology LLC maintaining a continued ownership interest in Viant Technology LLC or us.</w:t>
      </w:r>
    </w:p>
    <w:p>
      <w:pPr>
        <w:spacing w:after="0" w:line="86"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actual increase in tax basis and utilization of tax attributes, as well as the amount and timing of any payments under the TRA, will vary depending on a number of factors, including the price of shares of our Class A common stock at the time of future exchanges; the timing of future exchanges; the extent to which such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and the timing and amount of any earlier payments that we may have made under the TRA and the portion of our payments under the TRA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As of December 31, 2025, we concluded that it was more likely than not that our deferred tax assets subject to the TRA will be realized. Therefore, we recorded a liability related to the tax savings we may realize from utilization of such deferred tax assets in the amount of $12.4 million related to the TRA. Upon recognition of the TRA, there may be a material negative effect on our financial condition and liquidity if, as described below, the payments under the TRA exceed the actual benefits we receive in respect of the tax attributes subject to the TRA and/or distributions to us by Viant Technology LLC are not sufficient to permit us to make payments under the TRA.</w:t>
      </w:r>
    </w:p>
    <w:p>
      <w:pPr>
        <w:spacing w:after="0" w:line="8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TRA provides that if (i) we exercise our right to early termination of the TRA in whole (that is, with respect to all benefits due to all beneficiaries under the TRA) or in part (that is, with respect to some benefits due to all beneficiaries under the TRA), (ii) we experience certain changes in control, (iii) the TRA is rejected in certain bankruptcy proceedings, (iv) we fail (subject to certain exceptions) to make a payment under the TRA within 180 days after the due date or (v) we materially breach our obligations under the TRA, we will be obligated to make an early termination payment to holders of rights under the TRA equal to the present value of all payments that we would be required to pay under the TRA. The amount of such payments will be determined on the basis of certain assumptions in the TRA, including (i) the assumption that we would have enough taxable income in the future to fully utilize the tax</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3" w:name="page94"/>
    <w:bookmarkEnd w:id="9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benefit resulting from the tax assets that are the subject of the TRA;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We account for treasury stock under the cost method. When treasury stock is re-issued at a price higher than its cost, the difference is recorded as a component of additional paid-in-capital in our consolidated balance sheets. When treasury stock is re-issued at a price lower than its cost, the difference is recorded as a component of additional paid-in-capital to the extent that there are previously recorded gains to offset the losses. If there are no treasury stock gains in additional paid-in-capital, the losses upon re-issuance of treasury stock are recorded as an increase in accumulated deficit in our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Election as an Emerging Growth Company</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8"/>
          <w:szCs w:val="18"/>
          <w:color w:val="231F20"/>
        </w:rPr>
        <w:t>Company</w:t>
      </w:r>
      <w:r>
        <w:rPr>
          <w:rFonts w:ascii="Times New Roman" w:cs="Times New Roman" w:eastAsia="Times New Roman" w:hAnsi="Times New Roman"/>
          <w:sz w:val="18"/>
          <w:szCs w:val="18"/>
          <w:color w:val="auto"/>
        </w:rPr>
        <w:t xml:space="preserve"> may, under Section 7(a)(2)(B) 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$1 billion or less of non-convertible debt over a three-year period and is not deemed to be a large accelerated filer under the rules of the Securities and Exchange Commission ("SEC"). The Company will remain an emerging growth company until December 31, 2026, or sooner if it no longer qualifies.</w:t>
      </w:r>
    </w:p>
    <w:p>
      <w:pPr>
        <w:spacing w:after="0" w:line="81" w:lineRule="exact"/>
        <w:rPr>
          <w:sz w:val="20"/>
          <w:szCs w:val="20"/>
          <w:color w:val="auto"/>
        </w:rPr>
      </w:pPr>
    </w:p>
    <w:p>
      <w:pPr>
        <w:jc w:val="both"/>
        <w:ind w:right="20" w:firstLine="441"/>
        <w:spacing w:after="0" w:line="266" w:lineRule="auto"/>
        <w:rPr>
          <w:sz w:val="20"/>
          <w:szCs w:val="20"/>
          <w:color w:val="auto"/>
        </w:rPr>
      </w:pPr>
      <w:r>
        <w:rPr>
          <w:rFonts w:ascii="Times New Roman" w:cs="Times New Roman" w:eastAsia="Times New Roman" w:hAnsi="Times New Roman"/>
          <w:sz w:val="18"/>
          <w:szCs w:val="18"/>
          <w:color w:val="auto"/>
        </w:rPr>
        <w:t>The Company has elected to take advantage of the benefits of this extended transition period for complying with new or revised accounting standards that have different effective dates for public and private companies until the first to occur of the date that is (i) no longer an “emerging growth company” or (ii) affirmatively and irrevocably opts out of this extended transition period provided by Securities Act Section 7(a)(2)(B).</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w:t>
      </w:r>
    </w:p>
    <w:p>
      <w:pPr>
        <w:spacing w:after="0" w:line="117"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No.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Codification Amendments in Response to the SEC’s Disclosure Update and Simplification Initiative</w:t>
      </w:r>
      <w:r>
        <w:rPr>
          <w:rFonts w:ascii="Times New Roman" w:cs="Times New Roman" w:eastAsia="Times New Roman" w:hAnsi="Times New Roman"/>
          <w:sz w:val="18"/>
          <w:szCs w:val="18"/>
          <w:color w:val="auto"/>
        </w:rPr>
        <w:t>. ASU 2023-06 includes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This ASU is not expected to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 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ASU 2024-03 requires disclosure of additional information about specific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in the notes to financial statements on an annual and interim basis. The effective date for this ASU is for annual periods beginning after December 15, 2026, and interim periods beginning after December 15, 2027, with early adoption permitted. The Company is currently evaluating the impact of these amendments.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7" w:lineRule="exact"/>
        <w:rPr>
          <w:sz w:val="20"/>
          <w:szCs w:val="20"/>
          <w:color w:val="auto"/>
        </w:rPr>
      </w:pPr>
    </w:p>
    <w:p>
      <w:pPr>
        <w:ind w:right="200" w:firstLine="486"/>
        <w:spacing w:after="0" w:line="267"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The amendments in this update clarify and modernize the accounting for costs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internal-use software, affecting when an entity is required to start capitalizing software costs. The</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effective date for this ASU is for annual periods beginning after December 15, 2027, and interim periods within those annual reporting periods, with early adoption permitted. The Company is currently evaluating the impact of these amendments.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Instruments—Credit Losses</w:t>
      </w:r>
    </w:p>
    <w:p>
      <w:pPr>
        <w:spacing w:after="0" w:line="15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ASU 2016-13 revises the impairment model to utilize an expected loss methodology in place of the incurred loss methodology, which results in more timely recognition of losses on financial instruments. We adopted this standard at the beginning of the fiscal year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7"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requires companies with a single reportable segment to provide all existing segment disclosures in Topic 280, as well as new incremental segment information required by this standard on an annual and interim basis. The guidance is effective for fiscal years beginning after December 15, 2023 on a retrospective basis, and interim periods within fiscal years beginning after December 15, 2024, with early adoption permitted. We adopted this standard for our fiscal year 2024 annual consolidated financial statements and have applied this standard retrospectively for all periods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7"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designed to enhance the transparency and decision usefulness of annual income tax disclosures. The amendments of this update are related to the rate reconciliation and income taxes paid, requiring consistent categories and greater disaggregation of information in the rate reconciliation as well as income taxes paid disaggregated by jurisdiction. We adopted this standard for our fiscal year 2025 annual consolidated financial statements and have applied this standard for all periods presented.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3. Revenue</w:t>
      </w:r>
    </w:p>
    <w:p>
      <w:pPr>
        <w:spacing w:after="0" w:line="113"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Although the Company maintains agreements with its customers in multiple contractual forms, the overall promise within each of the contract types is to provide customers the ability to plan, buy and measure their digital advertising campaigns using our platform. Refer to Note 2—Basis of Presentation and Summary of Significant Accounting Policies for additional information.</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disaggregation of revenue was as follows:</w:t>
      </w:r>
    </w:p>
    <w:p>
      <w:pPr>
        <w:spacing w:after="0" w:line="262"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Over-time revenue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w:t>
            </w:r>
          </w:p>
        </w:tc>
      </w:tr>
      <w:tr>
        <w:trPr>
          <w:trHeight w:val="230"/>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336,994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219,570</w:t>
            </w: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222,934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160" w:firstLine="486"/>
        <w:spacing w:after="0" w:line="258" w:lineRule="auto"/>
        <w:rPr>
          <w:sz w:val="20"/>
          <w:szCs w:val="20"/>
          <w:color w:val="auto"/>
        </w:rPr>
      </w:pPr>
      <w:r>
        <w:rPr>
          <w:rFonts w:ascii="Times New Roman" w:cs="Times New Roman" w:eastAsia="Times New Roman" w:hAnsi="Times New Roman"/>
          <w:sz w:val="18"/>
          <w:szCs w:val="18"/>
          <w:color w:val="auto"/>
        </w:rPr>
        <w:t>Revenue for unsatisfied performance obligations expected to be recognized in the future for contracts with an original expected duration of greater than one year was $0.7 million and $0.8 million as of December 31, 2025 and 2024, respectively. These amounts do not include contracts with an original expected duration of less than one year, which is the majority of the Company’s contracts. As of December 31, 2025 and 2024, total deferred revenue was $0.6 million in each period, which is anticipated to be recognized during the succeeding 12-month period and therefore recorded in the current portion of deferred revenue within the consolidated balance sheets.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5" w:name="page96"/>
    <w:bookmarkEnd w:id="9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4. Property, Equipment, and Software, Net</w:t>
      </w:r>
    </w:p>
    <w:p>
      <w:pPr>
        <w:spacing w:after="0" w:line="113"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Major classes of property, equipment, and software were as follows: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7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101,877</w:t>
            </w:r>
          </w:p>
        </w:tc>
        <w:tc>
          <w:tcPr>
            <w:tcW w:w="0" w:type="dxa"/>
            <w:vAlign w:val="bottom"/>
          </w:tcPr>
          <w:p>
            <w:pPr>
              <w:spacing w:after="0"/>
              <w:rPr>
                <w:sz w:val="1"/>
                <w:szCs w:val="1"/>
                <w:color w:val="auto"/>
              </w:rPr>
            </w:pP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109,378</w:t>
            </w:r>
          </w:p>
        </w:tc>
        <w:tc>
          <w:tcPr>
            <w:tcW w:w="0" w:type="dxa"/>
            <w:vAlign w:val="bottom"/>
          </w:tcPr>
          <w:p>
            <w:pPr>
              <w:spacing w:after="0"/>
              <w:rPr>
                <w:sz w:val="1"/>
                <w:szCs w:val="1"/>
                <w:color w:val="auto"/>
              </w:rPr>
            </w:pPr>
          </w:p>
        </w:tc>
      </w:tr>
      <w:tr>
        <w:trPr>
          <w:trHeight w:val="229"/>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(94,705)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(77,896)</w:t>
            </w:r>
          </w:p>
        </w:tc>
        <w:tc>
          <w:tcPr>
            <w:tcW w:w="0" w:type="dxa"/>
            <w:vAlign w:val="bottom"/>
          </w:tcPr>
          <w:p>
            <w:pPr>
              <w:spacing w:after="0"/>
              <w:rPr>
                <w:sz w:val="1"/>
                <w:szCs w:val="1"/>
                <w:color w:val="auto"/>
              </w:rPr>
            </w:pP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31,482</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recorded in the consolidated statements of operations was as follows: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7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12,129</w:t>
            </w: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r>
      <w:tr>
        <w:trPr>
          <w:trHeight w:val="230"/>
        </w:trPr>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14,265</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5. </w:t>
      </w:r>
      <w:r>
        <w:rPr>
          <w:rFonts w:ascii="Times New Roman" w:cs="Times New Roman" w:eastAsia="Times New Roman" w:hAnsi="Times New Roman"/>
          <w:sz w:val="22"/>
          <w:szCs w:val="22"/>
          <w:b w:val="1"/>
          <w:bCs w:val="1"/>
          <w:i w:val="1"/>
          <w:iCs w:val="1"/>
          <w:color w:val="auto"/>
        </w:rPr>
        <w:t>Leases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operating leases for its office space, which have remaining lease terms of up to five years. The Company does not have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9"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spacing w:after="0" w:line="68"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Company's operating leases had a weighted-average remaining lease term of approximately five years and a weighted-average incremental borrowing rate of 4.1%. As of December 31, 2024, the Company's operating leases had a weighted-average remaining lease term of approximately six years and a weighted-average incremental borrowing rate of 4.1%.</w:t>
      </w:r>
    </w:p>
    <w:p>
      <w:pPr>
        <w:spacing w:after="0" w:line="68"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operating lease liabilities was $5.2 million and $4.6 million for the years ended December 31, 2025 and 2024, respectively.</w:t>
      </w:r>
    </w:p>
    <w:p>
      <w:pPr>
        <w:spacing w:after="0" w:line="54"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components of lease cost were as follows: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64"/>
        </w:trPr>
        <w:tc>
          <w:tcPr>
            <w:tcW w:w="7480" w:type="dxa"/>
            <w:vAlign w:val="bottom"/>
          </w:tcPr>
          <w:p>
            <w:pPr>
              <w:spacing w:after="0"/>
              <w:rPr>
                <w:sz w:val="24"/>
                <w:szCs w:val="24"/>
                <w:color w:val="auto"/>
              </w:rPr>
            </w:pPr>
          </w:p>
        </w:tc>
        <w:tc>
          <w:tcPr>
            <w:tcW w:w="2520" w:type="dxa"/>
            <w:vAlign w:val="bottom"/>
            <w:tcBorders>
              <w:bottom w:val="single" w:sz="8" w:color="auto"/>
            </w:tcBorders>
            <w:gridSpan w:val="4"/>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500" w:type="dxa"/>
            <w:vAlign w:val="bottom"/>
            <w:tcBorders>
              <w:bottom w:val="single" w:sz="8" w:color="auto"/>
            </w:tcBorders>
          </w:tcPr>
          <w:p>
            <w:pPr>
              <w:spacing w:after="0"/>
              <w:rPr>
                <w:sz w:val="24"/>
                <w:szCs w:val="24"/>
                <w:color w:val="auto"/>
              </w:rPr>
            </w:pPr>
          </w:p>
        </w:tc>
      </w:tr>
      <w:tr>
        <w:trPr>
          <w:trHeight w:val="223"/>
        </w:trPr>
        <w:tc>
          <w:tcPr>
            <w:tcW w:w="74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r>
      <w:tr>
        <w:trPr>
          <w:trHeight w:val="223"/>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5,265</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4,590</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6,462</w:t>
            </w:r>
          </w:p>
        </w:tc>
        <w:tc>
          <w:tcPr>
            <w:tcW w:w="80" w:type="dxa"/>
            <w:vAlign w:val="bottom"/>
          </w:tcPr>
          <w:p>
            <w:pPr>
              <w:spacing w:after="0"/>
              <w:rPr>
                <w:sz w:val="19"/>
                <w:szCs w:val="19"/>
                <w:color w:val="auto"/>
              </w:rPr>
            </w:pPr>
          </w:p>
        </w:tc>
        <w:tc>
          <w:tcPr>
            <w:tcW w:w="1080" w:type="dxa"/>
            <w:vAlign w:val="bottom"/>
            <w:tcBorders>
              <w:bottom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5,565</w:t>
            </w:r>
          </w:p>
        </w:tc>
      </w:tr>
      <w:tr>
        <w:trPr>
          <w:trHeight w:val="20"/>
        </w:trPr>
        <w:tc>
          <w:tcPr>
            <w:tcW w:w="7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 remaining contractual obligation of $1.2 million related to a short-term lease to be paid through 2027. The effective term of this lease is based on the cumulative days available for use throughout the contractual term, which is less than one year. The cost for this lease is included in the disclosure of short-term lease cost. This lease and other of</w:t>
      </w:r>
    </w:p>
    <w:p>
      <w:pPr>
        <w:sectPr>
          <w:pgSz w:w="11900" w:h="16838" w:orient="portrait"/>
          <w:cols w:equalWidth="0" w:num="1">
            <w:col w:w="11240"/>
          </w:cols>
          <w:pgMar w:left="320" w:top="104"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type w:val="continuous"/>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short-term leases are not recorded on the Company's consolidated balance sheet due to our accounting policy election for short-term leases.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Future minimum lease payments were as follows:</w:t>
      </w:r>
    </w:p>
    <w:p>
      <w:pPr>
        <w:spacing w:after="0" w:line="13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8920" w:type="dxa"/>
            <w:vAlign w:val="bottom"/>
          </w:tcPr>
          <w:p>
            <w:pPr>
              <w:spacing w:after="0"/>
              <w:rPr>
                <w:sz w:val="17"/>
                <w:szCs w:val="17"/>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w:t>
            </w:r>
          </w:p>
        </w:tc>
      </w:tr>
      <w:tr>
        <w:trPr>
          <w:trHeight w:val="238"/>
        </w:trPr>
        <w:tc>
          <w:tcPr>
            <w:tcW w:w="89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31,</w:t>
            </w:r>
          </w:p>
        </w:tc>
      </w:tr>
      <w:tr>
        <w:trPr>
          <w:trHeight w:val="228"/>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9"/>
        </w:trPr>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30"/>
        </w:trPr>
        <w:tc>
          <w:tcPr>
            <w:tcW w:w="8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r>
      <w:tr>
        <w:trPr>
          <w:trHeight w:val="229"/>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w:t>
            </w:r>
          </w:p>
        </w:tc>
      </w:tr>
      <w:tr>
        <w:trPr>
          <w:trHeight w:val="223"/>
        </w:trPr>
        <w:tc>
          <w:tcPr>
            <w:tcW w:w="8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23,632</w:t>
            </w:r>
          </w:p>
        </w:tc>
      </w:tr>
      <w:tr>
        <w:trPr>
          <w:trHeight w:val="229"/>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23"/>
        </w:trPr>
        <w:tc>
          <w:tcPr>
            <w:tcW w:w="8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21,748</w:t>
            </w:r>
          </w:p>
        </w:tc>
      </w:tr>
      <w:tr>
        <w:trPr>
          <w:trHeight w:val="230"/>
        </w:trPr>
        <w:tc>
          <w:tcPr>
            <w:tcW w:w="8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w:t>
            </w:r>
          </w:p>
        </w:tc>
      </w:tr>
      <w:tr>
        <w:trPr>
          <w:trHeight w:val="248"/>
        </w:trPr>
        <w:tc>
          <w:tcPr>
            <w:tcW w:w="8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16,668</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6. Goodwill and Intangible Assets, Net</w:t>
      </w:r>
    </w:p>
    <w:p>
      <w:pPr>
        <w:spacing w:after="0" w:line="11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Company’s goodwill balance as of December 31, 2025 and 2024 is $19.2 million and $19.2 million, respectively. The balance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is comprised of the Company’s November 2024 acquisition of IRIS.TV as well as the February 2017 acquisition of Adelphic.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goodwill balance was determined based on the excess of the purchase price over the fair value of the identifiable net assets acquired and represents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revenue and earnings potential related to synergies and certain other assets acquired that do not meet the recognition criteria, such as assembled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workforce.</w:t>
      </w:r>
    </w:p>
    <w:p>
      <w:pPr>
        <w:spacing w:after="0" w:line="9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Goodwill is tested for impairment at least annually as of the first day of the fourth fiscal quarter, or more frequently if indicators of impairment exist during the fiscal year. Refer to Note 2—Basis of Presentation and Summary of Significant Accounting Policies for additional information. On December 31, 2025, the Company performed a qualitative impairment assessment of its goodwill in accordance with the policy. The results of this test indicated that the Company’s goodwill was not impaired. No goodwill impairment was recorded for the years ended December 31, 2025, 2024 or 2023. As of December 31, 2025, there is no accumulated goodwill impairment loss.</w:t>
      </w:r>
    </w:p>
    <w:p>
      <w:pPr>
        <w:spacing w:after="0" w:line="75"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On November 6, 2024, the Company completed the acquisition of IRIS.TV, which was accounted for as a business combination. The total purchase price for this acquisition was $10.0 million. The purchase price consisted of $3.2 million of net assets acquired based on their estimated fair value on the acquisition date. The excess $6.8 million of the purchase price over the fair value of net assets acquired was recorded to goodwill. The goodwill from the acquisition is attributable to expected synergies and other benefits and is deductible for tax purposes.</w:t>
      </w:r>
    </w:p>
    <w:p>
      <w:pPr>
        <w:spacing w:after="0" w:line="7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Intangible assets primarily consist of acquired developed technology, customer relationships, and tradenames and trademarks resulting from business combinations.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 No impairment was recorded for intangible assets during the years ended December 31, 2025, 2024 or 2023.</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 w:right="35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balance of intangible assets and accumulated amortization are as follows:</w:t>
      </w:r>
    </w:p>
    <w:p>
      <w:pPr>
        <w:spacing w:after="0" w:line="259" w:lineRule="exact"/>
        <w:rPr>
          <w:sz w:val="20"/>
          <w:szCs w:val="20"/>
          <w:color w:val="auto"/>
        </w:rPr>
      </w:pPr>
    </w:p>
    <w:tbl>
      <w:tblPr>
        <w:tblLayout w:type="fixed"/>
        <w:tblInd w:w="48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14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4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37"/>
        </w:trPr>
        <w:tc>
          <w:tcPr>
            <w:tcW w:w="4560" w:type="dxa"/>
            <w:vAlign w:val="bottom"/>
          </w:tcPr>
          <w:p>
            <w:pPr>
              <w:spacing w:after="0"/>
              <w:rPr>
                <w:sz w:val="11"/>
                <w:szCs w:val="11"/>
                <w:color w:val="auto"/>
              </w:rPr>
            </w:pPr>
          </w:p>
        </w:tc>
        <w:tc>
          <w:tcPr>
            <w:tcW w:w="1440" w:type="dxa"/>
            <w:vAlign w:val="bottom"/>
            <w:gridSpan w:val="2"/>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1"/>
                <w:szCs w:val="11"/>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1"/>
                <w:szCs w:val="11"/>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4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456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11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8"/>
        </w:trPr>
        <w:tc>
          <w:tcPr>
            <w:tcW w:w="4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7,986</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0"/>
        </w:trPr>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560" w:type="dxa"/>
            <w:vAlign w:val="bottom"/>
          </w:tcPr>
          <w:p>
            <w:pPr>
              <w:spacing w:after="0"/>
              <w:rPr>
                <w:sz w:val="11"/>
                <w:szCs w:val="11"/>
                <w:color w:val="auto"/>
              </w:rPr>
            </w:pPr>
          </w:p>
        </w:tc>
        <w:tc>
          <w:tcPr>
            <w:tcW w:w="14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4560" w:type="dxa"/>
            <w:vAlign w:val="bottom"/>
          </w:tcPr>
          <w:p>
            <w:pPr>
              <w:spacing w:after="0"/>
              <w:rPr>
                <w:sz w:val="11"/>
                <w:szCs w:val="11"/>
                <w:color w:val="auto"/>
              </w:rPr>
            </w:pPr>
          </w:p>
        </w:tc>
        <w:tc>
          <w:tcPr>
            <w:tcW w:w="1440" w:type="dxa"/>
            <w:vAlign w:val="bottom"/>
            <w:gridSpan w:val="2"/>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vMerge w:val="restart"/>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4560" w:type="dxa"/>
            <w:vAlign w:val="bottom"/>
          </w:tcPr>
          <w:p>
            <w:pPr>
              <w:spacing w:after="0"/>
              <w:rPr>
                <w:sz w:val="12"/>
                <w:szCs w:val="12"/>
                <w:color w:val="auto"/>
              </w:rPr>
            </w:pPr>
          </w:p>
        </w:tc>
        <w:tc>
          <w:tcPr>
            <w:tcW w:w="14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20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6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78"/>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456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8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7"/>
                <w:szCs w:val="17"/>
                <w:color w:val="auto"/>
              </w:rPr>
            </w:pPr>
          </w:p>
        </w:tc>
        <w:tc>
          <w:tcPr>
            <w:tcW w:w="110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29"/>
        </w:trPr>
        <w:tc>
          <w:tcPr>
            <w:tcW w:w="456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0" w:type="dxa"/>
            <w:vAlign w:val="bottom"/>
          </w:tcPr>
          <w:p>
            <w:pPr>
              <w:spacing w:after="0"/>
              <w:rPr>
                <w:sz w:val="1"/>
                <w:szCs w:val="1"/>
                <w:color w:val="auto"/>
              </w:rPr>
            </w:pP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Amortization of intangible assets recorded in the consolidated statements of operations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20" w:type="dxa"/>
            <w:vAlign w:val="bottom"/>
            <w:tcBorders>
              <w:bottom w:val="single" w:sz="8" w:color="CFF0FC"/>
            </w:tcBorders>
          </w:tcPr>
          <w:p>
            <w:pPr>
              <w:spacing w:after="0"/>
              <w:rPr>
                <w:sz w:val="19"/>
                <w:szCs w:val="19"/>
                <w:color w:val="auto"/>
              </w:rPr>
            </w:pPr>
          </w:p>
        </w:tc>
        <w:tc>
          <w:tcPr>
            <w:tcW w:w="1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8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480" w:type="dxa"/>
            <w:vAlign w:val="bottom"/>
            <w:tcBorders>
              <w:left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2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Estimated future amortization of intangible assets is as follows:</w:t>
            </w:r>
          </w:p>
        </w:tc>
        <w:tc>
          <w:tcPr>
            <w:tcW w:w="120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4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480" w:type="dxa"/>
            <w:vAlign w:val="bottom"/>
          </w:tcPr>
          <w:p>
            <w:pPr>
              <w:spacing w:after="0"/>
              <w:rPr>
                <w:sz w:val="24"/>
                <w:szCs w:val="24"/>
                <w:color w:val="auto"/>
              </w:rPr>
            </w:pPr>
          </w:p>
        </w:tc>
        <w:tc>
          <w:tcPr>
            <w:tcW w:w="48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As of December</w:t>
            </w: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31,</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0" w:type="dxa"/>
            <w:vAlign w:val="bottom"/>
          </w:tcPr>
          <w:p>
            <w:pPr>
              <w:spacing w:after="0"/>
              <w:rPr>
                <w:sz w:val="19"/>
                <w:szCs w:val="19"/>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8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CCEEFF"/>
            </w:tcBorders>
            <w:vMerge w:val="restart"/>
          </w:tcPr>
          <w:p>
            <w:pPr>
              <w:jc w:val="right"/>
              <w:ind w:right="690"/>
              <w:spacing w:after="0"/>
              <w:rPr>
                <w:sz w:val="20"/>
                <w:szCs w:val="20"/>
                <w:color w:val="auto"/>
              </w:rPr>
            </w:pPr>
            <w:r>
              <w:rPr>
                <w:rFonts w:ascii="Times New Roman" w:cs="Times New Roman" w:eastAsia="Times New Roman" w:hAnsi="Times New Roman"/>
                <w:sz w:val="18"/>
                <w:szCs w:val="18"/>
                <w:color w:val="auto"/>
              </w:rPr>
              <w:t>97</w:t>
            </w:r>
          </w:p>
        </w:tc>
        <w:tc>
          <w:tcPr>
            <w:tcW w:w="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7. Accrued Liabilities</w:t>
      </w:r>
    </w:p>
    <w:p>
      <w:pPr>
        <w:spacing w:after="0" w:line="113" w:lineRule="exact"/>
        <w:rPr>
          <w:sz w:val="20"/>
          <w:szCs w:val="20"/>
          <w:color w:val="auto"/>
        </w:rPr>
      </w:pPr>
    </w:p>
    <w:tbl>
      <w:tblPr>
        <w:tblLayout w:type="fixed"/>
        <w:tblInd w:w="480" w:type="dxa"/>
        <w:tblCellMar>
          <w:top w:w="0" w:type="dxa"/>
          <w:left w:w="0" w:type="dxa"/>
          <w:bottom w:w="0" w:type="dxa"/>
          <w:right w:w="0" w:type="dxa"/>
        </w:tblCellMar>
      </w:tblPr>
      <w:tr>
        <w:trPr>
          <w:trHeight w:val="234"/>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Company’s accrued liabilities consisted of the following:</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73"/>
        </w:trPr>
        <w:tc>
          <w:tcPr>
            <w:tcW w:w="74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4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38,399</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39,985</w:t>
            </w:r>
          </w:p>
        </w:tc>
      </w:tr>
      <w:tr>
        <w:trPr>
          <w:trHeight w:val="229"/>
        </w:trPr>
        <w:tc>
          <w:tcPr>
            <w:tcW w:w="746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12,429</w:t>
            </w:r>
          </w:p>
        </w:tc>
        <w:tc>
          <w:tcPr>
            <w:tcW w:w="1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w:t>
            </w:r>
          </w:p>
        </w:tc>
      </w:tr>
      <w:tr>
        <w:trPr>
          <w:trHeight w:val="248"/>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1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47,352</w:t>
            </w:r>
          </w:p>
        </w:tc>
      </w:tr>
      <w:tr>
        <w:trPr>
          <w:trHeight w:val="20"/>
        </w:trPr>
        <w:tc>
          <w:tcPr>
            <w:tcW w:w="746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8. Revolving Credit Facility</w:t>
      </w:r>
    </w:p>
    <w:p>
      <w:pPr>
        <w:spacing w:after="0" w:line="11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October 31, 2019, the Company entered into an asset-based revolving credit and security agreement (the "Loan Agreement") with PNC Bank, 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The Amended Loan Agreement is collateralized by security interests in substantially all of the Company's assets.</w:t>
      </w:r>
    </w:p>
    <w:p>
      <w:pPr>
        <w:spacing w:after="0" w:line="7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 xml:space="preserve">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 (as defined in the Amended Loan Agreement) plus the SOFR Adjustment of 0.10% plus an applicable margin. The applicable margin is between 1.00% to 1.25% for Domestic Rate Loans and between 2.00% and 2.25% for Term SOFR Rate Loans based on the average undrawn availability under the revolving credit facility. </w:t>
      </w:r>
      <w:r>
        <w:rPr>
          <w:rFonts w:ascii="Times New Roman" w:cs="Times New Roman" w:eastAsia="Times New Roman" w:hAnsi="Times New Roman"/>
          <w:sz w:val="18"/>
          <w:szCs w:val="18"/>
          <w:color w:val="231F20"/>
        </w:rPr>
        <w:t>The applicable margin as of</w:t>
      </w:r>
      <w:r>
        <w:rPr>
          <w:rFonts w:ascii="Times New Roman" w:cs="Times New Roman" w:eastAsia="Times New Roman" w:hAnsi="Times New Roman"/>
          <w:sz w:val="18"/>
          <w:szCs w:val="18"/>
          <w:color w:val="auto"/>
        </w:rPr>
        <w:t xml:space="preserve"> December 31, 2025 </w:t>
      </w:r>
      <w:r>
        <w:rPr>
          <w:rFonts w:ascii="Times New Roman" w:cs="Times New Roman" w:eastAsia="Times New Roman" w:hAnsi="Times New Roman"/>
          <w:sz w:val="18"/>
          <w:szCs w:val="18"/>
          <w:color w:val="231F20"/>
        </w:rPr>
        <w:t>was equal to</w:t>
      </w:r>
      <w:r>
        <w:rPr>
          <w:rFonts w:ascii="Times New Roman" w:cs="Times New Roman" w:eastAsia="Times New Roman" w:hAnsi="Times New Roman"/>
          <w:sz w:val="18"/>
          <w:szCs w:val="18"/>
          <w:color w:val="auto"/>
        </w:rPr>
        <w:t xml:space="preserve"> 1.00% </w:t>
      </w:r>
      <w:r>
        <w:rPr>
          <w:rFonts w:ascii="Times New Roman" w:cs="Times New Roman" w:eastAsia="Times New Roman" w:hAnsi="Times New Roman"/>
          <w:sz w:val="18"/>
          <w:szCs w:val="18"/>
          <w:color w:val="231F20"/>
        </w:rPr>
        <w:t>for Domestic 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Loans and </w:t>
      </w:r>
      <w:r>
        <w:rPr>
          <w:rFonts w:ascii="Times New Roman" w:cs="Times New Roman" w:eastAsia="Times New Roman" w:hAnsi="Times New Roman"/>
          <w:sz w:val="18"/>
          <w:szCs w:val="18"/>
          <w:color w:val="000000"/>
        </w:rPr>
        <w:t>2.00%</w:t>
      </w:r>
      <w:r>
        <w:rPr>
          <w:rFonts w:ascii="Times New Roman" w:cs="Times New Roman" w:eastAsia="Times New Roman" w:hAnsi="Times New Roman"/>
          <w:sz w:val="18"/>
          <w:szCs w:val="18"/>
          <w:color w:val="231F20"/>
        </w:rPr>
        <w:t xml:space="preserve"> for Term SOFR Rate Loans. </w:t>
      </w:r>
      <w:r>
        <w:rPr>
          <w:rFonts w:ascii="Times New Roman" w:cs="Times New Roman" w:eastAsia="Times New Roman" w:hAnsi="Times New Roman"/>
          <w:sz w:val="18"/>
          <w:szCs w:val="18"/>
          <w:color w:val="000000"/>
        </w:rPr>
        <w:t>The facility fee for undrawn amounts under the Amended Loan Agreement is 0.375% per annum;</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additionally, the Company pays customary letter of credit fees as applicable.</w:t>
      </w:r>
    </w:p>
    <w:p>
      <w:pPr>
        <w:spacing w:after="0" w:line="80" w:lineRule="exact"/>
        <w:rPr>
          <w:sz w:val="20"/>
          <w:szCs w:val="20"/>
          <w:color w:val="auto"/>
        </w:rPr>
      </w:pPr>
    </w:p>
    <w:p>
      <w:pPr>
        <w:ind w:right="160" w:firstLine="486"/>
        <w:spacing w:after="0" w:line="274" w:lineRule="auto"/>
        <w:rPr>
          <w:sz w:val="20"/>
          <w:szCs w:val="20"/>
          <w:color w:val="auto"/>
        </w:rPr>
      </w:pPr>
      <w:r>
        <w:rPr>
          <w:rFonts w:ascii="Times New Roman" w:cs="Times New Roman" w:eastAsia="Times New Roman" w:hAnsi="Times New Roman"/>
          <w:sz w:val="17"/>
          <w:szCs w:val="17"/>
          <w:color w:val="auto"/>
        </w:rPr>
        <w:t>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The Amended Loan Agreement also requires that the Company maintain compliance with a minimum Fixed Charge Coverage Ratio (as defined in the Amended Loan Agreement) of 1.40 to 1.00 at any time undrawn availability is less than 25%. As of December 31, 2025, the Company was in compliance with all applicable covenants under the Amended Loan Agreement.</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did not have an outstanding balance under the revolving credit facility as of December 31, 2025 and 2024.</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9. Stockholders' Equity</w:t>
      </w:r>
    </w:p>
    <w:p>
      <w:pPr>
        <w:spacing w:after="0" w:line="11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aggregate maximum number of shares of the Company’s Class A common stock that may be issued pursuant to stock awards under the LTIP (the "Share Reserve") was 11,787,112 shares of Class A common stock as of the time of the adoption. The Share Reserve automatically increases on January 1 of each year, commencing on January 1, 2022 and ending with a final increase on January 1, 2031 in an amount equal to 5% of the total number of shares of capital stock outstanding on December 31 of the preceding calendar year; provided, however, that the Company’s board of directors may provide that there will not be a January 1 increase in the Share Reserve in a given year or that the increase will be less than 5% of the shares of capital stock outstanding on the preceding December 31.</w:t>
      </w:r>
    </w:p>
    <w:p>
      <w:pPr>
        <w:spacing w:after="0" w:line="7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Company is authorized to grant RSUs, incentive stock options, NQSOs, stock appreciation rights, restricted stock awards, and performance stock awards under the LTIP. As of December 31, 2025, the Company had currently only granted RSUs and NQSOs under the LTIP. Under the LTIP, 6.7 million shares of Class A common stock remained available for grant as of December 31, 2025.</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99" w:name="page100"/>
    <w:bookmarkEnd w:id="9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5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recorded in the consolidated statements of operations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6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7"/>
          </w:tcPr>
          <w:p>
            <w:pPr>
              <w:jc w:val="center"/>
              <w:ind w:right="235"/>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00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4,104</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9,729</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6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600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6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24,840</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32,291</w:t>
            </w:r>
          </w:p>
        </w:tc>
        <w:tc>
          <w:tcPr>
            <w:tcW w:w="0" w:type="dxa"/>
            <w:vAlign w:val="bottom"/>
          </w:tcPr>
          <w:p>
            <w:pPr>
              <w:spacing w:after="0"/>
              <w:rPr>
                <w:sz w:val="1"/>
                <w:szCs w:val="1"/>
                <w:color w:val="auto"/>
              </w:rPr>
            </w:pPr>
          </w:p>
        </w:tc>
      </w:tr>
      <w:tr>
        <w:trPr>
          <w:trHeight w:val="20"/>
        </w:trPr>
        <w:tc>
          <w:tcPr>
            <w:tcW w:w="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tc>
        <w:tc>
          <w:tcPr>
            <w:tcW w:w="6000" w:type="dxa"/>
            <w:vAlign w:val="bottom"/>
            <w:tcBorders>
              <w:top w:val="single" w:sz="8" w:color="CFF0FC"/>
              <w:bottom w:val="single" w:sz="8" w:color="CFF0FC"/>
            </w:tcBorders>
            <w:vMerge w:val="restart"/>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2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 w:type="dxa"/>
            <w:vAlign w:val="bottom"/>
            <w:vMerge w:val="continue"/>
          </w:tcPr>
          <w:p>
            <w:pPr>
              <w:spacing w:after="0"/>
              <w:rPr>
                <w:sz w:val="24"/>
                <w:szCs w:val="24"/>
                <w:color w:val="auto"/>
              </w:rPr>
            </w:pPr>
          </w:p>
        </w:tc>
        <w:tc>
          <w:tcPr>
            <w:tcW w:w="6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4"/>
                <w:szCs w:val="24"/>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summarizes RSU activity:</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37"/>
        </w:trPr>
        <w:tc>
          <w:tcPr>
            <w:tcW w:w="48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5"/>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0"/>
        </w:trPr>
        <w:tc>
          <w:tcPr>
            <w:tcW w:w="480" w:type="dxa"/>
            <w:vAlign w:val="bottom"/>
          </w:tcPr>
          <w:p>
            <w:pPr>
              <w:spacing w:after="0"/>
              <w:rPr>
                <w:sz w:val="13"/>
                <w:szCs w:val="13"/>
                <w:color w:val="auto"/>
              </w:rPr>
            </w:pPr>
          </w:p>
        </w:tc>
        <w:tc>
          <w:tcPr>
            <w:tcW w:w="6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240" w:type="dxa"/>
            <w:vAlign w:val="bottom"/>
          </w:tcPr>
          <w:p>
            <w:pPr>
              <w:jc w:val="center"/>
              <w:ind w:right="55"/>
              <w:spacing w:after="0" w:line="160" w:lineRule="exact"/>
              <w:rPr>
                <w:sz w:val="20"/>
                <w:szCs w:val="20"/>
                <w:color w:val="auto"/>
              </w:rPr>
            </w:pPr>
            <w:r>
              <w:rPr>
                <w:rFonts w:ascii="Times New Roman" w:cs="Times New Roman" w:eastAsia="Times New Roman" w:hAnsi="Times New Roman"/>
                <w:sz w:val="14"/>
                <w:szCs w:val="14"/>
                <w:b w:val="1"/>
                <w:bCs w:val="1"/>
                <w:color w:val="auto"/>
              </w:rPr>
              <w:t>Grant-Date Fair</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6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7"/>
                <w:szCs w:val="17"/>
                <w:color w:val="auto"/>
              </w:rPr>
            </w:pPr>
          </w:p>
        </w:tc>
        <w:tc>
          <w:tcPr>
            <w:tcW w:w="12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6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December 31, 2024</w:t>
            </w:r>
          </w:p>
        </w:tc>
        <w:tc>
          <w:tcPr>
            <w:tcW w:w="3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6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Canceled/forfeited</w:t>
            </w:r>
          </w:p>
        </w:tc>
        <w:tc>
          <w:tcPr>
            <w:tcW w:w="3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December 31, 2025</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total fair value of RSUs, as of their respective vesting dates, during the year ended December 31, 2025 was $34.9 million. As of December 31, 2025, the Company had unrecognized stock-based compensation relating to RSUs of approximately $39.6 million, which is expected to be recognized over a weighted-average period of 1.7 years.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NQSOs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following summarizes NQSO activity:</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6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00" w:type="dxa"/>
            <w:vAlign w:val="bottom"/>
          </w:tcPr>
          <w:p>
            <w:pPr>
              <w:spacing w:after="0"/>
              <w:rPr>
                <w:sz w:val="15"/>
                <w:szCs w:val="15"/>
                <w:color w:val="auto"/>
              </w:rPr>
            </w:pPr>
          </w:p>
        </w:tc>
        <w:tc>
          <w:tcPr>
            <w:tcW w:w="12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0" w:type="dxa"/>
            <w:vAlign w:val="bottom"/>
          </w:tcPr>
          <w:p>
            <w:pPr>
              <w:spacing w:after="0"/>
              <w:rPr>
                <w:sz w:val="1"/>
                <w:szCs w:val="1"/>
                <w:color w:val="auto"/>
              </w:rPr>
            </w:pPr>
          </w:p>
        </w:tc>
      </w:tr>
      <w:tr>
        <w:trPr>
          <w:trHeight w:val="180"/>
        </w:trPr>
        <w:tc>
          <w:tcPr>
            <w:tcW w:w="4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60" w:type="dxa"/>
            <w:vAlign w:val="bottom"/>
            <w:gridSpan w:val="2"/>
          </w:tcPr>
          <w:p>
            <w:pPr>
              <w:jc w:val="center"/>
              <w:ind w:right="120"/>
              <w:spacing w:after="0" w:line="180" w:lineRule="exact"/>
              <w:rPr>
                <w:sz w:val="20"/>
                <w:szCs w:val="20"/>
                <w:color w:val="auto"/>
              </w:rPr>
            </w:pPr>
            <w:r>
              <w:rPr>
                <w:rFonts w:ascii="Times New Roman" w:cs="Times New Roman" w:eastAsia="Times New Roman" w:hAnsi="Times New Roman"/>
                <w:sz w:val="18"/>
                <w:szCs w:val="18"/>
                <w:b w:val="1"/>
                <w:bCs w:val="1"/>
                <w:color w:val="auto"/>
              </w:rPr>
              <w:t>Contractual</w:t>
            </w:r>
          </w:p>
        </w:tc>
        <w:tc>
          <w:tcPr>
            <w:tcW w:w="1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13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7"/>
              </w:rPr>
              <w:t>Term</w:t>
            </w:r>
          </w:p>
        </w:tc>
        <w:tc>
          <w:tcPr>
            <w:tcW w:w="100" w:type="dxa"/>
            <w:vAlign w:val="bottom"/>
          </w:tcPr>
          <w:p>
            <w:pPr>
              <w:spacing w:after="0"/>
              <w:rPr>
                <w:sz w:val="16"/>
                <w:szCs w:val="16"/>
                <w:color w:val="auto"/>
              </w:rPr>
            </w:pPr>
          </w:p>
        </w:tc>
        <w:tc>
          <w:tcPr>
            <w:tcW w:w="1260" w:type="dxa"/>
            <w:vAlign w:val="bottom"/>
          </w:tcPr>
          <w:p>
            <w:pPr>
              <w:jc w:val="right"/>
              <w:ind w:right="30"/>
              <w:spacing w:after="0" w:line="184"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3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8"/>
                <w:szCs w:val="18"/>
                <w:b w:val="1"/>
                <w:bCs w:val="1"/>
                <w:color w:val="auto"/>
              </w:rPr>
              <w:t>(in thousands)</w:t>
            </w:r>
            <w:r>
              <w:rPr>
                <w:rFonts w:ascii="Times New Roman" w:cs="Times New Roman" w:eastAsia="Times New Roman" w:hAnsi="Times New Roman"/>
                <w:sz w:val="23"/>
                <w:szCs w:val="23"/>
                <w:b w:val="1"/>
                <w:bCs w:val="1"/>
                <w:color w:val="auto"/>
                <w:vertAlign w:val="superscript"/>
              </w:rPr>
              <w:t>(1)</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 outstanding as of December 31, 2024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66,959</w:t>
            </w: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 outstanding as of December 31, 2025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26,288</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5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45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660" w:right="440" w:hanging="328"/>
        <w:spacing w:after="0" w:line="282" w:lineRule="auto"/>
        <w:tabs>
          <w:tab w:leader="none" w:pos="65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The aggregate intrinsic value is calculated as the difference between the exercise price of the underlying stock option awards and the closing market price of our Class A common stock as of </w:t>
      </w:r>
      <w:r>
        <w:rPr>
          <w:rFonts w:ascii="Times New Roman" w:cs="Times New Roman" w:eastAsia="Times New Roman" w:hAnsi="Times New Roman"/>
          <w:sz w:val="18"/>
          <w:szCs w:val="18"/>
          <w:color w:val="000000"/>
        </w:rPr>
        <w:t>December 31, 2025 and December 31, 2024.</w:t>
      </w:r>
    </w:p>
    <w:p>
      <w:pPr>
        <w:spacing w:after="0" w:line="54" w:lineRule="exact"/>
        <w:rPr>
          <w:sz w:val="20"/>
          <w:szCs w:val="20"/>
          <w:color w:val="auto"/>
        </w:rPr>
      </w:pPr>
    </w:p>
    <w:p>
      <w:pPr>
        <w:jc w:val="both"/>
        <w:ind w:right="460" w:firstLine="486"/>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the NQSOs granted during the years ended December 31, 2024 and 2023 was $6.67 and $3.20, respectively. No NQSOs were granted during the year ended December 31, 2025. The total intrinsic value of options exercised during the year ended December 31, 2025 and 2024 was $5.6 million and $10.8 million, respectively, and was de minimis for the year ended December 31, 2023.</w:t>
      </w:r>
    </w:p>
    <w:p>
      <w:pPr>
        <w:spacing w:after="0" w:line="68"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The Company had unrecognized stock-based compensation relating to unvested NQSOs of approximately $2.0 million, which is expected to be recognized over a weighted-average period of 0.8 years as of December 31, 2025.</w:t>
      </w:r>
    </w:p>
    <w:p>
      <w:pPr>
        <w:sectPr>
          <w:pgSz w:w="11900" w:h="16838" w:orient="portrait"/>
          <w:cols w:equalWidth="0" w:num="1">
            <w:col w:w="11200"/>
          </w:cols>
          <w:pgMar w:left="320" w:top="104" w:right="379" w:bottom="1440" w:gutter="0" w:footer="0" w:header="0"/>
        </w:sect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type w:val="continuous"/>
        </w:sectPr>
      </w:pPr>
    </w:p>
    <w:bookmarkStart w:id="100" w:name="page101"/>
    <w:bookmarkEnd w:id="10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assumptions used in the Black-Scholes model to determine the fair value of NQSOs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040" w:type="dxa"/>
            <w:vAlign w:val="bottom"/>
            <w:shd w:val="clear" w:color="auto" w:fill="CCEEFF"/>
          </w:tcPr>
          <w:p>
            <w:pPr>
              <w:spacing w:after="0"/>
              <w:rPr>
                <w:sz w:val="19"/>
                <w:szCs w:val="19"/>
                <w:color w:val="auto"/>
              </w:rPr>
            </w:pPr>
          </w:p>
        </w:tc>
        <w:tc>
          <w:tcPr>
            <w:tcW w:w="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- 4.3%</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 - 81.5%</w:t>
            </w:r>
          </w:p>
        </w:tc>
      </w:tr>
      <w:tr>
        <w:trPr>
          <w:trHeight w:val="229"/>
        </w:trPr>
        <w:tc>
          <w:tcPr>
            <w:tcW w:w="6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4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6.0 - 6.1</w:t>
            </w:r>
          </w:p>
        </w:tc>
      </w:tr>
      <w:tr>
        <w:trPr>
          <w:trHeight w:val="234"/>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77" w:lineRule="exact"/>
        <w:rPr>
          <w:sz w:val="20"/>
          <w:szCs w:val="20"/>
          <w:color w:val="auto"/>
        </w:rPr>
      </w:pPr>
    </w:p>
    <w:p>
      <w:pPr>
        <w:ind w:right="26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The Company bases the risk-free interest rate assumption for equity awards on the rates for U.S. Treasury securities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maturities similar to those of the expected term of the award being valued.</w:t>
      </w:r>
    </w:p>
    <w:p>
      <w:pPr>
        <w:spacing w:after="0" w:line="5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Due to the limited trading history of the Company’s Class A common stock, the expected volatility assumption is based on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volatility of a peer group of similar companies whose share prices are publicly available as well as the historical volatility of the Company's daily stock prices. The Company will continue to apply this process until a sufficient amount of historical information regarding the volatility of the Company’s own stock price becomes available.</w:t>
      </w:r>
    </w:p>
    <w:p>
      <w:pPr>
        <w:spacing w:after="0" w:line="72"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Given the insufficient historical data relating to NQSO exercises, the expected term assumption is based on the simplified method,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uses the midpoint of the weighted-average vesting period and the contractual term. The Company will continue to apply this process until a sufficient amount of historical information regarding the Company’s NQSO exercises becomes available.</w:t>
      </w:r>
    </w:p>
    <w:p>
      <w:pPr>
        <w:spacing w:after="0" w:line="65" w:lineRule="exact"/>
        <w:rPr>
          <w:sz w:val="20"/>
          <w:szCs w:val="20"/>
          <w:color w:val="auto"/>
        </w:rPr>
      </w:pPr>
    </w:p>
    <w:p>
      <w:pPr>
        <w:ind w:right="1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The Company’s expected dividend yield assumption is zero as it has never paid dividends and has no present intention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 so in the future.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2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On April 23, 2024, the Company's board approved a stock repurchase program with authorization to purchase up to $50 million in shares of the Company's Class A common stock or Class B units of Viant Technology LLC. On May 5, 2025, the Company's board authorized an increase to the stock repurchase program, enabling the Company to repurchase up to an additional $50 million of the Company's Class A common stock or Class B units of Viant Technology LLC. As of December 31, 2025, $40.4 million remained available under the stock repurchase program.</w:t>
      </w:r>
    </w:p>
    <w:p>
      <w:pPr>
        <w:spacing w:after="0" w:line="7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Company may make repurchases under the program, from time to time, through open market purchases, block trades, in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spacing w:after="0" w:line="80" w:lineRule="exact"/>
        <w:rPr>
          <w:sz w:val="20"/>
          <w:szCs w:val="20"/>
          <w:color w:val="auto"/>
        </w:rPr>
      </w:pPr>
    </w:p>
    <w:p>
      <w:pPr>
        <w:ind w:right="840" w:firstLine="486"/>
        <w:spacing w:after="0" w:line="282" w:lineRule="auto"/>
        <w:rPr>
          <w:sz w:val="20"/>
          <w:szCs w:val="20"/>
          <w:color w:val="auto"/>
        </w:rPr>
      </w:pPr>
      <w:r>
        <w:rPr>
          <w:rFonts w:ascii="Times New Roman" w:cs="Times New Roman" w:eastAsia="Times New Roman" w:hAnsi="Times New Roman"/>
          <w:sz w:val="18"/>
          <w:szCs w:val="18"/>
          <w:color w:val="auto"/>
        </w:rPr>
        <w:t>Shares of Class A common stock and Class B units repurchased by the Company under the stock repurchase program were as follows (in thousands):</w:t>
      </w:r>
    </w:p>
    <w:p>
      <w:pPr>
        <w:spacing w:after="0" w:line="90" w:lineRule="exact"/>
        <w:rPr>
          <w:sz w:val="20"/>
          <w:szCs w:val="20"/>
          <w:color w:val="auto"/>
        </w:rPr>
      </w:pPr>
    </w:p>
    <w:tbl>
      <w:tblPr>
        <w:tblLayout w:type="fixed"/>
        <w:tblInd w:w="740" w:type="dxa"/>
        <w:tblCellMar>
          <w:top w:w="0" w:type="dxa"/>
          <w:left w:w="0" w:type="dxa"/>
          <w:bottom w:w="0" w:type="dxa"/>
          <w:right w:w="0" w:type="dxa"/>
        </w:tblCellMar>
      </w:tblPr>
      <w:tr>
        <w:trPr>
          <w:trHeight w:val="238"/>
        </w:trPr>
        <w:tc>
          <w:tcPr>
            <w:tcW w:w="7240" w:type="dxa"/>
            <w:vAlign w:val="bottom"/>
          </w:tcPr>
          <w:p>
            <w:pPr>
              <w:spacing w:after="0"/>
              <w:rPr>
                <w:sz w:val="20"/>
                <w:szCs w:val="20"/>
                <w:color w:val="auto"/>
              </w:rPr>
            </w:pPr>
          </w:p>
        </w:tc>
        <w:tc>
          <w:tcPr>
            <w:tcW w:w="30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23"/>
        </w:trPr>
        <w:tc>
          <w:tcPr>
            <w:tcW w:w="7240" w:type="dxa"/>
            <w:vAlign w:val="bottom"/>
          </w:tcPr>
          <w:p>
            <w:pPr>
              <w:spacing w:after="0"/>
              <w:rPr>
                <w:sz w:val="19"/>
                <w:szCs w:val="19"/>
                <w:color w:val="auto"/>
              </w:rPr>
            </w:pPr>
          </w:p>
        </w:tc>
        <w:tc>
          <w:tcPr>
            <w:tcW w:w="15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19"/>
                <w:szCs w:val="19"/>
                <w:color w:val="auto"/>
              </w:rPr>
            </w:pPr>
          </w:p>
        </w:tc>
        <w:tc>
          <w:tcPr>
            <w:tcW w:w="1260" w:type="dxa"/>
            <w:vAlign w:val="bottom"/>
          </w:tcPr>
          <w:p>
            <w:pPr>
              <w:jc w:val="right"/>
              <w:ind w:right="270"/>
              <w:spacing w:after="0" w:line="223"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3"/>
                <w:szCs w:val="23"/>
                <w:b w:val="1"/>
                <w:bCs w:val="1"/>
                <w:color w:val="auto"/>
                <w:vertAlign w:val="superscript"/>
              </w:rPr>
              <w:t>(1)</w:t>
            </w:r>
          </w:p>
        </w:tc>
      </w:tr>
      <w:tr>
        <w:trPr>
          <w:trHeight w:val="223"/>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 repurchases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w:t>
            </w:r>
          </w:p>
        </w:tc>
      </w:tr>
      <w:tr>
        <w:trPr>
          <w:trHeight w:val="22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Class B unit repurchases</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repurchases</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37,945</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Amount includes costs associated with the repurchase such as commissions.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Upon vesting of shares under the LTIP, the Company will issue treasury stock. If treasury stock is not available, newly issued stock will be issued.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10. Income Taxes and Tax Receivable Agreement</w:t>
      </w:r>
    </w:p>
    <w:p>
      <w:pPr>
        <w:spacing w:after="0" w:line="113"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computed by applying the applicable U.S. statutory federal income tax rate of 21% to income (loss) before income taxes. The difference is due to Viant Technology LLC’s pass-through structure for U.S. income tax purposes in the current period and the valuation allowance applied against the deferred tax asset in prior-year periods. For the year ended December 31, 2025, the Company recognized income tax benefit of $(14.0) million primarily due to the release of the valuation allowance and recognition of our deferred tax assets, resulting in an effective tax rate of (137.7)%. For the year ended December 31, 2024, the Company recognized income tax expense of $0.2 million due to federal and state taxes payable, resulting in an effective tax rate of 2.0%. For the year ended December 31, 2023, the Company recognized an income tax expense of $0.2 million due to federal and state taxes payable, resulting in an effective tax rate of (1.5)%.</w:t>
      </w:r>
    </w:p>
    <w:p>
      <w:pPr>
        <w:spacing w:after="0" w:line="8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The Company is the sole managing member of Viant Technology LLC and, as a result, consolidates the financial results of Viant Technology LLC in the consolidated financial statements. Viant Technology LLC is a pass-through entity for U.S. federal and most applicable state and local income tax purposes following a corporate reorganization effected in connection with the IPO. As an entity classified as a partnership for tax purposes, Viant Technology LLC generally is not subject to U.S. federal and certain state and local income taxes. Any taxable income or loss generated by Viant Technology LLC is passed through to and included in the taxable income or loss of its members, including the Company. The Company is taxed as a corporation and pays corporate federal, state and local taxes with respect to income allocated from Viant Technology LLC, based on the Company's 27.8% economic interest in Viant Technology LLC.</w:t>
      </w:r>
    </w:p>
    <w:p>
      <w:pPr>
        <w:spacing w:after="0" w:line="81"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its IPO, the Company entered into a TRA with Viant Technology LLC, continuing members of Viant Technology LLC and the TRA Representative (as defined in the TRA) on February 9, 2021. The total current and long-term portion of the TRA liability as of December 31, 2025 was $0.2 million and $12.2 million, respectively. There was no current or long-term portion of the TRA liability as of December 31, 2024.</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pre-tax book income (loss) attributable to the Company was as follows:</w:t>
      </w:r>
    </w:p>
    <w:p>
      <w:pPr>
        <w:spacing w:after="0" w:line="262"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0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220" w:type="dxa"/>
            <w:vAlign w:val="bottom"/>
          </w:tcPr>
          <w:p>
            <w:pPr>
              <w:spacing w:after="0"/>
              <w:rPr>
                <w:sz w:val="18"/>
                <w:szCs w:val="18"/>
                <w:color w:val="auto"/>
              </w:rPr>
            </w:pPr>
          </w:p>
        </w:tc>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taxes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Domestic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Pr>
          <w:p>
            <w:pPr>
              <w:spacing w:after="0"/>
              <w:rPr>
                <w:sz w:val="19"/>
                <w:szCs w:val="19"/>
                <w:color w:val="auto"/>
              </w:rPr>
            </w:pPr>
          </w:p>
        </w:tc>
        <w:tc>
          <w:tcPr>
            <w:tcW w:w="60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income (loss) before taxes</w:t>
            </w: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10,131</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12,701</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provision for income taxes attributable to the Company was as follows: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624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600" w:type="dxa"/>
            <w:vAlign w:val="bottom"/>
            <w:tcBorders>
              <w:bottom w:val="single" w:sz="8" w:color="CCEEFF"/>
            </w:tcBorders>
          </w:tcPr>
          <w:p>
            <w:pPr>
              <w:spacing w:after="0"/>
              <w:rPr>
                <w:sz w:val="19"/>
                <w:szCs w:val="19"/>
                <w:color w:val="auto"/>
              </w:rPr>
            </w:pPr>
          </w:p>
        </w:tc>
        <w:tc>
          <w:tcPr>
            <w:tcW w:w="24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federal income tax</w:t>
            </w:r>
          </w:p>
        </w:tc>
        <w:tc>
          <w:tcPr>
            <w:tcW w:w="2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income tax</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6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provision</w:t>
            </w:r>
          </w:p>
        </w:tc>
        <w:tc>
          <w:tcPr>
            <w:tcW w:w="24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federal income tax</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and local income tax</w:t>
            </w:r>
          </w:p>
        </w:tc>
        <w:tc>
          <w:tcPr>
            <w:tcW w:w="2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income tax</w:t>
            </w:r>
          </w:p>
        </w:tc>
        <w:tc>
          <w:tcPr>
            <w:tcW w:w="24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deferred benefit</w:t>
            </w:r>
          </w:p>
        </w:tc>
        <w:tc>
          <w:tcPr>
            <w:tcW w:w="24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(14,685)</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80" w:type="dxa"/>
            <w:vAlign w:val="bottom"/>
          </w:tcPr>
          <w:p>
            <w:pPr>
              <w:spacing w:after="0"/>
              <w:rPr>
                <w:sz w:val="21"/>
                <w:szCs w:val="21"/>
                <w:color w:val="auto"/>
              </w:rPr>
            </w:pPr>
          </w:p>
        </w:tc>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2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6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2" w:name="page103"/>
    <w:bookmarkEnd w:id="102"/>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320"/>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statutory tax rate to the effective tax rate for the years presented are as follows: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36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100" w:type="dxa"/>
            <w:vAlign w:val="bottom"/>
            <w:tcBorders>
              <w:top w:val="single" w:sz="8" w:color="auto"/>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r>
      <w:tr>
        <w:trPr>
          <w:trHeight w:val="223"/>
        </w:trPr>
        <w:tc>
          <w:tcPr>
            <w:tcW w:w="3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155"/>
        </w:trPr>
        <w:tc>
          <w:tcPr>
            <w:tcW w:w="362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Income tax expense (benefit) at federal statutory</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r>
      <w:tr>
        <w:trPr>
          <w:trHeight w:val="24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176"/>
        </w:trPr>
        <w:tc>
          <w:tcPr>
            <w:tcW w:w="36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State tax expense (benefit) net of federal tax</w:t>
            </w: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3"/>
        </w:trPr>
        <w:tc>
          <w:tcPr>
            <w:tcW w:w="3620" w:type="dxa"/>
            <w:vAlign w:val="bottom"/>
          </w:tcPr>
          <w:p>
            <w:pPr>
              <w:spacing w:after="0" w:line="243" w:lineRule="exact"/>
              <w:rPr>
                <w:sz w:val="20"/>
                <w:szCs w:val="20"/>
                <w:color w:val="auto"/>
              </w:rPr>
            </w:pPr>
            <w:r>
              <w:rPr>
                <w:rFonts w:ascii="Times New Roman" w:cs="Times New Roman" w:eastAsia="Times New Roman" w:hAnsi="Times New Roman"/>
                <w:sz w:val="18"/>
                <w:szCs w:val="18"/>
                <w:color w:val="auto"/>
              </w:rPr>
              <w:t>expense (benefit)</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Executive compensation</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Meals and entertainment</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7.3 %</w:t>
            </w:r>
          </w:p>
        </w:tc>
      </w:tr>
      <w:tr>
        <w:trPr>
          <w:trHeight w:val="229"/>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2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Total tax provision (benefit) and effective tax rate</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(13,965)</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0" w:type="dxa"/>
            <w:vAlign w:val="bottom"/>
            <w:tcBorders>
              <w:top w:val="single" w:sz="8" w:color="auto"/>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
        </w:trPr>
        <w:tc>
          <w:tcPr>
            <w:tcW w:w="3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400" w:hanging="325"/>
        <w:spacing w:after="0" w:line="282" w:lineRule="auto"/>
        <w:tabs>
          <w:tab w:leader="none" w:pos="3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states that contribute to the majority (greater than 50%) of the tax effect in this category includes Texas and Tennessee for the year ended December 31, 2025 and Texas for the years ended December 31, 2024 and 2023.</w:t>
      </w:r>
    </w:p>
    <w:p>
      <w:pPr>
        <w:spacing w:after="0" w:line="3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820" w:top="104" w:right="49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289"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amount of cash taxes paid by the Company are as follows:</w:t>
            </w: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1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9"/>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8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Texas</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Tennessee</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York</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Massachusetts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North Carolina</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Illinois</w:t>
            </w:r>
          </w:p>
        </w:tc>
        <w:tc>
          <w:tcPr>
            <w:tcW w:w="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Foreign</w:t>
            </w: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net of amount refunded</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activity related to the Company's valuation allowance are as follows:</w:t>
            </w: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98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88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w:t>
            </w: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Credited (charged) to expenses</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19"/>
                <w:szCs w:val="19"/>
                <w:color w:val="auto"/>
              </w:rPr>
            </w:pPr>
          </w:p>
        </w:tc>
        <w:tc>
          <w:tcPr>
            <w:tcW w:w="5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Ownership change</w:t>
            </w: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0" w:type="dxa"/>
            <w:vAlign w:val="bottom"/>
          </w:tcPr>
          <w:p>
            <w:pPr>
              <w:spacing w:after="0"/>
              <w:rPr>
                <w:sz w:val="20"/>
                <w:szCs w:val="20"/>
                <w:color w:val="auto"/>
              </w:rPr>
            </w:pPr>
          </w:p>
        </w:tc>
        <w:tc>
          <w:tcPr>
            <w:tcW w:w="58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0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 during the year</w:t>
            </w: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20" w:type="dxa"/>
            <w:vAlign w:val="bottom"/>
          </w:tcPr>
          <w:p>
            <w:pPr>
              <w:spacing w:after="0"/>
              <w:rPr>
                <w:sz w:val="19"/>
                <w:szCs w:val="19"/>
                <w:color w:val="auto"/>
              </w:rPr>
            </w:pPr>
          </w:p>
        </w:tc>
        <w:tc>
          <w:tcPr>
            <w:tcW w:w="4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a significant portion of the deferred tax assets and deferred tax liabilities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780" w:type="dxa"/>
            <w:vAlign w:val="bottom"/>
            <w:tcBorders>
              <w:bottom w:val="single" w:sz="8" w:color="CCEEFF"/>
            </w:tcBorders>
          </w:tcPr>
          <w:p>
            <w:pPr>
              <w:spacing w:after="0"/>
              <w:rPr>
                <w:sz w:val="19"/>
                <w:szCs w:val="19"/>
                <w:color w:val="auto"/>
              </w:rPr>
            </w:pPr>
          </w:p>
        </w:tc>
        <w:tc>
          <w:tcPr>
            <w:tcW w:w="368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0" w:type="dxa"/>
            <w:vAlign w:val="bottom"/>
          </w:tcPr>
          <w:p>
            <w:pPr>
              <w:spacing w:after="0"/>
              <w:rPr>
                <w:sz w:val="18"/>
                <w:szCs w:val="18"/>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tax benefit</w:t>
            </w:r>
          </w:p>
        </w:tc>
        <w:tc>
          <w:tcPr>
            <w:tcW w:w="39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Partnership</w:t>
            </w:r>
          </w:p>
        </w:tc>
        <w:tc>
          <w:tcPr>
            <w:tcW w:w="3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w:t>
            </w:r>
          </w:p>
        </w:tc>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6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Subtotal</w:t>
            </w:r>
          </w:p>
        </w:tc>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 w:type="dxa"/>
            <w:vAlign w:val="bottom"/>
          </w:tcPr>
          <w:p>
            <w:pPr>
              <w:spacing w:after="0"/>
              <w:rPr>
                <w:sz w:val="19"/>
                <w:szCs w:val="19"/>
                <w:color w:val="auto"/>
              </w:rPr>
            </w:pPr>
          </w:p>
        </w:tc>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(12,529)</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 w:type="dxa"/>
            <w:vAlign w:val="bottom"/>
          </w:tcPr>
          <w:p>
            <w:pPr>
              <w:spacing w:after="0"/>
              <w:rPr>
                <w:sz w:val="19"/>
                <w:szCs w:val="19"/>
                <w:color w:val="auto"/>
              </w:rPr>
            </w:pPr>
          </w:p>
        </w:tc>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3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 w:type="dxa"/>
            <w:vAlign w:val="bottom"/>
          </w:tcPr>
          <w:p>
            <w:pPr>
              <w:spacing w:after="0"/>
              <w:rPr>
                <w:sz w:val="19"/>
                <w:szCs w:val="19"/>
                <w:color w:val="auto"/>
              </w:rPr>
            </w:pP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(liabilities) assets</w:t>
            </w:r>
          </w:p>
        </w:tc>
        <w:tc>
          <w:tcPr>
            <w:tcW w:w="36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17,524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8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3680" w:type="dxa"/>
            <w:vAlign w:val="bottom"/>
            <w:vMerge w:val="restart"/>
          </w:tcPr>
          <w:p>
            <w:pPr>
              <w:jc w:val="right"/>
              <w:ind w:right="209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36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4" w:name="page105"/>
    <w:bookmarkEnd w:id="10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 assessing the realizability of deferred tax assets, the Company considers whether it is probable that some or all of the deferred tax assets will not be realized. In determining whether the deferred taxes are realizable, the Company considers the weight of all available evidence, both positive and negative, including the four future sources of taxable income, period of expiration of the tax attributes, and historical pre-tax book income in recent years. Valuation allowances are provided to reduce the amounts of deferred tax assets to an amount that is more likely than not to be realized. As of December 31, 2025, the Company released its valuation allowance after concluding, based on the weight of all available evidence, that it is more likely than not that all of the deferred tax assets will be realized in the future. As of December 31, 2024, the Company had recorded a valuation allowance against its deferred tax assets of $12.5 million as management determined it was not more likely than not that the deferred tax assets were going to be realized.</w:t>
      </w:r>
    </w:p>
    <w:p>
      <w:pPr>
        <w:spacing w:after="0" w:line="8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As of December 31, 2025 and 2024, the Company had federal net operating loss carryforwards of approximately $8.8 million and $5.4 million, respectively. As of December 31, 2025 and 2024, the Company has state net operating loss carryforwards of approximately $4.4 million and $3.6 million, respectively. The federal net operating losses carry forward indefinitely and state net operating losses begin to expire in 2032. As of December 31, 2025, the Company had federal and state research and development tax credits of approximately $1.5 million and $1.3 million, respectively. The federal credits will begin to expire in 2044 and the state credits carry forward until exhausted.</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total gross unrecognized tax benefits is as follows:</w:t>
      </w:r>
    </w:p>
    <w:p>
      <w:pPr>
        <w:spacing w:after="0" w:line="154" w:lineRule="exact"/>
        <w:rPr>
          <w:sz w:val="20"/>
          <w:szCs w:val="20"/>
          <w:color w:val="auto"/>
        </w:rPr>
      </w:pPr>
    </w:p>
    <w:tbl>
      <w:tblPr>
        <w:tblLayout w:type="fixed"/>
        <w:tblInd w:w="720" w:type="dxa"/>
        <w:tblCellMar>
          <w:top w:w="0" w:type="dxa"/>
          <w:left w:w="0" w:type="dxa"/>
          <w:bottom w:w="0" w:type="dxa"/>
          <w:right w:w="0" w:type="dxa"/>
        </w:tblCellMar>
      </w:tblPr>
      <w:tr>
        <w:trPr>
          <w:trHeight w:val="238"/>
        </w:trPr>
        <w:tc>
          <w:tcPr>
            <w:tcW w:w="7460" w:type="dxa"/>
            <w:vAlign w:val="bottom"/>
          </w:tcPr>
          <w:p>
            <w:pPr>
              <w:spacing w:after="0"/>
              <w:rPr>
                <w:sz w:val="20"/>
                <w:szCs w:val="20"/>
                <w:color w:val="auto"/>
              </w:rPr>
            </w:pPr>
          </w:p>
        </w:tc>
        <w:tc>
          <w:tcPr>
            <w:tcW w:w="24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20" w:type="dxa"/>
            <w:vAlign w:val="bottom"/>
            <w:tcBorders>
              <w:bottom w:val="single" w:sz="8" w:color="auto"/>
            </w:tcBorders>
          </w:tcPr>
          <w:p>
            <w:pPr>
              <w:spacing w:after="0"/>
              <w:rPr>
                <w:sz w:val="20"/>
                <w:szCs w:val="20"/>
                <w:color w:val="auto"/>
              </w:rPr>
            </w:pPr>
          </w:p>
        </w:tc>
      </w:tr>
      <w:tr>
        <w:trPr>
          <w:trHeight w:val="223"/>
        </w:trPr>
        <w:tc>
          <w:tcPr>
            <w:tcW w:w="746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of unrecognized tax benefits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 based on tax positions related to current year</w:t>
            </w:r>
          </w:p>
        </w:tc>
        <w:tc>
          <w:tcPr>
            <w:tcW w:w="9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increase based on tax positions related to prior years</w:t>
            </w: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of unrecognized tax benefits</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
        </w:trPr>
        <w:tc>
          <w:tcPr>
            <w:tcW w:w="7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The Company's U.S. federal tax returns are open to examination for all periods ending December 31, 2022 and thereafter, and the Company's state income tax returns are open to examination for all periods ending December 31, 2021 and thereafter. However, to the extent allowed by law the tax authorities may have the right to examine prior periods where net operating losses were generated and carried forward and make adjustments up to the amount of the net operating loss or credit carry forward amount. The Company did not recognize any interest or penalties related to unrecognized tax benefits for the years ending December 31, 2025, 2024, and 2023.</w:t>
      </w:r>
    </w:p>
    <w:p>
      <w:pPr>
        <w:spacing w:after="0" w:line="75"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which enacts significant changes to U.S. tax and related laws. Some of the provisions of the new tax law affecting corporations include, but are not limited to, expensing of domestic specified research or experimental expenditures and 100% bonus depreciation on eligible property acquired after January 19, 2025. For the year ending December 31, 2025, the most impactful component of the OBBBA was the immediate expense of domestic specified research or experimental expenditures. We will continue to apply OBBBA tax law changes as required or elected in future years.</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11. Earnings (Loss) Per Share</w:t>
      </w:r>
    </w:p>
    <w:p>
      <w:pPr>
        <w:spacing w:after="0" w:line="113"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2024 and 2023, basic net earnings (loss) per share has been calculated by dividing net income (loss) attributable to Class A common stockholders by the weighted average number of shares of Class A common stock outstanding for the same period. Shares of Class A common stock are weighted for the portion of the period in which the shares were outstanding. Diluted earnings (loss) per share has been calculated in a manner consistent with that of basic net earnings (loss) per share while considering all potentially dilutive shares of Class A common stock outstanding during the period.</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05" w:name="page106"/>
    <w:bookmarkEnd w:id="10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1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calculation of basic and diluted net earnings (loss) per share for the periods presented. Refer to Note 2—Basis of Presentation and Summary of Significant Accounting Policies for additional information related to basic and diluted earnings (loss) per share.</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12,452</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(9,943)</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Inc.—basic</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000" w:type="dxa"/>
            <w:vAlign w:val="bottom"/>
            <w:shd w:val="clear" w:color="auto" w:fill="CCEEFF"/>
          </w:tcPr>
          <w:p>
            <w:pPr>
              <w:ind w:left="180"/>
              <w:spacing w:after="0" w:line="142" w:lineRule="exact"/>
              <w:rPr>
                <w:sz w:val="20"/>
                <w:szCs w:val="20"/>
                <w:color w:val="auto"/>
              </w:rPr>
            </w:pPr>
            <w:r>
              <w:rPr>
                <w:rFonts w:ascii="Times New Roman" w:cs="Times New Roman" w:eastAsia="Times New Roman" w:hAnsi="Times New Roman"/>
                <w:sz w:val="16"/>
                <w:szCs w:val="16"/>
                <w:color w:val="auto"/>
              </w:rPr>
              <w:t>Add back: Reallocation of net income (loss) attributable to noncontrolling</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600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interest from the assumed exchange of dilutive securities for Class A common</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60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Income tax benefit (expense) from the assumed exchange of dilutive securities</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 Class A common stock</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 back: Net income (loss) attributable to noncontrolling interests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Inc.—diluted</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24,096</w:t>
            </w: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outstanding—basic</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outstanding—diluted</w:t>
            </w: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15,224</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6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60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60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 Class A common</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stock—diluted:</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NQSOs</w:t>
            </w:r>
          </w:p>
        </w:tc>
        <w:tc>
          <w:tcPr>
            <w:tcW w:w="32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47,032</w:t>
            </w:r>
          </w:p>
        </w:tc>
        <w:tc>
          <w:tcPr>
            <w:tcW w:w="0" w:type="dxa"/>
            <w:vAlign w:val="bottom"/>
          </w:tcPr>
          <w:p>
            <w:pPr>
              <w:spacing w:after="0"/>
              <w:rPr>
                <w:sz w:val="1"/>
                <w:szCs w:val="1"/>
                <w:color w:val="auto"/>
              </w:rPr>
            </w:pPr>
          </w:p>
        </w:tc>
      </w:tr>
      <w:tr>
        <w:trPr>
          <w:trHeight w:val="155"/>
        </w:trPr>
        <w:tc>
          <w:tcPr>
            <w:tcW w:w="600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shares excluded from earnings (loss) per share of Class A common stock—</w:t>
            </w:r>
          </w:p>
        </w:tc>
        <w:tc>
          <w:tcPr>
            <w:tcW w:w="320" w:type="dxa"/>
            <w:vAlign w:val="bottom"/>
          </w:tcPr>
          <w:p>
            <w:pPr>
              <w:spacing w:after="0"/>
              <w:rPr>
                <w:sz w:val="13"/>
                <w:szCs w:val="13"/>
                <w:color w:val="auto"/>
              </w:rPr>
            </w:pPr>
          </w:p>
        </w:tc>
        <w:tc>
          <w:tcPr>
            <w:tcW w:w="1140" w:type="dxa"/>
            <w:vAlign w:val="bottom"/>
            <w:gridSpan w:val="2"/>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46,754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56,415</w:t>
            </w:r>
          </w:p>
        </w:tc>
        <w:tc>
          <w:tcPr>
            <w:tcW w:w="0" w:type="dxa"/>
            <w:vAlign w:val="bottom"/>
          </w:tcPr>
          <w:p>
            <w:pPr>
              <w:spacing w:after="0"/>
              <w:rPr>
                <w:sz w:val="1"/>
                <w:szCs w:val="1"/>
                <w:color w:val="auto"/>
              </w:rPr>
            </w:pPr>
          </w:p>
        </w:tc>
      </w:tr>
      <w:tr>
        <w:trPr>
          <w:trHeight w:val="216"/>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12. Noncontrolling Interests</w:t>
      </w:r>
    </w:p>
    <w:p>
      <w:pPr>
        <w:spacing w:after="0" w:line="11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The limited liability company agreement of Viant Technology LLC, as amended and restated, classifies the interests acquired by the Company as Class A units, and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Changes in the Company’s ownership interest in Viant Technology LLC while retaining control of Viant Technology LLC will be accounted for as equity transactions. As such, future redemptions or direct exchanges of Class B units in Viant Technology LLC by the other members and future issuances of Class A common stock under the LTIP will result in a change in ownership, where the Company will rebalance the noncontrolling interest, offset by a change in additional-paid-in-capital.</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106" w:name="page107"/>
    <w:bookmarkEnd w:id="106"/>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9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3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262" w:lineRule="exact"/>
        <w:rPr>
          <w:sz w:val="20"/>
          <w:szCs w:val="20"/>
          <w:color w:val="auto"/>
        </w:rPr>
      </w:pPr>
    </w:p>
    <w:tbl>
      <w:tblPr>
        <w:tblLayout w:type="fixed"/>
        <w:tblInd w:w="50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302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2900" w:type="dxa"/>
            <w:vAlign w:val="bottom"/>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0" w:type="dxa"/>
            <w:vAlign w:val="bottom"/>
          </w:tcPr>
          <w:p>
            <w:pPr>
              <w:spacing w:after="0"/>
              <w:rPr>
                <w:sz w:val="1"/>
                <w:szCs w:val="1"/>
                <w:color w:val="auto"/>
              </w:rPr>
            </w:pPr>
          </w:p>
        </w:tc>
      </w:tr>
      <w:tr>
        <w:trPr>
          <w:trHeight w:val="169"/>
        </w:trPr>
        <w:tc>
          <w:tcPr>
            <w:tcW w:w="4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4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100" w:type="dxa"/>
            <w:vAlign w:val="bottom"/>
          </w:tcPr>
          <w:p>
            <w:pPr>
              <w:spacing w:after="0"/>
              <w:rPr>
                <w:sz w:val="14"/>
                <w:szCs w:val="14"/>
                <w:color w:val="auto"/>
              </w:rPr>
            </w:pP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30"/>
              <w:spacing w:after="0" w:line="169"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43"/>
        </w:trPr>
        <w:tc>
          <w:tcPr>
            <w:tcW w:w="4340" w:type="dxa"/>
            <w:vAlign w:val="bottom"/>
            <w:vMerge w:val="continue"/>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5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20" w:type="dxa"/>
            <w:vAlign w:val="bottom"/>
            <w:gridSpan w:val="2"/>
            <w:vMerge w:val="continue"/>
          </w:tcPr>
          <w:p>
            <w:pPr>
              <w:spacing w:after="0"/>
              <w:rPr>
                <w:sz w:val="21"/>
                <w:szCs w:val="21"/>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3"/>
        </w:trPr>
        <w:tc>
          <w:tcPr>
            <w:tcW w:w="4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Viant Technology Inc.</w:t>
            </w:r>
          </w:p>
        </w:tc>
        <w:tc>
          <w:tcPr>
            <w:tcW w:w="134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17,593,198</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0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8"/>
              </w:rPr>
              <w:t>16,368,452</w:t>
            </w:r>
          </w:p>
        </w:tc>
        <w:tc>
          <w:tcPr>
            <w:tcW w:w="10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25.9 %</w:t>
            </w:r>
          </w:p>
        </w:tc>
        <w:tc>
          <w:tcPr>
            <w:tcW w:w="0" w:type="dxa"/>
            <w:vAlign w:val="bottom"/>
          </w:tcPr>
          <w:p>
            <w:pPr>
              <w:spacing w:after="0"/>
              <w:rPr>
                <w:sz w:val="1"/>
                <w:szCs w:val="1"/>
                <w:color w:val="auto"/>
              </w:rPr>
            </w:pPr>
          </w:p>
        </w:tc>
      </w:tr>
      <w:tr>
        <w:trPr>
          <w:trHeight w:val="230"/>
        </w:trPr>
        <w:tc>
          <w:tcPr>
            <w:tcW w:w="43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45,717,216</w:t>
            </w:r>
          </w:p>
        </w:tc>
        <w:tc>
          <w:tcPr>
            <w:tcW w:w="1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72.2 %</w:t>
            </w:r>
          </w:p>
        </w:tc>
        <w:tc>
          <w:tcPr>
            <w:tcW w:w="100" w:type="dxa"/>
            <w:vAlign w:val="bottom"/>
            <w:tcBorders>
              <w:bottom w:val="single" w:sz="8" w:color="CFF0FC"/>
            </w:tcBorders>
          </w:tcPr>
          <w:p>
            <w:pPr>
              <w:spacing w:after="0"/>
              <w:rPr>
                <w:sz w:val="19"/>
                <w:szCs w:val="19"/>
                <w:color w:val="auto"/>
              </w:rPr>
            </w:pPr>
          </w:p>
        </w:tc>
        <w:tc>
          <w:tcPr>
            <w:tcW w:w="13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w w:val="98"/>
              </w:rPr>
              <w:t>46,753,841</w:t>
            </w:r>
          </w:p>
        </w:tc>
        <w:tc>
          <w:tcPr>
            <w:tcW w:w="100" w:type="dxa"/>
            <w:vAlign w:val="bottom"/>
            <w:tcBorders>
              <w:bottom w:val="single" w:sz="8" w:color="CFF0FC"/>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74.1 %</w:t>
            </w:r>
          </w:p>
        </w:tc>
        <w:tc>
          <w:tcPr>
            <w:tcW w:w="0" w:type="dxa"/>
            <w:vAlign w:val="bottom"/>
          </w:tcPr>
          <w:p>
            <w:pPr>
              <w:spacing w:after="0"/>
              <w:rPr>
                <w:sz w:val="1"/>
                <w:szCs w:val="1"/>
                <w:color w:val="auto"/>
              </w:rPr>
            </w:pPr>
          </w:p>
        </w:tc>
      </w:tr>
      <w:tr>
        <w:trPr>
          <w:trHeight w:val="248"/>
        </w:trPr>
        <w:tc>
          <w:tcPr>
            <w:tcW w:w="4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63,310,414</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8"/>
              </w:rPr>
              <w:t>63,122,293</w:t>
            </w:r>
          </w:p>
        </w:tc>
        <w:tc>
          <w:tcPr>
            <w:tcW w:w="100" w:type="dxa"/>
            <w:vAlign w:val="bottom"/>
            <w:tcBorders>
              <w:bottom w:val="single" w:sz="8" w:color="CFF0FC"/>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noncontrolling interests exchanged 1,036,625 Class B units of Viant Technology LLC for 1,036,625 shares of the Company’s Class A common stock, which also resulted in the cancellation of 1,036,625 shares of the Company’s Class B common stock that were previously held by noncontrolling interests with no additional consideration provided. During the year ended December 31, 2024, noncontrolling interests exchanged 278,419 Class B shares of Viant Technology LLC for 278,419 shares of the Company’s Class A common stock, which also resulted in the cancellation of 278,419 shares of the Company’s Class B common stock that were previously held by noncontrolling interests with no additional consideration provided.</w:t>
      </w:r>
    </w:p>
    <w:p>
      <w:pPr>
        <w:spacing w:after="0" w:line="7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years indicated:</w:t>
      </w:r>
    </w:p>
    <w:p>
      <w:pPr>
        <w:spacing w:after="0" w:line="198" w:lineRule="exact"/>
        <w:rPr>
          <w:sz w:val="20"/>
          <w:szCs w:val="20"/>
          <w:color w:val="auto"/>
        </w:rPr>
      </w:pPr>
    </w:p>
    <w:tbl>
      <w:tblPr>
        <w:tblLayout w:type="fixed"/>
        <w:tblInd w:w="480" w:type="dxa"/>
        <w:tblCellMar>
          <w:top w:w="0" w:type="dxa"/>
          <w:left w:w="0" w:type="dxa"/>
          <w:bottom w:w="0" w:type="dxa"/>
          <w:right w:w="0" w:type="dxa"/>
        </w:tblCellMar>
      </w:tblPr>
      <w:tr>
        <w:trPr>
          <w:trHeight w:val="238"/>
        </w:trPr>
        <w:tc>
          <w:tcPr>
            <w:tcW w:w="60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6"/>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w w:val="98"/>
              </w:rPr>
              <w:t>2,362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2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Increase (decrease) in the additional-paid-in-capital of Viant Technology Inc.</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resulting from ownership changes in Viant Technology LLC</w:t>
            </w: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29,316</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(4,014)</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0" w:type="dxa"/>
            <w:vAlign w:val="bottom"/>
          </w:tcPr>
          <w:p>
            <w:pPr>
              <w:spacing w:after="0"/>
              <w:rPr>
                <w:sz w:val="1"/>
                <w:szCs w:val="1"/>
                <w:color w:val="auto"/>
              </w:rPr>
            </w:pPr>
          </w:p>
        </w:tc>
      </w:tr>
      <w:tr>
        <w:trPr>
          <w:trHeight w:val="155"/>
        </w:trPr>
        <w:tc>
          <w:tcPr>
            <w:tcW w:w="602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Change from net income (loss) attributable to Viant Technology Inc. and transfers</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37,668</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center"/>
              <w:ind w:left="370"/>
              <w:spacing w:after="0"/>
              <w:rPr>
                <w:sz w:val="20"/>
                <w:szCs w:val="20"/>
                <w:color w:val="auto"/>
              </w:rPr>
            </w:pPr>
            <w:r>
              <w:rPr>
                <w:rFonts w:ascii="Times New Roman" w:cs="Times New Roman" w:eastAsia="Times New Roman" w:hAnsi="Times New Roman"/>
                <w:sz w:val="18"/>
                <w:szCs w:val="18"/>
                <w:color w:val="auto"/>
                <w:w w:val="98"/>
              </w:rPr>
              <w:t>(1,652)</w:t>
            </w:r>
          </w:p>
        </w:tc>
        <w:tc>
          <w:tcPr>
            <w:tcW w:w="10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(9,555)</w:t>
            </w:r>
          </w:p>
        </w:tc>
        <w:tc>
          <w:tcPr>
            <w:tcW w:w="0" w:type="dxa"/>
            <w:vAlign w:val="bottom"/>
          </w:tcPr>
          <w:p>
            <w:pPr>
              <w:spacing w:after="0"/>
              <w:rPr>
                <w:sz w:val="1"/>
                <w:szCs w:val="1"/>
                <w:color w:val="auto"/>
              </w:rPr>
            </w:pPr>
          </w:p>
        </w:tc>
      </w:tr>
      <w:tr>
        <w:trPr>
          <w:trHeight w:val="221"/>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noncontrolling interests</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13. Commitments and Contingencies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21"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As of December 31, 2025, we had non-cancelable operating lease commitments for office space that have been recorded as operating lease liabilities. Refer to Note 5—Leases for additional information regarding lease commitments.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 Commitments</w:t>
      </w:r>
    </w:p>
    <w:p>
      <w:pPr>
        <w:spacing w:after="0" w:line="121"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2025, we had non-cancelable contractual agreements primarily related to the hosting of our data storage processing, storage and other computing services. As of December 31, 2025, we estimate these obligations to be approximately $16.6 million in 2026, $12.1 million in 2027, and $3.0 million in 2028.</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The Company is not aware of indemnification claims that could have a material effect on the Company’s consolidated financial statements. Accordingly, no amounts for any obligation have been recorded as of December 31, 2025 and 2024.</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4" w:right="439" w:bottom="1440" w:gutter="0" w:footer="0" w:header="0"/>
        </w:sectPr>
      </w:pPr>
    </w:p>
    <w:bookmarkStart w:id="107" w:name="page108"/>
    <w:bookmarkEnd w:id="10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jc w:val="center"/>
        <w:ind w:right="-39"/>
        <w:spacing w:after="0"/>
        <w:rPr>
          <w:sz w:val="20"/>
          <w:szCs w:val="20"/>
          <w:color w:val="auto"/>
        </w:rPr>
      </w:pPr>
      <w:r>
        <w:rPr>
          <w:rFonts w:ascii="Times New Roman" w:cs="Times New Roman" w:eastAsia="Times New Roman" w:hAnsi="Times New Roman"/>
          <w:sz w:val="18"/>
          <w:szCs w:val="18"/>
          <w:color w:val="auto"/>
        </w:rPr>
        <w:t>(tabular dollars in thousands, except for per share data)</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14. Related Parties</w:t>
      </w:r>
    </w:p>
    <w:p>
      <w:pPr>
        <w:spacing w:after="0" w:line="113"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had a balance of $0.2 million as of December 31, 2025 and $0.3 million as of December 31, 2024, payable to related parties for expenses they incurred on our behalf, which was recorded within accrued liabilities on the consolidated balance sheets. The related expense incurred by the Company was $1.9 million for the year ended December 31, 2025, and $1.1 million for the year ended December 31, 2024.</w:t>
      </w:r>
    </w:p>
    <w:p>
      <w:pPr>
        <w:spacing w:after="0" w:line="68" w:lineRule="exact"/>
        <w:rPr>
          <w:sz w:val="20"/>
          <w:szCs w:val="20"/>
          <w:color w:val="auto"/>
        </w:rPr>
      </w:pPr>
    </w:p>
    <w:p>
      <w:pPr>
        <w:ind w:right="560"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no revenue from its transactions with related parties during the years ended December 31, 2025, 2024 and 2023. The Company recorded no purchases from related parties during the years ended December 31, 2025, 2024 and 2023.</w:t>
      </w:r>
    </w:p>
    <w:p>
      <w:pPr>
        <w:spacing w:after="0" w:line="5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2025 and 2024, no amounts were due to or due from related parties, other than those mentioned above.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 w:right="3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Annual Report. Based on such evaluation, our chief executive officer and chief financial officer have concluded that as of December 31, 2025,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We maintain internal control over financial reporting designed to provide reasonable assurance regarding the reliability of financial reporting and the preparation of financial statements for external purposes in accordance with GAAP.</w:t>
      </w:r>
    </w:p>
    <w:p>
      <w:pPr>
        <w:spacing w:after="0" w:line="68"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Internal control over financial reporting includes maintaining records that, in reasonable detail, accurately and fairly reflect our transactions and dispositions of assets; providing reasonable assurance that transactions are recorded as necessary for the preparation of consolidated financial statements in accordance with accounting principles generally accepted in the United States of America; providing reasonable assurance that receipts and expenditures of Company assets are made in accordance with authorizations of management and our board of directors; and providing reasonable assurance that unauthorized acquisition, use or disposition of Company assets that could have a material effect on the consolidated financial statements would be prevented or detected on a timely basis. Because of its inherent limitations, internal control over financial reporting is not intended to provide absolute assurance that a misstatement of our consolidated financial statements would be prevented or detected.</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chief executive officer and chief financial officer, our management conducted an evaluation of the effectiveness of our internal control over financial reporting based on the criteria set forth in “Internal Control—Integrated Framework” issued by the Committee of Sponsoring Organizations of the Treadway Commission (2013 framework). Based on this assessment, our management concluded that our internal control over financial reporting was effective as of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registered public accounting firm regarding internal control over financial reporting due to an exemption established by the JOBS Act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three months ended December 31, 2025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ectPr>
          <w:pgSz w:w="11900" w:h="16838" w:orient="portrait"/>
          <w:cols w:equalWidth="0" w:num="1">
            <w:col w:w="11220"/>
          </w:cols>
          <w:pgMar w:left="320" w:top="1224" w:right="3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740" w:hanging="246"/>
        <w:spacing w:after="0"/>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7" w:lineRule="exact"/>
        <w:rPr>
          <w:rFonts w:ascii="Times New Roman" w:cs="Times New Roman" w:eastAsia="Times New Roman" w:hAnsi="Times New Roman"/>
          <w:sz w:val="18"/>
          <w:szCs w:val="18"/>
          <w:color w:val="auto"/>
        </w:rPr>
      </w:pPr>
    </w:p>
    <w:p>
      <w:pPr>
        <w:ind w:firstLine="494"/>
        <w:spacing w:after="0" w:line="258" w:lineRule="auto"/>
        <w:tabs>
          <w:tab w:leader="none" w:pos="74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15, 2025, Larry Madden, our Chief Financial Officer, entered into a Rule 10b5-1 trading arrangement intended to satisfy the affirmative defense conditions of Rule 10b5-1(c) for the sale of up to 200,000 shares of the Company’s Class A common stock through August 31, 2026. During the three months ended December 31, 2025, no other director or "officer" (as defined in Rule 16a-1(f) of the Exchange Act) of the Company adopted or terminated a “Rule 10b5-1 trading arrangement” or “non-Rule 10b5-1 trading arrangement,” as each term is defined in Item 408(a) of Regulation S-K.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24" w:right="559" w:bottom="1440" w:gutter="0" w:footer="0" w:header="0"/>
        </w:sectPr>
      </w:pPr>
    </w:p>
    <w:bookmarkStart w:id="110" w:name="page111"/>
    <w:bookmarkEnd w:id="1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5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(our “Code of Conduct”) that applies to all officers, directors and employees, including our principal executive officer, principal financial officer, principal accounting officer or controller, or persons performing similar functions. The Code of Conduct is available on our website at www.viantinc.com. We intend to satisfy the disclosure requirement under Item 5.05 of Form 8-K regarding amendments to, or waiver from, a provision of our Code of Conduct, as well as Nasdaq’s requirement to disclose waivers with respect to directors and executive officers, by posting such information on our website at the address specified above. The information contained on our website is not incorporated by reference into this Annual Report on Form 10-K.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definitive Proxy Statement for our 2026 Annual Meeting of Stockholders, which will be filed with the SEC no later than 120 days after December 31, 2025.</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980" w:hanging="486"/>
        <w:spacing w:after="0"/>
        <w:tabs>
          <w:tab w:leader="none" w:pos="9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w:t>
      </w:r>
    </w:p>
    <w:p>
      <w:pPr>
        <w:spacing w:after="0" w:line="11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11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Index to Consolidated Financial Statements at Part II, Item 8 of this Annual Report.</w:t>
      </w:r>
    </w:p>
    <w:p>
      <w:pPr>
        <w:spacing w:after="0" w:line="117"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7" w:lineRule="exact"/>
        <w:rPr>
          <w:rFonts w:ascii="Times New Roman" w:cs="Times New Roman" w:eastAsia="Times New Roman" w:hAnsi="Times New Roman"/>
          <w:sz w:val="18"/>
          <w:szCs w:val="18"/>
          <w:color w:val="auto"/>
        </w:rPr>
      </w:pPr>
    </w:p>
    <w:p>
      <w:pPr>
        <w:ind w:left="1620" w:right="6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 schedules are omitted as they are either not applicable or the information required is presented in the financial statements and notes thereto under Part II, Item 8 of this Annual Report.</w:t>
      </w:r>
    </w:p>
    <w:p>
      <w:pPr>
        <w:spacing w:after="0" w:line="53"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ind w:left="260"/>
              <w:spacing w:after="0"/>
              <w:rPr>
                <w:sz w:val="20"/>
                <w:szCs w:val="20"/>
                <w:color w:val="auto"/>
              </w:rPr>
            </w:pPr>
            <w:r>
              <w:rPr>
                <w:rFonts w:ascii="Times New Roman" w:cs="Times New Roman" w:eastAsia="Times New Roman" w:hAnsi="Times New Roman"/>
                <w:sz w:val="18"/>
                <w:szCs w:val="18"/>
                <w:color w:val="auto"/>
                <w:w w:val="99"/>
              </w:rPr>
              <w:t>The documents listed in the following Exhibit Index of this Annual Report are incorporated by reference or are filed with this Annual</w:t>
            </w:r>
          </w:p>
        </w:tc>
        <w:tc>
          <w:tcPr>
            <w:tcW w:w="0" w:type="dxa"/>
            <w:vAlign w:val="bottom"/>
          </w:tcPr>
          <w:p>
            <w:pPr>
              <w:spacing w:after="0"/>
              <w:rPr>
                <w:sz w:val="1"/>
                <w:szCs w:val="1"/>
                <w:color w:val="auto"/>
              </w:rPr>
            </w:pPr>
          </w:p>
        </w:tc>
      </w:tr>
      <w:tr>
        <w:trPr>
          <w:trHeight w:val="234"/>
        </w:trPr>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20" w:type="dxa"/>
            <w:vAlign w:val="bottom"/>
          </w:tcPr>
          <w:p>
            <w:pPr>
              <w:spacing w:after="0"/>
              <w:rPr>
                <w:sz w:val="20"/>
                <w:szCs w:val="20"/>
                <w:color w:val="auto"/>
              </w:rPr>
            </w:pPr>
          </w:p>
        </w:tc>
        <w:tc>
          <w:tcPr>
            <w:tcW w:w="9880" w:type="dxa"/>
            <w:vAlign w:val="bottom"/>
            <w:gridSpan w:val="29"/>
          </w:tcPr>
          <w:p>
            <w:pPr>
              <w:ind w:left="260"/>
              <w:spacing w:after="0"/>
              <w:rPr>
                <w:sz w:val="20"/>
                <w:szCs w:val="20"/>
                <w:color w:val="auto"/>
              </w:rPr>
            </w:pPr>
            <w:r>
              <w:rPr>
                <w:rFonts w:ascii="Times New Roman" w:cs="Times New Roman" w:eastAsia="Times New Roman" w:hAnsi="Times New Roman"/>
                <w:sz w:val="18"/>
                <w:szCs w:val="18"/>
                <w:color w:val="auto"/>
              </w:rPr>
              <w:t>Report, in each case as indicated therein (numbered in accordance with Item 601 of Regulation S-K).</w:t>
            </w:r>
          </w:p>
        </w:tc>
        <w:tc>
          <w:tcPr>
            <w:tcW w:w="0" w:type="dxa"/>
            <w:vAlign w:val="bottom"/>
          </w:tcPr>
          <w:p>
            <w:pPr>
              <w:spacing w:after="0"/>
              <w:rPr>
                <w:sz w:val="1"/>
                <w:szCs w:val="1"/>
                <w:color w:val="auto"/>
              </w:rPr>
            </w:pPr>
          </w:p>
        </w:tc>
      </w:tr>
      <w:tr>
        <w:trPr>
          <w:trHeight w:val="216"/>
        </w:trPr>
        <w:tc>
          <w:tcPr>
            <w:tcW w:w="1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0"/>
        </w:trPr>
        <w:tc>
          <w:tcPr>
            <w:tcW w:w="13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60" w:type="dxa"/>
            <w:vAlign w:val="bottom"/>
            <w:gridSpan w:val="26"/>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2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7060" w:type="dxa"/>
            <w:vAlign w:val="bottom"/>
            <w:tcBorders>
              <w:bottom w:val="single" w:sz="8" w:color="auto"/>
            </w:tcBorders>
            <w:gridSpan w:val="26"/>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4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Amended and Restated Certificate of Incorporation of Viant Technology Inc. (incorporated by reference to Exhibit 3.1 to</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0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the Company’s Annual Report on Form 10-K (File No. 001-40015) for the year ended December 31, 2020, filed on March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0000FF"/>
            </w:tcBorders>
          </w:tcPr>
          <w:p>
            <w:pPr>
              <w:spacing w:after="0" w:line="169" w:lineRule="exact"/>
              <w:rPr>
                <w:rFonts w:ascii="Times New Roman" w:cs="Times New Roman" w:eastAsia="Times New Roman" w:hAnsi="Times New Roman"/>
                <w:sz w:val="18"/>
                <w:szCs w:val="18"/>
                <w:color w:val="0000FF"/>
                <w:w w:val="95"/>
              </w:rPr>
            </w:pPr>
            <w:hyperlink r:id="rId133">
              <w:r>
                <w:rPr>
                  <w:rFonts w:ascii="Times New Roman" w:cs="Times New Roman" w:eastAsia="Times New Roman" w:hAnsi="Times New Roman"/>
                  <w:sz w:val="18"/>
                  <w:szCs w:val="18"/>
                  <w:color w:val="0000FF"/>
                  <w:w w:val="95"/>
                </w:rPr>
                <w:t>23, 2021)</w:t>
              </w:r>
            </w:hyperlink>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Bylaws of Viant Technology Inc. (incorporated by reference to Exhibit 3.2 to the Company’s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Annual Report on Form 10-K (File No. 001-40015) for the year ended December 31, 2020, filed on March 23, 2021)</w:t>
              </w:r>
            </w:hyperlink>
          </w:p>
        </w:tc>
        <w:tc>
          <w:tcPr>
            <w:tcW w:w="20" w:type="dxa"/>
            <w:vAlign w:val="bottom"/>
            <w:tcBorders>
              <w:bottom w:val="single" w:sz="8" w:color="0000FF"/>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Description of Securities (incorporated by reference to Exhibit 4.1 to the Company’s Annual Report on Form 10-K (File</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No. 001-40015) for the year ended December 31, 2020, filed on March 23, 2021)</w:t>
              </w:r>
            </w:hyperlink>
          </w:p>
        </w:tc>
        <w:tc>
          <w:tcPr>
            <w:tcW w:w="2840" w:type="dxa"/>
            <w:vAlign w:val="bottom"/>
            <w:tcBorders>
              <w:top w:val="single" w:sz="8" w:color="0000FF"/>
            </w:tcBorders>
            <w:gridSpan w:val="10"/>
          </w:tcPr>
          <w:p>
            <w:pPr>
              <w:spacing w:after="0"/>
              <w:rPr>
                <w:sz w:val="13"/>
                <w:szCs w:val="13"/>
                <w:color w:val="auto"/>
              </w:rPr>
            </w:pPr>
          </w:p>
        </w:tc>
        <w:tc>
          <w:tcPr>
            <w:tcW w:w="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Second Amended and Restated Limited Liability Company Agreement of Viant Technology LLC, dated as of February 9,</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bottom w:val="single" w:sz="8" w:color="0000FF"/>
            </w:tcBorders>
            <w:gridSpan w:val="21"/>
          </w:tcPr>
          <w:p>
            <w:pPr>
              <w:spacing w:after="0" w:line="156"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2021 (incorporated by reference to Exhibit 10.1 to the Company’s Annual Report on Form 10-K (File No. 001-40015) for</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0" w:type="dxa"/>
            <w:vAlign w:val="bottom"/>
            <w:tcBorders>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the year ended December 31, 2020, filed on March 23, 2021)</w:t>
              </w:r>
            </w:hyperlink>
          </w:p>
        </w:tc>
        <w:tc>
          <w:tcPr>
            <w:tcW w:w="4380" w:type="dxa"/>
            <w:vAlign w:val="bottom"/>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6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37">
              <w:r>
                <w:rPr>
                  <w:rFonts w:ascii="Times New Roman" w:cs="Times New Roman" w:eastAsia="Times New Roman" w:hAnsi="Times New Roman"/>
                  <w:sz w:val="18"/>
                  <w:szCs w:val="18"/>
                  <w:color w:val="0000FF"/>
                  <w:w w:val="99"/>
                </w:rPr>
                <w:t>Amendment No. 1 to Second Amended and Restated Limited Liability Company Agreement of Viant Technology LLC,</w:t>
              </w:r>
            </w:hyperlink>
          </w:p>
        </w:tc>
        <w:tc>
          <w:tcPr>
            <w:tcW w:w="122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29"/>
          </w:tcPr>
          <w:p>
            <w:pPr>
              <w:spacing w:after="0" w:line="156"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dated as of February 12, 2021 (incorporated by reference to Exhibit 10.2 to the Company’s Annual Report on Form 10-K</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2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(File No. 001-40015) for the year ended December 31, 2020, filed on March 23, 2021)</w:t>
              </w:r>
            </w:hyperlink>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7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Tax Receivable Agreement, by and among Viant Technology Inc., Viant Technology LLC, each of the TRA Holders, and</w:t>
              </w:r>
            </w:hyperlink>
          </w:p>
        </w:tc>
        <w:tc>
          <w:tcPr>
            <w:tcW w:w="11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80" w:type="dxa"/>
            <w:vAlign w:val="bottom"/>
            <w:gridSpan w:val="29"/>
          </w:tcPr>
          <w:p>
            <w:pPr>
              <w:spacing w:after="0" w:line="156"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the TRA Representative, dated as of February 9, 2021 (incorporated by reference to Exhibit 10.3 to the Company’s Annual</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4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38">
              <w:r>
                <w:rPr>
                  <w:rFonts w:ascii="Times New Roman" w:cs="Times New Roman" w:eastAsia="Times New Roman" w:hAnsi="Times New Roman"/>
                  <w:sz w:val="18"/>
                  <w:szCs w:val="18"/>
                  <w:color w:val="0000FF"/>
                  <w:w w:val="99"/>
                </w:rPr>
                <w:t>Report on Form 10-K (File No. 001-40015) for the year ended December 31, 2020, filed on March 23, 2021)</w:t>
              </w:r>
            </w:hyperlink>
          </w:p>
        </w:tc>
        <w:tc>
          <w:tcPr>
            <w:tcW w:w="1020" w:type="dxa"/>
            <w:vAlign w:val="bottom"/>
            <w:tcBorders>
              <w:top w:val="single" w:sz="8" w:color="0000FF"/>
            </w:tcBorders>
            <w:gridSpan w:val="18"/>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Registration Rights Agreement, by and among Viant Technology Inc. and the parties thereto, dated as of February 9, 2021</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(incorporated by reference to Exhibit 10.4 to the Company’s Annual Report on Form 10-K (File No. 001-40015) for the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4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year ended December 31, 2020, filed on March 23, 2021)</w:t>
              </w:r>
            </w:hyperlink>
          </w:p>
        </w:tc>
        <w:tc>
          <w:tcPr>
            <w:tcW w:w="20" w:type="dxa"/>
            <w:vAlign w:val="bottom"/>
          </w:tcPr>
          <w:p>
            <w:pPr>
              <w:spacing w:after="0"/>
              <w:rPr>
                <w:sz w:val="14"/>
                <w:szCs w:val="14"/>
                <w:color w:val="auto"/>
              </w:rPr>
            </w:pPr>
          </w:p>
        </w:tc>
        <w:tc>
          <w:tcPr>
            <w:tcW w:w="2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Form of Indemnification Agreement by and between Viant Technology Inc. and each of its directors and executive officers</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(incorporated by reference to Exhibit 10.4 to the Company’s Registration Statement on Form S-1 (File No. 333-252117),</w:t>
              </w:r>
            </w:hyperlink>
          </w:p>
        </w:tc>
        <w:tc>
          <w:tcPr>
            <w:tcW w:w="80" w:type="dxa"/>
            <w:vAlign w:val="bottom"/>
            <w:gridSpan w:val="2"/>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filed on February 1, 2021)</w:t>
              </w:r>
            </w:hyperlink>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3"/>
          </w:tcPr>
          <w:p>
            <w:pPr>
              <w:spacing w:after="0"/>
              <w:rPr>
                <w:sz w:val="14"/>
                <w:szCs w:val="14"/>
                <w:color w:val="auto"/>
              </w:rPr>
            </w:pPr>
          </w:p>
        </w:tc>
        <w:tc>
          <w:tcPr>
            <w:tcW w:w="9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3920" w:type="dxa"/>
            <w:vAlign w:val="bottom"/>
            <w:gridSpan w:val="5"/>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Revolving Credit and Security Agreement and Guaranty, dated as of October 31, 2019, by and among Viant Technology</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20" w:type="dxa"/>
            <w:vAlign w:val="bottom"/>
            <w:tcBorders>
              <w:top w:val="single" w:sz="8" w:color="0000FF"/>
              <w:bottom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LLC, Viant US LLC, Adelphic LLC, Myspace LLC and each additional Borrower from time to time party thereto, PNC</w:t>
              </w:r>
            </w:hyperlink>
          </w:p>
        </w:tc>
        <w:tc>
          <w:tcPr>
            <w:tcW w:w="40" w:type="dxa"/>
            <w:vAlign w:val="bottom"/>
            <w:tcBorders>
              <w:top w:val="single" w:sz="8" w:color="0000FF"/>
            </w:tcBorders>
            <w:gridSpan w:val="2"/>
          </w:tcPr>
          <w:p>
            <w:pPr>
              <w:spacing w:after="0"/>
              <w:rPr>
                <w:sz w:val="13"/>
                <w:szCs w:val="13"/>
                <w:color w:val="auto"/>
              </w:rPr>
            </w:pPr>
          </w:p>
        </w:tc>
        <w:tc>
          <w:tcPr>
            <w:tcW w:w="2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3"/>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gridSpan w:val="29"/>
          </w:tcPr>
          <w:p>
            <w:pPr>
              <w:spacing w:after="0" w:line="169" w:lineRule="exact"/>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Bank, National Association, as Agent and each additional Lender from time to time party thereto (incorporated by reference</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8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41">
              <w:r>
                <w:rPr>
                  <w:rFonts w:ascii="Times New Roman" w:cs="Times New Roman" w:eastAsia="Times New Roman" w:hAnsi="Times New Roman"/>
                  <w:sz w:val="18"/>
                  <w:szCs w:val="18"/>
                  <w:color w:val="0000FF"/>
                  <w:w w:val="99"/>
                </w:rPr>
                <w:t>to Exhibit 10.5 to the Company’s Registration Statement on Form S-1 (File No. 333-252117), filed on February 1, 2021)</w:t>
              </w:r>
            </w:hyperlink>
          </w:p>
        </w:tc>
        <w:tc>
          <w:tcPr>
            <w:tcW w:w="240" w:type="dxa"/>
            <w:vAlign w:val="bottom"/>
            <w:tcBorders>
              <w:top w:val="single" w:sz="8" w:color="0000FF"/>
            </w:tcBorders>
            <w:gridSpan w:val="10"/>
          </w:tcPr>
          <w:p>
            <w:pPr>
              <w:spacing w:after="0"/>
              <w:rPr>
                <w:sz w:val="13"/>
                <w:szCs w:val="13"/>
                <w:color w:val="auto"/>
              </w:rPr>
            </w:pPr>
          </w:p>
        </w:tc>
        <w:tc>
          <w:tcPr>
            <w:tcW w:w="9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First Amendment to Revolving Credit and Security Agreement and Guaranty, dated as of April 13, 2020, by and among</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Viant Technology LLC, Viant US LLC, Adelphic LLC and Myspace LLC, as Borrowers, and PNC Bank, National</w:t>
              </w:r>
            </w:hyperlink>
          </w:p>
        </w:tc>
        <w:tc>
          <w:tcPr>
            <w:tcW w:w="360" w:type="dxa"/>
            <w:vAlign w:val="bottom"/>
            <w:tcBorders>
              <w:top w:val="single" w:sz="8" w:color="0000FF"/>
            </w:tcBorders>
            <w:gridSpan w:val="3"/>
          </w:tcPr>
          <w:p>
            <w:pPr>
              <w:spacing w:after="0"/>
              <w:rPr>
                <w:sz w:val="13"/>
                <w:szCs w:val="13"/>
                <w:color w:val="auto"/>
              </w:rPr>
            </w:pPr>
          </w:p>
        </w:tc>
        <w:tc>
          <w:tcPr>
            <w:tcW w:w="14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c>
          <w:tcPr>
            <w:tcW w:w="10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80" w:type="dxa"/>
            <w:vAlign w:val="bottom"/>
            <w:gridSpan w:val="29"/>
          </w:tcPr>
          <w:p>
            <w:pPr>
              <w:spacing w:after="0" w:line="169"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Association, as Agent and Lender (incorporated by reference to Exhibit 10.6 to the Company’s Registration Statement on</w:t>
              </w:r>
            </w:hyperlink>
          </w:p>
        </w:tc>
        <w:tc>
          <w:tcPr>
            <w:tcW w:w="0" w:type="dxa"/>
            <w:vAlign w:val="bottom"/>
          </w:tcPr>
          <w:p>
            <w:pPr>
              <w:spacing w:after="0"/>
              <w:rPr>
                <w:sz w:val="1"/>
                <w:szCs w:val="1"/>
                <w:color w:val="auto"/>
              </w:rPr>
            </w:pPr>
          </w:p>
        </w:tc>
      </w:tr>
      <w:tr>
        <w:trPr>
          <w:trHeight w:val="155"/>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Form S-1 (File No. 333-252117), filed on February 1, 2021)</w:t>
              </w:r>
            </w:hyperlink>
          </w:p>
        </w:tc>
        <w:tc>
          <w:tcPr>
            <w:tcW w:w="4420" w:type="dxa"/>
            <w:vAlign w:val="bottom"/>
            <w:tcBorders>
              <w:top w:val="single" w:sz="8" w:color="0000FF"/>
            </w:tcBorders>
            <w:gridSpan w:val="16"/>
          </w:tcPr>
          <w:p>
            <w:pPr>
              <w:spacing w:after="0"/>
              <w:rPr>
                <w:sz w:val="13"/>
                <w:szCs w:val="13"/>
                <w:color w:val="auto"/>
              </w:rPr>
            </w:pPr>
          </w:p>
        </w:tc>
        <w:tc>
          <w:tcPr>
            <w:tcW w:w="80" w:type="dxa"/>
            <w:vAlign w:val="bottom"/>
            <w:gridSpan w:val="4"/>
          </w:tcPr>
          <w:p>
            <w:pPr>
              <w:spacing w:after="0"/>
              <w:rPr>
                <w:sz w:val="13"/>
                <w:szCs w:val="13"/>
                <w:color w:val="auto"/>
              </w:rPr>
            </w:pPr>
          </w:p>
        </w:tc>
        <w:tc>
          <w:tcPr>
            <w:tcW w:w="10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80" w:type="dxa"/>
            <w:vAlign w:val="bottom"/>
            <w:gridSpan w:val="29"/>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Second Amendment to Revolving Credit and Security Agreement and Guaranty, dated as of April 30, 2020, by and among</w:t>
              </w:r>
            </w:hyperlink>
          </w:p>
        </w:tc>
        <w:tc>
          <w:tcPr>
            <w:tcW w:w="0" w:type="dxa"/>
            <w:vAlign w:val="bottom"/>
          </w:tcPr>
          <w:p>
            <w:pPr>
              <w:spacing w:after="0"/>
              <w:rPr>
                <w:sz w:val="1"/>
                <w:szCs w:val="1"/>
                <w:color w:val="auto"/>
              </w:rPr>
            </w:pPr>
          </w:p>
        </w:tc>
      </w:tr>
      <w:tr>
        <w:trPr>
          <w:trHeight w:val="156"/>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43">
              <w:r>
                <w:rPr>
                  <w:rFonts w:ascii="Times New Roman" w:cs="Times New Roman" w:eastAsia="Times New Roman" w:hAnsi="Times New Roman"/>
                  <w:sz w:val="18"/>
                  <w:szCs w:val="18"/>
                  <w:color w:val="0000FF"/>
                  <w:w w:val="99"/>
                </w:rPr>
                <w:t>Viant Technology LLC, Viant US LLC, Adelphic LLC and Myspace LLC, as Borrowers, and PNC Bank, National</w:t>
              </w:r>
            </w:hyperlink>
          </w:p>
        </w:tc>
        <w:tc>
          <w:tcPr>
            <w:tcW w:w="580" w:type="dxa"/>
            <w:vAlign w:val="bottom"/>
            <w:tcBorders>
              <w:top w:val="single" w:sz="8" w:color="0000FF"/>
            </w:tcBorders>
            <w:gridSpan w:val="15"/>
          </w:tcPr>
          <w:p>
            <w:pPr>
              <w:spacing w:after="0"/>
              <w:rPr>
                <w:sz w:val="13"/>
                <w:szCs w:val="13"/>
                <w:color w:val="auto"/>
              </w:rPr>
            </w:pPr>
          </w:p>
        </w:tc>
        <w:tc>
          <w:tcPr>
            <w:tcW w:w="106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bl>
    <w:p>
      <w:pPr>
        <w:ind w:left="1340" w:right="1160"/>
        <w:spacing w:after="0" w:line="226"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Association, as Agent and Lender (incorporated by reference to Exhibit 10.7 to the Company’s Registration Statement on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Form S-1 (File No. 333-252117), filed on February 1, 2021)</w:t>
        </w:r>
      </w:hyperlink>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Third Amendment to Revolving Credit and Security Agreement and Guaranty, dated as of May 29, 2020, by and among</w:t>
              </w:r>
            </w:hyperlink>
          </w:p>
        </w:tc>
      </w:tr>
      <w:tr>
        <w:trPr>
          <w:trHeight w:val="156"/>
        </w:trPr>
        <w:tc>
          <w:tcPr>
            <w:tcW w:w="1340" w:type="dxa"/>
            <w:vAlign w:val="bottom"/>
          </w:tcPr>
          <w:p>
            <w:pPr>
              <w:spacing w:after="0"/>
              <w:rPr>
                <w:sz w:val="13"/>
                <w:szCs w:val="13"/>
                <w:color w:val="auto"/>
              </w:rPr>
            </w:pPr>
          </w:p>
        </w:tc>
        <w:tc>
          <w:tcPr>
            <w:tcW w:w="8260" w:type="dxa"/>
            <w:vAlign w:val="bottom"/>
            <w:tcBorders>
              <w:top w:val="single" w:sz="8" w:color="0000FF"/>
              <w:bottom w:val="single" w:sz="8" w:color="0000FF"/>
            </w:tcBorders>
            <w:gridSpan w:val="19"/>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Viant Technology LLC, Viant US LLC, Adelphic LLC and Myspace LLC, as Borrowers, and PNC Bank, National</w:t>
              </w:r>
            </w:hyperlink>
          </w:p>
        </w:tc>
        <w:tc>
          <w:tcPr>
            <w:tcW w:w="40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9900" w:type="dxa"/>
            <w:vAlign w:val="bottom"/>
            <w:gridSpan w:val="46"/>
          </w:tcPr>
          <w:p>
            <w:pPr>
              <w:spacing w:after="0" w:line="169" w:lineRule="exact"/>
              <w:rPr>
                <w:rFonts w:ascii="Times New Roman" w:cs="Times New Roman" w:eastAsia="Times New Roman" w:hAnsi="Times New Roman"/>
                <w:sz w:val="18"/>
                <w:szCs w:val="18"/>
                <w:color w:val="0000FF"/>
              </w:rPr>
            </w:pPr>
            <w:hyperlink r:id="rId145">
              <w:r>
                <w:rPr>
                  <w:rFonts w:ascii="Times New Roman" w:cs="Times New Roman" w:eastAsia="Times New Roman" w:hAnsi="Times New Roman"/>
                  <w:sz w:val="18"/>
                  <w:szCs w:val="18"/>
                  <w:color w:val="0000FF"/>
                </w:rPr>
                <w:t>Association, as Agent and Lender (incorporated by reference to Exhibit 10.8 to the Company’s Registration Statement on</w:t>
              </w:r>
            </w:hyperlink>
          </w:p>
        </w:tc>
      </w:tr>
      <w:tr>
        <w:trPr>
          <w:trHeight w:val="156"/>
        </w:trPr>
        <w:tc>
          <w:tcPr>
            <w:tcW w:w="1340" w:type="dxa"/>
            <w:vAlign w:val="bottom"/>
          </w:tcPr>
          <w:p>
            <w:pPr>
              <w:spacing w:after="0"/>
              <w:rPr>
                <w:sz w:val="13"/>
                <w:szCs w:val="13"/>
                <w:color w:val="auto"/>
              </w:rPr>
            </w:pPr>
          </w:p>
        </w:tc>
        <w:tc>
          <w:tcPr>
            <w:tcW w:w="43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45">
              <w:r>
                <w:rPr>
                  <w:rFonts w:ascii="Times New Roman" w:cs="Times New Roman" w:eastAsia="Times New Roman" w:hAnsi="Times New Roman"/>
                  <w:sz w:val="18"/>
                  <w:szCs w:val="18"/>
                  <w:color w:val="0000FF"/>
                  <w:w w:val="99"/>
                </w:rPr>
                <w:t>Form S-1 (File No. 333-252117), filed on February 1, 2021)</w:t>
              </w:r>
            </w:hyperlink>
          </w:p>
        </w:tc>
        <w:tc>
          <w:tcPr>
            <w:tcW w:w="4400" w:type="dxa"/>
            <w:vAlign w:val="bottom"/>
            <w:tcBorders>
              <w:top w:val="single" w:sz="8" w:color="0000FF"/>
            </w:tcBorders>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Fourth Amendment to Revolving Credit and Security Agreement and Guaranty, dated as of January 29, 2021, by and</w:t>
              </w:r>
            </w:hyperlink>
          </w:p>
        </w:tc>
      </w:tr>
      <w:tr>
        <w:trPr>
          <w:trHeight w:val="156"/>
        </w:trPr>
        <w:tc>
          <w:tcPr>
            <w:tcW w:w="1340" w:type="dxa"/>
            <w:vAlign w:val="bottom"/>
          </w:tcPr>
          <w:p>
            <w:pPr>
              <w:spacing w:after="0"/>
              <w:rPr>
                <w:sz w:val="13"/>
                <w:szCs w:val="13"/>
                <w:color w:val="auto"/>
              </w:rPr>
            </w:pPr>
          </w:p>
        </w:tc>
        <w:tc>
          <w:tcPr>
            <w:tcW w:w="84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among Viant Technology LLC, Viant US LLC, Adelphic LLC, Myspace LLC and the Company, as Borrowers, and</w:t>
              </w:r>
            </w:hyperlink>
          </w:p>
        </w:tc>
        <w:tc>
          <w:tcPr>
            <w:tcW w:w="1480" w:type="dxa"/>
            <w:vAlign w:val="bottom"/>
            <w:gridSpan w:val="25"/>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PNC</w:t>
              </w:r>
            </w:hyperlink>
          </w:p>
        </w:tc>
      </w:tr>
      <w:tr>
        <w:trPr>
          <w:trHeight w:val="169"/>
        </w:trPr>
        <w:tc>
          <w:tcPr>
            <w:tcW w:w="1340" w:type="dxa"/>
            <w:vAlign w:val="bottom"/>
          </w:tcPr>
          <w:p>
            <w:pPr>
              <w:spacing w:after="0"/>
              <w:rPr>
                <w:sz w:val="14"/>
                <w:szCs w:val="14"/>
                <w:color w:val="auto"/>
              </w:rPr>
            </w:pPr>
          </w:p>
        </w:tc>
        <w:tc>
          <w:tcPr>
            <w:tcW w:w="8720" w:type="dxa"/>
            <w:vAlign w:val="bottom"/>
            <w:tcBorders>
              <w:top w:val="single" w:sz="8" w:color="0000FF"/>
              <w:bottom w:val="single" w:sz="8" w:color="0000FF"/>
            </w:tcBorders>
            <w:gridSpan w:val="29"/>
          </w:tcPr>
          <w:p>
            <w:pPr>
              <w:spacing w:after="0" w:line="169" w:lineRule="exact"/>
              <w:rPr>
                <w:rFonts w:ascii="Times New Roman" w:cs="Times New Roman" w:eastAsia="Times New Roman" w:hAnsi="Times New Roman"/>
                <w:sz w:val="18"/>
                <w:szCs w:val="18"/>
                <w:color w:val="0000FF"/>
                <w:w w:val="97"/>
              </w:rPr>
            </w:pPr>
            <w:hyperlink r:id="rId146">
              <w:r>
                <w:rPr>
                  <w:rFonts w:ascii="Times New Roman" w:cs="Times New Roman" w:eastAsia="Times New Roman" w:hAnsi="Times New Roman"/>
                  <w:sz w:val="18"/>
                  <w:szCs w:val="18"/>
                  <w:color w:val="0000FF"/>
                  <w:w w:val="97"/>
                </w:rPr>
                <w:t>Bank, National Association, as Agent and Lender (incorporated by reference to Exhibit 10.9 to the Company’s Registration</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6"/>
        </w:trPr>
        <w:tc>
          <w:tcPr>
            <w:tcW w:w="1340" w:type="dxa"/>
            <w:vAlign w:val="bottom"/>
          </w:tcPr>
          <w:p>
            <w:pPr>
              <w:spacing w:after="0"/>
              <w:rPr>
                <w:sz w:val="13"/>
                <w:szCs w:val="13"/>
                <w:color w:val="auto"/>
              </w:rPr>
            </w:pPr>
          </w:p>
        </w:tc>
        <w:tc>
          <w:tcPr>
            <w:tcW w:w="9000" w:type="dxa"/>
            <w:vAlign w:val="bottom"/>
            <w:gridSpan w:val="43"/>
          </w:tcPr>
          <w:p>
            <w:pPr>
              <w:spacing w:after="0" w:line="156" w:lineRule="exact"/>
              <w:rPr>
                <w:rFonts w:ascii="Times New Roman" w:cs="Times New Roman" w:eastAsia="Times New Roman" w:hAnsi="Times New Roman"/>
                <w:sz w:val="18"/>
                <w:szCs w:val="18"/>
                <w:color w:val="0000FF"/>
              </w:rPr>
            </w:pPr>
            <w:hyperlink r:id="rId146">
              <w:r>
                <w:rPr>
                  <w:rFonts w:ascii="Times New Roman" w:cs="Times New Roman" w:eastAsia="Times New Roman" w:hAnsi="Times New Roman"/>
                  <w:sz w:val="18"/>
                  <w:szCs w:val="18"/>
                  <w:color w:val="0000FF"/>
                </w:rPr>
                <w:t>Statement on Form S-1 (File No. 333-252117), filed on February 1,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Fifth Amendment to Revolving Credit and Security Agreement and Guaranty, dated as of October 15, 2021, by and among</w:t>
              </w:r>
            </w:hyperlink>
          </w:p>
        </w:tc>
      </w:tr>
      <w:tr>
        <w:trPr>
          <w:trHeight w:val="156"/>
        </w:trPr>
        <w:tc>
          <w:tcPr>
            <w:tcW w:w="1340" w:type="dxa"/>
            <w:vAlign w:val="bottom"/>
          </w:tcPr>
          <w:p>
            <w:pPr>
              <w:spacing w:after="0"/>
              <w:rPr>
                <w:sz w:val="13"/>
                <w:szCs w:val="13"/>
                <w:color w:val="auto"/>
              </w:rPr>
            </w:pPr>
          </w:p>
        </w:tc>
        <w:tc>
          <w:tcPr>
            <w:tcW w:w="86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Viant Technology LLC, Viant US LLC, Adelphic LLC, Myspace LLC and the Company, as Borrowers, and PNC Bank,</w:t>
              </w:r>
            </w:hyperlink>
          </w:p>
        </w:tc>
        <w:tc>
          <w:tcPr>
            <w:tcW w:w="2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9900" w:type="dxa"/>
            <w:vAlign w:val="bottom"/>
            <w:gridSpan w:val="46"/>
          </w:tcPr>
          <w:p>
            <w:pPr>
              <w:spacing w:after="0" w:line="169" w:lineRule="exact"/>
              <w:rPr>
                <w:rFonts w:ascii="Times New Roman" w:cs="Times New Roman" w:eastAsia="Times New Roman" w:hAnsi="Times New Roman"/>
                <w:sz w:val="18"/>
                <w:szCs w:val="18"/>
                <w:color w:val="0000FF"/>
              </w:rPr>
            </w:pPr>
            <w:hyperlink r:id="rId147">
              <w:r>
                <w:rPr>
                  <w:rFonts w:ascii="Times New Roman" w:cs="Times New Roman" w:eastAsia="Times New Roman" w:hAnsi="Times New Roman"/>
                  <w:sz w:val="18"/>
                  <w:szCs w:val="18"/>
                  <w:color w:val="0000FF"/>
                </w:rPr>
                <w:t>National Association, as Agent and Lender (incorporated by reference to Exhibit 10.1 to the Company’s Quarterly Report</w:t>
              </w:r>
            </w:hyperlink>
          </w:p>
        </w:tc>
      </w:tr>
      <w:tr>
        <w:trPr>
          <w:trHeight w:val="156"/>
        </w:trPr>
        <w:tc>
          <w:tcPr>
            <w:tcW w:w="1340" w:type="dxa"/>
            <w:vAlign w:val="bottom"/>
          </w:tcPr>
          <w:p>
            <w:pPr>
              <w:spacing w:after="0"/>
              <w:rPr>
                <w:sz w:val="13"/>
                <w:szCs w:val="13"/>
                <w:color w:val="auto"/>
              </w:rPr>
            </w:pPr>
          </w:p>
        </w:tc>
        <w:tc>
          <w:tcPr>
            <w:tcW w:w="784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9"/>
              </w:rPr>
            </w:pPr>
            <w:hyperlink r:id="rId147">
              <w:r>
                <w:rPr>
                  <w:rFonts w:ascii="Times New Roman" w:cs="Times New Roman" w:eastAsia="Times New Roman" w:hAnsi="Times New Roman"/>
                  <w:sz w:val="18"/>
                  <w:szCs w:val="18"/>
                  <w:color w:val="0000FF"/>
                  <w:w w:val="99"/>
                </w:rPr>
                <w:t>on Form 10-Q (File No. 001-40015) for the quarter ended September 30, 2021, filed on November 10, 2021)</w:t>
              </w:r>
            </w:hyperlink>
          </w:p>
        </w:tc>
        <w:tc>
          <w:tcPr>
            <w:tcW w:w="92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876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Sixth Amendment to the Revolving Credit and Security Agreement and Guaranty, dated as of April 4, 2023, among Viant</w:t>
              </w:r>
            </w:hyperlink>
          </w:p>
        </w:tc>
        <w:tc>
          <w:tcPr>
            <w:tcW w:w="1140" w:type="dxa"/>
            <w:vAlign w:val="bottom"/>
            <w:gridSpan w:val="15"/>
          </w:tcPr>
          <w:p>
            <w:pPr>
              <w:spacing w:after="0"/>
              <w:rPr>
                <w:sz w:val="18"/>
                <w:szCs w:val="18"/>
                <w:color w:val="auto"/>
              </w:rPr>
            </w:pPr>
          </w:p>
        </w:tc>
      </w:tr>
      <w:tr>
        <w:trPr>
          <w:trHeight w:val="156"/>
        </w:trPr>
        <w:tc>
          <w:tcPr>
            <w:tcW w:w="1340" w:type="dxa"/>
            <w:vAlign w:val="bottom"/>
          </w:tcPr>
          <w:p>
            <w:pPr>
              <w:spacing w:after="0"/>
              <w:rPr>
                <w:sz w:val="13"/>
                <w:szCs w:val="13"/>
                <w:color w:val="auto"/>
              </w:rPr>
            </w:pPr>
          </w:p>
        </w:tc>
        <w:tc>
          <w:tcPr>
            <w:tcW w:w="9900" w:type="dxa"/>
            <w:vAlign w:val="bottom"/>
            <w:gridSpan w:val="46"/>
          </w:tcPr>
          <w:p>
            <w:pPr>
              <w:spacing w:after="0" w:line="156"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Technology LLC, Viant US LLC, Adelphic LLC, Myspace LLC, Viant Technology Inc., the Lenders party thereto and PNC</w:t>
              </w:r>
            </w:hyperlink>
          </w:p>
        </w:tc>
      </w:tr>
      <w:tr>
        <w:trPr>
          <w:trHeight w:val="169"/>
        </w:trPr>
        <w:tc>
          <w:tcPr>
            <w:tcW w:w="1340" w:type="dxa"/>
            <w:vAlign w:val="bottom"/>
          </w:tcPr>
          <w:p>
            <w:pPr>
              <w:spacing w:after="0"/>
              <w:rPr>
                <w:sz w:val="14"/>
                <w:szCs w:val="14"/>
                <w:color w:val="auto"/>
              </w:rPr>
            </w:pPr>
          </w:p>
        </w:tc>
        <w:tc>
          <w:tcPr>
            <w:tcW w:w="9020" w:type="dxa"/>
            <w:vAlign w:val="bottom"/>
            <w:tcBorders>
              <w:top w:val="single" w:sz="8" w:color="0000FF"/>
            </w:tcBorders>
            <w:gridSpan w:val="44"/>
          </w:tcPr>
          <w:p>
            <w:pPr>
              <w:spacing w:after="0" w:line="169" w:lineRule="exact"/>
              <w:rPr>
                <w:rFonts w:ascii="Times New Roman" w:cs="Times New Roman" w:eastAsia="Times New Roman" w:hAnsi="Times New Roman"/>
                <w:sz w:val="18"/>
                <w:szCs w:val="18"/>
                <w:color w:val="0000FF"/>
              </w:rPr>
            </w:pPr>
            <w:hyperlink r:id="rId148">
              <w:r>
                <w:rPr>
                  <w:rFonts w:ascii="Times New Roman" w:cs="Times New Roman" w:eastAsia="Times New Roman" w:hAnsi="Times New Roman"/>
                  <w:sz w:val="18"/>
                  <w:szCs w:val="18"/>
                  <w:color w:val="0000FF"/>
                </w:rPr>
                <w:t>Bank, National Association (incorporated by reference to Exhibit 10.1 to the Company’s Current Report on Form 8-K (File</w:t>
              </w:r>
            </w:hyperlink>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55"/>
        </w:trPr>
        <w:tc>
          <w:tcPr>
            <w:tcW w:w="1340" w:type="dxa"/>
            <w:vAlign w:val="bottom"/>
          </w:tcPr>
          <w:p>
            <w:pPr>
              <w:spacing w:after="0"/>
              <w:rPr>
                <w:sz w:val="13"/>
                <w:szCs w:val="13"/>
                <w:color w:val="auto"/>
              </w:rPr>
            </w:pPr>
          </w:p>
        </w:tc>
        <w:tc>
          <w:tcPr>
            <w:tcW w:w="288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48">
              <w:r>
                <w:rPr>
                  <w:rFonts w:ascii="Times New Roman" w:cs="Times New Roman" w:eastAsia="Times New Roman" w:hAnsi="Times New Roman"/>
                  <w:sz w:val="18"/>
                  <w:szCs w:val="18"/>
                  <w:color w:val="0000FF"/>
                  <w:w w:val="99"/>
                </w:rPr>
                <w:t>No. 001-40015) filed on April 6, 2023).</w:t>
              </w:r>
            </w:hyperlink>
          </w:p>
        </w:tc>
        <w:tc>
          <w:tcPr>
            <w:tcW w:w="608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21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Viant Technology Inc. 2021 Long-Term Incentive Plan (incorporated by reference to Exhibit 99.1 to the Company’s</w:t>
              </w:r>
            </w:hyperlink>
          </w:p>
        </w:tc>
      </w:tr>
      <w:tr>
        <w:trPr>
          <w:trHeight w:val="155"/>
        </w:trPr>
        <w:tc>
          <w:tcPr>
            <w:tcW w:w="1340" w:type="dxa"/>
            <w:vAlign w:val="bottom"/>
          </w:tcPr>
          <w:p>
            <w:pPr>
              <w:spacing w:after="0"/>
              <w:rPr>
                <w:sz w:val="13"/>
                <w:szCs w:val="13"/>
                <w:color w:val="auto"/>
              </w:rPr>
            </w:pPr>
          </w:p>
        </w:tc>
        <w:tc>
          <w:tcPr>
            <w:tcW w:w="83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49">
              <w:r>
                <w:rPr>
                  <w:rFonts w:ascii="Times New Roman" w:cs="Times New Roman" w:eastAsia="Times New Roman" w:hAnsi="Times New Roman"/>
                  <w:sz w:val="18"/>
                  <w:szCs w:val="18"/>
                  <w:color w:val="0000FF"/>
                </w:rPr>
                <w:t>Registration Statement on Form S-8 (File No. 333-252912), filed on February 9, 2021)</w:t>
              </w:r>
            </w:hyperlink>
          </w:p>
        </w:tc>
        <w:tc>
          <w:tcPr>
            <w:tcW w:w="16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Employment Agreement, dated as of March 27, 2017, by and between Viant Technology LLC and Larry Madden</w:t>
              </w:r>
            </w:hyperlink>
          </w:p>
        </w:tc>
      </w:tr>
      <w:tr>
        <w:trPr>
          <w:trHeight w:val="156"/>
        </w:trPr>
        <w:tc>
          <w:tcPr>
            <w:tcW w:w="1340" w:type="dxa"/>
            <w:vAlign w:val="bottom"/>
          </w:tcPr>
          <w:p>
            <w:pPr>
              <w:spacing w:after="0"/>
              <w:rPr>
                <w:sz w:val="13"/>
                <w:szCs w:val="13"/>
                <w:color w:val="auto"/>
              </w:rPr>
            </w:pPr>
          </w:p>
        </w:tc>
        <w:tc>
          <w:tcPr>
            <w:tcW w:w="816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9"/>
              </w:rPr>
            </w:pPr>
            <w:hyperlink r:id="rId150">
              <w:r>
                <w:rPr>
                  <w:rFonts w:ascii="Times New Roman" w:cs="Times New Roman" w:eastAsia="Times New Roman" w:hAnsi="Times New Roman"/>
                  <w:sz w:val="18"/>
                  <w:szCs w:val="18"/>
                  <w:color w:val="0000FF"/>
                  <w:w w:val="99"/>
                </w:rPr>
                <w:t>(incorporated by reference to Exhibit 10.13 to the Company’s Registration Statement on Form S-1 (File No. 333-</w:t>
              </w:r>
            </w:hyperlink>
          </w:p>
        </w:tc>
        <w:tc>
          <w:tcPr>
            <w:tcW w:w="660" w:type="dxa"/>
            <w:vAlign w:val="bottom"/>
            <w:gridSpan w:val="16"/>
          </w:tcPr>
          <w:p>
            <w:pPr>
              <w:jc w:val="right"/>
              <w:ind w:right="20"/>
              <w:spacing w:after="0" w:line="156" w:lineRule="exact"/>
              <w:rPr>
                <w:rFonts w:ascii="Times New Roman" w:cs="Times New Roman" w:eastAsia="Times New Roman" w:hAnsi="Times New Roman"/>
                <w:sz w:val="18"/>
                <w:szCs w:val="18"/>
                <w:color w:val="0000FF"/>
                <w:w w:val="96"/>
              </w:rPr>
            </w:pPr>
            <w:hyperlink r:id="rId150">
              <w:r>
                <w:rPr>
                  <w:rFonts w:ascii="Times New Roman" w:cs="Times New Roman" w:eastAsia="Times New Roman" w:hAnsi="Times New Roman"/>
                  <w:sz w:val="18"/>
                  <w:szCs w:val="18"/>
                  <w:color w:val="0000FF"/>
                  <w:w w:val="96"/>
                </w:rPr>
                <w:t>252117),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60" w:type="dxa"/>
            <w:vAlign w:val="bottom"/>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8800" w:type="dxa"/>
            <w:vAlign w:val="bottom"/>
            <w:tcBorders>
              <w:top w:val="single" w:sz="8" w:color="0000FF"/>
            </w:tcBorders>
            <w:gridSpan w:val="33"/>
          </w:tcPr>
          <w:p>
            <w:pPr>
              <w:spacing w:after="0" w:line="169" w:lineRule="exact"/>
              <w:rPr>
                <w:rFonts w:ascii="Times New Roman" w:cs="Times New Roman" w:eastAsia="Times New Roman" w:hAnsi="Times New Roman"/>
                <w:sz w:val="18"/>
                <w:szCs w:val="18"/>
                <w:color w:val="0000FF"/>
              </w:rPr>
            </w:pPr>
            <w:hyperlink r:id="rId150">
              <w:r>
                <w:rPr>
                  <w:rFonts w:ascii="Times New Roman" w:cs="Times New Roman" w:eastAsia="Times New Roman" w:hAnsi="Times New Roman"/>
                  <w:sz w:val="18"/>
                  <w:szCs w:val="18"/>
                  <w:color w:val="0000FF"/>
                </w:rPr>
                <w:t>filed on February 1,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60" w:type="dxa"/>
            <w:vAlign w:val="bottom"/>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1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Limited Liability Company Agreement of Viant Technology Equity Plan LLC, dated as of March 14, 2017 (incorporated by</w:t>
              </w:r>
            </w:hyperlink>
          </w:p>
        </w:tc>
      </w:tr>
      <w:tr>
        <w:trPr>
          <w:trHeight w:val="155"/>
        </w:trPr>
        <w:tc>
          <w:tcPr>
            <w:tcW w:w="1340" w:type="dxa"/>
            <w:vAlign w:val="bottom"/>
          </w:tcPr>
          <w:p>
            <w:pPr>
              <w:spacing w:after="0"/>
              <w:rPr>
                <w:sz w:val="13"/>
                <w:szCs w:val="13"/>
                <w:color w:val="auto"/>
              </w:rPr>
            </w:pPr>
          </w:p>
        </w:tc>
        <w:tc>
          <w:tcPr>
            <w:tcW w:w="9040" w:type="dxa"/>
            <w:vAlign w:val="bottom"/>
            <w:tcBorders>
              <w:top w:val="single" w:sz="8" w:color="0000FF"/>
            </w:tcBorders>
            <w:gridSpan w:val="45"/>
          </w:tcPr>
          <w:p>
            <w:pPr>
              <w:spacing w:after="0" w:line="156" w:lineRule="exact"/>
              <w:rPr>
                <w:rFonts w:ascii="Times New Roman" w:cs="Times New Roman" w:eastAsia="Times New Roman" w:hAnsi="Times New Roman"/>
                <w:sz w:val="18"/>
                <w:szCs w:val="18"/>
                <w:color w:val="0000FF"/>
              </w:rPr>
            </w:pPr>
            <w:hyperlink r:id="rId151">
              <w:r>
                <w:rPr>
                  <w:rFonts w:ascii="Times New Roman" w:cs="Times New Roman" w:eastAsia="Times New Roman" w:hAnsi="Times New Roman"/>
                  <w:sz w:val="18"/>
                  <w:szCs w:val="18"/>
                  <w:color w:val="0000FF"/>
                </w:rPr>
                <w:t>reference to Exhibit 10.14 to the Company’s Registration Statement on Form S-1 (File No. 333-252117), filed on February</w:t>
              </w:r>
            </w:hyperlink>
          </w:p>
        </w:tc>
        <w:tc>
          <w:tcPr>
            <w:tcW w:w="860" w:type="dxa"/>
            <w:vAlign w:val="bottom"/>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6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6"/>
              </w:rPr>
            </w:pPr>
            <w:hyperlink r:id="rId151">
              <w:r>
                <w:rPr>
                  <w:rFonts w:ascii="Times New Roman" w:cs="Times New Roman" w:eastAsia="Times New Roman" w:hAnsi="Times New Roman"/>
                  <w:sz w:val="18"/>
                  <w:szCs w:val="18"/>
                  <w:color w:val="0000FF"/>
                  <w:w w:val="96"/>
                </w:rPr>
                <w:t>1, 2021)</w:t>
              </w:r>
            </w:hyperlink>
          </w:p>
        </w:tc>
        <w:tc>
          <w:tcPr>
            <w:tcW w:w="13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56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13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6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9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Annual Incentive Plan (incorporated by reference to Exhibit 10.1 to the Company’s Current Report on Form 8-K (File No.</w:t>
              </w:r>
            </w:hyperlink>
          </w:p>
        </w:tc>
      </w:tr>
      <w:tr>
        <w:trPr>
          <w:trHeight w:val="156"/>
        </w:trPr>
        <w:tc>
          <w:tcPr>
            <w:tcW w:w="134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52">
              <w:r>
                <w:rPr>
                  <w:rFonts w:ascii="Times New Roman" w:cs="Times New Roman" w:eastAsia="Times New Roman" w:hAnsi="Times New Roman"/>
                  <w:sz w:val="18"/>
                  <w:szCs w:val="18"/>
                  <w:color w:val="0000FF"/>
                  <w:w w:val="99"/>
                </w:rPr>
                <w:t>001-40015), filed on March 4, 2022)</w:t>
              </w:r>
            </w:hyperlink>
          </w:p>
        </w:tc>
        <w:tc>
          <w:tcPr>
            <w:tcW w:w="6180" w:type="dxa"/>
            <w:vAlign w:val="bottom"/>
            <w:tcBorders>
              <w:top w:val="single" w:sz="8" w:color="0000FF"/>
            </w:tcBorders>
            <w:gridSpan w:val="3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20" w:type="dxa"/>
            <w:vAlign w:val="bottom"/>
            <w:gridSpan w:val="4"/>
          </w:tcPr>
          <w:p>
            <w:pPr>
              <w:spacing w:after="0"/>
              <w:rPr>
                <w:sz w:val="13"/>
                <w:szCs w:val="13"/>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Form of Grant Notice and Standard Terms and Conditions for Nonqualified Stock Options under the Viant Technology Inc.</w:t>
              </w:r>
            </w:hyperlink>
          </w:p>
        </w:tc>
      </w:tr>
      <w:tr>
        <w:trPr>
          <w:trHeight w:val="156"/>
        </w:trPr>
        <w:tc>
          <w:tcPr>
            <w:tcW w:w="1340" w:type="dxa"/>
            <w:vAlign w:val="bottom"/>
          </w:tcPr>
          <w:p>
            <w:pPr>
              <w:spacing w:after="0"/>
              <w:rPr>
                <w:sz w:val="13"/>
                <w:szCs w:val="13"/>
                <w:color w:val="auto"/>
              </w:rPr>
            </w:pPr>
          </w:p>
        </w:tc>
        <w:tc>
          <w:tcPr>
            <w:tcW w:w="8940" w:type="dxa"/>
            <w:vAlign w:val="bottom"/>
            <w:tcBorders>
              <w:top w:val="single" w:sz="8" w:color="0000FF"/>
            </w:tcBorders>
            <w:gridSpan w:val="40"/>
          </w:tcPr>
          <w:p>
            <w:pPr>
              <w:spacing w:after="0" w:line="156"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2021 Long-Term Incentive Plan (Employee Form) (incorporated by reference to Exhibit 10.17 to the Company’s Annual</w:t>
              </w:r>
            </w:hyperlink>
          </w:p>
        </w:tc>
        <w:tc>
          <w:tcPr>
            <w:tcW w:w="40" w:type="dxa"/>
            <w:vAlign w:val="bottom"/>
            <w:gridSpan w:val="2"/>
          </w:tcPr>
          <w:p>
            <w:pPr>
              <w:spacing w:after="0"/>
              <w:rPr>
                <w:sz w:val="13"/>
                <w:szCs w:val="13"/>
                <w:color w:val="auto"/>
              </w:rPr>
            </w:pPr>
          </w:p>
        </w:tc>
        <w:tc>
          <w:tcPr>
            <w:tcW w:w="920" w:type="dxa"/>
            <w:vAlign w:val="bottom"/>
            <w:gridSpan w:val="4"/>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8700" w:type="dxa"/>
            <w:vAlign w:val="bottom"/>
            <w:tcBorders>
              <w:top w:val="single" w:sz="8" w:color="0000FF"/>
            </w:tcBorders>
            <w:gridSpan w:val="28"/>
          </w:tcPr>
          <w:p>
            <w:pPr>
              <w:spacing w:after="0" w:line="169" w:lineRule="exact"/>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Report on Form 10-K (File No. 001-40015) for the year ended December 31, 2023, filed on March 4, 2024)</w:t>
              </w:r>
            </w:hyperlink>
          </w:p>
        </w:tc>
        <w:tc>
          <w:tcPr>
            <w:tcW w:w="8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920" w:type="dxa"/>
            <w:vAlign w:val="bottom"/>
            <w:gridSpan w:val="4"/>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r>
      <w:tr>
        <w:trPr>
          <w:trHeight w:val="21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Form of Grant Notice and Standard Terms and Conditions for Restricted Stock Units under the Viant Technology Inc. 2021</w:t>
              </w:r>
            </w:hyperlink>
          </w:p>
        </w:tc>
      </w:tr>
      <w:tr>
        <w:trPr>
          <w:trHeight w:val="155"/>
        </w:trPr>
        <w:tc>
          <w:tcPr>
            <w:tcW w:w="1340" w:type="dxa"/>
            <w:vAlign w:val="bottom"/>
          </w:tcPr>
          <w:p>
            <w:pPr>
              <w:spacing w:after="0"/>
              <w:rPr>
                <w:sz w:val="13"/>
                <w:szCs w:val="13"/>
                <w:color w:val="auto"/>
              </w:rPr>
            </w:pPr>
          </w:p>
        </w:tc>
        <w:tc>
          <w:tcPr>
            <w:tcW w:w="898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Long-Term Incentive Plan (Employee Form) (incorporated by reference to Exhibit 10.18 to the Company’s Annual Report</w:t>
              </w:r>
            </w:hyperlink>
          </w:p>
        </w:tc>
        <w:tc>
          <w:tcPr>
            <w:tcW w:w="920" w:type="dxa"/>
            <w:vAlign w:val="bottom"/>
            <w:gridSpan w:val="4"/>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72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54">
              <w:r>
                <w:rPr>
                  <w:rFonts w:ascii="Times New Roman" w:cs="Times New Roman" w:eastAsia="Times New Roman" w:hAnsi="Times New Roman"/>
                  <w:sz w:val="18"/>
                  <w:szCs w:val="18"/>
                  <w:color w:val="0000FF"/>
                  <w:w w:val="99"/>
                </w:rPr>
                <w:t>on Form 10-K (File No. 001-40015) for the year ended December 31, 2023, filed on March 4, 2024)</w:t>
              </w:r>
            </w:hyperlink>
          </w:p>
        </w:tc>
        <w:tc>
          <w:tcPr>
            <w:tcW w:w="1620" w:type="dxa"/>
            <w:vAlign w:val="bottom"/>
            <w:tcBorders>
              <w:top w:val="single" w:sz="8" w:color="0000FF"/>
            </w:tcBorders>
            <w:gridSpan w:val="2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980" w:type="dxa"/>
            <w:vAlign w:val="bottom"/>
            <w:gridSpan w:val="7"/>
          </w:tcPr>
          <w:p>
            <w:pPr>
              <w:spacing w:after="0"/>
              <w:rPr>
                <w:sz w:val="14"/>
                <w:szCs w:val="14"/>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Form of Grant Notice and Standard Terms and Conditions for Restricted Stock Units for Non-Employee Directors under</w:t>
              </w:r>
            </w:hyperlink>
          </w:p>
        </w:tc>
      </w:tr>
      <w:tr>
        <w:trPr>
          <w:trHeight w:val="156"/>
        </w:trPr>
        <w:tc>
          <w:tcPr>
            <w:tcW w:w="1340" w:type="dxa"/>
            <w:vAlign w:val="bottom"/>
          </w:tcPr>
          <w:p>
            <w:pPr>
              <w:spacing w:after="0"/>
              <w:rPr>
                <w:sz w:val="13"/>
                <w:szCs w:val="13"/>
                <w:color w:val="auto"/>
              </w:rPr>
            </w:pPr>
          </w:p>
        </w:tc>
        <w:tc>
          <w:tcPr>
            <w:tcW w:w="8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the Viant Technology Inc. 2021 Long-Term Incentive Plan (incorporated by reference to Exhibit 99.4 to the Company’s</w:t>
              </w:r>
            </w:hyperlink>
          </w:p>
        </w:tc>
        <w:tc>
          <w:tcPr>
            <w:tcW w:w="10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980" w:type="dxa"/>
            <w:vAlign w:val="bottom"/>
            <w:gridSpan w:val="7"/>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860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Registration Statement on Form S-8 (File No. 333-252912), filed on February 9, 2021)</w:t>
              </w:r>
            </w:hyperlink>
          </w:p>
        </w:tc>
        <w:tc>
          <w:tcPr>
            <w:tcW w:w="180" w:type="dxa"/>
            <w:vAlign w:val="bottom"/>
            <w:gridSpan w:val="8"/>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980" w:type="dxa"/>
            <w:vAlign w:val="bottom"/>
            <w:gridSpan w:val="7"/>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r>
      <w:tr>
        <w:trPr>
          <w:trHeight w:val="21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Form of Grant Notice and Standard Terms and Conditions for Restricted Stock Units under the Viant Technology Inc. 2021</w:t>
              </w:r>
            </w:hyperlink>
          </w:p>
        </w:tc>
      </w:tr>
      <w:tr>
        <w:trPr>
          <w:trHeight w:val="155"/>
        </w:trPr>
        <w:tc>
          <w:tcPr>
            <w:tcW w:w="1340" w:type="dxa"/>
            <w:vAlign w:val="bottom"/>
          </w:tcPr>
          <w:p>
            <w:pPr>
              <w:spacing w:after="0"/>
              <w:rPr>
                <w:sz w:val="13"/>
                <w:szCs w:val="13"/>
                <w:color w:val="auto"/>
              </w:rPr>
            </w:pPr>
          </w:p>
        </w:tc>
        <w:tc>
          <w:tcPr>
            <w:tcW w:w="8980" w:type="dxa"/>
            <w:vAlign w:val="bottom"/>
            <w:tcBorders>
              <w:top w:val="single" w:sz="8" w:color="0000FF"/>
            </w:tcBorders>
            <w:gridSpan w:val="42"/>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Long-Term Incentive Plan (New Hire Form) (incorporated by reference to Exhibit 10.20 to the Company’s Annual Report</w:t>
              </w:r>
            </w:hyperlink>
          </w:p>
        </w:tc>
        <w:tc>
          <w:tcPr>
            <w:tcW w:w="920" w:type="dxa"/>
            <w:vAlign w:val="bottom"/>
            <w:gridSpan w:val="4"/>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724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on Form 10-K (File No. 001-40015) for the year ended December 31, 2023, filed on March 4, 2024)</w:t>
              </w:r>
            </w:hyperlink>
          </w:p>
        </w:tc>
        <w:tc>
          <w:tcPr>
            <w:tcW w:w="1580" w:type="dxa"/>
            <w:vAlign w:val="bottom"/>
            <w:tcBorders>
              <w:top w:val="single" w:sz="8" w:color="0000FF"/>
            </w:tcBorders>
            <w:gridSpan w:val="21"/>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980" w:type="dxa"/>
            <w:vAlign w:val="bottom"/>
            <w:gridSpan w:val="7"/>
          </w:tcPr>
          <w:p>
            <w:pPr>
              <w:spacing w:after="0"/>
              <w:rPr>
                <w:sz w:val="14"/>
                <w:szCs w:val="14"/>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First Amendment to Employment Agreement, dated as of November 15, 2018, by and between Viant Technology LLC and</w:t>
              </w:r>
            </w:hyperlink>
          </w:p>
        </w:tc>
      </w:tr>
      <w:tr>
        <w:trPr>
          <w:trHeight w:val="156"/>
        </w:trPr>
        <w:tc>
          <w:tcPr>
            <w:tcW w:w="1340" w:type="dxa"/>
            <w:vAlign w:val="bottom"/>
          </w:tcPr>
          <w:p>
            <w:pPr>
              <w:spacing w:after="0"/>
              <w:rPr>
                <w:sz w:val="13"/>
                <w:szCs w:val="13"/>
                <w:color w:val="auto"/>
              </w:rPr>
            </w:pPr>
          </w:p>
        </w:tc>
        <w:tc>
          <w:tcPr>
            <w:tcW w:w="892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Larry Madden (incorporated by reference to Exhibit 10.2 to the Company’s Quarterly Report on Form 10-Q (File No. 001-</w:t>
              </w:r>
            </w:hyperlink>
          </w:p>
        </w:tc>
        <w:tc>
          <w:tcPr>
            <w:tcW w:w="980" w:type="dxa"/>
            <w:vAlign w:val="bottom"/>
            <w:gridSpan w:val="7"/>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8880" w:type="dxa"/>
            <w:vAlign w:val="bottom"/>
            <w:tcBorders>
              <w:top w:val="single" w:sz="8" w:color="0000FF"/>
            </w:tcBorders>
            <w:gridSpan w:val="37"/>
          </w:tcPr>
          <w:p>
            <w:pPr>
              <w:spacing w:after="0" w:line="169" w:lineRule="exact"/>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40015) for the quarter ended March 31, 2022, filed on May 3, 2022)</w:t>
              </w:r>
            </w:hyperlink>
          </w:p>
        </w:tc>
        <w:tc>
          <w:tcPr>
            <w:tcW w:w="1020" w:type="dxa"/>
            <w:vAlign w:val="bottom"/>
            <w:gridSpan w:val="9"/>
          </w:tcPr>
          <w:p>
            <w:pPr>
              <w:spacing w:after="0"/>
              <w:rPr>
                <w:sz w:val="14"/>
                <w:szCs w:val="14"/>
                <w:color w:val="auto"/>
              </w:rPr>
            </w:pPr>
          </w:p>
        </w:tc>
      </w:tr>
      <w:tr>
        <w:trPr>
          <w:trHeight w:val="20"/>
        </w:trPr>
        <w:tc>
          <w:tcPr>
            <w:tcW w:w="1340" w:type="dxa"/>
            <w:vAlign w:val="bottom"/>
          </w:tcPr>
          <w:p>
            <w:pPr>
              <w:spacing w:after="0" w:line="20" w:lineRule="exact"/>
              <w:rPr>
                <w:sz w:val="1"/>
                <w:szCs w:val="1"/>
                <w:color w:val="auto"/>
              </w:rPr>
            </w:pPr>
          </w:p>
        </w:tc>
        <w:tc>
          <w:tcPr>
            <w:tcW w:w="2100" w:type="dxa"/>
            <w:vAlign w:val="bottom"/>
            <w:gridSpan w:val="3"/>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c>
          <w:tcPr>
            <w:tcW w:w="1120" w:type="dxa"/>
            <w:vAlign w:val="bottom"/>
            <w:gridSpan w:val="14"/>
          </w:tcPr>
          <w:p>
            <w:pPr>
              <w:spacing w:after="0" w:line="20" w:lineRule="exact"/>
              <w:rPr>
                <w:sz w:val="1"/>
                <w:szCs w:val="1"/>
                <w:color w:val="auto"/>
              </w:rPr>
            </w:pPr>
          </w:p>
        </w:tc>
      </w:tr>
      <w:tr>
        <w:trPr>
          <w:trHeight w:val="21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Viant Technology Inc. Non-Employee Director Compensation Policy, effective as of March 20, 2024 (incorporated by</w:t>
              </w:r>
            </w:hyperlink>
          </w:p>
        </w:tc>
      </w:tr>
      <w:tr>
        <w:trPr>
          <w:trHeight w:val="155"/>
        </w:trPr>
        <w:tc>
          <w:tcPr>
            <w:tcW w:w="1340" w:type="dxa"/>
            <w:vAlign w:val="bottom"/>
          </w:tcPr>
          <w:p>
            <w:pPr>
              <w:spacing w:after="0"/>
              <w:rPr>
                <w:sz w:val="13"/>
                <w:szCs w:val="13"/>
                <w:color w:val="auto"/>
              </w:rPr>
            </w:pPr>
          </w:p>
        </w:tc>
        <w:tc>
          <w:tcPr>
            <w:tcW w:w="8500" w:type="dxa"/>
            <w:vAlign w:val="bottom"/>
            <w:tcBorders>
              <w:top w:val="single" w:sz="8" w:color="0000FF"/>
              <w:bottom w:val="single" w:sz="8" w:color="0000FF"/>
            </w:tcBorders>
            <w:gridSpan w:val="22"/>
          </w:tcPr>
          <w:p>
            <w:pPr>
              <w:spacing w:after="0" w:line="156" w:lineRule="exact"/>
              <w:rPr>
                <w:rFonts w:ascii="Times New Roman" w:cs="Times New Roman" w:eastAsia="Times New Roman" w:hAnsi="Times New Roman"/>
                <w:sz w:val="18"/>
                <w:szCs w:val="18"/>
                <w:color w:val="0000FF"/>
                <w:w w:val="98"/>
              </w:rPr>
            </w:pPr>
            <w:hyperlink r:id="rId158">
              <w:r>
                <w:rPr>
                  <w:rFonts w:ascii="Times New Roman" w:cs="Times New Roman" w:eastAsia="Times New Roman" w:hAnsi="Times New Roman"/>
                  <w:sz w:val="18"/>
                  <w:szCs w:val="18"/>
                  <w:color w:val="0000FF"/>
                  <w:w w:val="98"/>
                </w:rPr>
                <w:t>reference to Exhibit 10.1 to the Company’s Quarterly Report on Form 10-Q (File No. 001-40015) for the quarter ended</w:t>
              </w:r>
            </w:hyperlink>
          </w:p>
        </w:tc>
        <w:tc>
          <w:tcPr>
            <w:tcW w:w="80" w:type="dxa"/>
            <w:vAlign w:val="bottom"/>
            <w:tcBorders>
              <w:bottom w:val="single" w:sz="8" w:color="0000FF"/>
            </w:tcBorders>
          </w:tcPr>
          <w:p>
            <w:pPr>
              <w:spacing w:after="0"/>
              <w:rPr>
                <w:sz w:val="13"/>
                <w:szCs w:val="13"/>
                <w:color w:val="auto"/>
              </w:rPr>
            </w:pPr>
          </w:p>
        </w:tc>
        <w:tc>
          <w:tcPr>
            <w:tcW w:w="200" w:type="dxa"/>
            <w:vAlign w:val="bottom"/>
            <w:gridSpan w:val="9"/>
          </w:tcPr>
          <w:p>
            <w:pPr>
              <w:spacing w:after="0"/>
              <w:rPr>
                <w:sz w:val="13"/>
                <w:szCs w:val="13"/>
                <w:color w:val="auto"/>
              </w:rPr>
            </w:pPr>
          </w:p>
        </w:tc>
        <w:tc>
          <w:tcPr>
            <w:tcW w:w="1120" w:type="dxa"/>
            <w:vAlign w:val="bottom"/>
            <w:gridSpan w:val="14"/>
          </w:tcPr>
          <w:p>
            <w:pPr>
              <w:spacing w:after="0"/>
              <w:rPr>
                <w:sz w:val="13"/>
                <w:szCs w:val="13"/>
                <w:color w:val="auto"/>
              </w:rPr>
            </w:pPr>
          </w:p>
        </w:tc>
      </w:tr>
      <w:tr>
        <w:trPr>
          <w:trHeight w:val="169"/>
        </w:trPr>
        <w:tc>
          <w:tcPr>
            <w:tcW w:w="1340" w:type="dxa"/>
            <w:vAlign w:val="bottom"/>
          </w:tcPr>
          <w:p>
            <w:pPr>
              <w:spacing w:after="0"/>
              <w:rPr>
                <w:sz w:val="14"/>
                <w:szCs w:val="14"/>
                <w:color w:val="auto"/>
              </w:rPr>
            </w:pPr>
          </w:p>
        </w:tc>
        <w:tc>
          <w:tcPr>
            <w:tcW w:w="2960" w:type="dxa"/>
            <w:vAlign w:val="bottom"/>
            <w:tcBorders>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March 31, 2024, filed on April 30, 2024)</w:t>
              </w:r>
            </w:hyperlink>
          </w:p>
        </w:tc>
        <w:tc>
          <w:tcPr>
            <w:tcW w:w="5620" w:type="dxa"/>
            <w:vAlign w:val="bottom"/>
            <w:gridSpan w:val="17"/>
          </w:tcPr>
          <w:p>
            <w:pPr>
              <w:spacing w:after="0"/>
              <w:rPr>
                <w:sz w:val="14"/>
                <w:szCs w:val="14"/>
                <w:color w:val="auto"/>
              </w:rPr>
            </w:pPr>
          </w:p>
        </w:tc>
        <w:tc>
          <w:tcPr>
            <w:tcW w:w="200" w:type="dxa"/>
            <w:vAlign w:val="bottom"/>
            <w:gridSpan w:val="9"/>
          </w:tcPr>
          <w:p>
            <w:pPr>
              <w:spacing w:after="0"/>
              <w:rPr>
                <w:sz w:val="14"/>
                <w:szCs w:val="14"/>
                <w:color w:val="auto"/>
              </w:rPr>
            </w:pPr>
          </w:p>
        </w:tc>
        <w:tc>
          <w:tcPr>
            <w:tcW w:w="1120" w:type="dxa"/>
            <w:vAlign w:val="bottom"/>
            <w:gridSpan w:val="14"/>
          </w:tcPr>
          <w:p>
            <w:pPr>
              <w:spacing w:after="0"/>
              <w:rPr>
                <w:sz w:val="14"/>
                <w:szCs w:val="14"/>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19.1</w:t>
            </w:r>
          </w:p>
        </w:tc>
        <w:tc>
          <w:tcPr>
            <w:tcW w:w="9900" w:type="dxa"/>
            <w:vAlign w:val="bottom"/>
            <w:gridSpan w:val="46"/>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Viant Technology Inc. Insider Trading Policy (incorporated by reference to Exhibit 19.1 to the Company’s Annual Report</w:t>
              </w:r>
            </w:hyperlink>
          </w:p>
        </w:tc>
      </w:tr>
      <w:tr>
        <w:trPr>
          <w:trHeight w:val="156"/>
        </w:trPr>
        <w:tc>
          <w:tcPr>
            <w:tcW w:w="1340" w:type="dxa"/>
            <w:vAlign w:val="bottom"/>
          </w:tcPr>
          <w:p>
            <w:pPr>
              <w:spacing w:after="0"/>
              <w:rPr>
                <w:sz w:val="13"/>
                <w:szCs w:val="13"/>
                <w:color w:val="auto"/>
              </w:rPr>
            </w:pPr>
          </w:p>
        </w:tc>
        <w:tc>
          <w:tcPr>
            <w:tcW w:w="878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on Form 10-K (File No. 001-40015) for the year ended December 31, 2024, filed on March 3, 2025)</w:t>
              </w:r>
            </w:hyperlink>
          </w:p>
        </w:tc>
        <w:tc>
          <w:tcPr>
            <w:tcW w:w="1120" w:type="dxa"/>
            <w:vAlign w:val="bottom"/>
            <w:gridSpan w:val="14"/>
          </w:tcPr>
          <w:p>
            <w:pPr>
              <w:spacing w:after="0"/>
              <w:rPr>
                <w:sz w:val="13"/>
                <w:szCs w:val="13"/>
                <w:color w:val="auto"/>
              </w:rPr>
            </w:pPr>
          </w:p>
        </w:tc>
      </w:tr>
      <w:tr>
        <w:trPr>
          <w:trHeight w:val="223"/>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21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Subsidiaries of the Company</w:t>
            </w:r>
          </w:p>
        </w:tc>
        <w:tc>
          <w:tcPr>
            <w:tcW w:w="5120" w:type="dxa"/>
            <w:vAlign w:val="bottom"/>
            <w:tcBorders>
              <w:top w:val="single" w:sz="8" w:color="0000FF"/>
            </w:tcBorders>
            <w:gridSpan w:val="9"/>
          </w:tcPr>
          <w:p>
            <w:pPr>
              <w:spacing w:after="0"/>
              <w:rPr>
                <w:sz w:val="19"/>
                <w:szCs w:val="19"/>
                <w:color w:val="auto"/>
              </w:rPr>
            </w:pPr>
          </w:p>
        </w:tc>
        <w:tc>
          <w:tcPr>
            <w:tcW w:w="2680" w:type="dxa"/>
            <w:vAlign w:val="bottom"/>
            <w:gridSpan w:val="34"/>
          </w:tcPr>
          <w:p>
            <w:pPr>
              <w:spacing w:after="0"/>
              <w:rPr>
                <w:sz w:val="19"/>
                <w:szCs w:val="19"/>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5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 accounting firm.</w:t>
            </w:r>
          </w:p>
        </w:tc>
        <w:tc>
          <w:tcPr>
            <w:tcW w:w="3920" w:type="dxa"/>
            <w:vAlign w:val="bottom"/>
            <w:gridSpan w:val="36"/>
          </w:tcPr>
          <w:p>
            <w:pPr>
              <w:spacing w:after="0"/>
              <w:rPr>
                <w:sz w:val="18"/>
                <w:szCs w:val="18"/>
                <w:color w:val="auto"/>
              </w:rPr>
            </w:pPr>
          </w:p>
        </w:tc>
      </w:tr>
      <w:tr>
        <w:trPr>
          <w:trHeight w:val="209"/>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990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r>
      <w:tr>
        <w:trPr>
          <w:trHeight w:val="21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740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Section 302 of the Sarbanes-Oxley Act of 2002</w:t>
            </w:r>
          </w:p>
        </w:tc>
        <w:tc>
          <w:tcPr>
            <w:tcW w:w="40" w:type="dxa"/>
            <w:vAlign w:val="bottom"/>
            <w:tcBorders>
              <w:top w:val="single" w:sz="8" w:color="0000FF"/>
            </w:tcBorders>
          </w:tcPr>
          <w:p>
            <w:pPr>
              <w:spacing w:after="0"/>
              <w:rPr>
                <w:sz w:val="18"/>
                <w:szCs w:val="18"/>
                <w:color w:val="auto"/>
              </w:rPr>
            </w:pPr>
          </w:p>
        </w:tc>
        <w:tc>
          <w:tcPr>
            <w:tcW w:w="2460" w:type="dxa"/>
            <w:vAlign w:val="bottom"/>
            <w:gridSpan w:val="31"/>
          </w:tcPr>
          <w:p>
            <w:pPr>
              <w:spacing w:after="0"/>
              <w:rPr>
                <w:sz w:val="18"/>
                <w:szCs w:val="18"/>
                <w:color w:val="auto"/>
              </w:rPr>
            </w:pPr>
          </w:p>
        </w:tc>
      </w:tr>
      <w:tr>
        <w:trPr>
          <w:trHeight w:val="21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9900" w:type="dxa"/>
            <w:vAlign w:val="bottom"/>
            <w:gridSpan w:val="4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21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7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w:t>
            </w:r>
          </w:p>
        </w:tc>
        <w:tc>
          <w:tcPr>
            <w:tcW w:w="2460" w:type="dxa"/>
            <w:vAlign w:val="bottom"/>
            <w:gridSpan w:val="31"/>
          </w:tcPr>
          <w:p>
            <w:pPr>
              <w:spacing w:after="0"/>
              <w:rPr>
                <w:sz w:val="18"/>
                <w:szCs w:val="18"/>
                <w:color w:val="auto"/>
              </w:rPr>
            </w:pPr>
          </w:p>
        </w:tc>
      </w:tr>
      <w:tr>
        <w:trPr>
          <w:trHeight w:val="763"/>
        </w:trPr>
        <w:tc>
          <w:tcPr>
            <w:tcW w:w="1340" w:type="dxa"/>
            <w:vAlign w:val="bottom"/>
          </w:tcPr>
          <w:p>
            <w:pPr>
              <w:spacing w:after="0"/>
              <w:rPr>
                <w:sz w:val="24"/>
                <w:szCs w:val="24"/>
                <w:color w:val="auto"/>
              </w:rPr>
            </w:pPr>
          </w:p>
        </w:tc>
        <w:tc>
          <w:tcPr>
            <w:tcW w:w="4920" w:type="dxa"/>
            <w:vAlign w:val="bottom"/>
            <w:tcBorders>
              <w:top w:val="single" w:sz="8" w:color="0000FF"/>
            </w:tcBorders>
            <w:gridSpan w:val="8"/>
          </w:tcPr>
          <w:p>
            <w:pPr>
              <w:ind w:left="4160"/>
              <w:spacing w:after="0"/>
              <w:rPr>
                <w:sz w:val="20"/>
                <w:szCs w:val="20"/>
                <w:color w:val="auto"/>
              </w:rPr>
            </w:pPr>
            <w:r>
              <w:rPr>
                <w:rFonts w:ascii="Times New Roman" w:cs="Times New Roman" w:eastAsia="Times New Roman" w:hAnsi="Times New Roman"/>
                <w:sz w:val="18"/>
                <w:szCs w:val="18"/>
                <w:color w:val="auto"/>
              </w:rPr>
              <w:t>112</w:t>
            </w:r>
          </w:p>
        </w:tc>
        <w:tc>
          <w:tcPr>
            <w:tcW w:w="4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9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113" w:name="page114"/>
    <w:bookmarkEnd w:id="113"/>
    <w:tbl>
      <w:tblPr>
        <w:tblLayout w:type="fixed"/>
        <w:tblInd w:w="20" w:type="dxa"/>
        <w:tblCellMar>
          <w:top w:w="0" w:type="dxa"/>
          <w:left w:w="0" w:type="dxa"/>
          <w:bottom w:w="0" w:type="dxa"/>
          <w:right w:w="0" w:type="dxa"/>
        </w:tblCellMar>
      </w:tblPr>
      <w:tr>
        <w:trPr>
          <w:trHeight w:val="207"/>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8880" w:type="dxa"/>
            <w:vAlign w:val="bottom"/>
            <w:gridSpan w:val="4"/>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Viant Technology Inc. Policy For Recovery of Erroneously Awarded Compensation (incorporated by reference to Exhibit</w:t>
              </w:r>
            </w:hyperlink>
          </w:p>
        </w:tc>
      </w:tr>
      <w:tr>
        <w:trPr>
          <w:trHeight w:val="20"/>
        </w:trPr>
        <w:tc>
          <w:tcPr>
            <w:tcW w:w="13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6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320" w:type="dxa"/>
            <w:vAlign w:val="bottom"/>
          </w:tcPr>
          <w:p>
            <w:pPr>
              <w:spacing w:after="0"/>
              <w:rPr>
                <w:sz w:val="13"/>
                <w:szCs w:val="13"/>
                <w:color w:val="auto"/>
              </w:rPr>
            </w:pPr>
          </w:p>
        </w:tc>
        <w:tc>
          <w:tcPr>
            <w:tcW w:w="8880" w:type="dxa"/>
            <w:vAlign w:val="bottom"/>
            <w:gridSpan w:val="4"/>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97.</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Company’s Annual Report on Form 10-K (File No. 001-40015) for the year ended December 31, 2023, filed on</w:t>
              </w:r>
            </w:hyperlink>
          </w:p>
        </w:tc>
      </w:tr>
      <w:tr>
        <w:trPr>
          <w:trHeight w:val="169"/>
        </w:trPr>
        <w:tc>
          <w:tcPr>
            <w:tcW w:w="1320" w:type="dxa"/>
            <w:vAlign w:val="bottom"/>
          </w:tcPr>
          <w:p>
            <w:pPr>
              <w:spacing w:after="0"/>
              <w:rPr>
                <w:sz w:val="14"/>
                <w:szCs w:val="14"/>
                <w:color w:val="auto"/>
              </w:rPr>
            </w:pPr>
          </w:p>
        </w:tc>
        <w:tc>
          <w:tcPr>
            <w:tcW w:w="8860" w:type="dxa"/>
            <w:vAlign w:val="bottom"/>
            <w:tcBorders>
              <w:top w:val="single" w:sz="8" w:color="0000FF"/>
            </w:tcBorders>
            <w:gridSpan w:val="3"/>
          </w:tcPr>
          <w:p>
            <w:pPr>
              <w:spacing w:after="0" w:line="16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March 4, 2024)</w:t>
              </w:r>
            </w:hyperlink>
          </w:p>
        </w:tc>
        <w:tc>
          <w:tcPr>
            <w:tcW w:w="20" w:type="dxa"/>
            <w:vAlign w:val="bottom"/>
          </w:tcPr>
          <w:p>
            <w:pPr>
              <w:spacing w:after="0"/>
              <w:rPr>
                <w:sz w:val="14"/>
                <w:szCs w:val="14"/>
                <w:color w:val="auto"/>
              </w:rPr>
            </w:pPr>
          </w:p>
        </w:tc>
      </w:tr>
      <w:tr>
        <w:trPr>
          <w:trHeight w:val="20"/>
        </w:trPr>
        <w:tc>
          <w:tcPr>
            <w:tcW w:w="13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r>
      <w:tr>
        <w:trPr>
          <w:trHeight w:val="245"/>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0"/>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29"/>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Labels Linkbase Document</w:t>
            </w:r>
          </w:p>
        </w:tc>
      </w:tr>
      <w:tr>
        <w:trPr>
          <w:trHeight w:val="234"/>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340" w:hanging="1314"/>
        <w:spacing w:after="0"/>
        <w:tabs>
          <w:tab w:leader="none" w:pos="13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9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480" w:hanging="472"/>
        <w:spacing w:after="0"/>
        <w:tabs>
          <w:tab w:leader="none" w:pos="4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contract or arrangement.</w:t>
      </w:r>
    </w:p>
    <w:p>
      <w:pPr>
        <w:spacing w:after="0" w:line="9" w:lineRule="exact"/>
        <w:rPr>
          <w:sz w:val="20"/>
          <w:szCs w:val="20"/>
          <w:color w:val="auto"/>
        </w:rPr>
      </w:pPr>
    </w:p>
    <w:p>
      <w:pPr>
        <w:ind w:left="500" w:hanging="492"/>
        <w:spacing w:after="0" w:line="260" w:lineRule="auto"/>
        <w:tabs>
          <w:tab w:leader="none" w:pos="49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Exhibits 32.1 and 32.2 hereto are deemed to accompany this Annual Report on Form 10-K and will not be deemed “filed” for purposes of Section 18 of the Exchange Act, except to the extent that the registrant specifically incorporates it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55" w:right="619" w:bottom="1440" w:gutter="0" w:footer="0" w:header="0"/>
        </w:sectPr>
      </w:pPr>
    </w:p>
    <w:bookmarkStart w:id="114" w:name="page115"/>
    <w:bookmarkEnd w:id="1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320" w:lineRule="exact"/>
        <w:rPr>
          <w:sz w:val="20"/>
          <w:szCs w:val="20"/>
          <w:color w:val="auto"/>
        </w:rPr>
      </w:pPr>
    </w:p>
    <w:p>
      <w:pPr>
        <w:ind w:left="20"/>
        <w:spacing w:after="0"/>
        <w:tabs>
          <w:tab w:leader="none" w:pos="4920" w:val="left"/>
          <w:tab w:leader="none" w:pos="7080" w:val="left"/>
        </w:tabs>
        <w:rPr>
          <w:sz w:val="20"/>
          <w:szCs w:val="20"/>
          <w:color w:val="auto"/>
        </w:rPr>
      </w:pPr>
      <w:r>
        <w:rPr>
          <w:rFonts w:ascii="Times New Roman" w:cs="Times New Roman" w:eastAsia="Times New Roman" w:hAnsi="Times New Roman"/>
          <w:sz w:val="18"/>
          <w:szCs w:val="18"/>
          <w:color w:val="auto"/>
        </w:rPr>
        <w:t>Date: March 11,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26035</wp:posOffset>
            </wp:positionV>
            <wp:extent cx="31457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9"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50"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50" w:lineRule="exact"/>
        <w:rPr>
          <w:sz w:val="20"/>
          <w:szCs w:val="20"/>
          <w:color w:val="auto"/>
        </w:rPr>
      </w:pPr>
    </w:p>
    <w:p>
      <w:pPr>
        <w:jc w:val="center"/>
        <w:ind w:left="43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337"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00"/>
          </w:cols>
          <w:pgMar w:left="320" w:top="1224" w:right="379" w:bottom="1440" w:gutter="0" w:footer="0" w:header="0"/>
        </w:sectPr>
      </w:pPr>
    </w:p>
    <w:p>
      <w:pPr>
        <w:spacing w:after="0" w:line="212"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28575</wp:posOffset>
            </wp:positionV>
            <wp:extent cx="24860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248602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6">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24860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200" w:lineRule="exact"/>
        <w:rPr>
          <w:sz w:val="20"/>
          <w:szCs w:val="20"/>
          <w:color w:val="auto"/>
        </w:rPr>
      </w:pPr>
    </w:p>
    <w:p>
      <w:pPr>
        <w:spacing w:after="0" w:line="23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/s/ Chris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24765</wp:posOffset>
            </wp:positionV>
            <wp:extent cx="24860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Chris Vanderhook</w:t>
      </w:r>
    </w:p>
    <w:p>
      <w:pPr>
        <w:spacing w:after="0" w:line="200" w:lineRule="exact"/>
        <w:rPr>
          <w:sz w:val="20"/>
          <w:szCs w:val="20"/>
          <w:color w:val="auto"/>
        </w:rPr>
      </w:pPr>
    </w:p>
    <w:p>
      <w:pPr>
        <w:spacing w:after="0" w:line="232"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 Max Valdes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24860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9">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b w:val="1"/>
          <w:bCs w:val="1"/>
          <w:color w:val="auto"/>
        </w:rPr>
        <w:t>Max Valdes</w:t>
      </w:r>
    </w:p>
    <w:p>
      <w:pPr>
        <w:spacing w:after="0" w:line="200" w:lineRule="exact"/>
        <w:rPr>
          <w:sz w:val="20"/>
          <w:szCs w:val="20"/>
          <w:color w:val="auto"/>
        </w:rPr>
      </w:pPr>
    </w:p>
    <w:p>
      <w:pPr>
        <w:spacing w:after="0" w:line="232"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 Vivian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24860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b w:val="1"/>
          <w:bCs w:val="1"/>
          <w:color w:val="auto"/>
        </w:rPr>
        <w:t>Vivian Yang</w:t>
      </w:r>
    </w:p>
    <w:p>
      <w:pPr>
        <w:spacing w:after="0" w:line="200" w:lineRule="exact"/>
        <w:rPr>
          <w:sz w:val="20"/>
          <w:szCs w:val="20"/>
          <w:color w:val="auto"/>
        </w:rPr>
      </w:pPr>
    </w:p>
    <w:p>
      <w:pPr>
        <w:spacing w:after="0" w:line="299"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color w:val="auto"/>
        </w:rPr>
        <w:t>/s/ Brett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17145</wp:posOffset>
            </wp:positionV>
            <wp:extent cx="24860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6" w:lineRule="exact"/>
        <w:rPr>
          <w:sz w:val="20"/>
          <w:szCs w:val="20"/>
          <w:color w:val="auto"/>
        </w:rPr>
      </w:pPr>
    </w:p>
    <w:p>
      <w:pPr>
        <w:jc w:val="center"/>
        <w:ind w:left="840"/>
        <w:spacing w:after="0"/>
        <w:rPr>
          <w:sz w:val="20"/>
          <w:szCs w:val="20"/>
          <w:color w:val="auto"/>
        </w:rPr>
      </w:pPr>
      <w:r>
        <w:rPr>
          <w:rFonts w:ascii="Times New Roman" w:cs="Times New Roman" w:eastAsia="Times New Roman" w:hAnsi="Times New Roman"/>
          <w:sz w:val="18"/>
          <w:szCs w:val="18"/>
          <w:b w:val="1"/>
          <w:bCs w:val="1"/>
          <w:color w:val="auto"/>
        </w:rPr>
        <w:t>Brett Wilson</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20" w:type="dxa"/>
            <w:vAlign w:val="bottom"/>
          </w:tcPr>
          <w:p>
            <w:pPr>
              <w:spacing w:after="0"/>
              <w:rPr>
                <w:sz w:val="21"/>
                <w:szCs w:val="21"/>
                <w:color w:val="auto"/>
              </w:rPr>
            </w:pP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587"/>
        </w:trPr>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680" w:type="dxa"/>
            <w:vAlign w:val="bottom"/>
          </w:tcPr>
          <w:p>
            <w:pPr>
              <w:spacing w:after="0"/>
              <w:rPr>
                <w:sz w:val="24"/>
                <w:szCs w:val="24"/>
                <w:color w:val="auto"/>
              </w:rPr>
            </w:pPr>
          </w:p>
        </w:tc>
      </w:tr>
      <w:tr>
        <w:trPr>
          <w:trHeight w:val="25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2026</w:t>
            </w:r>
          </w:p>
        </w:tc>
      </w:tr>
      <w:tr>
        <w:trPr>
          <w:trHeight w:val="884"/>
        </w:trPr>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680" w:type="dxa"/>
            <w:vAlign w:val="bottom"/>
          </w:tcPr>
          <w:p>
            <w:pPr>
              <w:spacing w:after="0"/>
              <w:rPr>
                <w:sz w:val="24"/>
                <w:szCs w:val="24"/>
                <w:color w:val="auto"/>
              </w:rPr>
            </w:pPr>
          </w:p>
        </w:tc>
      </w:tr>
      <w:tr>
        <w:trPr>
          <w:trHeight w:val="250"/>
        </w:trPr>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i w:val="1"/>
                <w:iCs w:val="1"/>
                <w:color w:val="auto"/>
                <w:w w:val="99"/>
              </w:rPr>
              <w:t>(Principal Financial and Accounting Officer)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2026</w:t>
            </w:r>
          </w:p>
        </w:tc>
      </w:tr>
      <w:tr>
        <w:trPr>
          <w:trHeight w:val="891"/>
        </w:trPr>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Operating Officer and 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2026</w:t>
            </w:r>
          </w:p>
        </w:tc>
      </w:tr>
      <w:tr>
        <w:trPr>
          <w:trHeight w:val="891"/>
        </w:trPr>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2026</w:t>
            </w:r>
          </w:p>
        </w:tc>
      </w:tr>
      <w:tr>
        <w:trPr>
          <w:trHeight w:val="891"/>
        </w:trPr>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2026</w:t>
            </w:r>
          </w:p>
        </w:tc>
      </w:tr>
      <w:tr>
        <w:trPr>
          <w:trHeight w:val="958"/>
        </w:trPr>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Director</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11, 2026</w:t>
            </w:r>
          </w:p>
        </w:tc>
      </w:tr>
    </w:tbl>
    <w:p>
      <w:pPr>
        <w:spacing w:after="0" w:line="438" w:lineRule="exact"/>
        <w:rPr>
          <w:sz w:val="20"/>
          <w:szCs w:val="20"/>
          <w:color w:val="auto"/>
        </w:rPr>
      </w:pPr>
    </w:p>
    <w:p>
      <w:pPr>
        <w:sectPr>
          <w:pgSz w:w="11900" w:h="16838" w:orient="portrait"/>
          <w:cols w:equalWidth="0" w:num="2">
            <w:col w:w="3560" w:space="720"/>
            <w:col w:w="6920"/>
          </w:cols>
          <w:pgMar w:left="320" w:top="1224" w:right="379" w:bottom="1440" w:gutter="0" w:footer="0" w:header="0"/>
          <w:type w:val="continuous"/>
        </w:sect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11200"/>
          </w:cols>
          <w:pgMar w:left="320" w:top="1224" w:right="379" w:bottom="1440" w:gutter="0" w:footer="0" w:header="0"/>
          <w:type w:val="continuous"/>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p>
      <w:pPr>
        <w:sectPr>
          <w:pgSz w:w="11900" w:h="16838" w:orient="portrait"/>
          <w:cols w:equalWidth="0" w:num="1">
            <w:col w:w="10720"/>
          </w:cols>
          <w:pgMar w:left="84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Name of the Subsidiary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200" w:lineRule="exact"/>
        <w:rPr>
          <w:sz w:val="20"/>
          <w:szCs w:val="20"/>
          <w:color w:val="auto"/>
        </w:rPr>
      </w:pPr>
    </w:p>
    <w:p>
      <w:pPr>
        <w:sectPr>
          <w:pgSz w:w="11900" w:h="16838" w:orient="portrait"/>
          <w:cols w:equalWidth="0" w:num="2">
            <w:col w:w="3220" w:space="720"/>
            <w:col w:w="6780"/>
          </w:cols>
          <w:pgMar w:left="840" w:top="117" w:right="339" w:bottom="1440" w:gutter="0" w:footer="0" w:header="0"/>
          <w:type w:val="continuous"/>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Adelphic LLC</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3220" w:space="720"/>
            <w:col w:w="6780"/>
          </w:cols>
          <w:pgMar w:left="840" w:top="117"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IRIS.TV LLC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3220" w:space="720"/>
            <w:col w:w="6780"/>
          </w:cols>
          <w:pgMar w:left="840" w:top="117"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Myspace LLC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3220" w:space="720"/>
            <w:col w:w="6780"/>
          </w:cols>
          <w:pgMar w:left="840" w:top="117"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Viant Technology LLC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pacing w:after="0" w:line="200" w:lineRule="exact"/>
        <w:rPr>
          <w:sz w:val="20"/>
          <w:szCs w:val="20"/>
          <w:color w:val="auto"/>
        </w:rPr>
      </w:pPr>
    </w:p>
    <w:p>
      <w:pPr>
        <w:sectPr>
          <w:pgSz w:w="11900" w:h="16838" w:orient="portrait"/>
          <w:cols w:equalWidth="0" w:num="2">
            <w:col w:w="3220" w:space="720"/>
            <w:col w:w="6780"/>
          </w:cols>
          <w:pgMar w:left="840" w:top="117" w:right="339" w:bottom="1440" w:gutter="0" w:footer="0" w:header="0"/>
          <w:type w:val="continuous"/>
        </w:sectPr>
      </w:pP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Viant US LLC</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w:t>
      </w:r>
    </w:p>
    <w:p>
      <w:pPr>
        <w:sectPr>
          <w:pgSz w:w="11900" w:h="16838" w:orient="portrait"/>
          <w:cols w:equalWidth="0" w:num="2">
            <w:col w:w="3220" w:space="720"/>
            <w:col w:w="6780"/>
          </w:cols>
          <w:pgMar w:left="840" w:top="117" w:right="339" w:bottom="1440" w:gutter="0" w:footer="0" w:header="0"/>
          <w:type w:val="continuous"/>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43"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 333-278177 on Form S-3 and Registration Statement Nos. 333-252912, 333-263458, 333-270244, 333-277644, and 333-285513 on Form S-8 of our report dated March 11, 2026, relating to the financial statements of Viant Technology Inc., appearing in this Annual Report on Form 10-K for the year ended December 31, 2025.</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11, 2026</w:t>
      </w:r>
    </w:p>
    <w:p>
      <w:pPr>
        <w:sectPr>
          <w:pgSz w:w="11900" w:h="16838" w:orient="portrait"/>
          <w:cols w:equalWidth="0" w:num="1">
            <w:col w:w="11240"/>
          </w:cols>
          <w:pgMar w:left="320" w:top="117"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225" w:lineRule="exact"/>
        <w:rPr>
          <w:sz w:val="20"/>
          <w:szCs w:val="20"/>
          <w:color w:val="auto"/>
        </w:rPr>
      </w:pPr>
    </w:p>
    <w:p>
      <w:pPr>
        <w:ind w:left="180" w:hanging="172"/>
        <w:spacing w:after="0"/>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Viant Technology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9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9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640" w:hanging="4"/>
        <w:spacing w:after="0" w:line="312" w:lineRule="auto"/>
        <w:tabs>
          <w:tab w:leader="none" w:pos="905"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right="80" w:hanging="4"/>
        <w:spacing w:after="0" w:line="266" w:lineRule="auto"/>
        <w:tabs>
          <w:tab w:leader="none" w:pos="9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90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540" w:hanging="4"/>
        <w:spacing w:after="0" w:line="282" w:lineRule="auto"/>
        <w:tabs>
          <w:tab w:leader="none" w:pos="915"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34886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2">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Tim Vanderhook</w:t>
      </w:r>
    </w:p>
    <w:p>
      <w:pPr>
        <w:spacing w:after="0" w:line="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Larry Madden, certify that:</w:t>
      </w:r>
    </w:p>
    <w:p>
      <w:pPr>
        <w:spacing w:after="0" w:line="230" w:lineRule="exact"/>
        <w:rPr>
          <w:sz w:val="20"/>
          <w:szCs w:val="20"/>
          <w:color w:val="auto"/>
        </w:rPr>
      </w:pPr>
    </w:p>
    <w:p>
      <w:pPr>
        <w:ind w:left="180" w:hanging="172"/>
        <w:spacing w:after="0"/>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Viant Technology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140" w:hanging="4"/>
        <w:spacing w:after="0" w:line="266" w:lineRule="auto"/>
        <w:tabs>
          <w:tab w:leader="none" w:pos="90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9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333333"/>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640" w:hanging="4"/>
        <w:spacing w:after="0" w:line="312" w:lineRule="auto"/>
        <w:tabs>
          <w:tab w:leader="none" w:pos="905"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jc w:val="both"/>
        <w:ind w:left="660" w:right="80" w:hanging="4"/>
        <w:spacing w:after="0" w:line="266" w:lineRule="auto"/>
        <w:tabs>
          <w:tab w:leader="none" w:pos="9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 w:hanging="4"/>
        <w:spacing w:after="0" w:line="282" w:lineRule="auto"/>
        <w:tabs>
          <w:tab w:leader="none" w:pos="90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540" w:hanging="4"/>
        <w:spacing w:after="0" w:line="282" w:lineRule="auto"/>
        <w:tabs>
          <w:tab w:leader="none" w:pos="915"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11, 2026</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6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Larry Madden</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43"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Viant Technology Inc. (the “Company”) on Form 10-K for the fiscal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460" w:val="left"/>
        </w:tabs>
        <w:rPr>
          <w:sz w:val="20"/>
          <w:szCs w:val="20"/>
          <w:color w:val="auto"/>
        </w:rPr>
      </w:pPr>
      <w:r>
        <w:rPr>
          <w:rFonts w:ascii="Times New Roman" w:cs="Times New Roman" w:eastAsia="Times New Roman" w:hAnsi="Times New Roman"/>
          <w:sz w:val="18"/>
          <w:szCs w:val="18"/>
          <w:color w:val="auto"/>
        </w:rPr>
        <w:t>Date: March 11, 2026</w:t>
      </w:r>
      <w:r>
        <w:rPr>
          <w:sz w:val="20"/>
          <w:szCs w:val="20"/>
          <w:color w:val="auto"/>
        </w:rPr>
        <w:tab/>
      </w:r>
      <w:r>
        <w:rPr>
          <w:rFonts w:ascii="Times New Roman" w:cs="Times New Roman" w:eastAsia="Times New Roman" w:hAnsi="Times New Roman"/>
          <w:sz w:val="18"/>
          <w:szCs w:val="18"/>
          <w:color w:val="auto"/>
        </w:rPr>
        <w:t>By: /s/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Tim Vanderhook</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143"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Viant Technology Inc. (the “Company”) on Form 10-K for the fiscal year ended December 31, 2025,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29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6" w:lineRule="exact"/>
        <w:rPr>
          <w:sz w:val="20"/>
          <w:szCs w:val="20"/>
          <w:color w:val="auto"/>
        </w:rPr>
      </w:pPr>
    </w:p>
    <w:p>
      <w:pPr>
        <w:ind w:left="20"/>
        <w:spacing w:after="0"/>
        <w:tabs>
          <w:tab w:leader="none" w:pos="5460" w:val="left"/>
        </w:tabs>
        <w:rPr>
          <w:sz w:val="20"/>
          <w:szCs w:val="20"/>
          <w:color w:val="auto"/>
        </w:rPr>
      </w:pPr>
      <w:r>
        <w:rPr>
          <w:rFonts w:ascii="Times New Roman" w:cs="Times New Roman" w:eastAsia="Times New Roman" w:hAnsi="Times New Roman"/>
          <w:sz w:val="18"/>
          <w:szCs w:val="18"/>
          <w:color w:val="auto"/>
        </w:rPr>
        <w:t>Date: March 11, 2026</w:t>
      </w:r>
      <w:r>
        <w:rPr>
          <w:sz w:val="20"/>
          <w:szCs w:val="20"/>
          <w:color w:val="auto"/>
        </w:rPr>
        <w:tab/>
      </w:r>
      <w:r>
        <w:rPr>
          <w:rFonts w:ascii="Times New Roman" w:cs="Times New Roman" w:eastAsia="Times New Roman" w:hAnsi="Times New Roman"/>
          <w:sz w:val="18"/>
          <w:szCs w:val="18"/>
          <w:color w:val="auto"/>
        </w:rPr>
        <w:t>By: /s/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26035</wp:posOffset>
            </wp:positionV>
            <wp:extent cx="34118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4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Larry Madden</w:t>
      </w:r>
    </w:p>
    <w:p>
      <w:pPr>
        <w:spacing w:after="0" w:line="6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4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901D82"/>
    <w:multiLevelType w:val="hybridMultilevel"/>
    <w:lvl w:ilvl="0">
      <w:lvlJc w:val="left"/>
      <w:lvlText w:val="x"/>
      <w:numFmt w:val="bullet"/>
      <w:start w:val="1"/>
    </w:lvl>
  </w:abstractNum>
  <w:abstractNum w:abstractNumId="1">
    <w:nsid w:val="3A95F874"/>
    <w:multiLevelType w:val="hybridMultilevel"/>
    <w:lvl w:ilvl="0">
      <w:lvlJc w:val="left"/>
      <w:lvlText w:val="o"/>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lvl w:ilvl="1">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abstractNum>
  <w:abstractNum w:abstractNumId="17">
    <w:nsid w:val="7724C67E"/>
    <w:multiLevelType w:val="hybridMultilevel"/>
    <w:lvl w:ilvl="0">
      <w:lvlJc w:val="left"/>
      <w:lvlText w:val="•"/>
      <w:numFmt w:val="bullet"/>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1)"/>
      <w:numFmt w:val="decimal"/>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lvl w:ilvl="1">
      <w:lvlJc w:val="left"/>
      <w:lvlText w:val="(%2)"/>
      <w:numFmt w:val="decimal"/>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1"/>
    </w:lvl>
  </w:abstractNum>
  <w:abstractNum w:abstractNumId="31">
    <w:nsid w:val="2CD89A32"/>
    <w:multiLevelType w:val="hybridMultilevel"/>
    <w:lvl w:ilvl="0">
      <w:lvlJc w:val="left"/>
      <w:lvlText w:val="(%1)"/>
      <w:numFmt w:val="decimal"/>
      <w:start w:val="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2"/>
    </w:lvl>
  </w:abstractNum>
  <w:abstractNum w:abstractNumId="34">
    <w:nsid w:val="4B588F54"/>
    <w:multiLevelType w:val="hybridMultilevel"/>
    <w:lvl w:ilvl="0">
      <w:lvlJc w:val="left"/>
      <w:lvlText w:val="(%1)"/>
      <w:numFmt w:val="decimal"/>
      <w:start w:val="1"/>
    </w:lvl>
  </w:abstractNum>
  <w:abstractNum w:abstractNumId="35">
    <w:nsid w:val="542289EC"/>
    <w:multiLevelType w:val="hybridMultilevel"/>
    <w:lvl w:ilvl="0">
      <w:lvlJc w:val="left"/>
      <w:lvlText w:val="(%1)"/>
      <w:numFmt w:val="decimal"/>
      <w:start w:val="5"/>
    </w:lvl>
  </w:abstractNum>
  <w:abstractNum w:abstractNumId="36">
    <w:nsid w:val="6DE91B18"/>
    <w:multiLevelType w:val="hybridMultilevel"/>
    <w:lvl w:ilvl="0">
      <w:lvlJc w:val="left"/>
      <w:lvlText w:val="(%1)"/>
      <w:numFmt w:val="decimal"/>
      <w:start w:val="1"/>
    </w:lvl>
  </w:abstractNum>
  <w:abstractNum w:abstractNumId="37">
    <w:nsid w:val="38437FDB"/>
    <w:multiLevelType w:val="hybridMultilevel"/>
    <w:lvl w:ilvl="0">
      <w:lvlJc w:val="left"/>
      <w:lvlText w:val="*"/>
      <w:numFmt w:val="bullet"/>
      <w:start w:val="1"/>
    </w:lvl>
    <w:lvl w:ilvl="1">
      <w:lvlJc w:val="left"/>
      <w:lvlText w:val="(%2)"/>
      <w:numFmt w:val="decimal"/>
      <w:start w:val="1"/>
    </w:lvl>
  </w:abstractNum>
  <w:abstractNum w:abstractNumId="38">
    <w:nsid w:val="7644A45C"/>
    <w:multiLevelType w:val="hybridMultilevel"/>
    <w:lvl w:ilvl="0">
      <w:lvlJc w:val="left"/>
      <w:lvlText w:val="(%1)"/>
      <w:numFmt w:val="decimal"/>
      <w:start w:val="2"/>
    </w:lvl>
  </w:abstractNum>
  <w:abstractNum w:abstractNumId="39">
    <w:nsid w:val="32FFF902"/>
    <w:multiLevelType w:val="hybridMultilevel"/>
    <w:lvl w:ilvl="0">
      <w:lvlJc w:val="left"/>
      <w:lvlText w:val="(%1)"/>
      <w:numFmt w:val="decimal"/>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1)"/>
      <w:numFmt w:val="decimal"/>
      <w:start w:val="1"/>
    </w:lvl>
  </w:abstractNum>
  <w:abstractNum w:abstractNumId="42">
    <w:nsid w:val="749ABB43"/>
    <w:multiLevelType w:val="hybridMultilevel"/>
    <w:lvl w:ilvl="0">
      <w:lvlJc w:val="left"/>
      <w:lvlText w:val="(%1)"/>
      <w:numFmt w:val="decimal"/>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decimal"/>
      <w:start w:val="1"/>
    </w:lvl>
  </w:abstractNum>
  <w:abstractNum w:abstractNumId="48">
    <w:nsid w:val="70C6A529"/>
    <w:multiLevelType w:val="hybridMultilevel"/>
    <w:lvl w:ilvl="0">
      <w:lvlJc w:val="left"/>
      <w:lvlText w:val="(%1)"/>
      <w:numFmt w:val="lowerLetter"/>
      <w:start w:val="1"/>
    </w:lvl>
  </w:abstractNum>
  <w:abstractNum w:abstractNumId="49">
    <w:nsid w:val="520EEDD1"/>
    <w:multiLevelType w:val="hybridMultilevel"/>
    <w:lvl w:ilvl="0">
      <w:lvlJc w:val="left"/>
      <w:lvlText w:val="(%1)"/>
      <w:numFmt w:val="lowerLetter"/>
      <w:start w:val="1"/>
    </w:lvl>
    <w:lvl w:ilvl="1">
      <w:lvlJc w:val="left"/>
      <w:lvlText w:val="(%2)"/>
      <w:numFmt w:val="decimal"/>
      <w:start w:val="1"/>
    </w:lvl>
  </w:abstractNum>
  <w:abstractNum w:abstractNumId="50">
    <w:nsid w:val="374A3FE6"/>
    <w:multiLevelType w:val="hybridMultilevel"/>
    <w:lvl w:ilvl="0">
      <w:lvlJc w:val="left"/>
      <w:lvlText w:val="*"/>
      <w:numFmt w:val="bullet"/>
      <w:start w:val="1"/>
    </w:lvl>
    <w:lvl w:ilvl="1">
      <w:lvlJc w:val="left"/>
      <w:lvlText w:val="%2"/>
      <w:numFmt w:val="decimal"/>
      <w:start w:val="104"/>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decimal"/>
      <w:start w:val="1"/>
    </w:lvl>
    <w:lvl w:ilvl="1">
      <w:lvlJc w:val="left"/>
      <w:lvlText w:val="(%2)"/>
      <w:numFmt w:val="lowerLetter"/>
      <w:start w:val="1"/>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decimal"/>
      <w:start w:val="1"/>
    </w:lvl>
  </w:abstractNum>
  <w:abstractNum w:abstractNumId="56">
    <w:nsid w:val="1CF10FD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44"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3" Type="http://schemas.openxmlformats.org/officeDocument/2006/relationships/image" Target="media/image129.png"/><Relationship Id="rId164" Type="http://schemas.openxmlformats.org/officeDocument/2006/relationships/image" Target="media/image130.png"/><Relationship Id="rId165" Type="http://schemas.openxmlformats.org/officeDocument/2006/relationships/image" Target="media/image131.png"/><Relationship Id="rId166" Type="http://schemas.openxmlformats.org/officeDocument/2006/relationships/image" Target="media/image132.png"/><Relationship Id="rId167" Type="http://schemas.openxmlformats.org/officeDocument/2006/relationships/image" Target="media/image133.png"/><Relationship Id="rId168" Type="http://schemas.openxmlformats.org/officeDocument/2006/relationships/image" Target="media/image134.png"/><Relationship Id="rId169" Type="http://schemas.openxmlformats.org/officeDocument/2006/relationships/image" Target="media/image135.png"/><Relationship Id="rId170" Type="http://schemas.openxmlformats.org/officeDocument/2006/relationships/image" Target="media/image136.png"/><Relationship Id="rId171" Type="http://schemas.openxmlformats.org/officeDocument/2006/relationships/image" Target="media/image137.png"/><Relationship Id="rId172" Type="http://schemas.openxmlformats.org/officeDocument/2006/relationships/image" Target="media/image138.png"/><Relationship Id="rId173"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33" Type="http://schemas.openxmlformats.org/officeDocument/2006/relationships/hyperlink" Target="http://www.sec.gov/Archives/edgar/data/1828791/000156459021014855/dsp-ex31_279.htm" TargetMode="External"/><Relationship Id="rId134" Type="http://schemas.openxmlformats.org/officeDocument/2006/relationships/hyperlink" Target="http://www.sec.gov/Archives/edgar/data/1828791/000156459021014855/dsp-ex32_278.htm" TargetMode="External"/><Relationship Id="rId135" Type="http://schemas.openxmlformats.org/officeDocument/2006/relationships/hyperlink" Target="http://www.sec.gov/Archives/edgar/data/1828791/000156459021014855/dsp-ex41_276.htm" TargetMode="External"/><Relationship Id="rId136" Type="http://schemas.openxmlformats.org/officeDocument/2006/relationships/hyperlink" Target="http://www.sec.gov/Archives/edgar/data/1828791/000156459021014855/dsp-ex101_277.htm" TargetMode="External"/><Relationship Id="rId137" Type="http://schemas.openxmlformats.org/officeDocument/2006/relationships/hyperlink" Target="http://www.sec.gov/Archives/edgar/data/1828791/000156459021014855/dsp-ex102_275.htm" TargetMode="External"/><Relationship Id="rId138" Type="http://schemas.openxmlformats.org/officeDocument/2006/relationships/hyperlink" Target="http://www.sec.gov/Archives/edgar/data/1828791/000156459021014855/dsp-ex103_274.htm" TargetMode="External"/><Relationship Id="rId139" Type="http://schemas.openxmlformats.org/officeDocument/2006/relationships/hyperlink" Target="http://www.sec.gov/Archives/edgar/data/1828791/000156459021014855/dsp-ex104_273.htm" TargetMode="External"/><Relationship Id="rId140" Type="http://schemas.openxmlformats.org/officeDocument/2006/relationships/hyperlink" Target="http://www.sec.gov/Archives/edgar/data/1828791/000119312521023519/d88953dex104.htm" TargetMode="External"/><Relationship Id="rId141" Type="http://schemas.openxmlformats.org/officeDocument/2006/relationships/hyperlink" Target="http://www.sec.gov/Archives/edgar/data/1828791/000119312521023519/d88953dex105.htm" TargetMode="External"/><Relationship Id="rId142" Type="http://schemas.openxmlformats.org/officeDocument/2006/relationships/hyperlink" Target="http://www.sec.gov/Archives/edgar/data/1828791/000119312521023519/d88953dex106.htm" TargetMode="External"/><Relationship Id="rId143" Type="http://schemas.openxmlformats.org/officeDocument/2006/relationships/hyperlink" Target="http://www.sec.gov/Archives/edgar/data/1828791/000119312521023519/d88953dex107.htm" TargetMode="External"/><Relationship Id="rId145" Type="http://schemas.openxmlformats.org/officeDocument/2006/relationships/hyperlink" Target="http://www.sec.gov/Archives/edgar/data/1828791/000119312521023519/d88953dex108.htm" TargetMode="External"/><Relationship Id="rId146" Type="http://schemas.openxmlformats.org/officeDocument/2006/relationships/hyperlink" Target="http://www.sec.gov/Archives/edgar/data/1828791/000119312521023519/d88953dex109.htm" TargetMode="External"/><Relationship Id="rId147" Type="http://schemas.openxmlformats.org/officeDocument/2006/relationships/hyperlink" Target="http://www.sec.gov/Archives/edgar/data/1828791/000156459021056133/dsp-ex101_248.htm" TargetMode="External"/><Relationship Id="rId148" Type="http://schemas.openxmlformats.org/officeDocument/2006/relationships/hyperlink" Target="https://www.sec.gov/Archives/edgar/data/1828791/000182879123000030/redline-conformedcreditagr.htm" TargetMode="External"/><Relationship Id="rId149" Type="http://schemas.openxmlformats.org/officeDocument/2006/relationships/hyperlink" Target="http://www.sec.gov/Archives/edgar/data/0001828791/000119312521034620/d84137dex991.htm" TargetMode="External"/><Relationship Id="rId150" Type="http://schemas.openxmlformats.org/officeDocument/2006/relationships/hyperlink" Target="http://www.sec.gov/Archives/edgar/data/1828791/000119312521023519/d88953dex1013.htm" TargetMode="External"/><Relationship Id="rId151" Type="http://schemas.openxmlformats.org/officeDocument/2006/relationships/hyperlink" Target="http://www.sec.gov/Archives/edgar/data/1828791/000119312521023519/d88953dex1014.htm" TargetMode="External"/><Relationship Id="rId152" Type="http://schemas.openxmlformats.org/officeDocument/2006/relationships/hyperlink" Target="http://www.sec.gov/Archives/edgar/data/0001828791/000119312522066059/d323789dex101.htm" TargetMode="External"/><Relationship Id="rId153" Type="http://schemas.openxmlformats.org/officeDocument/2006/relationships/hyperlink" Target="https://www.sec.gov/Archives/edgar/data/1828791/000182879124000011/dsp-20231231xex1017.htm" TargetMode="External"/><Relationship Id="rId154" Type="http://schemas.openxmlformats.org/officeDocument/2006/relationships/hyperlink" Target="http://www.sec.gov/Archives/edgar/data/1828791/000119312521034620/d84137dex993.htm" TargetMode="External"/><Relationship Id="rId155" Type="http://schemas.openxmlformats.org/officeDocument/2006/relationships/hyperlink" Target="http://www.sec.gov/Archives/edgar/data/1828791/000119312521034620/d84137dex994.htm" TargetMode="External"/><Relationship Id="rId156" Type="http://schemas.openxmlformats.org/officeDocument/2006/relationships/hyperlink" Target="https://www.sec.gov/Archives/edgar/data/1828791/000182879124000011/dsp-20231231xex1020.htm" TargetMode="External"/><Relationship Id="rId157" Type="http://schemas.openxmlformats.org/officeDocument/2006/relationships/hyperlink" Target="https://www.sec.gov/Archives/edgar/data/1828791/000156459022017525/dsp-ex102_267.htm" TargetMode="External"/><Relationship Id="rId158" Type="http://schemas.openxmlformats.org/officeDocument/2006/relationships/hyperlink" Target="https://www.sec.gov/Archives/edgar/data/1828791/000182879124000011/dsp-20231231xex1022.htm" TargetMode="External"/><Relationship Id="rId159" Type="http://schemas.openxmlformats.org/officeDocument/2006/relationships/hyperlink" Target="https://www.sec.gov/Archives/edgar/data/1828791/000182879125000010/a2024insidertradingpolicy.htm" TargetMode="External"/><Relationship Id="rId162" Type="http://schemas.openxmlformats.org/officeDocument/2006/relationships/hyperlink" Target="https://www.sec.gov/Archives/edgar/data/1828791/000182879124000011/dsp-20231231x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2026-03-11T16:06:34Z</dcterms:created>
  <dcterms:modified xsi:type="dcterms:W3CDTF">2026-03-11T16:06:34Z</dcterms:modified>
</cp:coreProperties>
</file>