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120" w:after="283"/>
        <w:jc w:val="center"/>
        <w:rPr/>
      </w:pPr>
      <w:r>
        <w:rPr/>
        <w:drawing>
          <wp:inline distT="0" distB="0" distL="0" distR="0">
            <wp:extent cx="302895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28950" cy="561975"/>
                    </a:xfrm>
                    <a:prstGeom prst="rect">
                      <a:avLst/>
                    </a:prstGeom>
                  </pic:spPr>
                </pic:pic>
              </a:graphicData>
            </a:graphic>
          </wp:inline>
        </w:drawing>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w:t>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FISCAL YEAR 2023 ANNUAL FINANCIAL REPORT</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 xml:space="preserve">UNITED STATES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SECURITIES AND EXCHANGE COMMISSION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FORM 10-K</w:t>
      </w:r>
    </w:p>
    <w:tbl>
      <w:tblPr>
        <w:tblW w:w="9972" w:type="dxa"/>
        <w:jc w:val="center"/>
        <w:tblInd w:w="0" w:type="dxa"/>
        <w:tblLayout w:type="fixed"/>
        <w:tblCellMar>
          <w:top w:w="28" w:type="dxa"/>
          <w:left w:w="28" w:type="dxa"/>
          <w:bottom w:w="28" w:type="dxa"/>
          <w:right w:w="28" w:type="dxa"/>
        </w:tblCellMar>
      </w:tblPr>
      <w:tblGrid>
        <w:gridCol w:w="124"/>
        <w:gridCol w:w="109"/>
        <w:gridCol w:w="109"/>
        <w:gridCol w:w="2821"/>
        <w:gridCol w:w="2821"/>
        <w:gridCol w:w="39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39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6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ANNUAL REPORT PURSUANT TO SECTION 13 OR 15(d) OF THE SECURITIES EXCHANGE ACT OF 1934 </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TRANSITION REPORT PURSUANT TO SECTION 13 OR 15(d) OF THE SECURITIES EXCHANGE ACT OF 1934 </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from__________to__________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001-40015</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__________________________________________________________________________</w:t>
      </w:r>
    </w:p>
    <w:p>
      <w:pPr>
        <w:pStyle w:val="TextBody"/>
        <w:bidi w:val="0"/>
        <w:spacing w:before="120" w:after="283"/>
        <w:jc w:val="center"/>
        <w:rPr/>
      </w:pPr>
      <w:r>
        <w:rPr/>
        <w:drawing>
          <wp:inline distT="0" distB="0" distL="0" distR="0">
            <wp:extent cx="2257425"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57425" cy="428625"/>
                    </a:xfrm>
                    <a:prstGeom prst="rect">
                      <a:avLst/>
                    </a:prstGeom>
                  </pic:spPr>
                </pic:pic>
              </a:graphicData>
            </a:graphic>
          </wp:inline>
        </w:drawing>
      </w:r>
    </w:p>
    <w:p>
      <w:pPr>
        <w:pStyle w:val="TextBody"/>
        <w:bidi w:val="0"/>
        <w:spacing w:lineRule="auto" w:line="288" w:before="120" w:after="283"/>
        <w:jc w:val="center"/>
        <w:rPr/>
      </w:pPr>
      <w:r>
        <w:rPr>
          <w:rFonts w:ascii="Times New Roman;sans-serif" w:hAnsi="Times New Roman;sans-serif"/>
          <w:b/>
          <w:color w:val="000000"/>
          <w:sz w:val="24"/>
          <w:shd w:fill="FFFFFF" w:val="clear"/>
        </w:rPr>
        <w:t>Viant Technology Inc.</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_____________________________________________________________________________</w:t>
      </w:r>
    </w:p>
    <w:tbl>
      <w:tblPr>
        <w:tblW w:w="7064" w:type="dxa"/>
        <w:jc w:val="center"/>
        <w:tblInd w:w="0" w:type="dxa"/>
        <w:tblLayout w:type="fixed"/>
        <w:tblCellMar>
          <w:top w:w="28" w:type="dxa"/>
          <w:left w:w="28" w:type="dxa"/>
          <w:bottom w:w="28" w:type="dxa"/>
          <w:right w:w="28" w:type="dxa"/>
        </w:tblCellMar>
      </w:tblPr>
      <w:tblGrid>
        <w:gridCol w:w="933"/>
        <w:gridCol w:w="819"/>
        <w:gridCol w:w="828"/>
        <w:gridCol w:w="944"/>
        <w:gridCol w:w="944"/>
        <w:gridCol w:w="947"/>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85-3447553</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2722 Michelson Drive, Suite 100</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Irvine, CA, 92612</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and zip code)</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(949) 861-8888</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(Registrant’s telephone number, including area code) </w:t>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Securities registered pursuant to Section 12(b) of the Act: </w:t>
      </w:r>
    </w:p>
    <w:tbl>
      <w:tblPr>
        <w:tblW w:w="10205" w:type="dxa"/>
        <w:jc w:val="center"/>
        <w:tblInd w:w="0" w:type="dxa"/>
        <w:tblLayout w:type="fixed"/>
        <w:tblCellMar>
          <w:top w:w="28" w:type="dxa"/>
          <w:left w:w="28" w:type="dxa"/>
          <w:bottom w:w="28" w:type="dxa"/>
          <w:right w:w="28" w:type="dxa"/>
        </w:tblCellMar>
      </w:tblPr>
      <w:tblGrid>
        <w:gridCol w:w="1489"/>
        <w:gridCol w:w="1303"/>
        <w:gridCol w:w="1318"/>
        <w:gridCol w:w="109"/>
        <w:gridCol w:w="109"/>
        <w:gridCol w:w="109"/>
        <w:gridCol w:w="557"/>
        <w:gridCol w:w="557"/>
        <w:gridCol w:w="559"/>
        <w:gridCol w:w="109"/>
        <w:gridCol w:w="109"/>
        <w:gridCol w:w="109"/>
        <w:gridCol w:w="1100"/>
        <w:gridCol w:w="1100"/>
        <w:gridCol w:w="1568"/>
      </w:tblGrid>
      <w:tr>
        <w:trPr/>
        <w:tc>
          <w:tcPr>
            <w:tcW w:w="148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DSP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12(g) of the Act: None </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6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56"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8"/>
        </w:rPr>
        <w:t>o</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8"/>
        </w:rPr>
        <w:t>o</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8"/>
        </w:rPr>
        <w:t>o</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Indicate by check mark whether the registrant is a shell company (as defined in Rule 12b-2 of the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6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voting and non-voting common equity held by non-affiliates of the registrant, based on the closing price of the registrant's Class A common stock on the Nasdaq Global Select Market on June 30, 2023, the last business day of the registrant’s most recently completed second fiscal quarter, was approximately $68.9 million.</w:t>
      </w:r>
    </w:p>
    <w:p>
      <w:pPr>
        <w:pStyle w:val="TextBody"/>
        <w:bidi w:val="0"/>
        <w:spacing w:lineRule="auto" w:line="288" w:before="6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1, 2024, there were 15,796,531 shares and 47,032,260 shares of the registrant’s Class A and Class B common stock, respectively, each $0.001 par value per share, outstanding. </w:t>
      </w:r>
    </w:p>
    <w:p>
      <w:pPr>
        <w:pStyle w:val="TextBody"/>
        <w:bidi w:val="0"/>
        <w:spacing w:lineRule="auto" w:line="288" w:before="120" w:after="60"/>
        <w:jc w:val="center"/>
        <w:rPr>
          <w:rFonts w:ascii="Times New Roman;sans-serif" w:hAnsi="Times New Roman;sans-serif"/>
          <w:b w:val="false"/>
          <w:i/>
          <w:color w:val="000000"/>
          <w:sz w:val="18"/>
        </w:rPr>
      </w:pPr>
      <w:r>
        <w:rPr>
          <w:rFonts w:ascii="Times New Roman;sans-serif" w:hAnsi="Times New Roman;sans-serif"/>
          <w:b w:val="false"/>
          <w:i/>
          <w:color w:val="000000"/>
          <w:sz w:val="18"/>
        </w:rPr>
        <w:t>DOCUMENTS INCORPORATED BY REFERENCE</w:t>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definitive Proxy Statement for its 2024 Annual Meeting of Stockholders, which the registrant intends to file pursuant to Regulation 14A with the Securities and Exchange Commission no later than 120 days after the registrant’s fiscal year ended December 31, 2023, are incorporated by reference into Part III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3"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VIANT TECHNOLOGY INC.</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10205" w:type="dxa"/>
        <w:jc w:val="center"/>
        <w:tblInd w:w="0" w:type="dxa"/>
        <w:tblLayout w:type="fixed"/>
        <w:tblCellMar>
          <w:top w:w="28" w:type="dxa"/>
          <w:left w:w="28" w:type="dxa"/>
          <w:bottom w:w="28" w:type="dxa"/>
          <w:right w:w="28" w:type="dxa"/>
        </w:tblCellMar>
      </w:tblPr>
      <w:tblGrid>
        <w:gridCol w:w="288"/>
        <w:gridCol w:w="253"/>
        <w:gridCol w:w="254"/>
        <w:gridCol w:w="2944"/>
        <w:gridCol w:w="2944"/>
        <w:gridCol w:w="2949"/>
        <w:gridCol w:w="167"/>
        <w:gridCol w:w="167"/>
        <w:gridCol w:w="239"/>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0">
              <w:r>
                <w:rPr>
                  <w:rStyle w:val="InternetLink"/>
                  <w:rFonts w:ascii="Times New Roman;sans-serif" w:hAnsi="Times New Roman;sans-serif"/>
                  <w:b w:val="false"/>
                  <w:color w:val="0000FF"/>
                  <w:sz w:val="20"/>
                  <w:u w:val="single"/>
                </w:rPr>
                <w:t>SPECIAL NOTE REGARDING FORWARD-LOOKING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3">
              <w:r>
                <w:rPr>
                  <w:rStyle w:val="InternetLink"/>
                  <w:rFonts w:ascii="Times New Roman;sans-serif" w:hAnsi="Times New Roman;sans-serif"/>
                  <w:b w:val="false"/>
                  <w:color w:val="0000FF"/>
                  <w:sz w:val="20"/>
                  <w:u w:val="single"/>
                </w:rPr>
                <w:t>RISK FACTOR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13">
              <w:r>
                <w:rPr>
                  <w:rStyle w:val="InternetLink"/>
                  <w:rFonts w:ascii="Times New Roman;sans-serif" w:hAnsi="Times New Roman;sans-serif"/>
                  <w:b w:val="false"/>
                  <w:strike w:val="false"/>
                  <w:dstrike w:val="false"/>
                  <w:color w:val="000000"/>
                  <w:sz w:val="20"/>
                  <w:u w:val="none"/>
                  <w:effect w:val="none"/>
                </w:rPr>
                <w:t>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2ac6ade9373462f87f89f00de532d41_16">
              <w:r>
                <w:rPr>
                  <w:rStyle w:val="InternetLink"/>
                  <w:rFonts w:ascii="Times New Roman;sans-serif" w:hAnsi="Times New Roman;sans-serif"/>
                  <w:b/>
                  <w:color w:val="0000FF"/>
                  <w:sz w:val="20"/>
                  <w:u w:val="single"/>
                </w:rPr>
                <w:t>PART I</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9">
              <w:r>
                <w:rPr>
                  <w:rStyle w:val="InternetLink"/>
                  <w:rFonts w:ascii="Times New Roman;sans-serif" w:hAnsi="Times New Roman;sans-serif"/>
                  <w:b w:val="false"/>
                  <w:strike w:val="false"/>
                  <w:dstrike w:val="false"/>
                  <w:color w:val="000000"/>
                  <w:sz w:val="20"/>
                  <w:u w:val="none"/>
                  <w:effect w:val="none"/>
                </w:rPr>
                <w:t>Item 1.</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9">
              <w:r>
                <w:rPr>
                  <w:rStyle w:val="InternetLink"/>
                  <w:rFonts w:ascii="Times New Roman;sans-serif" w:hAnsi="Times New Roman;sans-serif"/>
                  <w:b w:val="false"/>
                  <w:color w:val="0000FF"/>
                  <w:sz w:val="20"/>
                  <w:u w:val="single"/>
                </w:rPr>
                <w:t>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19">
              <w:r>
                <w:rPr>
                  <w:rStyle w:val="InternetLink"/>
                  <w:rFonts w:ascii="Times New Roman;sans-serif" w:hAnsi="Times New Roman;sans-serif"/>
                  <w:b w:val="false"/>
                  <w:strike w:val="false"/>
                  <w:dstrike w:val="false"/>
                  <w:color w:val="000000"/>
                  <w:sz w:val="20"/>
                  <w:u w:val="none"/>
                  <w:effect w:val="none"/>
                </w:rPr>
                <w:t>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22">
              <w:r>
                <w:rPr>
                  <w:rStyle w:val="InternetLink"/>
                  <w:rFonts w:ascii="Times New Roman;sans-serif" w:hAnsi="Times New Roman;sans-serif"/>
                  <w:b w:val="false"/>
                  <w:strike w:val="false"/>
                  <w:dstrike w:val="false"/>
                  <w:color w:val="000000"/>
                  <w:sz w:val="20"/>
                  <w:u w:val="none"/>
                  <w:effect w:val="none"/>
                </w:rPr>
                <w:t>Item 1A.</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22">
              <w:r>
                <w:rPr>
                  <w:rStyle w:val="InternetLink"/>
                  <w:rFonts w:ascii="Times New Roman;sans-serif" w:hAnsi="Times New Roman;sans-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22">
              <w:r>
                <w:rPr>
                  <w:rStyle w:val="InternetLink"/>
                  <w:rFonts w:ascii="Times New Roman;sans-serif" w:hAnsi="Times New Roman;sans-serif"/>
                  <w:b w:val="false"/>
                  <w:strike w:val="false"/>
                  <w:dstrike w:val="false"/>
                  <w:color w:val="000000"/>
                  <w:sz w:val="20"/>
                  <w:u w:val="none"/>
                  <w:effect w:val="none"/>
                </w:rPr>
                <w:t>16</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25">
              <w:r>
                <w:rPr>
                  <w:rStyle w:val="InternetLink"/>
                  <w:rFonts w:ascii="Times New Roman;sans-serif" w:hAnsi="Times New Roman;sans-serif"/>
                  <w:b w:val="false"/>
                  <w:strike w:val="false"/>
                  <w:dstrike w:val="false"/>
                  <w:color w:val="000000"/>
                  <w:sz w:val="20"/>
                  <w:u w:val="none"/>
                  <w:effect w:val="none"/>
                </w:rPr>
                <w:t>Item 1B.</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25">
              <w:r>
                <w:rPr>
                  <w:rStyle w:val="InternetLink"/>
                  <w:rFonts w:ascii="Times New Roman;sans-serif" w:hAnsi="Times New Roman;sans-serif"/>
                  <w:b w:val="false"/>
                  <w:color w:val="0000FF"/>
                  <w:sz w:val="20"/>
                  <w:u w:val="single"/>
                </w:rPr>
                <w:t>Unresolved Staff Comments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25">
              <w:r>
                <w:rPr>
                  <w:rStyle w:val="InternetLink"/>
                  <w:rFonts w:ascii="Times New Roman;sans-serif" w:hAnsi="Times New Roman;sans-serif"/>
                  <w:b w:val="false"/>
                  <w:strike w:val="false"/>
                  <w:dstrike w:val="false"/>
                  <w:color w:val="000000"/>
                  <w:sz w:val="20"/>
                  <w:u w:val="none"/>
                  <w:effect w:val="none"/>
                </w:rPr>
                <w:t>41</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675">
              <w:r>
                <w:rPr>
                  <w:rStyle w:val="InternetLink"/>
                  <w:rFonts w:ascii="Times New Roman;sans-serif" w:hAnsi="Times New Roman;sans-serif"/>
                  <w:b w:val="false"/>
                  <w:strike w:val="false"/>
                  <w:dstrike w:val="false"/>
                  <w:color w:val="000080"/>
                  <w:sz w:val="20"/>
                  <w:u w:val="single"/>
                  <w:effect w:val="none"/>
                </w:rPr>
                <w:t>I</w:t>
              </w:r>
            </w:hyperlink>
            <w:hyperlink w:anchor="if2ac6ade9373462f87f89f00de532d41_675">
              <w:r>
                <w:rPr>
                  <w:rStyle w:val="InternetLink"/>
                  <w:rFonts w:ascii="Times New Roman;sans-serif" w:hAnsi="Times New Roman;sans-serif"/>
                  <w:b w:val="false"/>
                  <w:strike w:val="false"/>
                  <w:dstrike w:val="false"/>
                  <w:color w:val="000080"/>
                  <w:sz w:val="20"/>
                  <w:u w:val="single"/>
                  <w:effect w:val="none"/>
                </w:rPr>
                <w:t>tem 1C</w:t>
              </w:r>
            </w:hyperlink>
            <w:hyperlink w:anchor="if2ac6ade9373462f87f89f00de532d41_675">
              <w:r>
                <w:rPr>
                  <w:rStyle w:val="InternetLink"/>
                  <w:rFonts w:ascii="Times New Roman;sans-serif" w:hAnsi="Times New Roman;sans-serif"/>
                  <w:b w:val="false"/>
                  <w:strike w:val="false"/>
                  <w:dstrike w:val="false"/>
                  <w:color w:val="000080"/>
                  <w:sz w:val="20"/>
                  <w:u w:val="single"/>
                  <w:effect w:val="none"/>
                </w:rPr>
                <w:t>.</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675">
              <w:r>
                <w:rPr>
                  <w:rStyle w:val="InternetLink"/>
                  <w:rFonts w:ascii="Times New Roman;sans-serif" w:hAnsi="Times New Roman;sans-serif"/>
                  <w:b w:val="false"/>
                  <w:color w:val="000080"/>
                  <w:sz w:val="20"/>
                  <w:u w:val="single"/>
                </w:rPr>
                <w:t>C</w:t>
              </w:r>
            </w:hyperlink>
            <w:hyperlink w:anchor="if2ac6ade9373462f87f89f00de532d41_675">
              <w:r>
                <w:rPr>
                  <w:rStyle w:val="InternetLink"/>
                  <w:rFonts w:ascii="Times New Roman;sans-serif" w:hAnsi="Times New Roman;sans-serif"/>
                  <w:b w:val="false"/>
                  <w:color w:val="000080"/>
                  <w:sz w:val="20"/>
                  <w:u w:val="single"/>
                </w:rPr>
                <w:t>yber</w:t>
              </w:r>
            </w:hyperlink>
            <w:hyperlink w:anchor="if2ac6ade9373462f87f89f00de532d41_675">
              <w:r>
                <w:rPr>
                  <w:rStyle w:val="InternetLink"/>
                  <w:rFonts w:ascii="Times New Roman;sans-serif" w:hAnsi="Times New Roman;sans-serif"/>
                  <w:b w:val="false"/>
                  <w:color w:val="000080"/>
                  <w:sz w:val="20"/>
                  <w:u w:val="single"/>
                </w:rPr>
                <w:t>security</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25">
              <w:r>
                <w:rPr>
                  <w:rStyle w:val="InternetLink"/>
                  <w:rFonts w:ascii="Times New Roman;sans-serif" w:hAnsi="Times New Roman;sans-serif"/>
                  <w:b w:val="false"/>
                  <w:strike w:val="false"/>
                  <w:dstrike w:val="false"/>
                  <w:color w:val="000000"/>
                  <w:sz w:val="20"/>
                  <w:u w:val="none"/>
                  <w:effect w:val="none"/>
                </w:rPr>
                <w:t>41</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28">
              <w:r>
                <w:rPr>
                  <w:rStyle w:val="InternetLink"/>
                  <w:rFonts w:ascii="Times New Roman;sans-serif" w:hAnsi="Times New Roman;sans-serif"/>
                  <w:b w:val="false"/>
                  <w:strike w:val="false"/>
                  <w:dstrike w:val="false"/>
                  <w:color w:val="000000"/>
                  <w:sz w:val="20"/>
                  <w:u w:val="none"/>
                  <w:effect w:val="none"/>
                </w:rPr>
                <w:t>Item 2.</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28">
              <w:r>
                <w:rPr>
                  <w:rStyle w:val="InternetLink"/>
                  <w:rFonts w:ascii="Times New Roman;sans-serif" w:hAnsi="Times New Roman;sans-serif"/>
                  <w:b w:val="false"/>
                  <w:color w:val="0000FF"/>
                  <w:sz w:val="20"/>
                  <w:u w:val="single"/>
                </w:rPr>
                <w:t>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28">
              <w:r>
                <w:rPr>
                  <w:rStyle w:val="InternetLink"/>
                  <w:rFonts w:ascii="Times New Roman;sans-serif" w:hAnsi="Times New Roman;sans-serif"/>
                  <w:b w:val="false"/>
                  <w:strike w:val="false"/>
                  <w:dstrike w:val="false"/>
                  <w:color w:val="000000"/>
                  <w:sz w:val="20"/>
                  <w:u w:val="none"/>
                  <w:effect w:val="none"/>
                </w:rPr>
                <w:t>42</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31">
              <w:r>
                <w:rPr>
                  <w:rStyle w:val="InternetLink"/>
                  <w:rFonts w:ascii="Times New Roman;sans-serif" w:hAnsi="Times New Roman;sans-serif"/>
                  <w:b w:val="false"/>
                  <w:strike w:val="false"/>
                  <w:dstrike w:val="false"/>
                  <w:color w:val="000000"/>
                  <w:sz w:val="20"/>
                  <w:u w:val="none"/>
                  <w:effect w:val="none"/>
                </w:rPr>
                <w:t>Item 3.</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31">
              <w:r>
                <w:rPr>
                  <w:rStyle w:val="InternetLink"/>
                  <w:rFonts w:ascii="Times New Roman;sans-serif" w:hAnsi="Times New Roman;sans-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31">
              <w:r>
                <w:rPr>
                  <w:rStyle w:val="InternetLink"/>
                  <w:rFonts w:ascii="Times New Roman;sans-serif" w:hAnsi="Times New Roman;sans-serif"/>
                  <w:b w:val="false"/>
                  <w:strike w:val="false"/>
                  <w:dstrike w:val="false"/>
                  <w:color w:val="000000"/>
                  <w:sz w:val="20"/>
                  <w:u w:val="none"/>
                  <w:effect w:val="none"/>
                </w:rPr>
                <w:t>42</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34">
              <w:r>
                <w:rPr>
                  <w:rStyle w:val="InternetLink"/>
                  <w:rFonts w:ascii="Times New Roman;sans-serif" w:hAnsi="Times New Roman;sans-serif"/>
                  <w:b w:val="false"/>
                  <w:strike w:val="false"/>
                  <w:dstrike w:val="false"/>
                  <w:color w:val="000000"/>
                  <w:sz w:val="20"/>
                  <w:u w:val="none"/>
                  <w:effect w:val="none"/>
                </w:rPr>
                <w:t>Item 4.</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34">
              <w:r>
                <w:rPr>
                  <w:rStyle w:val="InternetLink"/>
                  <w:rFonts w:ascii="Times New Roman;sans-serif" w:hAnsi="Times New Roman;sans-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34">
              <w:r>
                <w:rPr>
                  <w:rStyle w:val="InternetLink"/>
                  <w:rFonts w:ascii="Times New Roman;sans-serif" w:hAnsi="Times New Roman;sans-serif"/>
                  <w:b w:val="false"/>
                  <w:strike w:val="false"/>
                  <w:dstrike w:val="false"/>
                  <w:color w:val="000000"/>
                  <w:sz w:val="20"/>
                  <w:u w:val="none"/>
                  <w:effect w:val="none"/>
                </w:rPr>
                <w:t>42</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2ac6ade9373462f87f89f00de532d41_37">
              <w:r>
                <w:rPr>
                  <w:rStyle w:val="InternetLink"/>
                  <w:rFonts w:ascii="Times New Roman;sans-serif" w:hAnsi="Times New Roman;sans-serif"/>
                  <w:b/>
                  <w:color w:val="0000FF"/>
                  <w:sz w:val="20"/>
                  <w:u w:val="single"/>
                </w:rPr>
                <w:t>PART II</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40">
              <w:r>
                <w:rPr>
                  <w:rStyle w:val="InternetLink"/>
                  <w:rFonts w:ascii="Times New Roman;sans-serif" w:hAnsi="Times New Roman;sans-serif"/>
                  <w:b w:val="false"/>
                  <w:strike w:val="false"/>
                  <w:dstrike w:val="false"/>
                  <w:color w:val="000000"/>
                  <w:sz w:val="20"/>
                  <w:u w:val="none"/>
                  <w:effect w:val="none"/>
                </w:rPr>
                <w:t>Item 5.</w:t>
              </w:r>
            </w:hyperlink>
          </w:p>
        </w:tc>
        <w:tc>
          <w:tcPr>
            <w:tcW w:w="8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ac6ade9373462f87f89f00de532d41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40">
              <w:r>
                <w:rPr>
                  <w:rStyle w:val="InternetLink"/>
                  <w:rFonts w:ascii="Times New Roman;sans-serif" w:hAnsi="Times New Roman;sans-serif"/>
                  <w:b w:val="false"/>
                  <w:strike w:val="false"/>
                  <w:dstrike w:val="false"/>
                  <w:color w:val="000000"/>
                  <w:sz w:val="20"/>
                  <w:u w:val="none"/>
                  <w:effect w:val="none"/>
                </w:rPr>
                <w:t>43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43">
              <w:r>
                <w:rPr>
                  <w:rStyle w:val="InternetLink"/>
                  <w:rFonts w:ascii="Times New Roman;sans-serif" w:hAnsi="Times New Roman;sans-serif"/>
                  <w:b w:val="false"/>
                  <w:strike w:val="false"/>
                  <w:dstrike w:val="false"/>
                  <w:color w:val="000000"/>
                  <w:sz w:val="20"/>
                  <w:u w:val="none"/>
                  <w:effect w:val="none"/>
                </w:rPr>
                <w:t>Item 6.</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43">
              <w:r>
                <w:rPr>
                  <w:rStyle w:val="InternetLink"/>
                  <w:rFonts w:ascii="Times New Roman;sans-serif" w:hAnsi="Times New Roman;sans-serif"/>
                  <w:b w:val="false"/>
                  <w:color w:val="0000FF"/>
                  <w:sz w:val="20"/>
                  <w:u w:val="single"/>
                </w:rPr>
                <w:t>Reserved.</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43">
              <w:r>
                <w:rPr>
                  <w:rStyle w:val="InternetLink"/>
                  <w:rFonts w:ascii="Times New Roman;sans-serif" w:hAnsi="Times New Roman;sans-serif"/>
                  <w:b w:val="false"/>
                  <w:strike w:val="false"/>
                  <w:dstrike w:val="false"/>
                  <w:color w:val="000000"/>
                  <w:sz w:val="20"/>
                  <w:u w:val="none"/>
                  <w:effect w:val="none"/>
                </w:rPr>
                <w:t>44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46">
              <w:r>
                <w:rPr>
                  <w:rStyle w:val="InternetLink"/>
                  <w:rFonts w:ascii="Times New Roman;sans-serif" w:hAnsi="Times New Roman;sans-serif"/>
                  <w:b w:val="false"/>
                  <w:strike w:val="false"/>
                  <w:dstrike w:val="false"/>
                  <w:color w:val="000000"/>
                  <w:sz w:val="20"/>
                  <w:u w:val="none"/>
                  <w:effect w:val="none"/>
                </w:rPr>
                <w:t>Item 7.</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46">
              <w:r>
                <w:rPr>
                  <w:rStyle w:val="InternetLink"/>
                  <w:rFonts w:ascii="Times New Roman;sans-serif" w:hAnsi="Times New Roman;sans-serif"/>
                  <w:b w:val="false"/>
                  <w:strike w:val="false"/>
                  <w:dstrike w:val="false"/>
                  <w:color w:val="000000"/>
                  <w:sz w:val="20"/>
                  <w:u w:val="none"/>
                  <w:effect w:val="none"/>
                </w:rPr>
                <w:t>45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85">
              <w:r>
                <w:rPr>
                  <w:rStyle w:val="InternetLink"/>
                  <w:rFonts w:ascii="Times New Roman;sans-serif" w:hAnsi="Times New Roman;sans-serif"/>
                  <w:b w:val="false"/>
                  <w:strike w:val="false"/>
                  <w:dstrike w:val="false"/>
                  <w:color w:val="000000"/>
                  <w:sz w:val="20"/>
                  <w:u w:val="none"/>
                  <w:effect w:val="none"/>
                </w:rPr>
                <w:t>Item 7A.</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85">
              <w:r>
                <w:rPr>
                  <w:rStyle w:val="InternetLink"/>
                  <w:rFonts w:ascii="Times New Roman;sans-serif" w:hAnsi="Times New Roman;sans-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85">
              <w:r>
                <w:rPr>
                  <w:rStyle w:val="InternetLink"/>
                  <w:rFonts w:ascii="Times New Roman;sans-serif" w:hAnsi="Times New Roman;sans-serif"/>
                  <w:b w:val="false"/>
                  <w:strike w:val="false"/>
                  <w:dstrike w:val="false"/>
                  <w:color w:val="000000"/>
                  <w:sz w:val="20"/>
                  <w:u w:val="none"/>
                  <w:effect w:val="none"/>
                </w:rPr>
                <w:t>73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88">
              <w:r>
                <w:rPr>
                  <w:rStyle w:val="InternetLink"/>
                  <w:rFonts w:ascii="Times New Roman;sans-serif" w:hAnsi="Times New Roman;sans-serif"/>
                  <w:b w:val="false"/>
                  <w:strike w:val="false"/>
                  <w:dstrike w:val="false"/>
                  <w:color w:val="000000"/>
                  <w:sz w:val="20"/>
                  <w:u w:val="none"/>
                  <w:effect w:val="none"/>
                </w:rPr>
                <w:t>Item 8.</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88">
              <w:r>
                <w:rPr>
                  <w:rStyle w:val="InternetLink"/>
                  <w:rFonts w:ascii="Times New Roman;sans-serif" w:hAnsi="Times New Roman;sans-serif"/>
                  <w:b w:val="false"/>
                  <w:color w:val="0000FF"/>
                  <w:sz w:val="20"/>
                  <w:u w:val="single"/>
                </w:rPr>
                <w:t>Financial Statements and Supplementary Data</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88">
              <w:r>
                <w:rPr>
                  <w:rStyle w:val="InternetLink"/>
                  <w:rFonts w:ascii="Times New Roman;sans-serif" w:hAnsi="Times New Roman;sans-serif"/>
                  <w:b w:val="false"/>
                  <w:strike w:val="false"/>
                  <w:dstrike w:val="false"/>
                  <w:color w:val="000000"/>
                  <w:sz w:val="20"/>
                  <w:u w:val="none"/>
                  <w:effect w:val="none"/>
                </w:rPr>
                <w:t>74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60">
              <w:r>
                <w:rPr>
                  <w:rStyle w:val="InternetLink"/>
                  <w:rFonts w:ascii="Times New Roman;sans-serif" w:hAnsi="Times New Roman;sans-serif"/>
                  <w:b w:val="false"/>
                  <w:strike w:val="false"/>
                  <w:dstrike w:val="false"/>
                  <w:color w:val="000000"/>
                  <w:sz w:val="20"/>
                  <w:u w:val="none"/>
                  <w:effect w:val="none"/>
                </w:rPr>
                <w:t>Item 9.</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60">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160">
              <w:r>
                <w:rPr>
                  <w:rStyle w:val="InternetLink"/>
                  <w:rFonts w:ascii="Times New Roman;sans-serif" w:hAnsi="Times New Roman;sans-serif"/>
                  <w:b w:val="false"/>
                  <w:strike w:val="false"/>
                  <w:dstrike w:val="false"/>
                  <w:color w:val="000000"/>
                  <w:sz w:val="20"/>
                  <w:u w:val="none"/>
                  <w:effect w:val="none"/>
                </w:rPr>
                <w:t>103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63">
              <w:r>
                <w:rPr>
                  <w:rStyle w:val="InternetLink"/>
                  <w:rFonts w:ascii="Times New Roman;sans-serif" w:hAnsi="Times New Roman;sans-serif"/>
                  <w:b w:val="false"/>
                  <w:strike w:val="false"/>
                  <w:dstrike w:val="false"/>
                  <w:color w:val="000000"/>
                  <w:sz w:val="20"/>
                  <w:u w:val="none"/>
                  <w:effect w:val="none"/>
                </w:rPr>
                <w:t>Item 9A.</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63">
              <w:r>
                <w:rPr>
                  <w:rStyle w:val="InternetLink"/>
                  <w:rFonts w:ascii="Times New Roman;sans-serif" w:hAnsi="Times New Roman;sans-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163">
              <w:r>
                <w:rPr>
                  <w:rStyle w:val="InternetLink"/>
                  <w:rFonts w:ascii="Times New Roman;sans-serif" w:hAnsi="Times New Roman;sans-serif"/>
                  <w:b w:val="false"/>
                  <w:strike w:val="false"/>
                  <w:dstrike w:val="false"/>
                  <w:color w:val="000000"/>
                  <w:sz w:val="20"/>
                  <w:u w:val="none"/>
                  <w:effect w:val="none"/>
                </w:rPr>
                <w:t>103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66">
              <w:r>
                <w:rPr>
                  <w:rStyle w:val="InternetLink"/>
                  <w:rFonts w:ascii="Times New Roman;sans-serif" w:hAnsi="Times New Roman;sans-serif"/>
                  <w:b w:val="false"/>
                  <w:strike w:val="false"/>
                  <w:dstrike w:val="false"/>
                  <w:color w:val="000000"/>
                  <w:sz w:val="20"/>
                  <w:u w:val="none"/>
                  <w:effect w:val="none"/>
                </w:rPr>
                <w:t>Item 9B.</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66">
              <w:r>
                <w:rPr>
                  <w:rStyle w:val="InternetLink"/>
                  <w:rFonts w:ascii="Times New Roman;sans-serif" w:hAnsi="Times New Roman;sans-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166">
              <w:r>
                <w:rPr>
                  <w:rStyle w:val="InternetLink"/>
                  <w:rFonts w:ascii="Times New Roman;sans-serif" w:hAnsi="Times New Roman;sans-serif"/>
                  <w:b w:val="false"/>
                  <w:strike w:val="false"/>
                  <w:dstrike w:val="false"/>
                  <w:color w:val="000000"/>
                  <w:sz w:val="20"/>
                  <w:u w:val="none"/>
                  <w:effect w:val="none"/>
                </w:rPr>
                <w:t>104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69">
              <w:r>
                <w:rPr>
                  <w:rStyle w:val="InternetLink"/>
                  <w:rFonts w:ascii="Times New Roman;sans-serif" w:hAnsi="Times New Roman;sans-serif"/>
                  <w:b w:val="false"/>
                  <w:strike w:val="false"/>
                  <w:dstrike w:val="false"/>
                  <w:color w:val="000000"/>
                  <w:sz w:val="20"/>
                  <w:u w:val="none"/>
                  <w:effect w:val="none"/>
                </w:rPr>
                <w:t>Item 9C.</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69">
              <w:r>
                <w:rPr>
                  <w:rStyle w:val="InternetLink"/>
                  <w:rFonts w:ascii="Times New Roman;sans-serif" w:hAnsi="Times New Roman;sans-serif"/>
                  <w:b w:val="false"/>
                  <w:color w:val="0000FF"/>
                  <w:sz w:val="20"/>
                  <w:u w:val="single"/>
                </w:rPr>
                <w:t>Disclosure Regarding Foreign Jurisdictions that Prevent Inspections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169">
              <w:r>
                <w:rPr>
                  <w:rStyle w:val="InternetLink"/>
                  <w:rFonts w:ascii="Times New Roman;sans-serif" w:hAnsi="Times New Roman;sans-serif"/>
                  <w:b w:val="false"/>
                  <w:strike w:val="false"/>
                  <w:dstrike w:val="false"/>
                  <w:color w:val="000000"/>
                  <w:sz w:val="20"/>
                  <w:u w:val="none"/>
                  <w:effect w:val="none"/>
                </w:rPr>
                <w:t>104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2ac6ade9373462f87f89f00de532d41_172">
              <w:r>
                <w:rPr>
                  <w:rStyle w:val="InternetLink"/>
                  <w:rFonts w:ascii="Times New Roman;sans-serif" w:hAnsi="Times New Roman;sans-serif"/>
                  <w:b/>
                  <w:color w:val="0000FF"/>
                  <w:sz w:val="20"/>
                  <w:u w:val="single"/>
                </w:rPr>
                <w:t>PART III</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75">
              <w:r>
                <w:rPr>
                  <w:rStyle w:val="InternetLink"/>
                  <w:rFonts w:ascii="Times New Roman;sans-serif" w:hAnsi="Times New Roman;sans-serif"/>
                  <w:b w:val="false"/>
                  <w:strike w:val="false"/>
                  <w:dstrike w:val="false"/>
                  <w:color w:val="000000"/>
                  <w:sz w:val="20"/>
                  <w:u w:val="none"/>
                  <w:effect w:val="none"/>
                </w:rPr>
                <w:t>Item 10.</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75">
              <w:r>
                <w:rPr>
                  <w:rStyle w:val="InternetLink"/>
                  <w:rFonts w:ascii="Times New Roman;sans-serif" w:hAnsi="Times New Roman;sans-serif"/>
                  <w:b w:val="false"/>
                  <w:color w:val="0000FF"/>
                  <w:sz w:val="20"/>
                  <w:u w:val="single"/>
                </w:rPr>
                <w:t>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175">
              <w:r>
                <w:rPr>
                  <w:rStyle w:val="InternetLink"/>
                  <w:rFonts w:ascii="Times New Roman;sans-serif" w:hAnsi="Times New Roman;sans-serif"/>
                  <w:b w:val="false"/>
                  <w:strike w:val="false"/>
                  <w:dstrike w:val="false"/>
                  <w:color w:val="000000"/>
                  <w:sz w:val="20"/>
                  <w:u w:val="none"/>
                  <w:effect w:val="none"/>
                </w:rPr>
                <w:t>105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78">
              <w:r>
                <w:rPr>
                  <w:rStyle w:val="InternetLink"/>
                  <w:rFonts w:ascii="Times New Roman;sans-serif" w:hAnsi="Times New Roman;sans-serif"/>
                  <w:b w:val="false"/>
                  <w:strike w:val="false"/>
                  <w:dstrike w:val="false"/>
                  <w:color w:val="000000"/>
                  <w:sz w:val="20"/>
                  <w:u w:val="none"/>
                  <w:effect w:val="none"/>
                </w:rPr>
                <w:t>Item 11.</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78">
              <w:r>
                <w:rPr>
                  <w:rStyle w:val="InternetLink"/>
                  <w:rFonts w:ascii="Times New Roman;sans-serif" w:hAnsi="Times New Roman;sans-serif"/>
                  <w:b w:val="false"/>
                  <w:color w:val="0000FF"/>
                  <w:sz w:val="20"/>
                  <w:u w:val="single"/>
                </w:rPr>
                <w:t>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178">
              <w:r>
                <w:rPr>
                  <w:rStyle w:val="InternetLink"/>
                  <w:rFonts w:ascii="Times New Roman;sans-serif" w:hAnsi="Times New Roman;sans-serif"/>
                  <w:b w:val="false"/>
                  <w:strike w:val="false"/>
                  <w:dstrike w:val="false"/>
                  <w:color w:val="000000"/>
                  <w:sz w:val="20"/>
                  <w:u w:val="none"/>
                  <w:effect w:val="none"/>
                </w:rPr>
                <w:t>105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81">
              <w:r>
                <w:rPr>
                  <w:rStyle w:val="InternetLink"/>
                  <w:rFonts w:ascii="Times New Roman;sans-serif" w:hAnsi="Times New Roman;sans-serif"/>
                  <w:b w:val="false"/>
                  <w:strike w:val="false"/>
                  <w:dstrike w:val="false"/>
                  <w:color w:val="000000"/>
                  <w:sz w:val="20"/>
                  <w:u w:val="none"/>
                  <w:effect w:val="none"/>
                </w:rPr>
                <w:t>Item 12.</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81">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181">
              <w:r>
                <w:rPr>
                  <w:rStyle w:val="InternetLink"/>
                  <w:rFonts w:ascii="Times New Roman;sans-serif" w:hAnsi="Times New Roman;sans-serif"/>
                  <w:b w:val="false"/>
                  <w:strike w:val="false"/>
                  <w:dstrike w:val="false"/>
                  <w:color w:val="000000"/>
                  <w:sz w:val="20"/>
                  <w:u w:val="none"/>
                  <w:effect w:val="none"/>
                </w:rPr>
                <w:t>105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84">
              <w:r>
                <w:rPr>
                  <w:rStyle w:val="InternetLink"/>
                  <w:rFonts w:ascii="Times New Roman;sans-serif" w:hAnsi="Times New Roman;sans-serif"/>
                  <w:b w:val="false"/>
                  <w:strike w:val="false"/>
                  <w:dstrike w:val="false"/>
                  <w:color w:val="000000"/>
                  <w:sz w:val="20"/>
                  <w:u w:val="none"/>
                  <w:effect w:val="none"/>
                </w:rPr>
                <w:t>Item 13.</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84">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184">
              <w:r>
                <w:rPr>
                  <w:rStyle w:val="InternetLink"/>
                  <w:rFonts w:ascii="Times New Roman;sans-serif" w:hAnsi="Times New Roman;sans-serif"/>
                  <w:b w:val="false"/>
                  <w:strike w:val="false"/>
                  <w:dstrike w:val="false"/>
                  <w:color w:val="000000"/>
                  <w:sz w:val="20"/>
                  <w:u w:val="none"/>
                  <w:effect w:val="none"/>
                </w:rPr>
                <w:t>105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87">
              <w:r>
                <w:rPr>
                  <w:rStyle w:val="InternetLink"/>
                  <w:rFonts w:ascii="Times New Roman;sans-serif" w:hAnsi="Times New Roman;sans-serif"/>
                  <w:b w:val="false"/>
                  <w:strike w:val="false"/>
                  <w:dstrike w:val="false"/>
                  <w:color w:val="000000"/>
                  <w:sz w:val="20"/>
                  <w:u w:val="none"/>
                  <w:effect w:val="none"/>
                </w:rPr>
                <w:t>Item 14.</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87">
              <w:r>
                <w:rPr>
                  <w:rStyle w:val="InternetLink"/>
                  <w:rFonts w:ascii="Times New Roman;sans-serif" w:hAnsi="Times New Roman;sans-serif"/>
                  <w:b w:val="false"/>
                  <w:color w:val="0000FF"/>
                  <w:sz w:val="20"/>
                  <w:u w:val="single"/>
                </w:rPr>
                <w:t>Principal Accountant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187">
              <w:r>
                <w:rPr>
                  <w:rStyle w:val="InternetLink"/>
                  <w:rFonts w:ascii="Times New Roman;sans-serif" w:hAnsi="Times New Roman;sans-serif"/>
                  <w:b w:val="false"/>
                  <w:strike w:val="false"/>
                  <w:dstrike w:val="false"/>
                  <w:color w:val="000000"/>
                  <w:sz w:val="20"/>
                  <w:u w:val="none"/>
                  <w:effect w:val="none"/>
                </w:rPr>
                <w:t>105</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f2ac6ade9373462f87f89f00de532d41_190">
              <w:r>
                <w:rPr>
                  <w:rStyle w:val="InternetLink"/>
                  <w:rFonts w:ascii="Times New Roman;sans-serif" w:hAnsi="Times New Roman;sans-serif"/>
                  <w:b/>
                  <w:color w:val="0000FF"/>
                  <w:sz w:val="20"/>
                  <w:u w:val="single"/>
                </w:rPr>
                <w:t>PART IV</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93">
              <w:r>
                <w:rPr>
                  <w:rStyle w:val="InternetLink"/>
                  <w:rFonts w:ascii="Times New Roman;sans-serif" w:hAnsi="Times New Roman;sans-serif"/>
                  <w:b w:val="false"/>
                  <w:strike w:val="false"/>
                  <w:dstrike w:val="false"/>
                  <w:color w:val="000000"/>
                  <w:sz w:val="20"/>
                  <w:u w:val="none"/>
                  <w:effect w:val="none"/>
                </w:rPr>
                <w:t>Item 15.</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93">
              <w:r>
                <w:rPr>
                  <w:rStyle w:val="InternetLink"/>
                  <w:rFonts w:ascii="Times New Roman;sans-serif" w:hAnsi="Times New Roman;sans-serif"/>
                  <w:b w:val="false"/>
                  <w:color w:val="0000FF"/>
                  <w:sz w:val="20"/>
                  <w:u w:val="single"/>
                </w:rPr>
                <w:t>Exhibits and Financial Statement Schedules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193">
              <w:r>
                <w:rPr>
                  <w:rStyle w:val="InternetLink"/>
                  <w:rFonts w:ascii="Times New Roman;sans-serif" w:hAnsi="Times New Roman;sans-serif"/>
                  <w:b w:val="false"/>
                  <w:strike w:val="false"/>
                  <w:dstrike w:val="false"/>
                  <w:color w:val="000000"/>
                  <w:sz w:val="20"/>
                  <w:u w:val="none"/>
                  <w:effect w:val="none"/>
                </w:rPr>
                <w:t>106</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96">
              <w:r>
                <w:rPr>
                  <w:rStyle w:val="InternetLink"/>
                  <w:rFonts w:ascii="Times New Roman;sans-serif" w:hAnsi="Times New Roman;sans-serif"/>
                  <w:b w:val="false"/>
                  <w:strike w:val="false"/>
                  <w:dstrike w:val="false"/>
                  <w:color w:val="000000"/>
                  <w:sz w:val="20"/>
                  <w:u w:val="none"/>
                  <w:effect w:val="none"/>
                </w:rPr>
                <w:t>Item 16.</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96">
              <w:r>
                <w:rPr>
                  <w:rStyle w:val="InternetLink"/>
                  <w:rFonts w:ascii="Times New Roman;sans-serif" w:hAnsi="Times New Roman;sans-serif"/>
                  <w:b w:val="false"/>
                  <w:color w:val="0000FF"/>
                  <w:sz w:val="20"/>
                  <w:u w:val="single"/>
                </w:rPr>
                <w:t>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196">
              <w:r>
                <w:rPr>
                  <w:rStyle w:val="InternetLink"/>
                  <w:rFonts w:ascii="Times New Roman;sans-serif" w:hAnsi="Times New Roman;sans-serif"/>
                  <w:b w:val="false"/>
                  <w:strike w:val="false"/>
                  <w:dstrike w:val="false"/>
                  <w:color w:val="000000"/>
                  <w:sz w:val="20"/>
                  <w:u w:val="none"/>
                  <w:effect w:val="none"/>
                </w:rPr>
                <w:t>108</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2ac6ade9373462f87f89f00de532d41_199">
              <w:r>
                <w:rPr>
                  <w:rStyle w:val="InternetLink"/>
                  <w:rFonts w:ascii="Times New Roman;sans-serif" w:hAnsi="Times New Roman;sans-serif"/>
                  <w:b w:val="false"/>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2ac6ade9373462f87f89f00de532d41_199">
              <w:r>
                <w:rPr>
                  <w:rStyle w:val="InternetLink"/>
                  <w:rFonts w:ascii="Times New Roman;sans-serif" w:hAnsi="Times New Roman;sans-serif"/>
                  <w:b w:val="false"/>
                  <w:strike w:val="false"/>
                  <w:dstrike w:val="false"/>
                  <w:color w:val="000000"/>
                  <w:sz w:val="20"/>
                  <w:u w:val="none"/>
                  <w:effect w:val="none"/>
                </w:rPr>
                <w:t>109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This Annual Report on Form 10-K (“Annual Report”) contains forward-looking statements within the meaning of Section 27A of the Securities Act of 1933, as amended (the “Securities Act”), and Section 21E of the Securities Exchange Act of 1934, as amended (the “Exchange Act”)</w:t>
      </w:r>
      <w:r>
        <w:rPr>
          <w:rFonts w:ascii="Times New Roman;sans-serif" w:hAnsi="Times New Roman;sans-serif"/>
          <w:b w:val="false"/>
          <w:color w:val="000000"/>
          <w:sz w:val="20"/>
          <w:shd w:fill="FFFFFF" w:val="clear"/>
        </w:rPr>
        <w:t>, which statements involve substantial risks and uncertainties</w:t>
      </w:r>
      <w:r>
        <w:rPr>
          <w:rFonts w:ascii="Times New Roman;sans-serif" w:hAnsi="Times New Roman;sans-serif"/>
          <w:b w:val="false"/>
          <w:color w:val="000000"/>
          <w:sz w:val="20"/>
        </w:rPr>
        <w:t>.</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In some cases, you can identify forward-looking statements by words such as “may,” “will,” “should,” “could,” “intend,” “consider,” “expect,” “plan,” “anticipate,” “believe,” “estimate,” “predict” or “continue” or the negative or plural of these words or other similar terms or expressions</w:t>
      </w:r>
      <w:r>
        <w:rPr>
          <w:rFonts w:ascii="Times New Roman;sans-serif" w:hAnsi="Times New Roman;sans-serif"/>
          <w:b w:val="false"/>
          <w:color w:val="231F20"/>
          <w:sz w:val="20"/>
        </w:rPr>
        <w:t xml:space="preserve">. All statements other than statements of historical fact are forward-looking statements, which speak only as of the date they are made, and are not guarantees of future performance. </w:t>
      </w:r>
      <w:r>
        <w:rPr>
          <w:rFonts w:ascii="Times New Roman;sans-serif" w:hAnsi="Times New Roman;sans-serif"/>
          <w:b w:val="false"/>
          <w:color w:val="000000"/>
          <w:sz w:val="20"/>
        </w:rPr>
        <w:t>Forward-looking statements contained in this Annual Report include, but are not limited to, statements about: our future financial performance, including our revenue, cost of revenue, gross profit, contribution excluding traffic acquisition costs (“contribution ex-TAC”), adjusted EBITDA, and operating expenses; trends in our key business measures; the sufficiency of our cash and cash equivalents and cash provided by sales of our products and services to meet our liquidity needs; market trends; our market position and opportunity; our growth strategy and business aspirations for our demand side platform in enabling the programmatic purchase of advertising in the digital advertising industry; our product strategy; our efforts to enhance the security and privacy of our platform; our plans regarding our enterprise risk management program and our cybersecurity risk management program; the impact of information and data privacy trends and regulations on our business and competitors; the potential impacts of macroeconomic and geopolitical events on our business and the business of our customers, suppliers and channel partners, and the economy; our ability to attract new customers and retain existing customers; our ability to successfully expand into our existing markets and into new markets; our ability to effectively manage our growth and future expenses; our environmental and sustainability commitments; and the impact of recent accounting pronouncements on our consolidated financial statements.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The forward-looking statements contained in this Annual Report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xml:space="preserve">.”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t>
      </w:r>
      <w:r>
        <w:rPr>
          <w:rFonts w:ascii="Times New Roman;sans-serif" w:hAnsi="Times New Roman;sans-serif"/>
          <w:b w:val="false"/>
          <w:color w:val="000000"/>
          <w:sz w:val="20"/>
          <w:shd w:fill="FFFFFF" w:val="clear"/>
        </w:rPr>
        <w:t xml:space="preserve">We may not actually achieve the plans, intentions, or expectations disclosed in our forward-looking statements, and </w:t>
      </w:r>
      <w:r>
        <w:rPr>
          <w:rFonts w:ascii="Times New Roman;sans-serif" w:hAnsi="Times New Roman;sans-serif"/>
          <w:b w:val="false"/>
          <w:color w:val="000000"/>
          <w:sz w:val="20"/>
        </w:rPr>
        <w:t>we caution that you should not place undue reliance on any of our forward-looking statements. Any forward-looking statement made by us in this Annual Report speaks only as of the date on which we make it. We undertake no obligation to publicly update any forward-looking statement, whether as a result of new information, future developments or otherwise, except as may be required by applicable securities laws. You should read this Annual Report, and the documents that we reference in this Annual Report and have filed with the Securities and Exchange Commission (“SEC”), with the understanding that our actual future results, performance, and events and circumstances may be materially different from what we expect.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use the "Investor Relations" section of our website, our LinkedIn account, and the LinkedIn account of our Chief Executive Officer, Tim Vanderhook, as a distribution channel for material information about the Company. Financial and other important information regarding the Company is routinely posted on and accessible through the "Investor Relations" section of our website at investors.viantinc.com and the foregoing LinkedIn pages. In addition, you may automatically receive email alerts and other information about the Company when you enroll your email address by visiting the "Email Alerts" option under the IR Resources menu of the Investor Relations section of our website at investors.viantinc.com.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Our business is subject to numerous risks and uncertainties, including those described in the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section of this Annual Report. You should carefully consider these risks and uncertainties when investing in our Class A common stock. Some of the principal risks and uncertainties include the following: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success and revenue growth are dependent on enhancing and improving our platform and effectively educating and training our customers on how to make full use of our platform;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not realize the expected benefits of an industry shift away from cookie-based consumer tracking;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we fail to innovate and make the right investment decisions in our offerings and platform, we may not attract and retain customers and our revenue and results of operations may decline;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market for programmatic advertising is evolving. If this market develops slower or differently than we expect, our business, operating results and financial condition would be adversely affected;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effects of macroeconomic conditions and geopolitical events, such as inflation, rising interest rates, and other adverse market events, have had, and could in the future have, an adverse impact on our business, operating results and financial condition;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our access to advertising inventory is diminished or fails to grow, our revenue could decline and our growth could be impeded;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our access to people-based data is diminished, the effectiveness of our platform would be decreased, which could harm our operating results and financial condition;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We are subject to stringent and changing obligations related to data privacy, artificial intelligence, and security. Our actual or perceived failure to comply with such obligations could lead to regulatory investigations or actions, litigation (including class action claims) and mass arbitration demands, fines and penalties, disruptions of our business operations, reputational harm, loss of customers or sales, revenue declines, increases to the cost of data, reductions in the availability of data, reductions to our ability to utilize or disclose data, adverse effects on the demand for our products and services, or other adverse business consequences;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business or ability to operate our platform could be impacted by changes in technology initiated by technology companies, end users, or government regulation. Such developments, including the restriction of “third-party cookies,” could cause instability in the advertising technology industry;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significant inadvertent disclosure or breach of our IT Systems or Confidential Data (each as defined in Item 1A), or of the security of our or our customers’, suppliers’, or other third parties’ systems or data upon which we rely could be detrimental to our business, reputation and results of operations;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proprietary rights may be difficult to enforce, which could enable others to copy or use aspects of our technology without compensating us, thereby eroding our competitive advantages and harming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market price of our Class A common stock has been and may continue to be volatile or may decline regardless of our operating performance;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operations are subject to a series of risks associated with climate change and environmental, social and governance matters; and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are a “controlled company” within the meaning of the listing standards of the Nasdaq Global Select Market and, as a result, qualify for, and rely on, exemptions from certain corporate governance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Business.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Company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an advertising technology company. Our cloud-based demand side platform ("DSP")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DSP is used by marketers and their advertising agencies to centralize the planning, buying and measurement of their digital advertising across most channels. Through our omnichannel platform, a marketer can easily buy ads on desktop, mobile, connected TV ("CTV"), linear TV, in-game, streaming audio and digital billboards.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DSP is an easy-to-use self-service platform that provides our customers with transparency and control over their advertising campaigns. Our platform offers customers unique visibility across a variety of inventory, allowing them to create customized audience segments and leverage our people-based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return-on-advertising spend (“ROAS”) across channels.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Marketers use our platform to deliver advertising campaigns to their desired target audience across channels and formats. Through platform integrations, we offer our customers access to omnichannel advertising inventory, which refers to media available across devices, channels and formats. This includes access to approximately 300 million unique desktop and mobile users, approximately 115 million CTV households, approximately 112 million linear TV households, over 200 million unique digital audio users, and approximately 158,000 unique digital billboards in the United States. Our platform supports a full range of transaction types including real-time bidding, private marketplace and programmatic guaranteed, allowing customers to easily source and integrate ad inventory directly from publishers and private marketplaces.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enable deep data access through our data integrations to authenticate user identities across a range of devices. Our matching of people-based identifiers enables us to be the nexus point with more than 70 data partners, providing customers with deep access to people-based data across market verticals such as automotive, entertainment, professional services, retail, consumer packaged goods, travel and tourism, and healthcare. Our proprietary identity graph has linked approximately 115 million households to an estimated 1 billion connected devices and is combined with access to approximately 280,000 audience attributes in the United States, which we believe makes it one of the largest in the industry.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are advertising buyers including large advertising holding companies, independent advertising agencies, mid-market advertising service organizations as well as marketers that rely on our self-service platform for their programmatic ad buying needs. We are a trusted partner to our customers and have had a customer satisfaction rating of 90% or greater for the last four years based on Viant’s Annual Customer Satisfaction Survey. Many of our customers use us as their primary DSP.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platform is built on people-based data. Using our identity resolution capabilities led by our patented Household ID and identity graph, marketers and their advertising agencies can identify targeted consumers using real-world identifiers rather than relying primarily on cookies to track users. We believe the industry is shifting to a people-based framework to replace cookies in delivering personalized advertising, particularly for identification. People-based data allows marketers to deliver personalized advertising while being able to accurately link ad impressions across multiple devices and to customer sales and measure the impact of their ad spend. In addition, people-based data can offer greater transparency to consumers with respect to who is collecting their data and what it is being used for and can offer more robust choices to delete or stop use of their data for personalized advertising. Many of our competitors rely on cookies for the targeting and measurement of digital advertising but this technology has not been effective at accurately measuring the real impact of a marketer’s ad spend on their business results. Apple’s web browser, Safari, does not allow third-party cookies and has added controls that algorithmically block or limit some cookies. Other browsers have added similar controls. Google has also introduced ad blocking software in its Chrome web browser that is expected to block certain ads based on quality standards established under a multi-stakeholder coalition. In July 2022, Google announced plans to start phasing out (and eventually entirely disallowing) third-party cookies in their Chrome browser. In January 2024, Google disabled third-party cookies for 1% of Chrome users and announced plans to completely disable third-party cookies by the end of 2024. Moreover, certain state data privacy laws, including in California, Colorado, and several other states that have adopted or are considering adopting data privacy laws, require websites and apps to enable consumers to request the deletion of or opt-out of the transfer of their personal information used for certain advertising, which could further undermine cookie-based tracking and targeted marketing. This market change has created an increase in demand from marketers actively looking for platforms like ours that offer an alternative to cookie-based tracking, which we believe is strengthening our strategic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Programmatic advertising has proven its value to marketers and an increasing number of organizations are devoting more of their digital ad spend to it. The digital ecosystem continues to evolve and with it, programmatic advertising, creating new opportunities and needs for marketers and their agencies. The U.S. programmatic advertising market is expected to grow from $121.8 billion in 2022 to $178.3 billion in 2025, a 14% compound annual growth rate (“CAGR”), according to eMarketer, a market research company that provides insights and trends related to digital marketing, media and commerce. We focus on ad buyers and believe that our solutions will accelerate the shift of advertising budgets to programmatic advertising. Additionally, as marketers desire more control over programmatic advertising and move some functions of programmatic ad buying in-house, our push to further simplify and automate our platform by leveraging machine learning and artificial intelligence ("AI") is designed to address these needs and expand our market opportunity.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total revenue was $222.9 million, $197.2 million and $224.1 million for the fiscal years ended December 31, 2023, 2022 and 2021, respectively, representing an increase of 13.1% from fiscal 2022 to fiscal 2023 and a decrease of 12.0% from fiscal 2021 to fiscal 2022. We recorded net losses of $9.9 million, $48.1 million and $37.6 million, and adjusted EBITDA of $29.1 million, $(6.1) million, and $37.1 million for the years ended December 31, 2023, 2022 and 2021, respectively.</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Adjusted EBITDA is a financial measure not presented in accordance with generally accepted accounting principles in the United States of America (“GAAP”). For a definition of adjusted EBITDA, an explanation of our management’s use of this measure and a reconciliation of adjusted EBITDA to our net income or net loss, see </w:t>
      </w:r>
      <w:r>
        <w:rPr>
          <w:color w:val="000000"/>
        </w:rPr>
        <w:t>“</w:t>
      </w:r>
      <w:r>
        <w:rPr>
          <w:rFonts w:ascii="Times New Roman;sans-serif" w:hAnsi="Times New Roman;sans-serif"/>
          <w:b w:val="false"/>
          <w:i/>
          <w:color w:val="000000"/>
          <w:sz w:val="20"/>
        </w:rPr>
        <w:t>Management’s Discussion and Analysis of Financial Condition and Results of Operations—Key Operating and Financial Performance Measures—Use of Non-GAAP Financial Measures.”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Industry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key industry trends shaping the advertising market include:</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 xml:space="preserve">Advertising dollars shifting toward programmatic advertising: </w:t>
      </w:r>
      <w:r>
        <w:rPr>
          <w:rFonts w:ascii="Times New Roman;sans-serif" w:hAnsi="Times New Roman;sans-serif"/>
          <w:b w:val="false"/>
          <w:color w:val="000000"/>
          <w:sz w:val="20"/>
        </w:rPr>
        <w:t>We believe the advertising industry is still in the early stages of a shift toward programmatic advertising. The ability to transact through real-time-bidding platforms has evolved beyond banner advertising to be used across a wide range of advertising channels and formats, including desktop, mobile, connected TV, linear TV, in-game, streaming audio and digital billboards. U.S. programmatic advertising is experiencing a rapid increase in adoption and, according to eMarketer, is expected to grow at a 14% CAGR from 2022 to 2025, reaching $157.3 billion in 2024 and $178.3 billion by 2025. U.S. programmatic advertising is forecasted to represent 43% of total U.S. media spend by 2025, increasing from 36% in 2022. The TV industry is undergoing significant disruptions as internet-enabled connected TV has become a preferred vehicle for streaming video content. The amount of connected TV users in the U.S. is forecasted to increase from approximately 226 million, or 67% of the U.S. population, in 2022 to approximately 246 million, or 71% of the U.S. population, in 2027, according to eMarketer. Connected TV also provides a number of benefits to advertisers, including more accurate control of scale, addressability and measurement. Marketers are increasingly investing in connected TV as more inventory becomes available. According to eMarketer, 83% of connected TV ad spend was transacted programmatically in 2022. The share of programmatic advertising is expected to increase to 84% in 2025. In addition, connected TV ad spend is expected to grow from $20.5 billion in 2022 to $42.4 billion in 2027, a 16% CAGR.</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 xml:space="preserve">Strong marketer demand for ROAS measurement across all channels: </w:t>
      </w:r>
      <w:r>
        <w:rPr>
          <w:rFonts w:ascii="Times New Roman;sans-serif" w:hAnsi="Times New Roman;sans-serif"/>
          <w:b w:val="false"/>
          <w:color w:val="000000"/>
          <w:sz w:val="20"/>
        </w:rPr>
        <w:t>Marketers are looking for a centralized view of their customers, while connecting online and offline purchases to accurately measure ROAS. ROAS is a critical metric for marketing campaigns. Insights from ROAS across all campaigns inform marketers about the value of their investment across all media spend in near real-time. Hence, marketers seek tools to track their ROAS across all channels. We believe people-based platforms are able to provide a more accurate measurement of ROAS as compared to cookie-based platforms, especially in naturally cookieless environments such as connected TV.</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 xml:space="preserve">Demand for scaled people-based platforms: </w:t>
      </w:r>
      <w:r>
        <w:rPr>
          <w:rFonts w:ascii="Times New Roman;sans-serif" w:hAnsi="Times New Roman;sans-serif"/>
          <w:b w:val="false"/>
          <w:color w:val="000000"/>
          <w:sz w:val="20"/>
        </w:rPr>
        <w:t>Advertising has become more data driven and marketers need to be able to target audiences at the individual and household level while respecting consumer privacy. Internet advertisers in the past have capitalized on anonymous data from cookies to gain insights into users and ad performance. However, increased privacy concerns and changing requirements of browser providers including Google (Chrome) and Apple (Safari) are causing marketers to reduce their reliance on vendors and platforms that primarily utilize cookies for device identification. In today’s connected world, marketers need to be able to identify their customers and connect with them across most channels, devices and formats. This, we believe, will drive an industry shift away from cookie-based DSPs to scaled people-based DSPs.</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 xml:space="preserve">Brands directly selecting advertising platform solutions: </w:t>
      </w:r>
      <w:r>
        <w:rPr>
          <w:rFonts w:ascii="Times New Roman;sans-serif" w:hAnsi="Times New Roman;sans-serif"/>
          <w:b w:val="false"/>
          <w:color w:val="000000"/>
          <w:sz w:val="20"/>
        </w:rPr>
        <w:t>Marketers are increasingly becoming directly involved in the selection of their advertising platform solutions as they seek to reduce costs, better leverage their customer data and gain more control over their advertising. These factors have also led to an increase in marketers moving programmatic ad buying functions in-house. The automation of ad-buying technology has enabled fast, accurate and cost-effective decision-making, resulting in ad buying becoming a skillset that an increasing number of chief marketing officers want to fully own. According to a survey by the Interactive Advertising Bureau, an advertising business organization that develops industry standards, conducts research, and provides legal support for the online advertising industry, in 2019, of the U.S. brands surveyed, 18% had completely moved programmatic ad buying in-house, and 51% had moved a portion of their programmatic ad buying in-house.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Market Opportunity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over the long term, our total addressable market is the total global advertising market, which eMarketer has forecasted to grow from $992 billion in 2024 to $1.15 trillion in 2026, an 8% CAGR. Currently, our focus is primarily on the U.S. market, which eMarketer has forecasted to grow from $371 billion in 2024 to $444 billion in 2026 in the United States, a 9% CAGR, broken into the following segments: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Desktop and Mobile: </w:t>
      </w:r>
      <w:r>
        <w:rPr>
          <w:rFonts w:ascii="Times New Roman;sans-serif" w:hAnsi="Times New Roman;sans-serif"/>
          <w:b w:val="false"/>
          <w:color w:val="000000"/>
          <w:sz w:val="20"/>
        </w:rPr>
        <w:t>U.S. desktop and mobile advertising are forecasted to grow from a $269 billion market in 2024 to a $336 billion market in 2026, a 12% CAGR.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Connected TV: </w:t>
      </w:r>
      <w:r>
        <w:rPr>
          <w:rFonts w:ascii="Times New Roman;sans-serif" w:hAnsi="Times New Roman;sans-serif"/>
          <w:b w:val="false"/>
          <w:color w:val="000000"/>
          <w:sz w:val="20"/>
        </w:rPr>
        <w:t>U.S. connected TV advertising is forecasted to be a $30 billion market in 2024 and forecasted to grow to $38 billion in 2026, a 13% CAGR. Connected TV includes over-the-top (“OTT”) content delivered through a connected device over the internet.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Linear TV: </w:t>
      </w:r>
      <w:r>
        <w:rPr>
          <w:rFonts w:ascii="Times New Roman;sans-serif" w:hAnsi="Times New Roman;sans-serif"/>
          <w:b w:val="false"/>
          <w:color w:val="000000"/>
          <w:sz w:val="20"/>
        </w:rPr>
        <w:t>U.S. linear TV advertising is forecasted to be a $61 billion market in 2024 and forecasted to be a $57 billion market in 2026, a negative 3% CAGR.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Streaming Audio: </w:t>
      </w:r>
      <w:r>
        <w:rPr>
          <w:rFonts w:ascii="Times New Roman;sans-serif" w:hAnsi="Times New Roman;sans-serif"/>
          <w:b w:val="false"/>
          <w:color w:val="000000"/>
          <w:sz w:val="20"/>
        </w:rPr>
        <w:t>U.S. digital audio advertising is forecasted to be a $7 billion market in 2024 and forecasted to grow to $9 billion in 2026, a 9% CAGR.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Digital Billboards: </w:t>
      </w:r>
      <w:r>
        <w:rPr>
          <w:rFonts w:ascii="Times New Roman;sans-serif" w:hAnsi="Times New Roman;sans-serif"/>
          <w:b w:val="false"/>
          <w:color w:val="000000"/>
          <w:sz w:val="20"/>
        </w:rPr>
        <w:t>U.S. billboard advertising is forecasted to be a $3 billion market in 2024 and forecasted to grow to $4 billion in 2026, a 12% CAGR.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forecasts for each segment above include both programmatic and non-programmatic digital advertising. In recent years, programmatic advertising has represented an increasing portion of total U.S. media spend. eMarketer estimates that the U.S. programmatic advertising market, as represented by the segments above, will grow from $122 billion in 2022 to $178 billion in 2025, a 14% CAGR.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Solutions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make it easy to buy an ad across a wide range of advertising channels and formats, and help brands measure the impact of their ad spend by providing electronic buying and measurement of all advertising. Our platform enables marketers and their advertising agencies to plan, buy and measure campaigns across channels. Integrated with our people-based capabilities, we provide our customers with a full suite of forecasting, reporting and automation functionality to make informed decisions around their advertising investments. We provide exceptional customer service to ensure our customers have the level of support required for their unique business needs. Viant is driven to be a leader in innovation, automation, transparency, customer focus and responsible media.</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 xml:space="preserve">Holistic, Omnichannel DSP: </w:t>
      </w:r>
      <w:r>
        <w:rPr>
          <w:rFonts w:ascii="Times New Roman;sans-serif" w:hAnsi="Times New Roman;sans-serif"/>
          <w:b w:val="false"/>
          <w:color w:val="000000"/>
          <w:sz w:val="20"/>
        </w:rPr>
        <w:t>Marketers and their agencies can use our integrated platform to efficiently manage omnichannel campaigns and access metrics from each channel to inform decisions in other channels. Our integrations enable the purchase of advertising media across desktop, mobile, connected TV, linear TV, in-game, streaming audio and digital billboards. Our technology leverages AI and machine learning to identify the best supply partners, formats and impressions based on our customers’ goals.</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Household ID™ (“HHID”):</w:t>
      </w:r>
      <w:r>
        <w:rPr>
          <w:color w:val="000000"/>
        </w:rPr>
        <w:t xml:space="preserve"> </w:t>
      </w:r>
      <w:r>
        <w:rPr>
          <w:rFonts w:ascii="Times New Roman;sans-serif" w:hAnsi="Times New Roman;sans-serif"/>
          <w:b w:val="false"/>
          <w:color w:val="000000"/>
          <w:sz w:val="20"/>
        </w:rPr>
        <w:t>Our proprietary people-based innovation that combines digital and personal identifiers into a normalized household profile that provides known customer data insights and optimized bid decisions for target audiences, accurate reach and frequency management across omnichannel supply including cookieless channels like CTV, Safari and mobile app and holistic measurement of conversions across all devices and context. Whether online or in-store, we can attribute conversions to media investments. The HHID not only captures the ad exposure as the impression is delivered, but can also connect that ad exposure to an outcome which significantly differentiates our DSP technology.</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 xml:space="preserve">AI Bid Optimizer: </w:t>
      </w:r>
      <w:r>
        <w:rPr>
          <w:rFonts w:ascii="Times New Roman;sans-serif" w:hAnsi="Times New Roman;sans-serif"/>
          <w:b w:val="false"/>
          <w:color w:val="000000"/>
          <w:sz w:val="20"/>
        </w:rPr>
        <w:t>Our proprietary solution that uses AI to analyze historical bid opportunities to predict the lowest media cost for desired advertisement opportunities without sacrificing performance. AI Bid Optimizer allows advertisers to receive more impressions and additional unique reach for their allotted budgets, secure lower cost per action metrics, and ultimately increase their ROAS. Over half of our customers have adopted this solution since its release in the second quarter of 2023, saving approximately 35% on average when compared to prior spending.</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Viant Data Platform:</w:t>
      </w:r>
      <w:r>
        <w:rPr>
          <w:color w:val="000000"/>
        </w:rPr>
        <w:t xml:space="preserve"> </w:t>
      </w:r>
      <w:r>
        <w:rPr>
          <w:rFonts w:ascii="Times New Roman;sans-serif" w:hAnsi="Times New Roman;sans-serif"/>
          <w:b w:val="false"/>
          <w:color w:val="000000"/>
          <w:sz w:val="20"/>
        </w:rPr>
        <w:t>We provide the Viant Data Platform that is directly integrated into our centralized DSP and offers marketers control over their own data with actionable insights into their marketing initiatives within a single platform. The Viant Data Platform offers the ability to integrate first-party data with data from top third-party data providers in order to obtain key insights, reporting and attribution opportunities. Chat with Data is an upcoming AI-driven tool that will apply a simple natural language chat interface to the complex work of data management and advanced analytics to simplify the data analytics process. We believe Chat with Data can democratize access to the Viant Data Platform to marketers of all sizes and provide us with a competitive advantage in advertising data management and analytics.</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Direct Access:</w:t>
      </w:r>
      <w:r>
        <w:rPr>
          <w:color w:val="000000"/>
        </w:rPr>
        <w:t xml:space="preserve"> </w:t>
      </w:r>
      <w:r>
        <w:rPr>
          <w:rFonts w:ascii="Times New Roman;sans-serif" w:hAnsi="Times New Roman;sans-serif"/>
          <w:b w:val="false"/>
          <w:color w:val="000000"/>
          <w:sz w:val="20"/>
        </w:rPr>
        <w:t xml:space="preserve">Our supply path optimization program that launched in 2023 creates a more cost efficient, direct path to premium inventory through partnerships with leading CTV publishers and the removal of resellers from the digital supply chain.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bringing buyers and sellers closer through direct inventory and first-party data integration, this program lowers media cost for the advertiser and increases revenue for the publisher. We believe this program has had a significant impact on how we continue to outpace the high-growth CTV market.</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Viant Identity Graph:</w:t>
      </w:r>
      <w:r>
        <w:rPr>
          <w:color w:val="000000"/>
        </w:rPr>
        <w:t xml:space="preserve"> </w:t>
      </w:r>
      <w:r>
        <w:rPr>
          <w:rFonts w:ascii="Times New Roman;sans-serif" w:hAnsi="Times New Roman;sans-serif"/>
          <w:b w:val="false"/>
          <w:color w:val="000000"/>
          <w:sz w:val="20"/>
        </w:rPr>
        <w:t xml:space="preserve">Our proprietary, established identity resolution capabilities power our identity graph, which reduces or eliminates the need for cookies by enabling matching of people-based identifiers that anchor digital identifiers and allow marketers to reach targeted consumers in a privacy-conscious manner, irrespective of device or channel. Our proprietary identity graph has linked approximately 115 million U.S. households to approximately 1 billion connected devices. </w:t>
      </w:r>
      <w:r>
        <w:rPr>
          <w:rFonts w:ascii="Times New Roman;sans-serif" w:hAnsi="Times New Roman;sans-serif"/>
          <w:b w:val="false"/>
          <w:color w:val="000000"/>
          <w:sz w:val="20"/>
          <w:shd w:fill="FFFFFF" w:val="clear"/>
        </w:rPr>
        <w:t>This process provides access to an estimated 280,000 audience attributes using our proprietary people-based, household profile, the HHID, allowing marketers to reach real consumers, not proxies, whether they are at home or away. The HHID provides known insights for optimized bid decisions and touchpoint collection across consumer pathways for holistic targeting and measurement across channels.</w:t>
      </w:r>
      <w:r>
        <w:rPr>
          <w:color w:val="000000"/>
        </w:rPr>
        <w:t xml:space="preserve"> </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 xml:space="preserve">Advanced Reporting and Measurement: </w:t>
      </w:r>
      <w:r>
        <w:rPr>
          <w:rFonts w:ascii="Times New Roman;sans-serif" w:hAnsi="Times New Roman;sans-serif"/>
          <w:b w:val="false"/>
          <w:color w:val="000000"/>
          <w:sz w:val="20"/>
        </w:rPr>
        <w:t>We invest heavily in our measurement capabilities, as we believe advertising should be driving a positive return. Our self-service campaign analysis and data intelligence tool empowers customers with differentiated insights, including conversion lift, multi-touch attribution, foot-traffic data reports, digital-out-of-home lift, sales reporting and ROAS analytics. Leveraging our people-based framework and machine learning algorithms, our platform provides marketers real-time actionable insights throughout an advertising campaign. Our built-in automation enables marketers to optimize digital campaigns designed to achieve their key performance indicator (“KPI”) goals.</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Flexible Customer Engagement Models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Our DSP and related services are available through several levels of best-in-class customer service, from a self-service interface, which offers customers transparency and control over their advertising campaigns and underlying data infrastructure, to a fully managed end-to-end solution, which offers an experienced support team to assist with audience creation and management, campaign execution and advanced reporting.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Strengths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attributes and capabilities provide us with long-term competitive advantages: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Scalable Self-Service Platform: </w:t>
      </w:r>
      <w:r>
        <w:rPr>
          <w:rFonts w:ascii="Times New Roman;sans-serif" w:hAnsi="Times New Roman;sans-serif"/>
          <w:b w:val="false"/>
          <w:color w:val="000000"/>
          <w:sz w:val="20"/>
        </w:rPr>
        <w:t>We offer a self-service platform that enables customers to operate their ad campaigns without extensive involvement of our staff. This dynamic allows us to add new customers and allows customers to scale their spend on our platform in a manner that grows our revenue faster than the growth of our personnel costs.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Centralized Platform: </w:t>
      </w:r>
      <w:r>
        <w:rPr>
          <w:rFonts w:ascii="Times New Roman;sans-serif" w:hAnsi="Times New Roman;sans-serif"/>
          <w:b w:val="false"/>
          <w:color w:val="000000"/>
          <w:sz w:val="20"/>
        </w:rPr>
        <w:t>We believe our DSP and related services enable our customers to plan, buy and measure advertising across more channels than our competitors and to centralize the purchase of each type of programmatic media on a single platform. Our supply integrations provide customers with access to approximately 300 million unique desktop and mobile users, approximately 115 million connected TV households, 112 million linear TV households, over 200 million unique digital audio users, and approximately 158,000 unique digital billboards, in the United States.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Proprietary Technology: </w:t>
      </w:r>
      <w:r>
        <w:rPr>
          <w:rFonts w:ascii="Times New Roman;sans-serif" w:hAnsi="Times New Roman;sans-serif"/>
          <w:b w:val="false"/>
          <w:color w:val="000000"/>
          <w:sz w:val="20"/>
        </w:rPr>
        <w:t>We leverage a robust suite of proprietary tools and products to enable our customers to utilize our platform and services. We are constantly iterating and developing new tools and products while utilizing our patented technologies and processes. As of December 31, 2023, we held 37 issued patents and 9 additional pending patent applications, which cover many of our proprietary products. As new offerings are developed, we continue to file and obtain patents on the most valuable and innovative products developed at our Company.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Machine Learning and AI Capabilities: </w:t>
      </w:r>
      <w:r>
        <w:rPr>
          <w:rFonts w:ascii="Times New Roman;sans-serif" w:hAnsi="Times New Roman;sans-serif"/>
          <w:b w:val="false"/>
          <w:color w:val="000000"/>
          <w:sz w:val="20"/>
        </w:rPr>
        <w:t>We enable the use of machine learning, workflow automation, automated reporting and other functionalities that allow our customers to update and make thousands of changes automatically to help achieve their desired business outcomes. Our AI bid optimization solution analyzes historical bid opportunities to predict the lowest media cost for desired ad opportunities, allowing us to deliver campaigns with more efficient spend for our customers. We believe these capabilities make our customers’ lives easier and improve the performance of their campaigns.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Onboarding: </w:t>
      </w:r>
      <w:r>
        <w:rPr>
          <w:rFonts w:ascii="Times New Roman;sans-serif" w:hAnsi="Times New Roman;sans-serif"/>
          <w:b w:val="false"/>
          <w:color w:val="000000"/>
          <w:sz w:val="20"/>
        </w:rPr>
        <w:t>We enable marketers to safely and securely onboard their first-party data to gain a view into their customers’ top attributes, create targeting segments and easily activate and measure these customer segments through our Viant Data Platform. Our simple interface allows marketers to upload audience data with ease and create a unique segment or build lookalike audiences without the need for a separate data management platform. Our data integrations provide marketers with high match rates, which offers scalable and meaningful audience insights for segmentation, targeting and measuring key outcomes both online and offline.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Advanced Reporting and Measurement: </w:t>
      </w:r>
      <w:r>
        <w:rPr>
          <w:rFonts w:ascii="Times New Roman;sans-serif" w:hAnsi="Times New Roman;sans-serif"/>
          <w:b w:val="false"/>
          <w:color w:val="000000"/>
          <w:sz w:val="20"/>
        </w:rPr>
        <w:t>We invest heavily in our measurement capabilities, as we believe this will increase our customers’ usage of our DSP and related services. Our platform measures ROAS across all channels and empowers our customers with real-time insights leveraging people-based data, including foot-traffic reports and multi-touch attribution analytics. Our advanced reporting functionality uses our aforementioned identity graph to provide marketers with a holistic view of measurement across all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Differentiated People-Based Capabilities: </w:t>
      </w:r>
      <w:r>
        <w:rPr>
          <w:rFonts w:ascii="Times New Roman;sans-serif" w:hAnsi="Times New Roman;sans-serif"/>
          <w:b w:val="false"/>
          <w:color w:val="000000"/>
          <w:sz w:val="20"/>
        </w:rPr>
        <w:t>Our platform leverages a people-based framework. We integrate with over 70 data partners using people-based identifiers. We believe this allows for a much more effective and privacy-friendly approach to advertising than using cookies for identification. Our DSP and related services are built on a foundation of user consent with advanced consumer opt-out capabilities to keep privacy and security on the forefront.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Experienced Management Team: </w:t>
      </w:r>
      <w:r>
        <w:rPr>
          <w:rFonts w:ascii="Times New Roman;sans-serif" w:hAnsi="Times New Roman;sans-serif"/>
          <w:b w:val="false"/>
          <w:color w:val="000000"/>
          <w:sz w:val="20"/>
        </w:rPr>
        <w:t>Our management team has deep and extensive experience in the advertising technology sector, which we believe provides us with a competitive advantage. The experience of our management team has allowed us to continue to be innovative in developing solutions for our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Business Model: </w:t>
      </w:r>
      <w:r>
        <w:rPr>
          <w:rFonts w:ascii="Times New Roman;sans-serif" w:hAnsi="Times New Roman;sans-serif"/>
          <w:b w:val="false"/>
          <w:color w:val="000000"/>
          <w:sz w:val="20"/>
        </w:rPr>
        <w:t>Because we are a self-service platform, as we add new customers and as customers increase the use of our platform, we are able to demonstrate strong operating leverage.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Growth Strategy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advertising market is in the early stages of a shift toward programmatic advertising. We intend to capitalize on this opportunity by pursuing the following strategies: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Continue to invest in our customers’ success: </w:t>
      </w:r>
      <w:r>
        <w:rPr>
          <w:rFonts w:ascii="Times New Roman;sans-serif" w:hAnsi="Times New Roman;sans-serif"/>
          <w:b w:val="false"/>
          <w:color w:val="000000"/>
          <w:sz w:val="20"/>
        </w:rPr>
        <w:t>Our platform provides extensive functionality designed to provide our customers with a high level of control and enable them to run efficient ad campaigns. We continue to enhance new customer onboarding and support while investing in training and education for customers to maximize their success with our platform.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Add new customers and increase our customers’ usage of our platform: </w:t>
      </w:r>
      <w:r>
        <w:rPr>
          <w:rFonts w:ascii="Times New Roman;sans-serif" w:hAnsi="Times New Roman;sans-serif"/>
          <w:b w:val="false"/>
          <w:color w:val="000000"/>
          <w:sz w:val="20"/>
        </w:rPr>
        <w:t>We continue to invest in our product and engineering teams to develop our platform to support additional features and functions to attract new customers and encourage our customers to increase their usage of our platform. We believe many advertisers are in the early stages of moving a greater percentage of their advertising budgets to programmatic channels. By providing solutions for the planning, buying and measuring of their media spend across channels, we believe we are well positioned to capture the increase in programmatic budgets from new and existing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Continue to strengthen our omnichannel partnerships: </w:t>
      </w:r>
      <w:r>
        <w:rPr>
          <w:rFonts w:ascii="Times New Roman;sans-serif" w:hAnsi="Times New Roman;sans-serif"/>
          <w:b w:val="false"/>
          <w:color w:val="000000"/>
          <w:sz w:val="20"/>
        </w:rPr>
        <w:t>We believe we have one of, if not the largest breadth of advertising inventory across channels in our industry landscape. We will continue to invest in the integration of new supply partners across all channels, further broadening and deepening our supply of advertising inventory.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Expand our sales and marketing investments: </w:t>
      </w:r>
      <w:r>
        <w:rPr>
          <w:rFonts w:ascii="Times New Roman;sans-serif" w:hAnsi="Times New Roman;sans-serif"/>
          <w:b w:val="false"/>
          <w:color w:val="000000"/>
          <w:sz w:val="20"/>
        </w:rPr>
        <w:t>We intend to continue to expand sales and marketing efforts to increase awareness and consideration of our platform and promote the advantages of our people-based framework as cookie-based options continue to decline.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Extend our leadership position in people-based advertising: </w:t>
      </w:r>
      <w:r>
        <w:rPr>
          <w:rFonts w:ascii="Times New Roman;sans-serif" w:hAnsi="Times New Roman;sans-serif"/>
          <w:b w:val="false"/>
          <w:color w:val="000000"/>
          <w:sz w:val="20"/>
        </w:rPr>
        <w:t>We believe there is significant value in continuing to invest in enhancing our identity resolution capabilities through additional people-based data integrations.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Invest in growth through acquisitions: </w:t>
      </w:r>
      <w:r>
        <w:rPr>
          <w:rFonts w:ascii="Times New Roman;sans-serif" w:hAnsi="Times New Roman;sans-serif"/>
          <w:b w:val="false"/>
          <w:color w:val="000000"/>
          <w:sz w:val="20"/>
        </w:rPr>
        <w:t>We intend to invest in acquisitions that will allow us to offer new products and capitalize on our large and growing market opportunity. To the extent we find attractive acquisition candidates and business opportunities in the future, we may continue to acquire complementary businesses, products and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Platform</w:t>
      </w:r>
    </w:p>
    <w:p>
      <w:pPr>
        <w:pStyle w:val="TextBody"/>
        <w:bidi w:val="0"/>
        <w:spacing w:before="240" w:after="283"/>
        <w:jc w:val="center"/>
        <w:rPr/>
      </w:pPr>
      <w:r>
        <w:rPr/>
        <w:drawing>
          <wp:inline distT="0" distB="0" distL="0" distR="0">
            <wp:extent cx="6181725" cy="34671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6181725" cy="3467100"/>
                    </a:xfrm>
                    <a:prstGeom prst="rect">
                      <a:avLst/>
                    </a:prstGeom>
                  </pic:spPr>
                </pic:pic>
              </a:graphicData>
            </a:graphic>
          </wp:inline>
        </w:drawing>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Viant's DSP enables a marketer or their agency to programmatically buy an ad in linear television, a digital billboard on the side of the highway, a streaming ad on connected TVs, an ad in a mobile application, an ad within gameplay, an ad during a podcast or other streaming audio, or a dynamically personalized ad on any website, all within a single user interface. As illustrated by the graphic above, we believe that our platform sits at the center of the digital advertising ecosystem.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key components of our platform include: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Interoperable DSP. </w:t>
      </w:r>
      <w:r>
        <w:rPr>
          <w:rFonts w:ascii="Times New Roman;sans-serif" w:hAnsi="Times New Roman;sans-serif"/>
          <w:b w:val="false"/>
          <w:color w:val="000000"/>
          <w:sz w:val="20"/>
        </w:rPr>
        <w:t>Our holistic, omnichannel DSP enables brands and agencies to seamlessly target and measure key audiences across leading supply from premium publishers within CTV, digital out-of-home, mobile, audio, in-game, desktop and more without having to constantly switch between platforms.</w:t>
      </w:r>
      <w:r>
        <w:rPr>
          <w:color w:val="000000"/>
        </w:rPr>
        <w:t xml:space="preserve">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Comprehensive Forecasting. </w:t>
      </w:r>
      <w:r>
        <w:rPr>
          <w:rFonts w:ascii="Times New Roman;sans-serif" w:hAnsi="Times New Roman;sans-serif"/>
          <w:b w:val="false"/>
          <w:color w:val="000000"/>
          <w:sz w:val="20"/>
        </w:rPr>
        <w:t>Our platform allows customers to plan future marketing campaigns based on desired targeting tactics by utilizing historical bid request data and machine learning to project performance onto available inventory. Customers can easily apply multiple data segmentation filters and see what ad inventory is available and at what price.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Ease of Use. </w:t>
      </w:r>
      <w:r>
        <w:rPr>
          <w:rFonts w:ascii="Times New Roman;sans-serif" w:hAnsi="Times New Roman;sans-serif"/>
          <w:b w:val="false"/>
          <w:color w:val="000000"/>
          <w:sz w:val="20"/>
        </w:rPr>
        <w:t>Our intuitive user interface enables marketers to seamlessly move from forecasting to launching live advertising campaigns. This reduces the time from planning a campaign to execution, helping marketers to fluidly execute deterministic cross-channel campaigns using a variety of quality data and supply partners to reach their target audience.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Campaign Decisioning. </w:t>
      </w:r>
      <w:r>
        <w:rPr>
          <w:rFonts w:ascii="Times New Roman;sans-serif" w:hAnsi="Times New Roman;sans-serif"/>
          <w:b w:val="false"/>
          <w:color w:val="000000"/>
          <w:sz w:val="20"/>
        </w:rPr>
        <w:t>We offer the ability to continuously measure and optimize campaigns by leveraging powerful KPIs directly within platform reports. Marketers have the ability to optimize campaigns in-flight, even if they have already started. This granular decision-making ability provides customers more accurate and real-time understanding of the performance of their live campaigns.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 xml:space="preserve">Household ID: </w:t>
      </w:r>
      <w:r>
        <w:rPr>
          <w:rFonts w:ascii="Times New Roman;sans-serif" w:hAnsi="Times New Roman;sans-serif"/>
          <w:b w:val="false"/>
          <w:color w:val="000000"/>
          <w:sz w:val="20"/>
        </w:rPr>
        <w:t>Our DSP has exclusive access to the HHID, making it a people-based DSP that already operates in cookieless environments including CTV and mobile applications. The HHID powers data, channel and publisher interoperability providing simple and effective advertising</w:t>
      </w:r>
      <w:r>
        <w:rPr>
          <w:rFonts w:ascii="Times New Roman;sans-serif" w:hAnsi="Times New Roman;sans-serif"/>
          <w:b/>
          <w:i/>
          <w:color w:val="000000"/>
          <w:sz w:val="20"/>
        </w:rPr>
        <w:t xml:space="preserve">. </w:t>
      </w:r>
      <w:r>
        <w:rPr>
          <w:rFonts w:ascii="Times New Roman;sans-serif" w:hAnsi="Times New Roman;sans-serif"/>
          <w:b w:val="false"/>
          <w:color w:val="000000"/>
          <w:sz w:val="20"/>
        </w:rPr>
        <w:t>Marketers can easily sync customer data, build custom audiences, extend target audiences and understand audience insights seamlessly within our platform.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Cookieless Solution. </w:t>
      </w:r>
      <w:r>
        <w:rPr>
          <w:rFonts w:ascii="Times New Roman;sans-serif" w:hAnsi="Times New Roman;sans-serif"/>
          <w:b w:val="false"/>
          <w:color w:val="000000"/>
          <w:sz w:val="20"/>
        </w:rPr>
        <w:t xml:space="preserve">The HHID provides marketers the scalability, addressability, measurability and privacy compliance for success today. This patented technology unlocks many benefits such as: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built-in cross-device conversion tracking, allowing marketers to target all eligible devices in a household to drive conversions;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universal frequency management at scale, eliminating the need to control frequency in silos based on channel and/or device limitations;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tracking uniformity and identity persistence across all browsers and tracking environments with otherwise fragmented identifiers.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Onboarding. </w:t>
      </w:r>
      <w:r>
        <w:rPr>
          <w:rFonts w:ascii="Times New Roman;sans-serif" w:hAnsi="Times New Roman;sans-serif"/>
          <w:b w:val="false"/>
          <w:color w:val="000000"/>
          <w:sz w:val="20"/>
        </w:rPr>
        <w:t>Through our simple interface, marketers can upload and leverage their first-party data using the HHID. This enables marketers to onboard their first-party data and instantly gain a view into their customers’ top attributes, create targeting segments and easily activate and measure these customer segments across cookieless environments.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Lookalike Modeling. </w:t>
      </w:r>
      <w:r>
        <w:rPr>
          <w:rFonts w:ascii="Times New Roman;sans-serif" w:hAnsi="Times New Roman;sans-serif"/>
          <w:b w:val="false"/>
          <w:color w:val="000000"/>
          <w:sz w:val="20"/>
        </w:rPr>
        <w:t>We help expand the reach of an existing audience segment or prospect list for new customers for extended scale of critical audiences.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People-Based Targeting and Data Integrations. </w:t>
      </w:r>
      <w:r>
        <w:rPr>
          <w:rFonts w:ascii="Times New Roman;sans-serif" w:hAnsi="Times New Roman;sans-serif"/>
          <w:b w:val="false"/>
          <w:color w:val="000000"/>
          <w:sz w:val="20"/>
        </w:rPr>
        <w:t>Viant’s people-based approach allows brands to connect with real households and individuals with accurate reach and frequency. Our integrations with more than 70 data providers allow for extensive audience data mapping, giving users the ability to target consumers based on purchase behaviors, location, TV viewership insights and much more. Superior integrations with TV viewership data providers present users with one of the most established, scaled and accurate CTV footprints in the market.</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Advanced Reporting:</w:t>
      </w:r>
      <w:r>
        <w:rPr>
          <w:color w:val="000000"/>
        </w:rPr>
        <w:t xml:space="preserve"> </w:t>
      </w:r>
      <w:r>
        <w:rPr>
          <w:rFonts w:ascii="Times New Roman;sans-serif" w:hAnsi="Times New Roman;sans-serif"/>
          <w:b w:val="false"/>
          <w:color w:val="000000"/>
          <w:sz w:val="20"/>
        </w:rPr>
        <w:t>We close the loop on digital and traditional media by linking advertising spend to online and offline sales.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Reach and Frequency. </w:t>
      </w:r>
      <w:r>
        <w:rPr>
          <w:rFonts w:ascii="Times New Roman;sans-serif" w:hAnsi="Times New Roman;sans-serif"/>
          <w:b w:val="false"/>
          <w:color w:val="000000"/>
          <w:sz w:val="20"/>
        </w:rPr>
        <w:t>Our platform accurately measures how many households and unique users an advertising campaign reached and the frequency of exposures.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Cross-Channel Reporting. </w:t>
      </w:r>
      <w:r>
        <w:rPr>
          <w:rFonts w:ascii="Times New Roman;sans-serif" w:hAnsi="Times New Roman;sans-serif"/>
          <w:b w:val="false"/>
          <w:color w:val="000000"/>
          <w:sz w:val="20"/>
        </w:rPr>
        <w:t xml:space="preserve">Our cross-channel reporting capabilities equip customers to analyze cross-device and cross-channel campaign impact on sales and other KPIs.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TV vs Digital Reporting.</w:t>
      </w:r>
      <w:r>
        <w:rPr>
          <w:color w:val="000000"/>
        </w:rPr>
        <w:t xml:space="preserve"> </w:t>
      </w:r>
      <w:r>
        <w:rPr>
          <w:rFonts w:ascii="Times New Roman;sans-serif" w:hAnsi="Times New Roman;sans-serif"/>
          <w:b w:val="false"/>
          <w:color w:val="000000"/>
          <w:sz w:val="20"/>
        </w:rPr>
        <w:t>Our TV vs digital reporting provides insights into the impact connected and linear television advertising has on driving digital engagement like website visits or conversions, as well as offline sales. These insights create better visibility into the true ROAS of TV ad campaigns.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Multi-Touch Attribution</w:t>
      </w:r>
      <w:r>
        <w:rPr>
          <w:rFonts w:ascii="Times New Roman;sans-serif" w:hAnsi="Times New Roman;sans-serif"/>
          <w:b w:val="false"/>
          <w:color w:val="000000"/>
          <w:sz w:val="20"/>
        </w:rPr>
        <w:t>. Our multi-touch attribution provides customers the ability to receive insights into where target audiences are interacting with brands, the impact of touchpoints across channels and devices and the order of steps along the conversion journey. The resulting holistic view of ad performance enables customers to close the loop on measurement and better link ad spend to sales.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Conversion Lift.</w:t>
      </w:r>
      <w:r>
        <w:rPr>
          <w:color w:val="000000"/>
        </w:rPr>
        <w:t xml:space="preserve"> </w:t>
      </w:r>
      <w:r>
        <w:rPr>
          <w:rFonts w:ascii="Times New Roman;sans-serif" w:hAnsi="Times New Roman;sans-serif"/>
          <w:b w:val="false"/>
          <w:color w:val="000000"/>
          <w:sz w:val="20"/>
        </w:rPr>
        <w:t>Our conversion lift reporting helps advertisers understand the impact of media in driving conversions. Ghost bids are a control group made up of consumers who were within the campaign targeting criteria and active on the programmatic network, on whom a bid request was placed to show them the campaign ad, but the bid was lost. Those impressions are then passively tracked and included in the control group. By leveraging ghost bids to create a control group, customers can see how much impact their media has in driving incremental conversions and use these insights to refine their optimization strategy for better results and investment impact.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Foot Traffic Attribution. </w:t>
      </w:r>
      <w:r>
        <w:rPr>
          <w:rFonts w:ascii="Times New Roman;sans-serif" w:hAnsi="Times New Roman;sans-serif"/>
          <w:b w:val="false"/>
          <w:color w:val="000000"/>
          <w:sz w:val="20"/>
        </w:rPr>
        <w:t>Our foot traffic data reporting capabilities allow customers to analyze the impact of their ad campaigns on driving visits to a physical location.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Digital Billboard Reporting. </w:t>
      </w:r>
      <w:r>
        <w:rPr>
          <w:rFonts w:ascii="Times New Roman;sans-serif" w:hAnsi="Times New Roman;sans-serif"/>
          <w:b w:val="false"/>
          <w:color w:val="000000"/>
          <w:sz w:val="20"/>
        </w:rPr>
        <w:t>Our digital billboard reporting provides a holistic view of ad spend, giving customers real-time insights into their digital billboard ad performance and helping customers optimize budgets by allocating ad spend on effective digital billboards and venue types.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platform is built with ad buyers in mind and offers many in-depth features that give buyers the highest levels of control, which helps ensure they are running the most efficient campaigns possible. This includes: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Bulk Functionality</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Our platform is built to ease the lives of programmatic traders. With our DSP, traders can mass edit ad orders and campaigns, instead of making individual changes, saving significant time. For example, if a trader wants to change the bid price for all 1,000 of their ad orders, they could simply download, complete and upload a form, rather than wasting time by editing each ad order one by one.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Application Integration Interfaces (“API”) Capabilities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Our DSP provides ease of integration using APIs and tools. The API capabilities provide bilateral data syndication into or out of the platform for trafficking and reporting in formats easily accepted by business intelligence teams for programmatic traders. With these, traders can maintain customer identities with a fully integrated platform that links devices and offline activities to real people and seamlessly execute and measure campaigns.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Machine Learning and AI Algorithms:</w:t>
      </w:r>
      <w:r>
        <w:rPr>
          <w:color w:val="000000"/>
        </w:rPr>
        <w:t xml:space="preserve"> </w:t>
      </w:r>
      <w:r>
        <w:rPr>
          <w:rFonts w:ascii="Times New Roman;sans-serif" w:hAnsi="Times New Roman;sans-serif"/>
          <w:b w:val="false"/>
          <w:color w:val="000000"/>
          <w:sz w:val="20"/>
        </w:rPr>
        <w:t>Our built-in advanced machine learning technology and AI solutions analyze millions of impressions and data points every second. Our algorithms find optimal bid prices for maximizing performance and scale across all major KPIs, allowing our customers to strengthen their campaign efforts and build confidence in programmatic campaign performance.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Technology and Development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Rapid and continuing innovation is a core driver of our business success and our corporate culture. Our product and engineering teams are responsible for the design, development and testing of our platform. We are committed to continuous innovation and rapid introduction of new technologies, features and functionality that bring value to our customers. We expect technology and development expense and capitalized software development costs to increase as we continue to invest in the development of our platform to support additional features and functions, such as enhancements to our AI and automation features and user interface, and to increase the number of advertising and data inventory integrations in various channels.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technical infrastructure for our platform is currently managed through third-party web hosting providers. We generally enter into two- to three-year agreements with our web hosting providers.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consist of purchasers of programmatic advertising inventory, including large advertising holding companies, independent advertising agencies, mid-market advertising service organizations as well as marketers relying on our self-service platform for their programmatic ad buying needs.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Many of the advertising agencies that we work with are owned by holding companies, where decision-making is generally highly decentralized such that purchasing decisions are made, and relationships with advertisers are located, at the agency, local branch or division level. Our customer count includes only those parties with which we have a billing relationship. We contract with our customers either through master service agreements or insertion orders. Our agreements do not contain any material commitments on behalf of customers to use our platform to purchase ad inventory or use other features. Our agreements with customers generally do not have a specified term and are generally terminable at any time by either party upon specified notice periods, typically ranging from 30 to 90 days. Insertion orders are generally limited in scope and can be reduced or canceled by a buyer without penalty. See “</w:t>
      </w:r>
      <w:r>
        <w:rPr>
          <w:rFonts w:ascii="Times New Roman;sans-serif" w:hAnsi="Times New Roman;sans-serif"/>
          <w:b w:val="false"/>
          <w:i/>
          <w:color w:val="000000"/>
          <w:sz w:val="20"/>
        </w:rPr>
        <w:t>Risk Factors—Risks Related to Our Business and Operations—We receive a significant amount of revenue from a select number of advertising agency holding companies, which own various advertising agencies, and the loss of advertising agencies as customers could harm our business, operating results and financial condition</w:t>
      </w:r>
      <w:r>
        <w:rPr>
          <w:color w:val="000000"/>
        </w:rPr>
        <w:t xml:space="preserve">” </w:t>
      </w:r>
      <w:r>
        <w:rPr>
          <w:rFonts w:ascii="Times New Roman;sans-serif" w:hAnsi="Times New Roman;sans-serif"/>
          <w:b w:val="false"/>
          <w:color w:val="000000"/>
          <w:sz w:val="20"/>
        </w:rPr>
        <w:t>for additional discussion of our customer relationships with advertising agencies.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Advertising and Data Supply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obtain digital advertising inventory primarily through our integrations with supply side platforms and directly with publishers. We believe that our integrations across numerous channels give us one of the most robust omnichannel integrations of any single platform. These suppliers provide us with access to a breadth of programmatic advertising inventory across desktop, mobile, connected TV, linear TV, in-game, streaming audio and digital billboards.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enable deep data access through our integrations with over 70 leading data companies, giving our customers access to data across key industry verticals, including retail, consumer packaged goods, travel and healthcare. Customers can onboard their own first-party data onto our platform, without the need for a separate data management platform.</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platform through a direct sales team focused on business development across all markets, including sales to new customers and revenue growth within existing customers. We have an experienced sales team focused on selling access to our platform in our target markets, as well as building and nurturing relationships with global brands and agencies. We use a consultative sales approach focused on educating existing and potential customers on our platform capabilities, and training clients to use our platform. We offer a formal certification program, Programmatic University and Viant DSP Certification, which covers programmatic industry trends, technology capabilities and time-saving workflows and have an online knowledge base with robust documentation. We provide dedicated customer support and work with customers as they set up and optimize their campaigns, assist with delivery against KPIs and goals, and provide post-campaign support and recommendations.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tailor our contracts and terms to the needs of our customers, including by offering our two different pricing options: a percentage of spend option and a fixed cost per mille (“CPM”) option. Customers can use our platform on a self-service basis or can enlist our services to execute their campaigns.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marketing efforts are focused on increasing awareness and consideration for our brands, executing thought-leadership initiatives, participating in industry events, creating comprehensive sales support materials and generating new customer leads.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seek to accomplish these objectives by presenting at industry conferences, hosting customer conferences, publishing white papers and research, conducting public relations activities and advertising campaigns, and maintaining an active social media presence.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Privacy and Data Protection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may collect, receive, compile, use, store, process, share, dispose of, disclose, retain, transfer, and destroy (“Process” or “Processing”) personal information, personal data, and personally identifiable information, as those and similar terms are defined under various applicable laws. Accordingly, we are subject to numerous data privacy and security obligations, including laws, regulations, guidance, and industry standards related to data privacy and security. Such obligations may include, without limitation, those under the Federal Trade Commission Act, the Children’s Online Privacy Protection Act of 1998, a host of consumer privacy laws and regulations enacted at the state level, such as the California Consumer Privacy Act (“CCPA”) and similar laws in Colorado, Virginia, Connecticut, and Utah, among other states (the “State Privacy Laws”). Authorities at many levels across jurisdictions continue to introduce new privacy legislation and rules, and we expect this will continue.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State Privacy Laws are examples of the increasingly stringent and evolving regulatory frameworks related to personal information Processing that continue to increase our compliance obligations and exposure for any noncompliance. The State Privacy Laws generally require each covered business to provide specific disclosures related to its Processing of personal information and to honor requests from individuals, including to opt out of certain advertising uses and related disclosures of their personal information, as well as requests to access, delete, and correct certain information and add extra protections for certain personal information deemed “sensitive” under such laws. Plaintiffs’ attorneys also continue to explore creative theories to allege privacy violations under recent and longstanding laws that can be costly to defend. A failure to comply with applicable privacy laws may lead to the defense of costly regulatory investigations and enforcement actions.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See "</w:t>
      </w:r>
      <w:r>
        <w:rPr>
          <w:rFonts w:ascii="Times New Roman;sans-serif" w:hAnsi="Times New Roman;sans-serif"/>
          <w:b w:val="false"/>
          <w:i/>
          <w:color w:val="000000"/>
          <w:sz w:val="20"/>
        </w:rPr>
        <w:t>Risk Factors—Risks Related to Data Privacy and Artificial Intelligence"</w:t>
      </w:r>
      <w:r>
        <w:rPr>
          <w:color w:val="000000"/>
        </w:rPr>
        <w:t xml:space="preserve"> </w:t>
      </w:r>
      <w:r>
        <w:rPr>
          <w:rFonts w:ascii="Times New Roman;sans-serif" w:hAnsi="Times New Roman;sans-serif"/>
          <w:b w:val="false"/>
          <w:color w:val="000000"/>
          <w:sz w:val="20"/>
        </w:rPr>
        <w:t>for additional information about the laws, obligations and limitation to which we are subject and about the risks to our business associated with such laws, obligations and limitations.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industry is highly competitive and fragmented. We compete with large, privately-held companies, such as Yahoo DSP, with public companies exclusively serving our industry, such as The Trade Desk, and with divisions of large, well-established public companies such as Google and Amazon. The competitive landscape in recent years has been affected by consolidation and limited investment in new startups in our industry and there are few competitors with self-service capabilities. Our long history and time in the market with customers has given us significant advantages in terms of platform development and expertise, as well as a long development lead ahead of new entrants. We believe that we compete primarily based on the performance of campaigns running on our platform, the capabilities of our platform, our identity resolution capabilities, our omnichannel capabilities and our advance reporting capabilities. We believe that we are differentiated from our competitors in the following areas: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are an independent technology company focused on serving advertising agencies and marketers on the buy-side of our industry;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platform is self-service and easy to use;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offer our DSP in an integrated manner with our people-based capabilities, so customers do not need to use separate providers for onboarding client information and ad and data purchasing services;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platform provides comprehensive access to a wide range of inventory types across a broad range of channels;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platform provides comprehensive access to a wide range of data partners across a broad range of industry verticals and channels to enable precise audience targeting and measurement;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identity resolution capabilities help marketers plan, buy and measure their campaigns more effectively;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provide extensive customer service and satisfaction;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provide flexible pricing options to support our customers' needs.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Human Capital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founder-led business and believe our employees and culture are key to our success. Our business and our culture are anchored on four core values that embody our resourceful mentality: “Live,” “Lead,” “Create” and “Figure It Out.” We believe we attract talented employees to our company and sophisticated customers to our platform in large part because of our vision and unwavering commitment to using cutting-edge technologies to create products that help advance the advertising industry.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approximately 333 employees in 10 offices across the United States. Our team draws from a broad spectrum of backgrounds and experiences across technology and advertising industries.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Diversity and Inclusion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fostering a culture of inclusion where all employees feel valued and included. We believe our greatest asset is the people who work for us, and as part of our investment in our people, we prioritize diversity and inclusion. Our goal is to create a culture where we value, respect, and provide fair treatment and opportunities for all employees. Each year, we conduct an annual survey to give employees the opportunity to provide feedback on our management team and culture. This survey helps drive new programs that continue the development of our inclusive culture. Our leaders review the survey feedback and work with their teams to initiate new initiatives based on the results. However, we are also committed to achieving these ends through legally compliant methods, and diversity, equity and inclusion efforts are part of the Company's legal compliance considerations. It is our policy, in keeping with the law, to not make employment decisions, including decisions regarding hiring, promotion and compensation, on the basis of any legally protected characteristic, including race or gender.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developing a diverse environment through recruiting, development programs, community involvement and fostering conversations about differences.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Talent Development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Even though we have been around for over 20 years, our culture still reflects an entrepreneurial spirit. We empower employees to develop their skills and abilities by following our core values and acting on great ideas regardless of their role or function. We encourage employees at all levels to be creative and come up with ideas that can help the business grow. We work to provide an environment where talented individuals and teams can take control of their career growth. We provide a wide range of learning and development opportunities in both individual and group settings.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Compensation and Benefits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compensation and benefits programs to help meet the needs of our employees and reward their efforts and contributions. We use internal and external resources to help develop plans that are fair and reward our employees’ commitment and performance with the goal of attracting and retaining high performing individuals.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salaries, we provide competitive compensation programs that are in line with our peers and industry. These programs may include bonuses, equity awards, 401(k) plan, healthcare and insurance benefits, flexible spending accounts, paid time off, family leave and employee assistance programs among many others.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Climate Change and Sustainability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launching initiatives that aim to drive sustainability and reduce both our and our partners' environmental impact. In 2023, we announced a commitment to be carbon neutral with respect to known and measurable emissions by the end of 2023. We recently announced that we achieved this goal for 2023, through strategic collaborations with cloud providers to source renewable energy for powering Viant's platform where feasible, as well as purchasing carbon offsets and renewable energy credits ("RECs"). As of December 31, 2023, we have purchased the carbon offsets required to offset our fiscal 2023 Scope 1 and Scope 3 emissions. The purchased carbon offsets are reflected within “Prepaid expenses and other current assets” on the consolidated balance sheet and will be retired in fiscal 2024. Viant has also entered into an agreement for the purchase of requisite qualified RECs, which will be fulfilled and retired in early 2024 to neutralize our fiscal 2023 Scope 2 emissions.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recognize that sustainability initiatives are increasingly important to our partners’ spend decisions. To support our partners in reducing their GHG emissions and meeting their goals of carbon neutrality, we launched a customer carbon reduction program on February 7, 2023 called Adtricity. Adtricity aims to deliver RECs to our customers based on their media spend with us. We have also joined Ad Net Zero and the IAB Tech Lab - Sustainability Working Group to drive cross-industry action around sustainability initiatives in the advertising industry.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protection of our technology and intellectual property is an important component of our success. We rely on intellectual property laws, including trade secret, copyright, patent and trademark laws in the United States and abroad, and use contracts, confidentiality procedures, non-disclosure agreements, employee disclosure and invention assignment agreements and other contractual rights to protect our intellectual property.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held 37 issued patents, 9 pending patent applications and 316 issued trademarks. Our issued patents are scheduled to expire between 2025 and 2041. We continually review our development efforts to assess the existence and patentability of new intellectual property. In addition to the intellectual property relating to the operation of Viant, our DSP, and our people-based framework, we own intellectual property related to our owned site, Myspace.com. Of our issued patents, 22 relate to our platform and our people-based framework, and 15 relate to Myspace.com.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were founded in 1999 by Tim, Chris and Russ Vanderhook who continue to lead our company today. We have been at the forefront of digital advertising technology since our inception and have demonstrated our ability to grow, thrive, and innovate as competitors have come and gone. In 2011, we acquired the social network website Myspace.com. In 2011, Tim and Chris Vanderhook started Xumo, a connected TV streaming service, which was acquired by Comcast Corp. in 2020. In 2015, we completed our first people-based integration. We remained independent until 2016, when Time Inc. acquired a 60% interest in our company through our subsidiary, Viant Technology Holding Inc. (the “Former Holdco”). That interest was later acquired by Meredith Corporation when it acquired Time Inc. in 2018. In 2017, we purchased Adelphic, a DSP. Since the Adelphic acquisition, we have materially transformed from a full-service provider of digital advertising solutions into a leading DSP that enables marketers and their advertising agencies to centralize the planning, buying and measurement of their media investments using a people-based framework. We have grown from a business operating from a home office to a company with approximately 333 employees in 10 offices throughout the United States at the end of 2023. In 2019, we entered into an agreement that resulted in the retirement of the Former Holdco’s interest in our company and Tim Vanderhook, Chris Vanderhook and Capital V LLC (formerly Four Brothers 2 LLC) (the “Vanderhook Parties”) acquired that 60% interest in our company (the “2019 Former Holdco transaction”), allowing it to once again become an independent company. Viant Technology Inc. was incorporated in Delaware on October 9, 2020. In connection with the consummation of our initial public offering (the “IPO”), we became the sole managing member of Viant Technology LLC. We completed the IPO of our Class A common stock on February 12, 2021. Our principal executive offices are located at 2722 Michelson Drive, Suite 100, Irvine, CA 92612 and our telephone number is (949) 861-8888. Our website address is www.viantinc.com. Our design logo, “Viant,” and our other registered and common law trade names, trademarks and service marks are the property of Viant Technology LLC.</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The SEC maintains a website at www.sec.gov that contains reports, information statements and other information regarding issuers that file electronically with the SEC. Our Annual Report can be downloaded from the SEC’s website. We will file with or furnish to the SEC periodic reports and other information. We furnish or make available to our stockholders annual reports containing our audited consolidated financial statements prepared in accordance with GAAP. We also furnish or make available to our stockholders quarterly reports containing our unaudited interim financial information, for the first three fiscal quarters of each fiscal year. We make our periodic reports and other information filed with or furnished to the SEC pursuant to Section 13(a) or 15(d) of the Exchange Act, available, free of charge, through our website, </w:t>
      </w:r>
      <w:r>
        <w:rPr>
          <w:rFonts w:ascii="Times New Roman;sans-serif" w:hAnsi="Times New Roman;sans-serif"/>
          <w:b w:val="false"/>
          <w:color w:val="000000"/>
          <w:sz w:val="20"/>
          <w:u w:val="single"/>
        </w:rPr>
        <w:t>www.viantinc.com</w:t>
      </w:r>
      <w:r>
        <w:rPr>
          <w:rFonts w:ascii="Times New Roman;sans-serif" w:hAnsi="Times New Roman;sans-serif"/>
          <w:b w:val="false"/>
          <w:color w:val="000000"/>
          <w:sz w:val="20"/>
        </w:rPr>
        <w:t>, as soon as reasonably practicable after those reports and other information are electronically filed with or furnished to the SEC. Information contained on our website or linked therein or otherwise connected thereto does not constitute part of nor is it incorporated by reference into this Annual Report.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Emerging Growth Company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of 2002 (the “Sarbanes-Oxley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companies that are not an EGC. We will cease to be an EGC upon the earliest of: (i) December 31, 2026, (ii) the first fiscal year after our annual gross revenue is $1.235 billion or more, (iii) the date on which we have, during the previous three-year period, issued more than $1 billion in nonconvertible debt securities, or (iv) the date on which we are deemed to be a large accelerated filer under the rules of the SEC. Refer to Note 2—Basis of Presentation and Summary of Significant Accounting Policies to our consolidated financial statements included elsewhere in this Annual Report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Investing in our Class A common stock involves a high degree of risk. You should carefully consider the following risks and uncertainties described below, together with all other information contained in this Annual Report and in our other public filings, including our consolidated financial statements and the related notes included elsewhere in this Annual Report. The occurrence of any of the following risks, as well as any risks or uncertainties not currently known to us or that we currently do not believe to be material, could materially and adversely affect our business, prospects, financial condition, results of operations and cash flow, in which case, the trading price of our Class A common stock could decline and you could lose all or part</w:t>
      </w:r>
      <w:r>
        <w:rPr>
          <w:color w:val="000000"/>
        </w:rPr>
        <w:t xml:space="preserve"> </w:t>
      </w:r>
      <w:r>
        <w:rPr>
          <w:rFonts w:ascii="Times New Roman;sans-serif" w:hAnsi="Times New Roman;sans-serif"/>
          <w:b w:val="false"/>
          <w:i/>
          <w:color w:val="000000"/>
          <w:sz w:val="20"/>
        </w:rPr>
        <w:t>of your investment.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success and revenue growth are dependent on enhancing and improving our platform and effectively educating and training our customers on how to make full use of our platform.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is dependent on our ability to enhance and improve our offerings and platform, build our brand, scale our technology capabilities, add functionality to and improve the performance of our DSP, and address technological and industry advancements, including the use of AI, to increase our customers’ usage of our platform and add new customers. Our contracts and relationships with customers generally do not include long-term or exclusive obligations requiring them to use our platform or maintain or increase their use of our platform. Our customers typically have relationships with numerous providers and can use both our platform and those of our competitors without incurring significant costs or disruption. Our customers may also choose to decrease their overall advertising spend for any reason, including if they do not believe they are receiving a sufficient return on advertising spend. Accordingly, we must continually work to win new customers and retain existing customers, increase their usage of our platform and capture a larger share of their advertising spend. For those customers utilizing our self-service capabilities, we may not be successful at educating and training customers, particularly our newer customers, on how to use our platform, in particular our advanced reporting tools, in order for our customers to get the most benefit from our platform and increase their usage. If these efforts are unsuccessful or customers decide not to continue to maintain or increase their usage of our platform for any other reason, or if we fail to attract new customers, our revenue could fail to grow or decline, which would materially and adversely harm our business, operating results and financial condition. If customers representing a significant portion of our business decide to materially reduce their use of our platform or cease using our platform altogether, our revenue could be significantly reduced, which could have a material adverse effect on our business, operating results and financial condition. We may not be able to replace customers who decrease or cease their usage of our platform with new customers that will use our platform to the same extent or at all.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realize the expected benefits of an industry shift away from cookie-based consumer tracking.</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to benefit relative to others in our industry from marketers reducing their reliance on vendors and advertising technology platforms that utilize third-party cookies for tracking. However, the shift away from cookie-based consumer tracking may not happen as rapidly as we expect, and our competitors may adapt their services. Additionally, even as this shift occurs,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 which could harm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innovate and make the right investment decisions in our offerings and platform, we may not attract and retain customers and our revenue and results of operations may decline.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industry is subject to rapid and frequent changes in technology, evolving customer needs and the frequent introduction by our competitors of new and enhanced offerings. We must regularly make investment decisions regarding offerings and technology to maintain the technological competitiveness of our products and services and meet customer demand and evolving industry standards. The complexity and uncertainty regarding the development of new technologies and the extent and timing of market acceptance of innovative products and services create difficulties in maintaining this competitiveness. The success of any enhancement or new solution depends on many factors, including timely completion, adequate quality testing, appropriate introduction and market acceptance. Without the timely introduction of new products, services and enhancements, including those leveraging AI and machine learning, our offerings could become technologically or commercially obsolete over time, in which case our revenue and operating results would suffer. In addition, such new products, services or enhancements may create new, or exacerbate existing, technological, security, legal and other challenges, could cause unintended consequences, and may not perform as intended. If new or existing competitors have more attractive offerings, we may lose customers or customers may decrease their use of our platform. New customer demands, superior competitive offerings or new industry standards could require us to make unanticipated and costly changes to our platform or business model. In addition, as we develop and introduce new products and services, including those incorporating or utilizing AI and machine learning and new processing of information, they may raise new, or heighten existing, technological, security, legal and other risks and challenges, that may cause unintended consequences and may not function properly or may be misused by our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enhance our current products and services or fail to develop new products to adapt to our rapidly changing industry and applicable laws, regulations, and other legal obligations, or to evolving customer needs, demand for our platform could decrease and our business, operating results and financial condition may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for programmatic advertising is evolving. If this market develops slower or differently than we expect, our business, operating results and financial condition would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derive revenue from the programmatic purchase of advertising on our platform. We expect that programmatic ad buying will continue to be our primary source of revenue for the foreseeable future, and that our revenue growth will largely depend on increasing our customers’ usage of our platform. While the market for programmatic ad buying for desktop and mobile ads is relatively established, the market in other channels is still emerging, and our current and potential customers may not shift quickly enough to programmatic ad buying from other buying methods, which could reduce our growth potential. If the market for programmatic ad buying deteriorates or develops more slowly than we expect, it could reduce demand for our platform, and our business, growth prospects and financial condition would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particular, the market for programmatic advertising across most advertising channels, including connected TV, linear TV, in-game, streaming audio and digital billboard channels is an emerging market. Our ability to provide capabilities across most advertising channels, which we refer to as omnichannel, may be constrained if we are not able to maintain or grow advertising inventory for such channels, and some of our omnichannel offerings may not gain market acceptance. We may not be able to accurately predict changes in overall industry demand for the channels in which we operate and cannot assure you that our investment in channel development will correspond to any such changes. For example, the growth in demand for our connected TV offering may not continue. Furthermore, if our channel mix changes due to a shift in customer demand, such as customers shifting their usage more quickly or more extensively than expected to channels in which we have relatively less functionality, features or inventory, such as linear TV, then demand for our platform could decrease, and our business, financial condition and results of operations could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amount of our revenue comes from advertising agencies. Many of these agencies are owned by advertising agency holding companies, where decision-making is generally highly decentralized such that purchasing decisions are made, and relationships with marketers are located, at the agency, local branch or division level. Due to the highly decentralized operations and decision-making at the agencies owned by each of these advertising agency holding companies, we consider the individual agencies rather than the holding company to be our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Often, we enter into separate contracts and billing relationships with the individual agencies and account for them as separate customers. However, some holding companies for these agencies may choose to exert control over the individual agencies in the future. If so, any loss of relationships with such holding companies and, consequently, of their agencies, local branches or divisions, as customers could significantly harm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exclusive relationships with advertising agencies and we depend on agencies to work with us as they embark on advertising campaigns for their clients. The loss of such agencies could significantly harm our business, operating results and financial condition. If we fail to maintain satisfactory relationships with an advertising agency or an advertising agency otherwise chooses not to do business with us, we risk losing business from the marketers represented by that agency.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Marketers may change advertising agencies. If a marketer switches from an agency that utilizes our platform to one that does not, we could lose revenue from that marketer. In addition, some advertising agencies have strong relationships with competing DSPs or other platforms and may direct their marketers to such other platforms. We are primarily focused on the U.S. market, while competing DSPs may be focused on international markets. Advertising agencies who seek both domestic and international services, or otherwise limit the number or types of DSPs used, may choose to consolidate with competing DSPs. If a significant number of marketers and their agencies begin to utilize competing platforms for the administration of their advertising campaigns, our business, financial condition and results of operations could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cycle, from initial contact to contract execution and implementation, can take significant time. As part of our sales cycle, we may incur significant expenses before we generate any revenue from a prospective customer. The substantial time and money spent on our sales efforts may not generate significant revenue. If conditions in the marketplace, generally or with a specific prospective customer, change negatively, it is possible that we will be unable to recover any of these expenses. Our sales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involve educating our customers about the use, technical capabilities and benefits of our platform. Many of our prospective customers undertake a lengthy evaluation process that involves assessing our platform against the offerings of our competitors. As a result, it is difficult to predict when or if we will obtain new customers and begin generating revenue from these new customers. Even if our sales efforts result in obtaining a new customer, the customer controls when and to what extent it uses our platform and therefore the amount of revenue we generate, and it may not sufficiently justify the expenses incurred to acquire the customer and the related training support. As a result, we may not be able to add customers, or generate revenue, as quickly as we may expect, which could harm our growth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effects of macroeconomic conditions and geopolitical events, such as inflation, rising interest rates and other adverse market events have had, and could in the future have, an adverse impact on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and operations have been and could in the future be adversely affected by macroeconomic conditions and geopolitical events, such as bank failures, rising interest rates, inflationary pressures, labor shortages, shortages of goods and services, supply chain constraints, pandemics, international conflicts and acts of terrorism. A recession, depression, or other economic slowdown resulting from macroeconomic conditions and geopolitical events could materially and adversely affect our business and that of our customers or potential customers and our results could fluctuate unpredictably.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depends on the overall demand for advertising and on the economic health of our customers that benefit from our platform. Economic downturns or unstable market conditions may cause our customers to decrease their advertising budgets, which could reduce usage of our platform and adversely affect our business, operating results and financial condition. Our customers’ and potential customers’ businesses or cash flows have recently been and may continue to be negatively impacted by the economic uncertainty related to, among other things, pandemics, bank failures, inflation and monetary supply shifts, labor shortages, supply shortages, tightening of credit markets, international conflicts and acts of terrorism,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Our customers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renegotiate better terms. As a result, our financial condition and results of operations have in the past and may in the future be adversely impacted if the business or financial condition of our customers and marketers is negatively affected by macroeconomic conditions and geopolitical events.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Economic uncertainty caused by macroeconomic and geopolitical conditions can also make it more difficult to forecast revenue and operating results and to make decisions regarding operational cost structures and investments. We have committed, and we plan to continue to commit, resources to grow our business, including to further develop our platform and systems, and such investments may be impacted by adverse macroeconomic conditions and geopolitical events. </w:t>
      </w:r>
    </w:p>
    <w:p>
      <w:pPr>
        <w:pStyle w:val="TextBody"/>
        <w:bidi w:val="0"/>
        <w:spacing w:lineRule="auto" w:line="288" w:before="240" w:after="283"/>
        <w:jc w:val="left"/>
        <w:rPr/>
      </w:pPr>
      <w:r>
        <w:rPr>
          <w:rFonts w:ascii="Times New Roman;sans-serif" w:hAnsi="Times New Roman;sans-serif"/>
          <w:b/>
          <w:i/>
          <w:color w:val="000000"/>
          <w:sz w:val="20"/>
        </w:rPr>
        <w:t>Customers have the option to use our platform on a self-service basis, which requires us to commit substantial time and expenses toward training potential customers on how to make full use of our platform. If we fail to offer sufficient customer training and support for our platform, we may not be able to attract new customers</w:t>
      </w:r>
      <w:r>
        <w:rPr>
          <w:color w:val="000000"/>
        </w:rPr>
        <w:t xml:space="preserve"> </w:t>
      </w:r>
      <w:r>
        <w:rPr>
          <w:rFonts w:ascii="Times New Roman;sans-serif" w:hAnsi="Times New Roman;sans-serif"/>
          <w:b/>
          <w:i/>
          <w:color w:val="000000"/>
          <w:sz w:val="20"/>
        </w:rPr>
        <w:t>or maintain our current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operate a platform that has many powerful and complex tools and that customers can choose to use on a self-service basis, we are often required to spend a substantial amount of time and effort educating and training current customers and potential customers on how to make full use of our platform. Because potential customers may already be trained to use our competitors’ platforms, we are also required to spend a significant amount of time cultivating relationships with those potential customers to ensure they understand the potential benefits of our platform and this relationship building process can take many months and may not result in us winning an opportunity with any given potential customer. As a result, customer training and support is critical for the successful and continued use of our platform and for maintaining and increasing spend through our platform from existing and new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Providing this training and support requires that our platform operations personnel have specific domain knowledge and expertise, making it more difficult for us to hire qualified personnel and to scale up our support operations due to the extensive training required. The importance of high-quality customer service will increase as we expand our business and pursue new customers. If we are not responsive and proactive regarding our customers’ advertising needs, or do not provide effective support for our customers’ advertising campaigns, our ability to retain our existing customers could suffer and our reputation with existing or potential customers could be harmed, which would negatively impact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payment-related risks and if our customers do not pay, or dispute their invoices, our business, operating results and financial condition may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contracts with advertising agencies provide that if the marketer does not pay the agency, the agency is not liable to us, and we must seek payment solely from the marketer, a type of arrangement called sequential liability. The credit risk associated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these arrangements may vary depending on the nature and credit risk of an advertising agency’s aggregated marketer base and the credit risk of the agency itself. We may also be involved in disputes with agencies and their marketers over the operation of our platform, the terms of our agreements or our billings for purchases made by them through our platform. When we are unable to collect or make adjustments to our bills to customers,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are generally contractually required to pay suppliers of advertising inventory and data within a negotiated period of time, regardless of whether our customers pay us on time, or at all. While we attempt to negotiate long payment periods with our suppliers and shorter periods from our customers, we are not always successful. As a result, our accounts payable are often due on shorter cycles than our accounts receivables, requiring us to remit payments from our own funds, and accept the risk of bad debt.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Due to this potential imbalance in our collections and payments, we may rely on our credit facility to partially or completely fund our working capital requirements. As we continue to grow, our business may not generate sufficient cash flow from operations and future borrowings may not be available to us under the credit facility in an amount sufficient to fund our working capital needs. If our cash flows and credit facility borrowings are insufficient to fund our working capital requirements, we may not be able to grow at the rate we currently expect or at all. In addition, in the absence of sufficient cash flows from operations, we might be unable to meet our obligations under our credit facility and we may be at risk of default thereunder. We may not be able to access additional financing or increase our borrowing or borrowing capacity under our current or any future credit facility on commercially reasonable terms or at all.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our access to advertising inventory is diminished or fails to grow, our revenue could decline and our growth could be impeded.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must maintain a consistent supply of ad inventory. Our success depends on our ability to secure inventory on reasonable terms across a broad range of advertising inventory partners in various verticals and formats. The amount, quality and cost of inventory available to us can change at any time. If our relationships with any of our significant suppliers were to cease, or if the material terms of these relationships were to change unfavorably, our business would be negatively impacted. Our suppliers are generally not bound by long-term contracts. We may not have access to a consistent supply of inventory on favorable terms or at all. In addition, we compete with companies with which we have business relationships. For example, Google is an advertising inventory supplier in addition to being one of our competitors. If Google or any other company with attractive advertising inventory limits our access to its advertising inventory, our business could be adversely affected. If our relationships with certain of our suppliers were to cease, or if the material terms of these relationships were to change unfavorably, our business would be negatively impacted. Inventory suppliers control the sales process for the inventory they supply, and their processes may not always work in our favor. For example, suppliers may place restrictions on the use of their inventory, including prohibiting the placement of advertisements on behalf of specific marketers, or seek to sell inventory directly to a marketer or advertising agency instead of, or in addition to, a DSP. Furthermore, the inventory that we access through real-time advertising exchanges may be of low quality or misrepresented to us, despite attempts by us and our suppliers to prevent fraud and conduct quality assurance checks.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new types of inventory, such as digital advertising for television, become more readily available, we will need to expend significant resources to ensure we have access to such new inventory. Although television advertising is a large market, only a relatively small percentage of it is currently purchased programmatically. We are investing heavily in our programmatic television offering, including by adding new features, functions and integrations to our platform. If the digital television advertising market does not grow as we anticipate or we fail to successfully serve such a market, our growth prospects could be harmed.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on consistently adding valued inventory in a cost-effective manner. If we are unable to maintain a consistent supply of inventory for any reason, customer retention, loyalty and operating results and financial condition could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our access to people-based data is diminished, the effectiveness of our platform would be decreased, which could harm our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Much of the data that we use is obtained through integrations with third parties. We are dependent upon our ability to obtain necessary data licenses on commercially reasonable terms. We could suffer material adverse consequences if we were unable to obtain data through our integrations with third parties, including inventory and data suppliers. Our ability to serve particular customers is also enhanced when such customers upload their own first-party data. Our operation of our platform and access to data could be negatively affected if, due to legal, contractual, privacy, reputational, market optics, competition or other economic concerns, third parties cease entering into integration agreements with us or customers cease uploading their data to our platform. Additionally, if our third-party partners, including inventory or data suppliers, fail to adhere to our data quality and privacy standards, we may scale back or terminate relationships with such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Legislators, regulators, and other authorities have focused heavily on third-party data suppliers and the advertising industry in recent years and we expect this to continue. Consumer privacy laws and regulations enacted at the state level, such as the California Consumer Privacy Act of 2018 (“CCPA”), Washington's My Health, My Data Act ("MHMD"), and other similar privacy focused laws in Colorado, Virginia, Connecticut, and Utah among other states (“State Privacy Laws”) and other U.S. and foreign laws governing personal data and privacy pose additional and material compliance risks to such suppliers and companies operating in the advertising industry. In addition, state lawmakers continue to update or enact new laws governing activities of data brokers. For example, in California, lawmakers have introduced requirements to honor requests submitted through a universal deletion mechanism that the state would develop and materially increase penalties for non-compliance. We and our suppliers may face compliance risks under these laws and limitations on our ability to use certain data, including data provided by our third-party suppliers, which could impact our business and diminish our revenue.</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Furthermore, digital advertising and in-app advertising are largely dependent on established technology companies and their operation of the most commonly used internet browsers (Chrome, Firefox, Internet Explorer and Safari), devices, operating systems (such as Android and iOS) and applications. These companies may change the operations or policies of their browsers, devices and operating systems in a manner that fundamentally changes our ability to operate our platform or use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For example, Apple introduced an iOS update in April 2021 that only allows tracking of user activity after an opt-in by users, and in October 2021, Google introduced similar changes that provided users with the ability to opt-out of tracking across devices using the Android operating system. Individuals may increasingly resist or turn off the collection, use, and sharing of personal data to deliver targeted advertising. Individuals are increasingly becoming aware of options related to consent, browser-based signals including the “Global Privacy Control,” a browser setting that notifies websites of a user's privacy preferences, and other “ad-blocking” software, any of which could materially impact our and our data supplier’s ability to collect, use and disclose personal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 Please see “</w:t>
      </w:r>
      <w:r>
        <w:rPr>
          <w:color w:val="000000"/>
        </w:rPr>
        <w:t>—</w:t>
      </w:r>
      <w:r>
        <w:rPr>
          <w:rFonts w:ascii="Times New Roman;sans-serif" w:hAnsi="Times New Roman;sans-serif"/>
          <w:b w:val="false"/>
          <w:i/>
          <w:color w:val="000000"/>
          <w:sz w:val="20"/>
        </w:rPr>
        <w:t>Risks Related to Data Privacy and Artificial Intelligence</w:t>
      </w:r>
      <w:r>
        <w:rPr>
          <w:color w:val="000000"/>
        </w:rPr>
        <w:t xml:space="preserve">” </w:t>
      </w:r>
      <w:r>
        <w:rPr>
          <w:rFonts w:ascii="Times New Roman;sans-serif" w:hAnsi="Times New Roman;sans-serif"/>
          <w:b w:val="false"/>
          <w:color w:val="000000"/>
          <w:sz w:val="20"/>
        </w:rPr>
        <w:t>for additional discussion of the laws and regulations governing the collection of data to which we are or may become subject and about the risks to our business associated with such laws and regulations.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were to lose access to significant amounts of the data that enables our people-based framework, or the compliance obligations for our suppliers or us become too onerous, our ability to provide products and services to our customers could be materially and adversely impacted, which could be materially adverse to our business,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do not effectively grow and train our sales and support teams, we may be unable to add new customers or increase usage of our platform by our existing customers and our business will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substantially dependent on our sales and support teams to obtain new customers and to increase usage of our platform by our existing customers. We believe that there is significant competition for sales personnel with the skills and technical knowledge 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will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corporate culture has contributed to our success and, if we are unable to maintain it, whether as a result of corporate growth or reduction in force, our business, operating results and financial condition could be harmed.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had 333 employees as of December 31, 2023. We believe our corporate culture has been critical to our success and we have invested substantial time and resources in building our team within our company culture. However, it may be difficult to maintain our culture, whether as a result of corporate growth or reduction in force, which could reduce our ability to innovate and operate effectively and proactively focus on and pursue our corporate objectives. The failure to maintain the key aspects of our culture could result in decreased employee satisfaction, increased difficulty in attracting top talent, increased turnover and degraded quality of customer service, all of which are important to our success and to the effective execution of our business strategy. In the event we are unable to maintain our corporate culture, our business, operating results and financial condition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allow our customers and suppliers to utilize application programming interfaces ("APIs") with our platform, which could result in outages or security breaches and negatively impact our business, operating results and financial condition.</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The use of APIs by our customers and suppliers has significantly increased in recent years. Our APIs allow customers and suppliers to build their own media buying and data management interface by using our APIs to develop custom integration of their business with our platform. The increased use of APIs increases security and operational risks to our systems, including the risk for cyber-attacks (including denial-of-service attacks), malicious internet-based activity online and offline fraud, and other similar activities threaten the confidentiality, integrity, and availability of our platform (for more information on risks related to cyber incidents, see “</w:t>
      </w:r>
      <w:r>
        <w:rPr>
          <w:color w:val="000000"/>
        </w:rPr>
        <w:t>—</w:t>
      </w:r>
      <w:r>
        <w:rPr>
          <w:rFonts w:ascii="Times New Roman;sans-serif" w:hAnsi="Times New Roman;sans-serif"/>
          <w:b w:val="false"/>
          <w:i/>
          <w:color w:val="000000"/>
          <w:sz w:val="20"/>
        </w:rPr>
        <w:t>A significant breach of our IT Systems or disclosure of our Confidential Data, or of the security of our or our customers’, suppliers’, or other third parties’ systems upon which we rely could be detrimental to our business, reputation and results of operations</w:t>
      </w:r>
      <w:r>
        <w:rPr>
          <w:color w:val="000000"/>
        </w:rPr>
        <w:t>”</w:t>
      </w:r>
      <w:r>
        <w:rPr>
          <w:rFonts w:ascii="Times New Roman;sans-serif" w:hAnsi="Times New Roman;sans-serif"/>
          <w:b w:val="false"/>
          <w:color w:val="000000"/>
          <w:sz w:val="20"/>
        </w:rPr>
        <w:t>). Furthermore, while APIs allow customers and suppliers greater ease and power in accessing our platform, they also increase the risk of overusing our systems, potentially causing outages. We have experienced system slowdowns due to customer or supplier overuse of our systems through our APIs. While we have taken measures intended to decrease risks relating to security, performance and outages associated with the use of APIs, such measures may not be successful. Our failure to prevent outages or security breaches resulting from API use could result in government enforcement actions against us, claims for damages by consumers and other affected individuals, costs associated with investigation, notification, mitigation, and remediation, damage to our reputation and loss of goodwill, any of which could have a material adverse impact on our business,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Operational and performance issues with our platform, whether actual or perceived, including a failure to respond to technological changes or to upgrade our technology systems, may adversely affect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depend upon the sustained and uninterrupted performance of our platform to manage our inventory supply; acquire inventory for each campaign; collect, process and interpret data; bid on inventory; optimize campaign performance in real time; generate campaign reporting; and provide billing information to our financial systems. If our platform cannot scale to meet demand, if there are errors in our execution of any of these functions on our platform, or if we experience outages, then our business may be harmed.</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Our platform is complex and multifaceted, and operational and performance issues could arise both from the platform itself or from outside factors, such as cyberattacks or other third-party attacks (for more information on risks related to cyber incidents, see “</w:t>
      </w:r>
      <w:r>
        <w:rPr>
          <w:color w:val="000000"/>
        </w:rPr>
        <w:t>—</w:t>
      </w:r>
      <w:r>
        <w:rPr>
          <w:rFonts w:ascii="Times New Roman;sans-serif" w:hAnsi="Times New Roman;sans-serif"/>
          <w:b w:val="false"/>
          <w:i/>
          <w:color w:val="000000"/>
          <w:sz w:val="20"/>
        </w:rPr>
        <w:t>A significant breach of our IT Systems or disclosure of our Confidential Data, or of the security of our or our customers’, suppliers’, or other third parties’ systems upon which we rely could be detrimental to our business, reputation and results of operations</w:t>
      </w:r>
      <w:r>
        <w:rPr>
          <w:color w:val="000000"/>
        </w:rPr>
        <w:t>”</w:t>
      </w:r>
      <w:r>
        <w:rPr>
          <w:rFonts w:ascii="Times New Roman;sans-serif" w:hAnsi="Times New Roman;sans-serif"/>
          <w:b w:val="false"/>
          <w:color w:val="000000"/>
          <w:sz w:val="20"/>
        </w:rPr>
        <w:t>). Errors, failures, vulnerabilities or bugs have been found in the past, and may be found in the future. We have not always been able in the past and may be unable in the future to detect vulnerabilities in our information technology systems (including our products), and vulnerabilities may not be detected until after a security incident has occurred. Further, we may experience delays in developing and deploying remedial measures designed to address any such identified vulnerabilities. Our platform also relies on third-party technology and systems to perform properly, and our platform is often used in connection with computing environments utilizing different operating systems, system management software, equipment and networking configurations, which may cause errors in, or failures of, our platform or such other computing environments. Operational and performance issues with our platform could include the failure of our user interface, outages, errors during upgrades or patches, discrepancies in costs billed versus costs paid, unanticipated volume overwhelming our databases, server failure, or catastrophic events affecting one or more server facilities. While we have built redundancies in our systems, full redundancies do not exist. Some failures could shut our platform down completely, others only partially. We provide service level agreements to some of our customers, and if our platform is not available for specified amounts of time, we may be required to provide credits or other financial compensation to our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we grow our business, we expect to continue to invest in technology services and equipment.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customers. In addition, the expansion and improvement of our systems and infrastructure may require us to commit substantial financial, operational and technical resources, with no assurance our business will grow. If we fail to respond to technological change or to adequately maintain, expand, upgrade and develop our systems and infrastructure in a timely fashion, our growth prospects and results of operations could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Operational and performance issues with our platform could also result in negative publicity, damage to our brand and reputation, loss of or delay in market acceptance of our platform, increased costs or loss of revenue, the obligation to issue credits, loss of the ability to access our platform, loss of competitive position or claims by customers for losses sustained by them. Alleviating problems resulting from such issues could require significant expenditures of capital and other resources and could cause interruptions, delays or the cessation of our business, any of which may adversely affect our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dependent on the continued availability of third-party hosting and transmission services. Operational issues with, or changes to the costs of, our third-party data center providers could harm our business, reputation or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serve our platform functions from third-party data center hosting facilities operated by Google Cloud Platform and Amazon Web Services, and we primarily use shared servers in such facilities. We are dependent on these third parties to provide continuous power, cooling, humidity control, internet connectivity and physical and technological security for our servers, and our operations depend, in part, on their ability to protect these facilities against any damage or interruption from natural disasters, such as earthquakes, wildfires, extreme temperatures, drought, flooding, and storms,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damage to, or failure of, the systems of our third-party providers could result in interruptions to our platform. Despite precautions taken at our data centers, the occurrence of spikes in usage volume, a natural disaster, such as earthquakes, wildfires, extreme temperatures, drought, flooding, and storms, an act of terrorism, vandalism or sabotage, a decision to close a facility without adequate notice, or other unanticipated problems at a facility could result in lengthy interruptions in the availability of our platform. Climate change may increase the frequency and/or intensity of certain of these events and/or of efforts to reduce the impact of such events. For example, in certain areas, there has been an increase in power shutoffs associated with wildfire prevention. Climate change may also result in chronic meteorological changes, including changes to precipitation and temperature patterns, which may likewise disrupt our or our suppliers’ operations, require us to incur additional operating or capital expenditures, or otherwise adversely impact our business, financial condition, or results of operations.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stop using our platform, any of which could materially and adversely affect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the non-proprietary technology, software, products and services that we use are unavailable, have future terms we cannot agree to, or do not perform as we expect, our business, operating results and financial condition could be harmed.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various third-party open source and proprietary technologies, software, products and services, including for critical features and functionality of our platform and API technology, payment processing, payroll and other professional services. Identifying, negotiating, complying with and integrating with third-party terms and technology are complex, costly and time-consuming matters. Failure by third-party providers to maintain, support or secure their technology either generally or for our accounts specifically, or downtime, errors or defects in their products or services, could materially and adversely impact our platform, our administrative obligations or other areas of our business. Having to replace any third-party providers or their technology, products or services could result in outages or difficulties in our ability to provide our services, and our business, operating results and financial condition could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failure to meet content and inventory standards and provide services that our customers and inventory suppliers trust, could harm our brand and reputation and negatively impact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provide or control the content of the advertisements we serve or that of the websites providing the inventory. Our customers provide the advertising content and inventory suppliers provide the inventory. Both customers and inventory suppliers are concerned about being associated with content they consider inappropriate, competitive or inconsistent with their brands, or illegal, and they are hesitant to spend money without guaranteed brand security. For example, our customers expect that ad placements will not be misrepresented, such as auto-play in banner placements marketed as pre-roll inventory. Consequently, our reputation depends in part on providing services that our customers and inventory suppliers trust, and we have contractual obligations to meet content and inventory standards. We contractually prohibit the misuse of our platform by agencies (and their marketer customers) and inventory suppliers. Additionally, we use our proprietary technology and third-party services to, and we participate in industry co-ops that work to, detect malware and other content issues as well as click fraud (whether by humans or software known as “bots”) and to block fraudulent inventory. Despite such efforts, our customers may inadvertently purchase inventory that proves to be unacceptable for their campaigns, in which case we may not be able to recoup the amounts paid to inventory suppliers. Preventing and combating fraud is an industry-wide issue that requires constant vigilance, as well as a balancing of cost effectiveness and risk, and we may not be fully successful in our efforts to combat fraud. We may provide access to inventory that is objectionable to our customers or we may serve advertising that contains malware or objectionable content to our inventory suppliers, which could harm our or our customers’ brand and reputation, cause customers to decrease or terminate their relationship with us, cause suppliers to decrease or terminate the inventory supplied to us or their relationship with us, or otherwise negatively impact our business, operating results and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condition. In addition, we may terminate MSAs or IOs in the event clients violate our ad policies or other contract terms, which could harm our business,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potential liability and harm to our business based on the human factor of inputting information into our platform.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accidentally go significantly over budget. Our potential liability for such errors may be higher when they occur in situations in which we are executing purchases on behalf of a customer rather than the customer using the self-service feature of our platform. While our customer contracts state that customers are responsible for media purchased through our platform, we are ultimately responsible for paying the inventory providers and we may be unable to collect when such issues occur.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Future acquisitions, strategic investments or alliances could disrupt our business and harm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acquired businesses and technologies to grow our business. To the extent we find suitable and attractive acquisition candidates and business opportunities in the future, we may continue to acquire other complementary businesses, products and technologies and enter into joint ventures or similar strategic relationships. If we identify an appropriate acquisition candidate, we may not be successful in negotiating the terms 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tax liabilities, actual or threatened litigation, privacy or cybersecurity issues or employee or customer issues.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not be able to successfully integrate the services, products and personnel of any acquired business into our operations. In addition, any future acquisitions, joint ventures or similar relationships may cause a disruption in our ongoing business and distract our management. Further, we may be unable to realize the revenue improvements, cost savings and other intended benefits of any such transaction. Acquisitions involve numerous other risks, any of which could harm our business, including: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regulatory hurdles;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failure of anticipated benefits to materialize;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diversion of management time and focus from operating our business to addressing acquisition integration challenges;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retention of employees from the acquired company;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cultural challenges associated with integrating employees from the acquired company into our organization;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integration of the acquired company’s accounting, management information, human resources and other administrative systems;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need to implement or improve controls, procedures and policies at a business that prior to the acquisition may have lacked effective controls, procedures and policies;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coordination of product development and sales and marketing functions;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liability for activities of the acquired company before the acquisition, including known and unknown liabilities;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litigation or other claims in connection with the acquired company, including claims from terminated employees, former stockholders or other third parties;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negative reception to an acquisition by clients, suppliers, vendors, or investors.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Failure to appropriately mitigate these risks or other issues related to such strategic investments and acquisitions could result in reducing or completely eliminating any anticipated benefits of transactions, and harm our business generally. Future acquisitions could also result in dilutive issuances of our equity securities, the incurrence of debt, contingent liabilities, amortization or the impairment of goodwill, any of which could harm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future success depends on the continuing efforts of our key employees, including Tim Vanderhook and Chris Vanderhook, and our ability to attract, hire, retain and motivate highly skilled employees in the future.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founder-led business and our future success depends on the continuing efforts of our executive officers and other key employees, including Tim Vanderhook, our chief executive officer, and Chris Vanderhook, our chief operating officer. We rely on the leadership, knowledge and experience that our executive officers provide. They foster our corporate culture, which has been instrumental to our ability to attract and retain new talent. We also rely on employees in our engineering, technical, product development, support and sales teams to attract and retain key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for talent in our key areas of operations, including California, is intensely competitive, which could increase our costs to attract and retain talented employees.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We have at times experienced employee turnover. Because of the complexity of our platform, new employees often require significant training and, in many cases, take significant time before they achieve full productivity. Our account managers, for instance, need to be trained quickly on the features of our platform since failure to offer high-quality support may adversely affect our relationships with our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Employee turnover, including changes in our management team, could disrupt our business. None of our founders or other key employees has an employment agreement for a specific term, and any of our employees may terminate his or her employment with us at any time. The loss of one or more of our executive officers, especially Tim Vanderhook and Chris Vanderhook, or our inability to attract and retain highly skilled employees could have an adverse effect on our business,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liabilities arising out of our ownership and operation of Myspace.com.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2011, we acquired Myspace LLC, which owns Myspace.com. We have faced and may continue to face claims, investigations, or lawsuits or incur liability as a result of content published or made available on Myspace.com, including claims for defamation, intellectual property rights, including copyright infringement, rights of publicity and privacy, illegal content, misinformation, content regulation and personal injury torts. The laws relating to the liability of providers of online products or services for activities of the people who use them remain somewhat unsettled, both within the United States and internationally. This risk is enhanced in certain jurisdictions outside the United States where our protection from liability for third-party actions may be unclear or where we may be less protected under local laws than we are in the United States. For example, in April 2019, the European Union ("EU") passed a directive expanding online platform liability for copyright infringement and regulating certain uses of news content online, which member states had to implement by June 2021. In addition, there have been various Congressional efforts, executive actions, and civil litigation efforts to restrict the scope of the protections available to online platforms under Section 230 of the Communications Decency Act, and our current protections from liability for third-party content in the United States could decrease or change, or if courts begin to interpret this law more narrowly than they have historically done. We could incur significant costs investigating and defending claims related to content published or made available on Myspace.com and, if we are found liable, could face significant damages.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late 2011, shortly after we acquired Myspace LLC, the Federal Trade Commission (“FTC”) initiated an investigation of the entity relating to certain of its historical privacy practices in place between 2008 and 2010. In connection with its 2012 settlement, Myspace LLC agreed to a consent order barring it from misrepresenting the extent to which it protects the privacy of users’ personal information or the extent to which it belongs to or complies with any privacy, security or other compliance program. The order also mandates Myspace LLC establish a comprehensive privacy program designed to protect consumers’ information, and to obtain biennial assessments of its privacy program by independent, third-party auditors for 20 years. The order terminates in August 2032.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Myspace LLC fails to comply with the mandates of the consent order, or if Myspace LLC is found to be in violation of the consent order or other requirements, we may be subject to regulatory or governmental investigations or lawsuits, which may result in significant monetary fines, judgments, or other penalties, and we may also be required to make additional changes to our business practices.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Myspace.com has been and may in the future be subject to cybersecurity incidents or data breaches. In 2016, we discovered a third-party cyber-attack in which Myspace.com usernames, passwords and email addresses were stolen from the old Myspace.com platform prior to June 11, 2013. While we took steps to remediate the attack, any failure to prevent or mitigate security breaches and improper access to or disclosure of the data on Myspace.com could result in litigation, indemnity obligations, regulatory enforcement actions, investigations, fines, penalties, mitigation and remediation costs, disputes, reputational harm, diversion of management’s attention, and other liabilities and damage to our business. Myspace.com may also face operational or performance issues. For example, as a result of a server migration project in 2019, older photo, video or audio files of some users were lost.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Myspace.com has in the past been, and may in the future be, the subject of unfavorable publicity regarding, for example, its privacy practices, site quality and site operational matters. Myspace.com may also face negative publicity relating to content or information that is published or made available on the platform, including defamation, dissemination of misinformation or news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hoaxes, discrimination, violations of intellectual property rights, violations of rights of publicity and privacy, hate speech or other types of content. Any such negative publicity could damage our reputation and the reputation of our primary business, which could adversely affect our business and financial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in which we participate is intensely competitive, and we may not be able to compete successfully with our current or future competitors.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highly competitive and rapidly changing industry that is subject to changing technology and customer demands and that includes many companies providing competing solutions. With the introduction of new technologies and the influx of new entrants into the market, we expect competition to persist and intensify in the future, which could harm our ability to increase revenue and maintain profitability. Furthermore, our brand promotion activities may not yield any increased revenue, and even if they do, any increased revenue may not offset the expenses we incurred in building our brand.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compete with large privately-held companies such as Yahoo DSP, with public companies exclusively serving our industry such as The Trade Desk, and with divisions of large, well-established public companies such as Google and Amazon. Our current and potential competitors may have significantly more financial, technical, marketing and other resources than we have, allowing them to devote greater resources to the development, promotion, sale and support of their products and services. They may also have more extensive customer bases and broader supplier relationships than we have, and operate internationally. As a result, these competitors may be better able to respond quickly to new technologies, develop deeper marketer relationships, offer services at lower prices, or offer a global range of services and inventory. Increased competition may result in reduced pricing for our platform, increased sales and marketing expense, longer sales cycles or a decrease of our market share, any of which could negatively affect our revenue and future operating results and our ability to grow our business. These companies may also have greater brand recognition and longer histories than we have and may actively seek to serve our market and have the power to significantly change the nature of the marketplace to their advantage. Some of our larger competitors, particularly those that are divisions of large companies, have substantially broader product offerings and may leverage their relationships based on other products or incorporate functionality into existing products to gain business in a manner that may discourage customers from using our platform, including through selling at zero or negative margins or product bundling with other services they provide at reduced prices. Customers may prefer to purchase advertising from social medial platforms or other closed platforms, which they cannot acquire through our platform. Potential customers may also prefer to purchase from their existing platform rather than a new platform regardless of product performance or features. These larger competitors often have broader product lines and market focus and may therefore not be as susceptible to downturns in a particular market. We may also experience negative market perception as a result of being a smaller company than our larger competitors.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derive a significant portion of our revenue from advertising in the desktop and mobile and connected TV channels, which are rapidly evolving, highly competitive, complex and fragmented. We face significant competition in these markets which we expect will intensify in the future. While fewer of our competitors currently have capability in other channels such as linear TV, in-game streaming audio and digital billboard channels, we also expect to face additional competition in those channels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Data Privacy and Artificial Intelligence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stringent and changing obligations related to data privacy and security. Our actual or perceived failure to comply with such obligations could lead to regulatory investigations or actions, litigation (including class action claims) and mass arbitration demands, fines and penalties, disruptions of our business operations, reputational harm, loss of customers or sales, revenue declines, increase the cost of data, reduce the availability of data, reduce our ability to utilize or disclose data, adverse effects on the demand for our products and services, or other adverse business consequences.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collect, receive, store, use, transmit, disclose, or otherwise process (collectively, "Process") personal information and other sensitive data such as confidential business data, trade secrets, and intellectual property, from and about consumers, our customers, employees, service providers, and other third parties. We also depend on a number of third-party vendors in relation to the operation of our business, some of which Process data on our behalf. Our and our third-party vendors handling of this data is subject to a wide variety of federal, state, local, and foreign laws regulations, guidance, industry standards, external and internal privacy and security policies, certifications, documents, contracts, and other obligations that govern the Processing of personal information by us and on our behalf.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federal, state, and local governments, and foreign governments have adopted or proposed numerous laws relating to the Processing of personal information relating to individuals and households, including contact information and pseudonymous data, many with a particular focus on marketing and advertising uses of such personal information. The legal landscape for data privacy issues worldwide is complex, continually evolving and often conflicting, and is likely to remain uncertain for the foreseeable future. As a result, our practices may not comply with such laws, regulations or obligations. Any failure or perceived failure to comply with applicable laws or regulations regarding privacy, data protection and cybersecurity could adversely affect our business, brand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reputation and may result in claims, actions, investigations or proceedings against us by regulators or individuals and require us to change our practices, all of which may result in significant costs.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an ever-increasing number of state laws and regulations apply to the Processing of personal information. In recent years, U.S. federal and state legislatures, along with regulatory authorities, have increased their focus on the collection and use of personal information, including relating to “interest-based,” “cross-context behavioral,” or “targeted” advertising. As an example, the State Privacy Laws require covered businesses to, among other things, provide disclosures to consumers and grant consumers a right to opt-out of use and disclosure of their personal information for purposes of showing targeted advertisements and “sales” of personal information, a concept that is broadly defined as the disclosure of personal information to a third party for monetary or other valuable consideration. Certain of the State Privacy Laws also require or will require companies to respond to user-enabled global privacy controls, such as a browser plug-in or privacy setting, device setting, or other mechanisms, that communicate or signal the consumer’s choice to opt-out of the sale or sharing of their personal information, or the use of their personal information for targeted advertising. Laws additionally require covered businesses to take extra precautions for data deemed “sensitive” and offer consumers rights to access, delete, and correct their information. These laws are generally enforced by each state’s attorney general with potentially steep penalties for violations.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Lawmakers and regulators are also focused on data Processing by companies that do not have direct relationships with the consumers whose personal data they process. Several states, including California and Texas, have recently enacted or updated laws restricting the activities of data brokers. In late 2023, California passed the Delete Act, dramatically increasing obligations and potential penalties relative to the state’s preexisting data broker statute. Beyond additional transparency requirements, beginning in August 2026, companies registered as data brokers in California must honor universal deletion requests consumers make of all data brokers via a deletion mechanism the state will create. Beginning in 2028, data brokers must undergo audits verifying their compliance with the Delete Act. These obligations may reduce the data available to Viant, require us to develop complex and expensive compliance tools and procedures, and may result in reductions in revenue.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Lawmakers, regulators, and advocates also continue to focus on activities involving the use of certain types of personal data perceived as especially sensitive, such as children’s data and health data, which will impact the advertising industry. This includes the Children’s Online Privacy Protection Act of 1998 (“COPPA”), which restricts the collection and use of data about users of child-directed websites. The Federal Trade Commission actively enforces COPPA and may in the future update and expand certain parts of the law. Additionally, several State Privacy Laws have increased the age at which a consumer can be shown targeted ads (without opt-in consent) from 13 to 16 or 18 years of age.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to consumer health information, MHMD introduced a host of new requirements covering a very broadly defined notion of consumer health data, including obligations on disclosures of such data that will impact the advertising industry. MHMD, which will take full effect in 2024, is subject to a private right of action, and plaintiffs’ attorneys could explore claims testing the bounds of the law’s text.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These developments and other comprehensive data privacy and security laws that have been proposed at the federal, state, and local levels in recent years could lead to a varied and increasingly complex regulatory landscape, further complicating our compliance efforts and those of our data suppliers and customers. Additionally, plaintiffs have sought to apply federal wiretap and similar laws, such as the Federal Wiretap Act and Video Privacy Protection Act, and similar U.S. state laws, such as California’s Invasion of Privacy Act, to certain advertising and online tracking practices. Such laws include private causes of action, and could be costly to settle or litigate, regardless of the merit of the claim, and may result in significant monetary liability. In order to comply with the varying state data breach reporting laws, we must maintain adequate security measures, which require significant investments in resources and ongoing attention.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certain laws, regulations, and industry standards may apply to our or our suppliers’ or customers’ data privacy and security practices. The European Union’s General Data Protection Regulation 2016/679 (“EU GDPR”) and the UK counterpart regulation (“UK GDPR”) (collectively the “GDPR”) imposes strict requirements applicable to certain Processing of European personal information, respectively, in the European Economic Area (“EEA”) and the United Kingdom (“UK”). The applicability analysis under the GDPR is complex, but if we were deemed to operate our business in a manner subject to GDPR, the GDPR provides for significant penalties for noncompliance of up to the greater of €20 million under the EU GDPR / 17.5 million pounds sterling under the UK GDPR, or, in each case, 4% of an enterprise’s global turnover (or revenue) for the preceding fiscal year. Companies that violate the GDPR may face prohibitions on data processing and other corrective action, such as class action brought by classes of data subjects or by consumer protection organizations authorized at law to represent their interests. Additionally, Member States may assess other penalties for noncompliance on companies subject to GDPR.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Several European legislative proposals could significantly affect our business. For example, the ePrivacy Regulation, which would repeal the ePrivacy Directive, could impose new obligations or limitations in areas affecting our business, notably with respect to the use of cookies.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have to change our business practices to comply with such obligations. These changes to the regulatory landscape, coupled with EU and UK regulators’ increasing focus on compliance with requirements related to the online behavioral advertising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ecosystem could, limit the ability to obtain data through integrations with data suppliers, divert the attention of our technology personnel, adversely affect our margins, subject us to liabilities, and may require us to make significant operational changes.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may be unable to transfer personal data from Europe and other jurisdictions to the United States or other countries due to data localization requirements or limitations on cross-border transfers of personal information. In particular, the EEA and UK have significantly restricted the transfer of personal data to countries outside of the EEA. Other jurisdictions may adopt similarly stringent interpretations of their data localization and cross-border data transfer laws. Although the European Commission adopted the EU-US Data Privacy Framework and the United Kingdom adopted the UK Extension to permit transfers from the EEA and United Kingdom to the United States and there are currently various mechanisms that may be used to transfer personal data from the EEA and UK to the United States in compliance with law, these mechanisms are subject to ongoing legal challenges.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there is no lawful manner for us to transfer personal data from the EEA, the UK or other jurisdictions to the United States, or if the requirements for a legally-compliant transfer are too onerous, we may face increased exposure to regulatory actions, substantial fines, and injunctions against Processing or transferring personal information from Europe or elsewhere. For example, some European regulators have ordered certain companies to suspend or permanently cease transfers of personal data out of Europe for allegedly violating the GDPR’s cross-border data transfer limitations. The inability to import personal information to the United States could significantly and negatively impact our business operations, including by limiting our ability to collaborate with parties that are subject to European and other data privacy and security laws, limiting our ability to obtain inventory or data from suppliers operating in Europe, or requiring us to increase our personal information processing capabilities and infrastructure in Europe and/or elsewhere at significant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employees and personnel use, and increasingly rely on, generative AI and automated decision-making technologies to perform their work, and such usage may be subject to various laws and other obligations, including those related to privacy, and governments have passed and are likely to pass additional laws regulating generative AI. For example, the California Privacy Protection Agency is contemplating regulatory requirements relating to automated decision-making technologies. Our use of this technology could result in additional compliance costs, regulatory investigations and actions, and consumer lawsuits. If we are unable to use generative AI, it could make our business less efficient and result in competitive disadvantages.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Further, privacy advocates and industry groups have proposed, and may propose in the future, industry standards with which we are legally or contractually bound to comply. Moreover, we may make statements about our data Processing practices in light of these standards. For example, best practices and self-regulatory standards, such as those promulgated by the Network Advertising Initiative ("NAI"), the Digital Advertising Alliance ("DAA"), and their international counterparts, apply to many players in the advertising technology ecosystem. Some of these self-regulatory bodies can discipline members, which could result in fines, penalties, and/or public censure. Additionally, some of these self-regulatory bodies might refer violations of their requirements to the Federal Trade Commission or other regulatory bodies. See “—</w:t>
      </w:r>
      <w:r>
        <w:rPr>
          <w:rFonts w:ascii="Times New Roman;sans-serif" w:hAnsi="Times New Roman;sans-serif"/>
          <w:b w:val="false"/>
          <w:i/>
          <w:color w:val="000000"/>
          <w:sz w:val="20"/>
        </w:rPr>
        <w:t>Our business or ability to operate our platform could be impacted by changes in technology initiated by technology companies, end users, or government regulation. Such developments, including the restriction of “third-party cookies,” could cause instability in the advertising technology industry</w:t>
      </w:r>
      <w:r>
        <w:rPr>
          <w:rFonts w:ascii="Times New Roman;sans-serif" w:hAnsi="Times New Roman;sans-serif"/>
          <w:b w:val="false"/>
          <w:color w:val="000000"/>
          <w:sz w:val="20"/>
        </w:rPr>
        <w: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Similarly, there has been increasing global scrutiny over online political advertising, and online political advertising laws are rapidly evolving. For example, publishers of online content have imposed varying prohibitions and restrictions on the types and breadth of political advertising allowed on their platforms. The lack of uniformity and increasing requirements for transparency and disclosure could adversely impact the demand for political advertising services and increase our operating and compliance costs.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interpretation and application of privacy and data protection laws, regulations, standards and other privacy obligations are uncertain and quickly changing, it is possible that these obligations may be interpreted and applied in manners that are, or are asserted to be, inconsistent with our practices. Preparing for and complying with these obligations requires significant resources. Further, adaptation of the digital advertising marketplace requires increasingly significant collaboration between participants in the market, such as publishers and marketers. Failure of the industry to adapt to changes in data privacy and security obligations and user response to such changes could negatively impact inventory, data, and demand. We cannot control or predict the pace or effectiveness of such adaptation, and we cannot predict the impact such changes may have on our business. In addition, it may be necessary for us to fundamentally change our business activities, information technologies, systems, and practices, and to those of any third parties that Process personal information on our behalf.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at times fail or be perceived to have failed to comply with all applicable data privacy and security obligations, despite our efforts to comply. Moreover, despite our efforts, our customers,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operate our business and proceedings against us by governmental entities or others. Any inability, or perceived inability, to address or comply with applicable data privacy or security obligations could result in significant consequences, including, but not limited to, government enforcement actions (e.g., investigations, fines, penalties, audits, inspections, and similar); litigation (including class-related claims) and mass arbitration demands; additional reporting requirements and/or oversight; bans on Processing personal information; and orders to destroy or not use personal information. Any of these events could have a material adverse effect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reputation, business, or financial condition, including but not limited to: loss of customers; additional costs and liabilities; damage our reputation; reduction in sales and demand for our platform; and harm our business.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have in the past been, and may in the future be, subject to enforcement actions, investigations, litigation, or other inquiries regarding our data privacy and security practices. For example, the FTC investigated our wholly owned subsidiary, Myspace LLC, and filed a complaint shortly after we acquired them in late 2011. See “—</w:t>
      </w:r>
      <w:r>
        <w:rPr>
          <w:rFonts w:ascii="Times New Roman;sans-serif" w:hAnsi="Times New Roman;sans-serif"/>
          <w:b w:val="false"/>
          <w:i/>
          <w:color w:val="000000"/>
          <w:sz w:val="20"/>
        </w:rPr>
        <w:t>We face liabilities arising out of our ownership and operation of Myspace.com</w:t>
      </w:r>
      <w:r>
        <w:rPr>
          <w:rFonts w:ascii="Times New Roman;sans-serif" w:hAnsi="Times New Roman;sans-serif"/>
          <w:b w:val="false"/>
          <w:color w:val="000000"/>
          <w:sz w:val="20"/>
        </w:rPr>
        <w: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Plaintiffs have also become increasingly more active in bringing privacy-related claims against companies, including class action claims and mass arbitration demands. Some of these claims allow for the recovery of statutory damages on a per violation basis; if viable, these claims carry the potential for monumental statutory damages, depending on the volume of data and the number of violations.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or ability to operate our platform could be impacted by changes in technology initiated by technology companies, end users, or government regulation. Such developments, including the restriction of “third-party cookies,” could cause instability in the advertising technology industry.</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may change the operations or policies of 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or quality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 xml:space="preserve">For example, in recent years browser providers have enacted and may continue to enact changes restricting the use of third-party cookies in their browsers, which may cause instability in the digital advertising market. Execution and measurement in digital advertising relies to a significant extent on the use of cookies, pixels and other similar technology, including mobile device identifiers that are provided by mobile operating systems for advertising purposes, to collect data about users and devices (collectively referred to as "cookies"). Although our business is less reliant on cookies than some of our competitors because we do not need cookies for marketers and their advertising agencies to identify consumers with our identity resolution capabilities and identity graph, we do use third-party cookies in connection with our business for execution of obtaining information about consumers, and for delivering digital advertising. Today, Apple's Safari, Mozilla's Firefox and Microsoft's Edge already block third-party cookies by default. Google's web browser, Chrome, offers controls over third-party cookies and has announced plans to deprecate support for third-party cookies and user agent string entirely in the second half of 2024. </w:t>
      </w:r>
      <w:r>
        <w:rPr>
          <w:rFonts w:ascii="Times New Roman;sans-serif" w:hAnsi="Times New Roman;sans-serif"/>
          <w:b w:val="false"/>
          <w:color w:val="000000"/>
          <w:sz w:val="20"/>
        </w:rPr>
        <w:t>In January 2024, Google disabled third-party cookies for 1% of Chrome users and plans to completely disable third-party cookies by the end of 2024.</w:t>
      </w:r>
      <w:r>
        <w:rPr>
          <w:color w:val="000000"/>
          <w:shd w:fill="FFFFFF" w:val="clear"/>
        </w:rPr>
        <w:t xml:space="preserve"> </w:t>
      </w:r>
      <w:r>
        <w:rPr>
          <w:rFonts w:ascii="Times New Roman;sans-serif" w:hAnsi="Times New Roman;sans-serif"/>
          <w:b w:val="false"/>
          <w:color w:val="000000"/>
          <w:sz w:val="20"/>
          <w:shd w:fill="FFFFFF" w:val="clear"/>
        </w:rPr>
        <w:t>Google is also testing technologies under the “Privacy Sandbox” label in 2024, which may provide modified targeting and measurement functionality to digital advertising ecosystem participants as a limited replacement for the functionality currently provided through the use of third-party cookies on Chrome. We believe that Google’s planned deprecation of third-party cookies and its ongoing development of these technologies, which we expect to be technically complex and designed in a manner that does not favor us or our partners, has created and will likely continue to create industry uncertainty regarding the potential effects on user experience and advertiser targeting and measurement. Although we believe our platform is well-positioned to adapt to such changes, particularly with our Viant Household ID, the impact of such changes remains uncertain and could be more disruptive than we anticipate, including to the display advertising ecosystem in particular, where such changes could adversely impact our growth in that channel. Google has also introduced ad blocking software in its Chrome web browser that will block certain ads based on quality standards established under a multi-stakeholder coalition. Other browsers have added similar controls. These actions will have significant impacts on the digital advertising and marketing ecosystems in which we operate, which could cause changes in advertising budget allocations and thereby could negatively impact our business. In addition, these browser and platform providers may frequently delay or change their previously announced operations or policies.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For example, Apple introduced an iOS update in April 2021 that requires users to opt-in to tracking of their activity across devices, and Google has announced that it will deprecate its Android advertising identifier entirely. Privacy aspects of other channels for programmatic advertising, such as connected TVs or over-the-top video, are still developing. Technical or policy changes, including regulation or industry self-regulation, could harm our growth in those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 xml:space="preserve">Digital advertising is also subject to government regulation which may impact our ability to collect and use data. As the collection and use of data for digital advertising has received ongoing media attention over the past several years, some government regulators, such as the FTC, California Privacy Protection Agency, and privacy advocates have raised significant concerns around observed data, leading to an array of ‘do-not-track’ and similar opt-out efforts, suggestions and technologies introduced to address these concerns, and individuals are increasingly aware of these options. </w:t>
      </w:r>
      <w:r>
        <w:rPr>
          <w:rFonts w:ascii="Times New Roman;sans-serif" w:hAnsi="Times New Roman;sans-serif"/>
          <w:b w:val="false"/>
          <w:color w:val="000000"/>
          <w:sz w:val="20"/>
        </w:rPr>
        <w:t>For example, several of the State Privacy Laws obligate companies to honor requests to opt out of targeted advertising or sales of personal information transmitted via user-enabled Global Privacy Control.</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Limitations on our or our customers’ ability to collect and use data for advertising, whether imposed by established technology companies, legislation, or otherwise, may impact the performance of our platform and our business performance.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 significant breach of our IT Systems or disclosure of our Confidential Data, or of the security of our or our customers’, suppliers’, or other third parties’ systems upon which we rely could be detrimental to our business, reputation and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computer systems, hardware, software, technology infrastructure and online sites and networks for both internal and external operations (collectively, "IT Systems"). We own and manage some of these IT Systems but also rely on third parties for various IT Systems, products and services. In addition, our business requires the processing of proprietary, confidential, and sensitive data, including personal information, intellectual property and trade secrets (collectively, “Confidential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Like all companies, our IT Systems and Confidential Data are targets for cyber-attacks, malicious internet-based activity, online and offline fraud, and other similar activities by third parties that threaten the confidentiality, integrity, and availability of our IT Systems and Confidential Data. We and the third parties upon which we rely face a variety of evolving threats, which could cause security breaches that lead to operational disruption and/or compromises to our IT Systems and Confidential Data. In recent years, the frequency, severity and sophistication of cyber-attacks and other intentional misconduct has significantly increased, and these threats are becoming increasingly difficult to detect. These threats come from a variety of sources, including traditional computer hackers, nation states, threat actors, and personnel (such as through theft or misuse). We and the third parties upon which we rely are subject to a variety of evolving threats, including but not limited to social-engineering attacks (including through deep fakes, which may be increasingly more difficult to identify as fake given the increased usage of AI, and phishing attacks), malicious code (such as viruses and worms), malware (including as a result of advanced persistent threat intrusions), denial-of-service attacks (such as credential stuffing), personnel misconduct or error, malfeasance by insiders, ransomware attacks, supply-chain attacks, software bugs, server malfunctions, software or hardware failures, loss of data or other IT Systems, adware, telecommunications failures, earthquakes, fires, floods, and other similar threats.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Threat actors, nation-states, and nation-state-supported actors now engage, and are expected to continue to engage, in cyber-attacks, including for geopolitical reasons and in connection with military conflicts and operations, as well as for financial gain. During times of war and other major conflicts, we and the third parties upon which we rely may be vulnerable to heightened risk of these attacks, including cyber-attacks that could materially disrupt our systems and operations, supply chain, and ability to conduct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Ransomware attacks are becoming increasingly prevalent and severe and can lead to significant interruptions in our operations, loss of data and income, reputational harm, and diversion of funds. Extortion payments may alleviate some of the negative impact of a ransomware attack, but we may be unwilling or unable to make such payments due to, for example, applicable laws or regulations prohibiting such payments.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we rely upon third-party service providers and technologies to operate critical business systems to process Confidential Data, including, without limitation, third-party providers of cloud-based infrastructure such as Google Cloud Platform and Amazon Web Services, employee email, and other functions. We may share or receive Confidential Data with or from third parties. Our ability to monitor these third parties’ security practices is limited, and these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Similarly, supply-chain attacks have increased in frequency and severity, and third parties and infrastructure in our supply chain or our third-party partners’ supply chains may become compromised or contain exploitable defects or bugs that could result in a breach of or disruption to our IT Systems (including our products/services) or the third-party information technology systems that support us and our services.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of the previously identified or similar threats, whether actual or perceived, could cause a security breach or other interruption, resulting in the unauthorized, unlawful, or accidental acquisition, modification, misuse, destruction, disclosure of, encryption of, or loss of Confidential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Cyberattacks are expected to accelerate on a global basis in frequency and magnitude as threat actors are becoming increasingly sophisticated in using techniques and tools—including AI—that circumvent security controls, evade detection, and remove forensic evidence. As a result, we may be unable to prevent, detect, investigate, remediate, or recover from future attacks or incidents, or to avoid a material adverse impact to our IT Systems, Confidential Information, or business. There can also be no assurance that our cybersecurity risk management program and processes, including our policies, controls, or procedures, will be fully implemented, complied with or effective in protecting our IT Systems and Confidential Information.</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Although we have taken measures to protect our systems from such threats, these measures may not be effective, and we and certain of our third-party providers regularly experience cyberattacks and other incidents, and we expect such incidents to continue in varying degrees. For example, in 2016, we discovered a breach of information from our Myspace databases resulting in the unauthorized access and offer for sale of approximately 360 million Myspace user account email addresses, usernames, and hashed passwords. See “—</w:t>
      </w:r>
      <w:r>
        <w:rPr>
          <w:rFonts w:ascii="Times New Roman;sans-serif" w:hAnsi="Times New Roman;sans-serif"/>
          <w:b w:val="false"/>
          <w:i/>
          <w:color w:val="000000"/>
          <w:sz w:val="20"/>
        </w:rPr>
        <w:t>We face liabilities arising out of our ownership and operation of Myspace.com.</w:t>
      </w:r>
      <w:r>
        <w:rPr>
          <w:color w:val="000000"/>
        </w:rPr>
        <w:t xml:space="preserve">” </w:t>
      </w:r>
      <w:r>
        <w:rPr>
          <w:rFonts w:ascii="Times New Roman;sans-serif" w:hAnsi="Times New Roman;sans-serif"/>
          <w:b w:val="false"/>
          <w:color w:val="000000"/>
          <w:sz w:val="20"/>
        </w:rPr>
        <w:t>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incur significant costs in protecting against such cyberattacks and security breaches, and any cyber-related disruption or security breach of our or third parties’ IT Systems or Confidential Data could result in adverse consequences, including but not limited to litigation (such as class actions), indemnity obligations, enforcement actions, investigations, fines, penalties, mitigation and remediation costs, disputes, reputational harm, diversion of management’s attention, operational disruptions, decreased revenue, and reduced demand for our platform. Further, applicable data privacy and security obligations may require us to notify relevant stakeholders of security incidents. Such disclosures are costly, and the disclosures or the failure to comply with such requirements could lead to adverse consequences.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Moreover, our contracts may not contain limitations of liability, and even where they do, there can be no assurance that limitations of liability in our contracts will be enforceable or are sufficient to protect us from liabilities, damages, or claims related to our data privacy and security obligations. Additionally, our insurance coverage may not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confidential or proprietary information of the Company or our customers could be leaked, disclosed, or revealed as a result of or in connection with our employee’s, personnel’s, or vendor’s use of generative AI technologies.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certain data privacy and security obligations may require us to implement and maintain a certain level of security. For example, the Federal Trade Commission expects a company’s data security measures to be reasonable and appropriate in light of the sensitivity and volume of consumer information it holds, the size and complexity of its business, and the cost of available tools to improve security and reduce vulnerabilities. Failure to maintain this level of security could result in government investigations or enforcement actions, litigation, reputational harm, and other material adverse consequences.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Finally, as we accept debit and credit cards for payment,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If we or our service providers are unable to comply with the security standards established by banks and the payment card industry, we may be subject to fines, restrictions and expulsion from card acceptance programs, which could materially and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proprietary rights may be difficult to enforce, which could enable others to copy or use aspects of our technology without compensating us, thereby eroding our competitive advantages and harming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protect proprietary methods and technologies that we develop or otherwise acquire, so that we can prevent others from using our inventions and proprietary information. If we fail to protect our intellectual property rights adequately, our competitors might gain access to our technology and our business might be adversely affected. We rely upon a combination of patent, trademark, copyright and trade secret laws, as well as third-party confidentiality and non-disclosure agreements, to establish and protect our proprietary rights. Establishing trade secret, copyright, trademark, domain name, and patent protection can be difficult and expensive, and the laws, procedures and restrictions may provide only limited protection.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Our contracts with our employees and contractors that relate to intellectual property issues generally restrict the use of our confidential information solely in connection with our services. However, the theft or misuse of our proprietary information could occur by employees or contractors who have access to our technology.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issued patents and patent applications pending, we may be unable to obtain patent protection for the technology covered in our patent applications or such patent protection may not be obtained quickly enough to meet our business needs. Furthermore, the patent prosecution process is expensive, time-consuming, and complex, and we may not be able to prepare, file, prosecute, maintain, and enforce all necessary or desirable patent applications at a reasonable cost or in a timely manner. The scope of patent protection also can be reinterpreted after issuance and issued patents may be invalidated. Even if our patent applications do issue as patents, they may not issue in a form that is sufficiently broad to protect our technology, prevent competitors or other third parties from competing with us or otherwise provide us with any competitive advantage.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Policing unauthorized use of our technology is difficult. In addition, the laws of some foreign countries may not be as protective of intellectual property rights as those of the United States, and mechanisms for enforcement of our proprietary rights in such countries may be inadequate. If we are unable to protect our proprietary rights (including in particular, the proprietary aspects of our platform) we may find ourselves at a competitive disadvantage to others who have not incurred the same level of expense, time and effort to create and protect their intellectual property.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third party claims for alleged infringement of third parties' proprietary rights, which would result in additional expense and potential damages.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is significant patent and other intellectual property development activity in the digital advertising industry. Third-party intellectual property rights may cover significant aspects of our technologies or business methods or block us from expanding our offerings. Our success depends on the continual development of our platform. From time to time, we receive claims from third parties that our platform and underlying technology infringe or violate such third parties’ intellectual property rights. To the extent we gain greater public recognition, we may face a higher risk of being the subject of intellectual property claims. In addition, various "non-practicing entities" that own patents and other intellectual property rights often attempt to aggressively assert their rights in order to extract value from technology companies. Furthermore, from time to time we may introduce or acquire new products, including in areas where we historically have not competed, which could increase our exposure to patent and other intellectual property claims from competitors and non-practicing entities. The cost of settling or defending against intellectual property claims, whether or not the claims have merit, is significant, regardless of whether we are successful in our defense, and could divert the attention of management, technical personnel and other employees from our business operations. Litigation regarding intellectual property rights is inherently uncertain due to the complex issues involved, and we may not be successful in defending ourselves in such matters. Additionally, we may be obligated to indemnify our customers or inventory and data suppliers or other vendors in connection with any such litigation. If we are found to infringe these rights, we could potentially be required to cease utilizing portions of our platform. We may also be required to develop alternative non-infringing technology, which could require significant time and expense. Alternatively, we could be required to pay royalty payments, either as a one-time fee or ongoing, as well as damages for past use that was deemed to be infringing. If we cannot license or develop technology for any allegedly infringing aspect of our business, we would be forced to limit our service and may be unable to compete effectively. Any of these results could harm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potential liability and harm to our business based on the nature of our business and the content on our platform.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often results in litigation relating to copyright or trademark infringement, public performance royalties or other claims based on the nature and content of advertising that is distributed through our platform. Though we contractually require clients to represent to us that they have the rights necessary to serve advertisements through our platform, we do not independently verify whether we are permitted to deliver, or review the content of, such advertisements. If clients do not have the rights necessary to serve advertisements through our platform, we may be exposed to potential liability and our reputation may be damaged. While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customers are typically obligated to indemnify us, such indemnification may not fully cover us, or we may not be able to collect. In addition to settlement costs, we may be responsible for our own litigation costs, which can be extensive.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Capital Structure and Related Tax Matters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principal asset is our interest in Viant Technology LLC, and accordingly, we depend on distributions from Viant Technology LLC to pay any dividends, if declared, taxes and other expenses, including payments under the Tax Receivable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and our only business is to act as the managing member of Viant Technology LLC, and our only material assets are Class A units representing approximately 25.1% of the membership interests of Viant Technology LLC as of December 31, 2023. We do not have any independent means of generating revenue or cash flow, and our ability to pay dividends in the future, if any, will depend upon the financial results and cash flows of Viant Technology LLC.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that Viant Technology LLC will continue to be treated as a partnership for U.S. federal income tax purposes and, as such, generally will not be subject to any entity-level U.S. federal income tax. Instead, taxable income will be allocated to the members of Viant Technology LLC. Accordingly, we are required to pay income taxes on our allocable share of any net taxable income of Viant Technology LLC. We cause Viant Technology LLC to make distributions to each of its members, including us, in an amount intended to enable each member to pay all applicable taxes on taxable income allocable to such member and to allow us to make payments under a tax receivable agreement (the "Tax Receivable Agreement") we entered into on February 9, 2021, in connection with our IPO, with Viant Technology LLC, continuing members of Viant Technology LLC and the representative of such continuing members of Viant Technology LLC (the "TRA Representative"). In addition, Viant Technology LLC reimburses us for corporate and other overhead expenses. If the amount of tax distributions to be made exceeds the amount of funds available for distribution, we shall receive the full amount of our tax distribution before the other members receive any distribution and the balance, if any, of funds available for distribution shall be distributed to the other members pro rata in accordance with their assumed tax liabilities. To the extent that we need additional funds to cover our obligations, and Viant Technology LLC is restricted from making such distributions under applicable laws or regulations, or is otherwise unable to provide such funds, we may have to borrow funds, which could materially and adversely affect our ability to pay dividends and taxes and other expenses, including payments under the Tax Receivable Agreement, and affect our liquidity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we are unable to make payments under the Tax Receivable Agreement for any reason, such payments will be deferred and accrue interest until paid; provided, however, that nonpayment for a specified period may constitute a material breach of a material obligation under the Tax Receivable Agreement and, therefore, may accelerate payments due under the Tax Receivable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required to make cash payments to the continuing members of Viant Technology LLC in respect of certain tax benefits we receive from tax basis step-ups (and certain other tax benefits) attributable to our acquisition of units of Viant Technology LLC, and the amount of those payments may be substantial.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IPO, we entered into a Tax Receivable Agreement with Viant Technology LLC, continuing members of Viant Technology LLC (not including us) and the TRA Representative. The Tax Receivable Agreement provides for payment by us to continuing members of Viant Technology LLC (not including us) of 85% of the amount of the net cash tax savings, if any, that we realize (or, under certain circumstances, are deemed to realize) as a result of increases in tax basis (and utilization of certain other tax benefits) resulting from (i) our acquisition of Viant Technology LLC units from pre-IPO members of Viant Technology LLC in connection with the IPO and in future exchanges and (ii) any payments we make under the Tax Receivable Agreement (including tax benefits related to imputed interest). We will retain the benefit of the remaining 15% of these net cash tax savings.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the cash payments that we may be required to make under the Tax Receivable Agreement could be significant. The term of the Tax Receivable Agreement will continue until all tax benefits that are subject to the Tax Receivable Agreement have been utilized or have expired, unless we exercise our right to terminate the Tax Receivable Agreement (or it is otherwise terminated pursuant to its terms, including due to a change in control or our breach of a material obligation thereunder), in which case, we will be required to make the termination payment specified in the Tax Receivable Agreement. In addition, any payments we make under the Tax Receivable Agreement will be increased by any interest accrued from the due date (without extensions) of the corresponding tax return. Any actual future payments to the continuing members of Viant Technology LLC will vary based on the factors discussed below, and estimating the amount and timing of payments that may be made under the Tax Receivable Agreement is by its nature imprecise, as the calculation of amounts payable depends on a variety of factors and future events. We expect to receive distributions from Viant Technology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 The payments under the Tax Receivable Agreement are also not conditioned upon the continuing members of Viant Technology LLC maintaining a continued ownership interest in Viant Technology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actual increase in tax basis, as well as the amount and timing of any payments under the Tax Receivable Agreement, will vary depending on a number of factors, including the price of our Class A common stock at the time of the exchange; the timing of future exchanges; the extent to which exchanges are taxable; the amount and timing of the utilization of tax attributes; the amount, timing and character of our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we may have made under the Tax Receivable Agreement and the portion of our payments under the Tax Receivable Agreement that constitute imputed interest or give rise to depreciable or amortizable tax basis. The increases in the tax basis of the intangible assets of Viant Technology LLC as a result of the exchanges of Viant Technology LLC units, and certain other tax benefits will be subject to the TRA, however, we have concluded that based on the weight of all available evidence these deferred tax assets subject to the TRA are not more likely than not of being realized, and as a result no TRA liability has been recorded. If deferred tax assets subject to the TRA become more likely than not to be realized, we will record the TRA liability. Upon recognition of the TRA, there may be a material negative effect on our financial condition and liquidity if, as described below, the payments under the Tax Receivable Agreement exceed the actual benefits we receive in respect of the tax attributes subject to the Tax Receivable Agreement and/or distributions to us by Viant Technology LLC are not sufficient to permit us to make payments under the Tax Receivable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 certain circumstances, the amounts that we may be required to pay under the Tax Receivable Agreement may be accelerated and/or significantly exceed the actual tax benefits, if any, that we actually realize.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Tax Receivable Agreement provides that if (i) we exercise our right to early termination of the Tax Receivable Agreement in whole (that is, with respect to all benefits due to all beneficiaries under the Tax Receivable Agreement) or in part (that is, with respect to some benefits due to all beneficiaries under the Tax Receivable Agreement), (ii) we experience certain changes in control, (iii) the Tax Receivable Agreement is rejected in certain bankruptcy proceedings, (iv) we fail (subject to certain exceptions) to make a payment under the Tax Receivable Agreement within 180 days after the due date or (v) we materially breach our obligations under the Tax Receivable Agreement, we will be obligated to make an early termination payment to holders of rights under the Tax Receivable Agreement equal to the present value of all payments that we would be required to pay under the Tax Receivable Agreement. The amount of such payments will be determined on the basis of certain assumptions in the Tax Receivable Agreement, including (i) the assumption that we would have enough taxable income in the future to fully utilize the tax benefit resulting from the tax assets that are the subject of the Tax Receivable Agreement, (ii) the assumption that any item of loss deduction or credit generated by a basis adjustment or imputed interest arising in a taxable year preceding the taxable year that includes an early termination will be used by us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of Viant Technology LLC (other than those held by us)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us under the Tax Receivable Agreement at a rate equal to the lesser of (a) 6.5% and (b) the Secured Overnight Financing Rate, as reported by the Wall Street Journal plus 400 basis points.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Moreover, as a result of an elective early termination or other termination of the Tax Receivable Agreement (including due to a change in control or our material breach of its obligations under the Tax Receivable Agreement), we could be required to make payments under the Tax Receivable Agreement that exceed our actual cash savings under the Tax Receivable Agreement. Thus, our obligations under the Tax Receivable Agreement could have a substantial negative effect on our financial condition and liquidity and could have the effect of delaying, deferring or preventing certain mergers, asset sales, or other forms of business combinations or changes of control. We may not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will not be reimbursed for any payments made to the continuing members of Viant Technology LLC under the Tax Receivable Agreement in the event that any tax benefits are disallowed.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under the Tax Receivable Agreement will be based on the tax reporting positions that we will determine and the IRS or another tax authority may challenge all or part of the tax basis increases, as well as other related tax positions we take, and a court could sustain such challenge. If any tax benefits that have given rise to payments under the Tax Receivable Agreement are subsequently disallowed, we would be entitled to reduce future amounts otherwise payable to a holder of rights under the Tax Receivable Agreement to the extent the holder has received excess payments. However, the required final and binding determination that a holder of rights under the Tax Receivable Agreement has received excess payments may not be made for a number of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following commencement of any challenge, and we will not be permitted to reduce our payments under the Tax Receivable Agreement until there has been a final and binding determination, by which time sufficient subsequent payments under the Tax Receivable Agreement may not be available to offset prior payments for disallowed benefits. We will not be reimbursed for any payments previously made under the Tax Receivable Agreement if the basis increases or other tax attributes described above are successfully challenged by the IRS or another taxing authority. As a result, in certain circumstances, payments could be made under the Tax Receivable Agreement that are significantly in excess of the benefit that we actually realize in respect of the increases in tax basis (and utilization of certain other tax benefits) and we may not be able to recoup those payments, which could adversely affect our financial condition and liquidity.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 certain circumstances, Viant Technology LLC will be required to make distributions to Viant Technology Inc. and the existing members of Viant Technology LLC, and the distributions that Viant Technology LLC will be required to make may be substantial.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Viant Technology LLC is expected to continue to be treated as a partnership for U.S. federal income tax purposes and, as such, generally is not subject to U.S. federal income tax. Instead, taxable income is allocated to members, including us. Pursuant to the Viant Technology LLC Operating Agreement, Viant Technology LLC makes tax distributions to its members, including us, which generally are pro rata based on the ownership of Viant Technology LLC units, calculated using an assumed tax rate, to help each of the members to pay taxes on that member’s allocable share of Viant Technology LLC’s net taxable income. Under applicable tax rules, Viant Technology LLC is required to allocate net taxable income disproportionately to its members in certain circumstances. Because tax distributions are determined based on the member who is allocated the largest amount of taxable income on a per unit basis and on an assumed tax rate that is the highest possible rate applicable to any member, but are made pro rata based on ownership of Viant Technology LLC units, Viant Technology LLC is required to make tax distributions that, in the aggregate, likely exceed the aggregate amount of taxes payable by its members with respect to the allocation of Viant Technology LLC income.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Funds used by Viant Technology LLC to satisfy its tax distribution obligations generally are not available for reinvestment in our business. Moreover, the tax distributions Viant Technology LLC is required to make may be substantial, and may significantly exceed (as a percentage of Viant Technology LLC’s income) the overall effective tax rate applicable to a similarly situated corporate taxpayer. In addition, because these payments are calculated with reference to an assumed tax rate, and because of the disproportionate allocation of net taxable income, these payments likely significantly exceed the actual tax liability for many of the existing members of Viant Technology LLC.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potential differences in the amount of net taxable income allocable to Viant Technology Inc. and to the existing members of Viant Technology LLC, as well as the use of an assumed tax rate in calculating Viant Technology LLC’s distribution obligations, we may receive distributions of cash significantly in excess of our tax liabilities and obligations to make payments under the Tax Receivable Agreement. We have no obligation to distribute any such excess distributions (or other available cash) to our stockholders. We may choose to manage these excess distributions through a number of different approaches, including, among other uses, the payment of a cash dividend on our Class A common stock, the payment of obligations under the Tax Receivable Agreement, loaning such cash to Viant Technology LLC, the declaration of a stock dividend on our Class A common stock, along with the purchase of a corresponding number of common units in Viant Technology LLC, or the purchase of additional common units in Viant Technology LLC, along with a recapitalization of all of the outstanding common units in Viant Technology LLC. We are not required to make adjustments to the exchange ratio for LLC interests and corresponding shares of Class A common stock as a result of any cash dividend or excess distribution or any retention of cash by us. As a result, the holders of Viant Technology LLC interests (other than us)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 to us.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Viant Technology LLC were to become a publicly traded partnership taxable as a corporation for U.S. federal income tax purposes, we and Viant Technology LLC might be subject to potentially significant tax inefficiencies, and we would not be able to recover payments previously made by it under the Tax Receivable Agreement, even if the corresponding tax benefits were subsequently determined to have been unavailable due to such status.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operate such that Viant Technology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Viant Technology LLC units pursuant to the Viant Technology LLC Operating Agreement or other transfers of Viant Technology LLC units could cause Viant Technology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Viant Technology LLC were to become a publicly traded partnership taxable as a corporation for U.S. federal income tax purposes, significant tax inefficiencies might result for us and Viant Technology LLC, including as a result of our inability to file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U.S. federal income tax return with Viant Technology LLC. In addition, we may not be able to realize tax benefits covered under the Tax Receivable Agreement and would not be able to recover any payments previously made by it under the Tax Receivable Agreement, even if the corresponding tax benefits (including any claimed increase in the tax basis of Viant Technology LLC’s assets) were subsequently determined to have been unavailable.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Capital Requirements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experience fluctuations in our operating results, which could make our future operating results difficult to predict or cause our operating results to fall below securities analysts’ and investors’ expectations.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Our quarterly and annual operating results have fluctuated in the past and we expect our future operating results to fluctuate due to a variety of factors, many of which are beyond our control. In particular, we offer our customers a choice of two different pricing options: a percentage of spend option and a fixed CPM pricing option. We also offer our customers the ability to use our services to aid them in data management, media execution and advanced reporting. Our revenue and contribution ex-TAC vary across these different pricing and service options, and therefore our results may vary based on the mix of pricing and service options chosen by customers in any given period. Contribution ex-TAC is a non-GAAP financial measure. For a detailed discussion of our key operating and financial performance measures and a reconciliation of contribution ex-TAC to the most directly comparable financial measure calculated in accordance with GAAP, see “</w:t>
      </w:r>
      <w:r>
        <w:rPr>
          <w:rFonts w:ascii="Times New Roman;sans-serif" w:hAnsi="Times New Roman;sans-serif"/>
          <w:b w:val="false"/>
          <w:i/>
          <w:color w:val="000000"/>
          <w:sz w:val="20"/>
        </w:rPr>
        <w:t>Management’s Discussion and Analysis of Financial Condition and Results of Operation—Key Operating and Financial Performance Measures—Use of Non-GAAP Financial Measures</w:t>
      </w:r>
      <w:r>
        <w:rPr>
          <w:rFonts w:ascii="Times New Roman;sans-serif" w:hAnsi="Times New Roman;sans-serif"/>
          <w:b w:val="false"/>
          <w:color w:val="000000"/>
          <w:sz w:val="20"/>
        </w:rPr>
        <w:t>.” The varying nature of our pricing mix between periods may make it more difficult for us to forecast our future operating results. Further, variation in our pricing mix may make it more difficult to make comparisons between prior, current and future periods. Period-to-period comparisons of our operating results should not be relied upon as an indication of our future performance. Fluctuations in our operating results could cause our performance to fall below the expectations of securities analysts and investors, and adversely affect the price of our Class A common stock. Because our business is changing and evolving rapidly, and the macroeconomic and geopolitical environment continues to evolve as a result of pandemics, bank failures, labor shortages, inflation and monetary supply shifts, rising interest rates, tightening of credit markets, and potential disruptions from international conflicts and acts of terrorism, our historical operating results may not be necessarily indicative of our future operating results. In addition to changes in terms of mix of our different pricing options, factors that may cause our operating results to fluctuate include the following: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demand for our platform, including those related to the seasonal nature of our customers’ spending on digital advertising campaigns;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our pricing policies, the pricing policies of our competitors and the pricing or availability of inventory, data or other third-party services;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our customer base and platform offerings;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addition or loss of advertising agencies and marketers as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advertising budget allocations, agency affiliations or marketing strategies;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to our channel mix (including, for example, changes in demand for connected TV);</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and uncertainty in the regulatory and business environment for us or customers (for example, when Apple or Google change policies for their browsers and operating systems);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the economic prospects of marketers or the economy generally (due to pandemics, labor shortages, inflation and monetary supply shifts, rising interest rates, tightening of credit markets, and potential disruptions from international conflicts and acts of terrorism or otherwise), which could alter marketers’ spending priorities, or could increase the time or costs required to complete advertising inventory sales;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the availability of advertising inventory or in the cost of reaching end consumers through digital advertising;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disruptions or outages on our platform;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introduction of new technologies or offerings by our competitors;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our capital expenditures as we acquire the hardware, equipment and other assets required to support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timing differences between our payments for advertising inventory and our collection of related advertising revenue;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length and unpredictability of our sales cycle;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costs related to acquisitions of businesses or technologies, or employee recruiting;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shifting views and behaviors of consumers concerning use of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Based upon the factors above and others beyond our control, we have a limited ability to forecast our future revenue, costs and expenses, and, as a result, our operating results may, from time to time, fall below our estimates or the expectations of securities analysts and investors.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secure additional financing on favorable terms, or at all, to meet our future capital needs, which may in turn impair our growth.</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grow our business, which may require additional capital to develop new features or enhance our platform, improve our operating infrastructure, finance working capital requirements or acquire complementary businesses and technologies.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and our business may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continue to grow our business and increase our offerings, our costs will increase and we may not be able to generate sufficient revenue to sustain profitability and failure to manage growth effectively could cause our business to suffer.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expended significant resources in the past to grow our business and increase the offerings of our platform. While we have implemented cost reduction initiatives aimed at reducing our operating expenses and sharpening our focus on key growth priorities in light of the current macroeconomic environment, if we continue to grow our business, it could require substantial financial and other resources to, among other things: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develop our platform, including by investing in our engineering team, creating, acquiring or licensing new products or features, and improving the functionality, availability and security of our platform;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improve our technology infrastructure, including investing in internal technology development and acquiring outside technologies;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cover general and administrative expenses, including legal, accounting and other expenses necessary to support a larger organization;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cover sales and marketing expenses, including a significant expansion of our direct sales organization;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cover expenses relating to data collection and consumer privacy compliance, including additional infrastructure, automation and personnel;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explore strategic acquisitions.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the foregoing, however, may not yield anticipated returns. Consequently, as our costs increase, we may not be able to generate sufficient revenue to achieve or sustain profitability.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to manage our growth effectively, we must continually evaluate and evolve our organization. We must manage our employees, operations, finances, technology and development and capital investments efficiently. Our efficiency, productivity and the quality of our platform and customer service may be adversely impacted if we do not train our new personnel, particularly our sales and support personnel, quickly and effectively, or if we fail to appropriately coordinate across our organization. Additionally, rapid growth may place a strain on our resources, infrastructure and ability to maintain the quality of our platform. Failure to manage our growth effectively could cause our business to suffer and have an adverse effect on our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a party to a revolving credit agreement, which contains a number of covenants that may restrict our current and future operations and could adversely affect our ability to execute business needs.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asset-based revolving credit and security agreement (the "Amended Loan Agreement") with PNC Bank contains a number of covenants that limit our ability and our subsidiaries’ ability to, among other things, incur indebtedness, create liens, make investments, merge with other companies, dispose of our assets, prepay other indebtedness and make dividends and other distributions. The terms of our Amended Loan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The Amended Loan Agreement also contains a financial covenant that requires us to maintain a minimum fixed charge coverage ratio of 1.40 to 1 when undrawn availability under the Amended Loan Agreement is less than 25%. We may not be able to generate sufficient cash flow or sales to meet the financial covenant or pay the principal or interest under the Amended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comply with our payment requirements, our lender may accelerate our obligations under our Amended Loan Agreement and foreclose upon the collateral, or we may be forced to sell assets, restructure our indebtedness or seek additional equity capital, which would dilute our stockholders’ interests. If we fail to comply with our covenants under the Amended Loan Agreement,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Seasonal fluctuations in advertising activity could have a material impact on our revenue, cash flow and operating results.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cash flow, operating results and other key operating and performance measures may vary from quarter to quarter due to the seasonal nature of our customers’ spending on advertising campaigns. For example, in prior years, customers tended to devote more of their advertising budgets to the fourth calendar quarter to coincide with consumer holiday spending. Historically, the fourth quarter has reflected our highest level of advertising activity for the year. In contrast, the first quarter of the calendar year has typically been the slowest in terms of advertising spend. Political advertising could also cause our revenue to increase during election cycles and decrease during other periods, making it difficult to predict our revenue, cash flow, and operating results, all of which could fall below our expectations.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price of our Class A common stock has been and may continue to be volatile or may decline regardless of our operating performance.</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The market price of equity securities of technology companies has historically experienced high levels of volatility. The closing price of our Class A common stock since first trading on February 10, 2021 through March 1, 2024 has ranged from a low of $3.15 to a high of $68.31. </w:t>
      </w:r>
      <w:r>
        <w:rPr>
          <w:rFonts w:ascii="Times New Roman;sans-serif" w:hAnsi="Times New Roman;sans-serif"/>
          <w:b w:val="false"/>
          <w:color w:val="000000"/>
          <w:sz w:val="20"/>
          <w:shd w:fill="FFFFFF" w:val="clear"/>
        </w:rPr>
        <w:t xml:space="preserve">The market price of our Class A common stock could be subject to wide fluctuations in response to the risk factors listed in this section and others beyond our control. Further, stock markets may experience extreme price and volume fluctuations that can affect the market prices of equity securities. These fluctuations can be unrelated or disproportionate to the operating performance of those companies. For instance, </w:t>
      </w:r>
      <w:r>
        <w:rPr>
          <w:rFonts w:ascii="Times New Roman;sans-serif" w:hAnsi="Times New Roman;sans-serif"/>
          <w:b w:val="false"/>
          <w:color w:val="000000"/>
          <w:sz w:val="20"/>
        </w:rPr>
        <w:t>if the stock market for technology companies, or the stock market generally, experiences a loss of investor confidence, the trading price of our Class A common stock could decline for reasons unrelated to our business, operating results or financial condition. The trading price of our Class A common stock might also decline in reaction to events that affect other companies in our industry even if these events do not directly affect us.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Sales of substantial blocks of our Class A common stock into the public market, or the perception that such sales might occur, could cause the market price of our Class A common stock to decline.</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Sales of substantial blocks of our Class A common stock into the public market, or the perception that such sales might occur, in particular sales by our directors, officers or other affiliates, could cause the market price of our Class A common stock to decline and </w:t>
      </w:r>
      <w:r>
        <w:rPr>
          <w:rFonts w:ascii="Times New Roman;sans-serif" w:hAnsi="Times New Roman;sans-serif"/>
          <w:b w:val="false"/>
          <w:color w:val="000000"/>
          <w:sz w:val="20"/>
          <w:shd w:fill="FFFFFF" w:val="clear"/>
        </w:rPr>
        <w:t>could impair our ability to raise capital through the sale of additional equity securities.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a “controlled company” within the meaning of the listing standards of the Nasdaq Global Select Market (“Nasdaq”) and, as a result, qualify for, and rely on, exemptions from certain corporate governance requirements.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Vanderhook Parties hold a majority of the voting power of our outstanding common stock. As a result, we qualify as a “controlled company” within the meaning of the corporate governance standards of Nasdaq.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of directors entirely by independent directors and (iii) the compensation committee be composed entirely of independent directors. Currently, our compensation committee does not consist entirely of independent directors and our directors are not nominated or selected entirely by independent directors. Accordingly, you may not have the same protections afforded to stockholders of companies that are subject to all of the corporate governance requirements of Nasdaq.</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Insiders have substantial control over our company, which could limit your ability to influence the outcome of key decisions, including a change of control.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their ownership of common stock, the Vanderhook Parties control approximately 70% of the voting power of our common stock in the election of directors as of December 31, 2023. This control will limit or preclude your ability to influence corporate matters for the foreseeable future. These stockholders will be able to influence or control matters requiring approval by our stockholders, including the election of directors and the approval of mergers, acquisitions or other extraordinary transactions.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interests may differ 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affect the market price of our Class A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charter documents and Delaware law could discourage takeover attempts and other corporate governance changes.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 the following provisions that: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provide that our board of directors is classified into three classes with staggered, three-year terms and that directors may only be removed for cause after the Vanderhook Parties collectively cease to beneficially own a majority of the combined voting power of our Class A and Class B Common Stock (the “Triggering Event”);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permit the board of directors to establish the number of directors and fill any vacancies and newly created directorships;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provide that, after the Triggering Event, vacancies on our board of directors may be filled only by a majority of directors then in office, even though less than a quorum;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prohibit cumulative voting in the election of directors;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require super-majority voting to amend our certificate of incorporation and bylaws;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authorize the issuance of “blank check” preferred stock that our board of directors could use to implement a stockholder rights plan;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eliminate the ability of our stockholders to call special meetings of stockholders;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specify that special meetings of our stockholders can be called only by our board of directors, the chairman of our board of directors, or our chief executive officer with the concurrence of a majority of our board of directors;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prohibit stockholder action by written consent after the Triggering Event, which requires all stockholder actions to be taken at a meeting of our stockholders;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permit our board of directors to alter our bylaws without obtaining stockholder approval;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reflect the dual class structure of our common stock, as discussed above;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 In addition, our credit facility includes, and other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includes an exclusive forum clause, which could limit our stockholders’ ability to obtain a favorable judicial forum for disputes with us.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shall be the sole and exclusive forum for any complaint asserting any internal corporate claims, including claims in the right of the Company that are based upon a violation of a duty by a current or former director, officer, employee or stockholder in such capacity, or as to which the Delaware General Corporation Law confers jurisdiction upon the Court of Chancery. In addition, our amended and restated certificate of incorporation provides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Exchange Act.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choice of forum provision may limit a stockholder’s ability to bring a claim in other judicial forums for disputes with us or our directors, officers or other employees, which may discourage lawsuits against us and our directors, officers and other employees in jurisdictions other than Delaware, or federal courts, in the case of claims arising under the Securities Act. Alternatively, if a court were to find the choice of forum provision contained in our amended and restated certificate of incorporation to be inapplicable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unenforceable in an action, we may incur additional costs associated with resolving such action in other jurisdictions, which could have a material adverse effect on our business, financial condition or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any interest in shares of our capital stock is deemed to have notice of and consented to the foregoing provisions. The exclusive forum clause may limit our stockholders’ ability to obtain a favorable judicial forum for disputes with us.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a wide range of laws and regulations, many of which are evolving, and failure to comply with such laws and regulations could harm our business, financial condition, and results of operations.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Our business is subject to regulation by various federal, state, local and foreign governmental agencies, including agencies responsible for monitoring and enforcing employment and labor laws, consumer protection laws, anti-bribery and anti-corruption laws, import and export controls, federal securities laws, and tax laws and regulations. These laws and regulations govern a wide range of topics, including those related to matters beyond our core products and services. For instance, new regulations, laws, policies, and international accords relating to environmental and social matters, including sustainability, climate change, human capital, and diversity, are being developed and formalized in the United States, Europe and elsewhere, which may result in increased costs and compliance and/or disclosure obligations. For more information, see our risk factor titled “Increasing attention to, and evolving expectations regarding, environmental, social, and governance matters may impact our business and reputation.” Noncompliance with applicable regulations or requirements could subject us to investigations, enforcement actions, sanctions, fines, damages, penalties, injunctions or termination of contracts. Any such matters could have a material adverse effect on our business,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Increasing attention to, and evolving expectations regarding, environmental, social, and governance (“ESG”) matters may impact our business and reputation.</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Companies across </w:t>
      </w:r>
      <w:r>
        <w:rPr>
          <w:rFonts w:ascii="Times New Roman;sans-serif" w:hAnsi="Times New Roman;sans-serif"/>
          <w:b w:val="false"/>
          <w:color w:val="000000"/>
          <w:sz w:val="20"/>
        </w:rPr>
        <w:t>industries are facing increasing scrutiny from a variety of stakeholders related to their ESG and sustainability practices. Expectations regarding voluntary ESG initiatives may result in increased costs (including but not limited to increased costs related to compliance, stakeholder engagement, contracting and insurance), changes in demand for certain products, enhanced compliance or disclosure obligations, or other adverse impacts to our business, financial condition, or results of operations.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While we have and continue to engage in voluntary initiatives (which may include voluntary disclosures, certifications, and/or goals, among others) to improve the ESG profile of the Company and/or our products, such initiatives </w:t>
      </w:r>
      <w:r>
        <w:rPr>
          <w:rFonts w:ascii="Times New Roman;sans-serif" w:hAnsi="Times New Roman;sans-serif"/>
          <w:b w:val="false"/>
          <w:color w:val="231F20"/>
          <w:sz w:val="20"/>
        </w:rPr>
        <w:t xml:space="preserve">may require considerable investments and may not have the desired effect. For example, our goals, such as efforts to be carbon neutral in fiscal 2023 and subsequent years, with all of their contingencies, dependencies, and in certain cases, reliance on third-party verification and/or performance, are complex and ambitious, and we may not achieve them, either according to specific standards or stakeholder expectations or at all. </w:t>
      </w:r>
      <w:r>
        <w:rPr>
          <w:rFonts w:ascii="Times New Roman;sans-serif" w:hAnsi="Times New Roman;sans-serif"/>
          <w:b w:val="false"/>
          <w:color w:val="000000"/>
          <w:sz w:val="20"/>
        </w:rPr>
        <w:t xml:space="preserve">Moreover, actions or statements that we may take based on expectations, assumptions, methodologies, or third-party information that we currently believe to be reasonable may subsequently be determined to be erroneous or be subject to misinterpretation. If we fail to, or are perceived to fail to, comply with or advance certain ESG initiatives (including the timeline and manner in which we complete such initiatives) and/or align with evolving best practices, we may be subject to various adverse impacts, including reputational damage and potential stakeholder engagement and/or litigation, even if such initiatives are currently voluntary. For example, there have been increasing allegations of greenwashing against companies making significant ESG claims due to a variety of perceived deficiencies in performance, including as stakeholder perceptions of sustainability continue to evolve. </w:t>
      </w:r>
      <w:r>
        <w:rPr>
          <w:rFonts w:ascii="Times New Roman;sans-serif" w:hAnsi="Times New Roman;sans-serif"/>
          <w:b w:val="false"/>
          <w:color w:val="231F20"/>
          <w:sz w:val="20"/>
        </w:rPr>
        <w:t xml:space="preserve">Additionally, our current programs, reporting frameworks, and principles may not be in compliance with any new environmental and social laws and regulations, or novel interpretations of existing laws and regulations, that may be promulgated in the United States and elsewhere, and the costs of changing any of our current practices to comply with any new legal and regulatory requirements in the United States and elsewhere may be substantial. </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We expect </w:t>
      </w:r>
      <w:r>
        <w:rPr>
          <w:rFonts w:ascii="Times New Roman;sans-serif" w:hAnsi="Times New Roman;sans-serif"/>
          <w:b w:val="false"/>
          <w:color w:val="000000"/>
          <w:sz w:val="20"/>
        </w:rPr>
        <w:t>there will likely be increasing levels of regulation, disclosure-related and otherwise, with respect to ESG matters. For example, the SEC has proposed rules that would require companies to provide significantly expanded climate-related disclosures in their periodic reporting,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Similar requirements have been adopted in other jurisdictions, such as the European Union and California, which may require us to incur further costs to the extent we are, or become, subject to such requirements.</w:t>
      </w:r>
      <w:r>
        <w:rPr>
          <w:color w:val="231F20"/>
        </w:rPr>
        <w:t xml:space="preserve"> </w:t>
      </w:r>
      <w:r>
        <w:rPr>
          <w:rFonts w:ascii="Times New Roman;sans-serif" w:hAnsi="Times New Roman;sans-serif"/>
          <w:b w:val="false"/>
          <w:color w:val="231F20"/>
          <w:sz w:val="20"/>
        </w:rPr>
        <w:t xml:space="preserve">Noncompliance with applicable regulations or requirements could subject us to investigations, enforcement actions, sanctions, fines, damages, penalties, injunctions or termination of contracts. </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Furthermore, industry and market practices may further develop to become even more robust than what is required under any new laws and regulations and may impose added costs on our business and could require us to make changes to our business or platform. ESG performance is monitored and rated by a variety of organizations, and unfavorable ratings may impact investor sentiment and </w:t>
      </w:r>
      <w:r>
        <w:rPr>
          <w:rFonts w:ascii="Times New Roman;sans-serif" w:hAnsi="Times New Roman;sans-serif"/>
          <w:b w:val="false"/>
          <w:color w:val="000000"/>
          <w:sz w:val="20"/>
        </w:rPr>
        <w:t xml:space="preserve">negatively impact our share price as well as our access to and cost of capital. To the extent ESG matters negatively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 xml:space="preserve">impact our reputation, it may also impede our ability to compete as effectively to attract and retain employees, customers, or business partners, which may adversely impact our operations. Simultaneously, there are efforts by some stakeholders to reduce companies’ efforts on certain ESG-related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 This and other stakeholder expectations will likely lead to increased costs as well as scrutiny that could heighten all of the risks identified in this risk factor. Additionally, many of our customers, business partners, and suppliers may be subject to similar expectations or risks, which may augment or create additional risks or impacts on us, including in ways that may not be known to us. </w:t>
      </w:r>
      <w:r>
        <w:rPr>
          <w:rFonts w:ascii="Times New Roman;sans-serif" w:hAnsi="Times New Roman;sans-serif"/>
          <w:b w:val="false"/>
          <w:color w:val="231F20"/>
          <w:sz w:val="20"/>
        </w:rPr>
        <w:t>Any such matters could have a material adverse effect on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Reduced reporting and disclosure requirements applicable to us as an emerging growth company and a smaller reporting company could make our Class A common stock less attractive to investors.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of 2002 (the "Sarbanes-Oxley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public companies. We could be an EGC until December 31, 2026. We will cease to be an EGC upon the earliest of: (i) until December 31, 2026, (ii) the first fiscal year after our annual gross revenue is $1.235 billion or more, (iii) the date on which we have, during the previous three-year period, issued more than $1 billion in nonconvertible debt securities or (iv) the date on which we are deemed to be a large accelerated filer under the rules of the SEC. </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We are also a "smaller reporting company" and a "non-accelerated filer" as defined in the Exchange Act. We may take advantage of certain of the scaled disclosures available to smaller reporting companies and non-accelerated filers as long as we qualify under these categories, even after we are no longer an EGC, </w:t>
      </w:r>
      <w:r>
        <w:rPr>
          <w:rFonts w:ascii="Times New Roman;sans-serif" w:hAnsi="Times New Roman;sans-serif"/>
          <w:b w:val="false"/>
          <w:color w:val="000000"/>
          <w:sz w:val="20"/>
        </w:rPr>
        <w:t>including not being required to comply with the auditor attestation requirements of Section 404 of the Sarbanes-Oxley Act and reduced disclosure obligations regarding executive compensation in our periodic reports and proxy statements.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reduced reporting and disclosure requirements applicable to us as an emerging growth company and a smaller reporting company could make our Class A common stock less attractive to investors.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are or will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Nasdaq.</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independent registered public accounting firm is not required to audit the effectiveness of our internal control over financial reporting until after we are no longer an EGC and a non-accelerated filer. At such time, our independent registered public 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firm may issue an opinion on our internal controls over financial reporting that is adverse in the event it is not satisfied with the level at which our internal control over financial reporting is documented, designed or operating.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failure to maintain effective disclosure controls and internal control over financial reporting could have a material and adverse effect on our business and operating results and cause a decline in the market price of our Class A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reports about our business, or publish inaccurate or unfavorable research reports about our business, our share price and trading volume could decline.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partially depends on the research and reports that securities or industry analysts publish about us or our business. We do not have any control over these analysts.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1B. Unresolved Staff Comments.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1C. Cybersecurity.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Cybersecurity Risk Management and Strategy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design and assess our program based on the CIS Critical Security Controls Version 8 ("CIS"). This does not imply that we meet any particular technical standards, specifications, or requirements, only that we use CIS as a guide to help us identify, assess, and manage cybersecurity risks relevant to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has its own governance channel and processes for monitoring and reporting risks. The current enterprise risk management framework is tailored to address risks around governance, process, technology, financial reporting, and fraud which could impact our financial statements. An enterprise effort to expand and integrate risks across all channels is underway.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includes the following: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risk assessments designed to help identify material cybersecurity risks to our critical systems, information, products, services, and our broader enterprise IT environment;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security team principally responsible for managing (1) our cybersecurity risk assessment processes, (2) our security controls, and (3) our response to cybersecurity incidents;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use of external service providers, where appropriate, to assess, test or otherwise assist with aspects of our security controls;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cybersecurity awareness training of our employees, incident response personnel, and senior management;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cybersecurity incident response plan that includes procedures for responding to cybersecurity incidents;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third-party risk management process for significant service providers, suppliers, and vendors.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Cybersecurity Governance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(the "Board") considers cybersecurity risk as part of its risk oversight function. While delegated to the Audit Committee, the Board directly oversees management’s implementation of our cybersecurity risk management program.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Board receives regular reports from management on our cybersecurity risks. In addition, management updates the Board, as necessary, regarding any material cybersecurity incidents, as well as any incidents with lesser impact potential. Board members receive presentations on cybersecurity topics from our Chief Information Officer ("CIO").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team, including our CIO, is responsible for assessing and managing our material risks from cybersecurity threats. Our CIO has primary responsibility for our overall cybersecurity risk management program and supervises both our internal cybersecurity personnel and our retained external cybersecurity consultants. Our CIO's experience includes over twenty (20) years of design, implementation and management of cyber-security programs at various levels and organizations.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Properties.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headquarters are located in Irvine, California, where we occupy facilities totaling approximately 56,000 square feet under a lease that expires in May 2031. We currently lease 9 other office spaces across the United States and we do not own any real property. We believe that our current facilities are adequate to meet our current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Legal Proceedings.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Information About Our Directors &amp; Executive Officers.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with respect to the Board and executive officers is presented as of March 4, 2024:</w:t>
      </w:r>
    </w:p>
    <w:p>
      <w:pPr>
        <w:pStyle w:val="TextBody"/>
        <w:bidi w:val="0"/>
        <w:spacing w:before="120" w:after="283"/>
        <w:ind w:left="0" w:right="0" w:firstLine="540"/>
        <w:jc w:val="left"/>
        <w:rPr/>
      </w:pPr>
      <w:r>
        <w:rPr/>
      </w:r>
    </w:p>
    <w:tbl>
      <w:tblPr>
        <w:tblW w:w="10205" w:type="dxa"/>
        <w:jc w:val="center"/>
        <w:tblInd w:w="0" w:type="dxa"/>
        <w:tblLayout w:type="fixed"/>
        <w:tblCellMar>
          <w:top w:w="28" w:type="dxa"/>
          <w:left w:w="28" w:type="dxa"/>
          <w:bottom w:w="28" w:type="dxa"/>
          <w:right w:w="28" w:type="dxa"/>
        </w:tblCellMar>
      </w:tblPr>
      <w:tblGrid>
        <w:gridCol w:w="486"/>
        <w:gridCol w:w="428"/>
        <w:gridCol w:w="431"/>
        <w:gridCol w:w="109"/>
        <w:gridCol w:w="109"/>
        <w:gridCol w:w="109"/>
        <w:gridCol w:w="145"/>
        <w:gridCol w:w="145"/>
        <w:gridCol w:w="146"/>
        <w:gridCol w:w="109"/>
        <w:gridCol w:w="109"/>
        <w:gridCol w:w="109"/>
        <w:gridCol w:w="648"/>
        <w:gridCol w:w="648"/>
        <w:gridCol w:w="649"/>
        <w:gridCol w:w="109"/>
        <w:gridCol w:w="109"/>
        <w:gridCol w:w="109"/>
        <w:gridCol w:w="1610"/>
        <w:gridCol w:w="1610"/>
        <w:gridCol w:w="2278"/>
      </w:tblGrid>
      <w:tr>
        <w:trPr/>
        <w:tc>
          <w:tcPr>
            <w:tcW w:w="48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Position at Viant Technology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Principal Employment</w:t>
            </w:r>
          </w:p>
        </w:tc>
      </w:tr>
      <w:tr>
        <w:trPr/>
        <w:tc>
          <w:tcPr>
            <w:tcW w:w="1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 Vanderhook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Same</w:t>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Chris Vanderhook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Same</w:t>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Larry Madden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Same</w:t>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Max Valdes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Former Chief Financial Officer and Executive Vice President of First American Financial Corporation (NYSE: FAF), a financial services company.</w:t>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Elizabeth Williams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Former Chief Executive Officer of Outfox Hospitality, a company that operates Foxtrot and Dom's Kitchen and Market grocery and café stores.</w:t>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Vivian Yang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Former Chief Legal Officer of The Trade Desk, Inc. (Nasdaq: TTD), a provider of a global technology platform for buyers of advertising.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Market for Registrant’s Common Equity, Related Stockholder Matters and Issuer Purchases of Equity Securities.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has been listed on Nasdaq under the symbol “DSP” since February 10, 2021. There is no market for our Class B common stock. Each share of Class B common stock has no economic rights but entitles its holders to one vote on all matters to be voted on by our stockholders generally.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As of March 1, 2024, there was one holder of record of our Class A common stock and four holders of record of our Class B common stock. </w:t>
      </w:r>
      <w:r>
        <w:rPr>
          <w:rFonts w:ascii="Times New Roman;sans-serif" w:hAnsi="Times New Roman;sans-serif"/>
          <w:b w:val="false"/>
          <w:color w:val="000000"/>
          <w:sz w:val="20"/>
          <w:shd w:fill="FFFFFF" w:val="clear"/>
        </w:rPr>
        <w:t>Because many of our shares of Class A common stock are held by brokers and other institutions on behalf of stockholders, we are unable to estimate the total number of stockholders represented by these record holders.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our capital stock and have no present intention to pay cash dividends on our capital stock. Any determination to pay dividends to holders of our capital stock will be at the discretion of our board of directors and will depend upon many factors, including our financial condition, results of operations, projections, liquidity, earnings, legal requirements, restrictions in our existing and any future debt, including pursuant to the Amended Loan Agreement with PNC Bank, and other factors that our board of directors deems relevant.</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Purchases of Equity Securities by the Issuer and Affiliated Purchasers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240" w:after="283"/>
        <w:jc w:val="left"/>
        <w:rPr/>
      </w:pPr>
      <w:r>
        <w:rPr/>
      </w:r>
    </w:p>
    <w:p>
      <w:pPr>
        <w:pStyle w:val="TextBody"/>
        <w:bidi w:val="0"/>
        <w:spacing w:before="240" w:after="283"/>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The following Management’s Discussion and Analysis of Financial Condition and Results of Operations </w:t>
      </w:r>
      <w:r>
        <w:rPr>
          <w:rFonts w:ascii="Times New Roman;sans-serif" w:hAnsi="Times New Roman;sans-serif"/>
          <w:b w:val="false"/>
          <w:i/>
          <w:color w:val="231F20"/>
          <w:sz w:val="20"/>
        </w:rPr>
        <w:t xml:space="preserve">of Viant Technology Inc. and its subsidiaries (“Viant,” “we,” “us,” “our” or the “Company”) </w:t>
      </w:r>
      <w:r>
        <w:rPr>
          <w:rFonts w:ascii="Times New Roman;sans-serif" w:hAnsi="Times New Roman;sans-serif"/>
          <w:b w:val="false"/>
          <w:i/>
          <w:color w:val="000000"/>
          <w:sz w:val="20"/>
        </w:rPr>
        <w:t xml:space="preserve">should be read in conjunction with, and is qualified in its entirety by reference to, our consolidated financial statements and the related notes included within this Annual Report. In addition to historical financial information, the following discussion and analysis contains forward-looking statements that involve risks and uncertainties which could cause our actual results to differ materially from those anticipated in these forward-looking statements, including, but not limited to, the risks and uncertainties discussed under the heading </w:t>
      </w:r>
      <w:r>
        <w:rPr>
          <w:color w:val="000000"/>
        </w:rPr>
        <w:t>“</w:t>
      </w:r>
      <w:r>
        <w:rPr>
          <w:rFonts w:ascii="Times New Roman;sans-serif" w:hAnsi="Times New Roman;sans-serif"/>
          <w:b w:val="false"/>
          <w:color w:val="000000"/>
          <w:sz w:val="20"/>
        </w:rPr>
        <w:t>Special Note Regarding</w:t>
      </w:r>
      <w:r>
        <w:rPr>
          <w:color w:val="000000"/>
        </w:rPr>
        <w:t xml:space="preserve"> </w:t>
      </w:r>
      <w:r>
        <w:rPr>
          <w:rFonts w:ascii="Times New Roman;sans-serif" w:hAnsi="Times New Roman;sans-serif"/>
          <w:b w:val="false"/>
          <w:color w:val="000000"/>
          <w:sz w:val="20"/>
        </w:rPr>
        <w:t>Forward-Looking Statements</w:t>
      </w:r>
      <w:r>
        <w:rPr>
          <w:color w:val="000000"/>
        </w:rPr>
        <w:t xml:space="preserve">” </w:t>
      </w:r>
      <w:r>
        <w:rPr>
          <w:rFonts w:ascii="Times New Roman;sans-serif" w:hAnsi="Times New Roman;sans-serif"/>
          <w:b w:val="false"/>
          <w:i/>
          <w:color w:val="000000"/>
          <w:sz w:val="20"/>
        </w:rPr>
        <w:t>and “</w:t>
      </w:r>
      <w:r>
        <w:rPr>
          <w:rFonts w:ascii="Times New Roman;sans-serif" w:hAnsi="Times New Roman;sans-serif"/>
          <w:b w:val="false"/>
          <w:color w:val="000000"/>
          <w:sz w:val="20"/>
        </w:rPr>
        <w:t>Risk Factors</w:t>
      </w:r>
      <w:r>
        <w:rPr>
          <w:color w:val="000000"/>
        </w:rPr>
        <w:t xml:space="preserve">” </w:t>
      </w:r>
      <w:r>
        <w:rPr>
          <w:rFonts w:ascii="Times New Roman;sans-serif" w:hAnsi="Times New Roman;sans-serif"/>
          <w:b w:val="false"/>
          <w:i/>
          <w:color w:val="000000"/>
          <w:sz w:val="20"/>
        </w:rPr>
        <w:t>and discussed elsewhere in this Annual Report. Additionally, our historical results are not necessarily indicative of the results that may be expected for any period in the future.</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shd w:fill="FFFFFF" w:val="clear"/>
        </w:rPr>
        <w:t xml:space="preserve">The following discusses our financial condition and results of operations for our fiscal year ended December 31, 2023 compared to our fiscal year ended December 31, 2022 as well as </w:t>
      </w:r>
      <w:r>
        <w:rPr>
          <w:rFonts w:ascii="Times New Roman;sans-serif" w:hAnsi="Times New Roman;sans-serif"/>
          <w:b w:val="false"/>
          <w:i/>
          <w:color w:val="000000"/>
          <w:sz w:val="20"/>
        </w:rPr>
        <w:t xml:space="preserve">discussions of our financial condition and results of operations for our fiscal year ended </w:t>
      </w:r>
      <w:r>
        <w:rPr>
          <w:rFonts w:ascii="Times New Roman;sans-serif" w:hAnsi="Times New Roman;sans-serif"/>
          <w:b w:val="false"/>
          <w:i/>
          <w:color w:val="000000"/>
          <w:sz w:val="20"/>
          <w:shd w:fill="FFFFFF" w:val="clear"/>
        </w:rPr>
        <w:t>December 31, 2022</w:t>
      </w:r>
      <w:r>
        <w:rPr>
          <w:color w:val="000000"/>
        </w:rPr>
        <w:t xml:space="preserve"> </w:t>
      </w:r>
      <w:r>
        <w:rPr>
          <w:rFonts w:ascii="Times New Roman;sans-serif" w:hAnsi="Times New Roman;sans-serif"/>
          <w:b w:val="false"/>
          <w:i/>
          <w:color w:val="000000"/>
          <w:sz w:val="20"/>
        </w:rPr>
        <w:t>compared to our fiscal year ended December 31,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an advertising technology company. Our cloud-based demand side platform ("DSP")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DSP is used by marketers and their advertising agencies to centralize the planning, buying and measurement of their digital advertising across most channels. Through our omni-channel platform, a marketer can easily buy ads on desktop, mobile, connected TV, linear TV, in-game, streaming audio and digital billboards.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DSP is an easy-to-use self-service platform that provides our customers with transparency and control over their advertising campaigns. Our platform offers customers unique visibility across a variety of inventory, allowing them to create customized audience segments and leverage our people-based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 on advertising spend ("ROAS") across channels, a feature we believe helps us grow our customer base as more customers recognize its benefits.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generate revenue by charging </w:t>
      </w:r>
      <w:r>
        <w:rPr>
          <w:rFonts w:ascii="Times New Roman;sans-serif" w:hAnsi="Times New Roman;sans-serif"/>
          <w:b w:val="false"/>
          <w:color w:val="000000"/>
          <w:sz w:val="20"/>
          <w:shd w:fill="FFFFFF" w:val="clear"/>
        </w:rPr>
        <w:t xml:space="preserve">platform fees and service fees pursuant to agreements that enable a wide variety of marketers and their agencies to select the mix of pricing and service options that suits their unique business and </w:t>
      </w:r>
      <w:r>
        <w:rPr>
          <w:rFonts w:ascii="Times New Roman;sans-serif" w:hAnsi="Times New Roman;sans-serif"/>
          <w:b w:val="false"/>
          <w:color w:val="000000"/>
          <w:sz w:val="20"/>
        </w:rPr>
        <w:t>advertising budget</w:t>
      </w:r>
      <w:r>
        <w:rPr>
          <w:rFonts w:ascii="Times New Roman;sans-serif" w:hAnsi="Times New Roman;sans-serif"/>
          <w:b w:val="false"/>
          <w:color w:val="000000"/>
          <w:sz w:val="20"/>
          <w:shd w:fill="FFFFFF" w:val="clear"/>
        </w:rPr>
        <w:t>.</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These options consist of a percentage of spend pricing option and a fixed cost per mille (“CPM”) pricing option. Customers who prefer to use our platform on a self-service basis to execute their advertising campaigns enter into master service agreements (“MSAs”) with us, and we generate revenue under these arrangements by charging a platform fee that is primarily a </w:t>
      </w:r>
      <w:r>
        <w:rPr>
          <w:rFonts w:ascii="Times New Roman;sans-serif" w:hAnsi="Times New Roman;sans-serif"/>
          <w:b w:val="false"/>
          <w:color w:val="000000"/>
          <w:sz w:val="20"/>
          <w:shd w:fill="FFFFFF" w:val="clear"/>
        </w:rPr>
        <w:t>percentage of spend. Customers who prefer to use our fixed CPM pricing option enter into insertion order (“IO”) arrangements with us,</w:t>
      </w:r>
      <w:r>
        <w:rPr>
          <w:color w:val="000000"/>
        </w:rPr>
        <w:t xml:space="preserve"> </w:t>
      </w:r>
      <w:r>
        <w:rPr>
          <w:rFonts w:ascii="Times New Roman;sans-serif" w:hAnsi="Times New Roman;sans-serif"/>
          <w:b w:val="false"/>
          <w:color w:val="000000"/>
          <w:sz w:val="20"/>
        </w:rPr>
        <w:t xml:space="preserve">and we generate revenue by charging these customers a platform fee at a price for every 1,000 impressions an ad receives. We also offer additional service options to customers accessing our platform under an MSA or an IO, which enables them to use our services to aid them in data management, media execution and advanced reporting. When customers utilize these service options, we generate revenue by charging a service fee separate from the platform fee consisting of (1) a fee that represents a percentage of spend; (2) a flat monthly fee; or (3) a fixed CPM.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offering a mix of pricing and service options provides greater flexibility and access to our platform for marketers and their advertising agencies seeking to plan, buy and measure programmatic campaigns.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results for the fiscal years ended December 31, 2023 and 2022, respectively, include: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Revenue of $222.9 million and $197.2 million, representing an increase of 13.1%;</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Gross profit of $102.5 million and $80.4 million, representing an increase of 27.4%;</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Contribution ex-TAC</w:t>
      </w:r>
      <w:r>
        <w:rPr>
          <w:rFonts w:ascii="Times New Roman;sans-serif" w:hAnsi="Times New Roman;sans-serif"/>
          <w:b w:val="false"/>
          <w:color w:val="231F20"/>
          <w:sz w:val="13"/>
        </w:rPr>
        <w:t xml:space="preserve">(1) </w:t>
      </w:r>
      <w:r>
        <w:rPr>
          <w:rFonts w:ascii="Times New Roman;sans-serif" w:hAnsi="Times New Roman;sans-serif"/>
          <w:b w:val="false"/>
          <w:color w:val="000000"/>
          <w:sz w:val="20"/>
        </w:rPr>
        <w:t>of $143.4 million and $124.7 million, representing an increase of 15.0%;</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Net loss of $9.9 million and $48.1 million, representing an improvement of 79.3%;</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Non-GAAP net income (loss)</w:t>
      </w:r>
      <w:r>
        <w:rPr>
          <w:rFonts w:ascii="Times New Roman;sans-serif" w:hAnsi="Times New Roman;sans-serif"/>
          <w:b w:val="false"/>
          <w:color w:val="231F20"/>
          <w:sz w:val="13"/>
        </w:rPr>
        <w:t>(1)</w:t>
      </w:r>
      <w:r>
        <w:rPr>
          <w:color w:val="000000"/>
        </w:rPr>
        <w:t xml:space="preserve"> </w:t>
      </w:r>
      <w:r>
        <w:rPr>
          <w:rFonts w:ascii="Times New Roman;sans-serif" w:hAnsi="Times New Roman;sans-serif"/>
          <w:b w:val="false"/>
          <w:color w:val="000000"/>
          <w:sz w:val="20"/>
        </w:rPr>
        <w:t>of $21.7 million and $(15.8) million, representing an improvement of 237.5%;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Adjusted EBITDA</w:t>
      </w:r>
      <w:r>
        <w:rPr>
          <w:rFonts w:ascii="Times New Roman;sans-serif" w:hAnsi="Times New Roman;sans-serif"/>
          <w:b w:val="false"/>
          <w:color w:val="231F20"/>
          <w:sz w:val="13"/>
        </w:rPr>
        <w:t>(1)</w:t>
      </w:r>
      <w:r>
        <w:rPr>
          <w:color w:val="000000"/>
        </w:rPr>
        <w:t xml:space="preserve"> </w:t>
      </w:r>
      <w:r>
        <w:rPr>
          <w:rFonts w:ascii="Times New Roman;sans-serif" w:hAnsi="Times New Roman;sans-serif"/>
          <w:b w:val="false"/>
          <w:color w:val="000000"/>
          <w:sz w:val="20"/>
        </w:rPr>
        <w:t>of $29.1 million and $(6.1) million, representing an improvement of 574.6%.</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(1)Contribution ex-TAC, non-GAAP net income (loss) and adjusted EBITDA are non-GAAP financial measures. For a detailed discussion of our key operating and financial performance measures and a reconciliation of contribution ex-TAC,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80" w:after="283"/>
        <w:jc w:val="left"/>
        <w:rPr/>
      </w:pPr>
      <w:r>
        <w:rPr>
          <w:rFonts w:ascii="Times New Roman;sans-serif" w:hAnsi="Times New Roman;sans-serif"/>
          <w:b w:val="false"/>
          <w:color w:val="000000"/>
          <w:sz w:val="20"/>
        </w:rPr>
        <w:t>non-GAAP net income (loss) and adjusted EBITDA to the most directly comparable financial measures calculated in accordance with GAAP, see “</w:t>
      </w:r>
      <w:r>
        <w:rPr>
          <w:color w:val="000000"/>
        </w:rPr>
        <w:t>—</w:t>
      </w:r>
      <w:r>
        <w:rPr>
          <w:rFonts w:ascii="Times New Roman;sans-serif" w:hAnsi="Times New Roman;sans-serif"/>
          <w:b w:val="false"/>
          <w:i/>
          <w:color w:val="000000"/>
          <w:sz w:val="20"/>
        </w:rPr>
        <w:t>Key Operating and Financial Performance Measures—Use of Non-GAAP Financial Measures.</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Attract, Retain and Grow our Customer Base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growth depends on our ability to enhance and improve our offerings and platform to increase our customers' usage of our platform and add new customers. We believe many advertisers are in the early stages of moving a greater percentage of their advertising budgets to programmatic channels. By providing solutions for the planning, buying and measuring of their media spend across most channels, we believe we are well positioned to capture more of our customers’ programmatic budgets. We also continue to add functionality to our platform to encourage our customers to increase their usage. For instance, we continue to leverage artificial intelligence and machine learning in our platform to help our customers improve the efficiency and effectiveness of their advertising campaigns. Further, we intend to continue to grow our sales and marketing efforts to increase awareness of our DSP and highlight the advantages of our people-based framework as cookie-based options become increasingly limited.</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evaluate our customers' usage of our platform and assess our market penetration and scale based on changes in revenue, contribution ex-TAC and advertiser spend. We define advertiser spend as the total amount billed to our customers for activity on our platform inclusive of the costs of advertising media, third-party data, other add-on features and our platform fee that we charge customers. While we experienced customers reducing advertising budgets during the second half of 2022 due to adverse macroeconomic conditions, we saw stabilizing trends in 2023. For the year ended December 31, 2023 compared to the year ended December 31, 2022, our revenue grew 13%. We believe growing customer adoption of our newer products and platform features continued to drive incremental revenue, gross profit and contribution ex-TAC during the year. For a detailed discussion of our key operating measures, see “</w:t>
      </w:r>
      <w:r>
        <w:rPr>
          <w:color w:val="000000"/>
        </w:rPr>
        <w:t>—</w:t>
      </w:r>
      <w:r>
        <w:rPr>
          <w:rFonts w:ascii="Times New Roman;sans-serif" w:hAnsi="Times New Roman;sans-serif"/>
          <w:b w:val="false"/>
          <w:i/>
          <w:color w:val="000000"/>
          <w:sz w:val="20"/>
        </w:rPr>
        <w:t>Key Operating and Financial Performance Measures—Use of Non-GAAP Financial Measures.</w:t>
      </w:r>
      <w:r>
        <w:rPr>
          <w:color w:val="000000"/>
        </w:rPr>
        <w:t>”</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we reported our active customer count in our periodic filings with the Securities and Exchange Commission ("SEC") as it was a key measure used by our management and board of directors to understand and evaluate our business. An active customer was defined as a customer that had total aggregate contribution ex-TAC of at least $5,000 through our platform during the previous twelve months. This metric included many small, legacy customers that did not have the capacity to scale on our platform. As our business has begun to scale, we have shifted our focus to higher value customers that have the ability to scale on our platform, contributing to higher operating results for the year ended December 31, 2023 compared to the year ended December 31, 2022. Due to this strategic shift, we believe active customer count no longer portrays the health of our business and is no longer a key measure used by our management or board of directors to understand and evaluate our business. We will no longer report active customer count in our periodic filings.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Investment in Growth</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advertising market is in the early stages of a shift toward programmatic advertising. We plan to invest for long-term growth. We anticipate that our operating expenses will continue to increase in the long-term as we invest in platform operations, technology and development to enhance our product capabilities including the integration of new advertising channels, and in sales and marketing to acquire new customers and increase our customers’ usage of our platform. We believe that these investments will contribute to our long-term growth, although they may have a negative impact on our profitability in the near-term.</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Impact of Macroeconomic and Geopolitical Conditions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Macroeconomic conditions and geopolitical events, such as pandemics, inflation, rising interest rates, tightening of credit markets, recession risks, labor shortages, supply chain disruptions, and potential disruptions from international conflicts and acts of terrorism, have impacted and may continue to impact our business and the business of our customers, while also disrupting sales channels and advertising and marketing activities. We continue to actively monitor the impact of these macroeconomic factors on our results of operations, financial condition and cash flows, and on our clients, partners, industry and employees. The extent to which these factors impact our operational and financial performance, including our ability to execute our business strategies and initiatives in the expected time frame, will depend on future developments, which are uncertain and cannot be predicted. Due to the nature of our business, the effect of these macroeconomic conditions and geopolitical events may not be fully reflected in our results of operations until future periods.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we initiated a cost reduction plan aimed at reducing our operating expenses and sharpening our focus on key growth priorities in light of macroeconomic conditions. This included a reduction of our employee headcount by approximately 13% resulting in restructuring charges of $1.4 million for the year ended December 31, 2022, consisting primarily of cash severance payments, employee benefits and 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Growth of the Digital Advertising Market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benefit from overall adoption of programmatic advertising by marketers and their agencies. Any material change in the growth rate of digital advertising or the rate of adoption of programmatic advertising,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advertising industry,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potential impacts of the evolving macroeconomic and geopolitical conditions discussed above. Political advertising could also cause our revenue to increase during election cycles and decrease during other periods, making it difficult to predict our revenue, cash flow and operating results, all of which could fall below our expectations. We expect our revenue to continue to fluctuate based on seasonal factors that affect the advertising industry as a whole.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one primary business activity and operate in a single operating and reportable segment.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by providing marketers and their advertising agencies with the ability to plan, buy and measure their digital advertising campaigns using our people-based DSP. We charge platform fees and service fees pursuant to agreements with our customers that enable them to select their preferred mix of pricing and service options.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generate platform fees pursuant to MSAs, which allow customers to use our platform on a self-service basis in connection with our percentage of spend pricing option, and IOs, where we charge customers a platform fee at a price for every 1,000 impressions an ad receives in connection with the fixed CPM pricing option. We also generate </w:t>
      </w:r>
      <w:r>
        <w:rPr>
          <w:rFonts w:ascii="Times New Roman;sans-serif" w:hAnsi="Times New Roman;sans-serif"/>
          <w:b w:val="false"/>
          <w:color w:val="231F20"/>
          <w:sz w:val="20"/>
        </w:rPr>
        <w:t>service</w:t>
      </w:r>
      <w:r>
        <w:rPr>
          <w:color w:val="000000"/>
        </w:rPr>
        <w:t xml:space="preserve"> </w:t>
      </w:r>
      <w:r>
        <w:rPr>
          <w:rFonts w:ascii="Times New Roman;sans-serif" w:hAnsi="Times New Roman;sans-serif"/>
          <w:b w:val="false"/>
          <w:color w:val="000000"/>
          <w:sz w:val="20"/>
        </w:rPr>
        <w:t xml:space="preserve">fees pursuant to MSAs and IOs for </w:t>
      </w:r>
      <w:r>
        <w:rPr>
          <w:rFonts w:ascii="Times New Roman;sans-serif" w:hAnsi="Times New Roman;sans-serif"/>
          <w:b w:val="false"/>
          <w:color w:val="231F20"/>
          <w:sz w:val="20"/>
        </w:rPr>
        <w:t>data management, media execution and advanced reporting</w:t>
      </w:r>
      <w:r>
        <w:rPr>
          <w:color w:val="000000"/>
        </w:rPr>
        <w:t xml:space="preserve"> </w:t>
      </w:r>
      <w:r>
        <w:rPr>
          <w:rFonts w:ascii="Times New Roman;sans-serif" w:hAnsi="Times New Roman;sans-serif"/>
          <w:b w:val="false"/>
          <w:color w:val="000000"/>
          <w:sz w:val="20"/>
        </w:rPr>
        <w:t>service options that are available to customers under our percentage of spend and fixed CPM pricing options.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recognize revenue when we transfer control of promised services directly to our customers in an amount that reflects the consideration to which we expect to be entitled in exchange for those services. For the percentage of spend pricing option, we recognize platform fees as revenue at the point in time when a purchase by the customer occurs through our platform. Revenue is generally reported net of amounts incurred and payable to suppliers for the cost of advertising media, third-party data and other add-on features (collectively, “traffic acquisition costs” or “TAC”) since we arrange for the transfer of TAC from the supplier to the customer through the use of our platform and do not control such features prior to transfer to the customer. </w:t>
      </w:r>
      <w:r>
        <w:rPr>
          <w:rFonts w:ascii="Times New Roman;sans-serif" w:hAnsi="Times New Roman;sans-serif"/>
          <w:b w:val="false"/>
          <w:color w:val="000000"/>
          <w:sz w:val="20"/>
          <w:shd w:fill="FFFFFF" w:val="clear"/>
        </w:rPr>
        <w:t>In certain percentage of spend arrangements, revenue is reported on a gross basis because we control the advertising inventory before it is transferred to our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fixed CPM pricing option, we recognize platform fees as revenue at the point in time when the advertising impressions are delivered to the customer. This revenue is reported gross of any amounts incurred and payable to suppliers for TAC, since we control such features prior to transfer to the customer.</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See “</w:t>
      </w:r>
      <w:r>
        <w:rPr>
          <w:rFonts w:ascii="Times New Roman;sans-serif" w:hAnsi="Times New Roman;sans-serif"/>
          <w:b w:val="false"/>
          <w:i/>
          <w:color w:val="000000"/>
          <w:sz w:val="20"/>
        </w:rPr>
        <w:t>Critical Accounting Policies and Estimates—Revenue Recognition</w:t>
      </w:r>
      <w:r>
        <w:rPr>
          <w:color w:val="000000"/>
        </w:rPr>
        <w:t xml:space="preserve">” </w:t>
      </w:r>
      <w:r>
        <w:rPr>
          <w:rFonts w:ascii="Times New Roman;sans-serif" w:hAnsi="Times New Roman;sans-serif"/>
          <w:b w:val="false"/>
          <w:color w:val="000000"/>
          <w:sz w:val="20"/>
        </w:rPr>
        <w:t>for a description of our revenue recognition policies.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operating expenses into the following four categories. Each expense category includes overhead such as rent and occupancy charges, which is allocated based on headcount. </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Platform Operations</w:t>
      </w:r>
      <w:r>
        <w:rPr>
          <w:rFonts w:ascii="Times New Roman;sans-serif" w:hAnsi="Times New Roman;sans-serif"/>
          <w:b w:val="false"/>
          <w:color w:val="000000"/>
          <w:sz w:val="20"/>
        </w:rPr>
        <w:t>. Platform operations expense represents our cost of revenues, which consists of TAC, hosting costs, personnel costs, depreciation of capitalized software development costs related to our platform, customer support costs and allocated overhead. TAC recorded in platform operations consist of amounts incurred and payable to suppliers for costs associated with our fixed CPM pricing option and certain arrangements related to our percentage of spend pricing option. Personnel costs within platform operations include salaries, bonuses, stock-based compensation and employee benefit costs primarily attributable to personnel who directly support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TAC, many of the costs included in platform operations expense do not increase or decrease proportionately with increases or decreases in our revenue. We expect platform operations expenses to increase in future periods, primarily as a result of depreciation of capitalized software development costs, hosting costs and personnel costs as we continue to invest in the development of our platform to add new features and functions, increase the number of advertising media and data suppliers, ramp up the volume of advertising spend on our platform resulting in increased volumes of transactions, and hire additional personnel to support our customers.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Sales and marketing expense consists primarily of personnel costs, including salaries, bonuses, stock-based compensation, employee benefit costs and commissions for our sales personnel. Sales and marketing expense also includes costs for market development programs, advertising, promotional and other marketing activities and allocated overhead. Commissions are expensed as incurred.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sales and marketing organization focuses on marketing our platform to increase its adoption by existing and new customers. As a result, we expect sales and marketing expenses to increase in future periods as we increase our sales and marketing team and our focus on market development programs. Sales and marketing expense as a percentage of revenue may fluctuate from period to period based on revenue levels and the timing of our investments in our sales and marketing functions as these investments may vary in scope and scale over time.</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Technology and Development</w:t>
      </w:r>
      <w:r>
        <w:rPr>
          <w:rFonts w:ascii="Times New Roman;sans-serif" w:hAnsi="Times New Roman;sans-serif"/>
          <w:b w:val="false"/>
          <w:color w:val="000000"/>
          <w:sz w:val="20"/>
        </w:rPr>
        <w:t>. Technology and development expense consists primarily of personnel costs, including salaries, bonuses, stock-based compensation and employee benefit costs associated with the ongoing development and maintenance of our platform and allocated overhead. Technology and development costs are expensed as incurred, except to the extent that such costs are associated with software development that qualifies for capitalization, which are then recorded as capitalized software included in "Property, equipment, and software, net", on the consolidated balance sheets. We record depreciation for capitalized software development costs not related to our platform within technology and development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continued investment in our platform is critical to attaining our strategic objectives and long-term growth. We therefore expect technology and development expense to increase as we continue to invest in the development of our platform to support and maintain additional features and functions, increase the number of advertising media and data suppliers, and ramp up the volume of advertising spend on our platform.</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General and administrative expense consists primarily of personnel costs, including salaries, bonuses, stock-based compensation and employee benefit costs associated with our executive, accounting, finance, legal, human resources and other administrative personnel. Additionally, this includes accounting, legal and other professional services fees, business insurance expense, bad debt expense and allocated overhead.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Total Other Expense (Income), Net</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Interest expense (income), net</w:t>
      </w:r>
      <w:r>
        <w:rPr>
          <w:rFonts w:ascii="Times New Roman;sans-serif" w:hAnsi="Times New Roman;sans-serif"/>
          <w:b w:val="false"/>
          <w:color w:val="000000"/>
          <w:sz w:val="20"/>
        </w:rPr>
        <w:t>. Interest expense (income), net primarily consists of interest income on our cash and cash equivalents and interest expense on our long-term debt and revolving credit facility under the Loan Agreement with PNC Bank.</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Other expense, net</w:t>
      </w:r>
      <w:r>
        <w:rPr>
          <w:rFonts w:ascii="Times New Roman;sans-serif" w:hAnsi="Times New Roman;sans-serif"/>
          <w:b w:val="false"/>
          <w:color w:val="000000"/>
          <w:sz w:val="20"/>
        </w:rPr>
        <w:t xml:space="preserve">. Other expense, net primarily consists of miscellaneous expenses not attributable to operations and foreign currency exchange gains and losses. </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Gain on extinguishment of debt</w:t>
      </w:r>
      <w:r>
        <w:rPr>
          <w:rFonts w:ascii="Times New Roman;sans-serif" w:hAnsi="Times New Roman;sans-serif"/>
          <w:b w:val="false"/>
          <w:color w:val="000000"/>
          <w:sz w:val="20"/>
        </w:rPr>
        <w:t xml:space="preserve">. Gain on extinguishment of debt consists of the gain recognized from the </w:t>
      </w:r>
      <w:r>
        <w:rPr>
          <w:rFonts w:ascii="Times New Roman;sans-serif" w:hAnsi="Times New Roman;sans-serif"/>
          <w:b w:val="false"/>
          <w:color w:val="000000"/>
          <w:sz w:val="20"/>
          <w:shd w:fill="FFFFFF" w:val="clear"/>
        </w:rPr>
        <w:t>forgiveness of the PPP Loan in whole, including all accrued unpaid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consolidated results of operations, our consolidated results of operations as a percentage of revenue, and the impact of stock-based compensation, depreciation and amortization on each operating expense line item for the fiscal years ended December 31, 2023 and 2022:</w:t>
      </w:r>
    </w:p>
    <w:tbl>
      <w:tblPr>
        <w:tblW w:w="7088" w:type="dxa"/>
        <w:jc w:val="center"/>
        <w:tblInd w:w="0" w:type="dxa"/>
        <w:tblLayout w:type="fixed"/>
        <w:tblCellMar>
          <w:top w:w="28" w:type="dxa"/>
          <w:left w:w="28" w:type="dxa"/>
          <w:bottom w:w="28" w:type="dxa"/>
          <w:right w:w="28" w:type="dxa"/>
        </w:tblCellMar>
      </w:tblPr>
      <w:tblGrid>
        <w:gridCol w:w="1603"/>
        <w:gridCol w:w="1409"/>
        <w:gridCol w:w="1412"/>
        <w:gridCol w:w="211"/>
        <w:gridCol w:w="826"/>
        <w:gridCol w:w="109"/>
        <w:gridCol w:w="109"/>
        <w:gridCol w:w="109"/>
        <w:gridCol w:w="109"/>
        <w:gridCol w:w="211"/>
        <w:gridCol w:w="826"/>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Viant Technology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49" w:type="dxa"/>
        <w:jc w:val="center"/>
        <w:tblInd w:w="0" w:type="dxa"/>
        <w:tblLayout w:type="fixed"/>
        <w:tblCellMar>
          <w:top w:w="28" w:type="dxa"/>
          <w:left w:w="28" w:type="dxa"/>
          <w:bottom w:w="28" w:type="dxa"/>
          <w:right w:w="28" w:type="dxa"/>
        </w:tblCellMar>
      </w:tblPr>
      <w:tblGrid>
        <w:gridCol w:w="1603"/>
        <w:gridCol w:w="1409"/>
        <w:gridCol w:w="1412"/>
        <w:gridCol w:w="266"/>
        <w:gridCol w:w="200"/>
        <w:gridCol w:w="472"/>
        <w:gridCol w:w="190"/>
        <w:gridCol w:w="190"/>
        <w:gridCol w:w="190"/>
        <w:gridCol w:w="266"/>
        <w:gridCol w:w="200"/>
        <w:gridCol w:w="551"/>
      </w:tblGrid>
      <w:tr>
        <w:trPr/>
        <w:tc>
          <w:tcPr>
            <w:tcW w:w="1603"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Viant Technology Inc.</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20"/>
        <w:jc w:val="left"/>
        <w:rPr/>
      </w:pPr>
      <w:r>
        <w:rPr/>
      </w:r>
    </w:p>
    <w:p>
      <w:pPr>
        <w:pStyle w:val="TextBody"/>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*Percentages may not sum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4605" cy="14605"/>
                <wp:effectExtent l="0" t="0" r="0" b="0"/>
                <wp:wrapNone/>
                <wp:docPr id="52" name="Frame49"/>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(1)Stock-based compensation, depreciation and amortization included in operating expenses are as follows:</w:t>
      </w:r>
    </w:p>
    <w:tbl>
      <w:tblPr>
        <w:tblW w:w="5199" w:type="dxa"/>
        <w:jc w:val="center"/>
        <w:tblInd w:w="0" w:type="dxa"/>
        <w:tblLayout w:type="fixed"/>
        <w:tblCellMar>
          <w:top w:w="28" w:type="dxa"/>
          <w:left w:w="28" w:type="dxa"/>
          <w:bottom w:w="28" w:type="dxa"/>
          <w:right w:w="28" w:type="dxa"/>
        </w:tblCellMar>
      </w:tblPr>
      <w:tblGrid>
        <w:gridCol w:w="996"/>
        <w:gridCol w:w="873"/>
        <w:gridCol w:w="876"/>
        <w:gridCol w:w="211"/>
        <w:gridCol w:w="721"/>
        <w:gridCol w:w="109"/>
        <w:gridCol w:w="109"/>
        <w:gridCol w:w="109"/>
        <w:gridCol w:w="109"/>
        <w:gridCol w:w="211"/>
        <w:gridCol w:w="721"/>
        <w:gridCol w:w="154"/>
      </w:tblGrid>
      <w:tr>
        <w:trPr/>
        <w:tc>
          <w:tcPr>
            <w:tcW w:w="99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019" w:type="dxa"/>
        <w:jc w:val="center"/>
        <w:tblInd w:w="0" w:type="dxa"/>
        <w:tblLayout w:type="fixed"/>
        <w:tblCellMar>
          <w:top w:w="28" w:type="dxa"/>
          <w:left w:w="28" w:type="dxa"/>
          <w:bottom w:w="28" w:type="dxa"/>
          <w:right w:w="28" w:type="dxa"/>
        </w:tblCellMar>
      </w:tblPr>
      <w:tblGrid>
        <w:gridCol w:w="927"/>
        <w:gridCol w:w="816"/>
        <w:gridCol w:w="822"/>
        <w:gridCol w:w="211"/>
        <w:gridCol w:w="721"/>
        <w:gridCol w:w="109"/>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916" w:type="dxa"/>
        <w:jc w:val="center"/>
        <w:tblInd w:w="0" w:type="dxa"/>
        <w:tblLayout w:type="fixed"/>
        <w:tblCellMar>
          <w:top w:w="28" w:type="dxa"/>
          <w:left w:w="28" w:type="dxa"/>
          <w:bottom w:w="28" w:type="dxa"/>
          <w:right w:w="28" w:type="dxa"/>
        </w:tblCellMar>
      </w:tblPr>
      <w:tblGrid>
        <w:gridCol w:w="928"/>
        <w:gridCol w:w="816"/>
        <w:gridCol w:w="820"/>
        <w:gridCol w:w="237"/>
        <w:gridCol w:w="524"/>
        <w:gridCol w:w="122"/>
        <w:gridCol w:w="122"/>
        <w:gridCol w:w="122"/>
        <w:gridCol w:w="122"/>
        <w:gridCol w:w="237"/>
        <w:gridCol w:w="693"/>
        <w:gridCol w:w="173"/>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Amortization:</w:t>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Fiscal Years Ended December 31, 2023, 2022 and 2021</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tbl>
      <w:tblPr>
        <w:tblW w:w="9782" w:type="dxa"/>
        <w:jc w:val="center"/>
        <w:tblInd w:w="0" w:type="dxa"/>
        <w:tblLayout w:type="fixed"/>
        <w:tblCellMar>
          <w:top w:w="28" w:type="dxa"/>
          <w:left w:w="28" w:type="dxa"/>
          <w:bottom w:w="28" w:type="dxa"/>
          <w:right w:w="28" w:type="dxa"/>
        </w:tblCellMar>
      </w:tblPr>
      <w:tblGrid>
        <w:gridCol w:w="304"/>
        <w:gridCol w:w="268"/>
        <w:gridCol w:w="2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271"/>
        <w:gridCol w:w="109"/>
        <w:gridCol w:w="109"/>
        <w:gridCol w:w="109"/>
        <w:gridCol w:w="211"/>
        <w:gridCol w:w="796"/>
        <w:gridCol w:w="109"/>
        <w:gridCol w:w="109"/>
        <w:gridCol w:w="109"/>
        <w:gridCol w:w="109"/>
        <w:gridCol w:w="218"/>
        <w:gridCol w:w="218"/>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2022 vs 2021 </w:t>
              <w:b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$25.8 million, or 13%, during the year ended December 31, 2023 compared to the year ended December 31, 2022. The increase was primarily due to a 57% increase in revenue from marketers in the retail and public services industry verticals and a 4% decrease in all other industry verticals.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decreased by $27.0 million, or 12%, during the year ended December 31, 2022 compared to the year ended December 31, 2021. This decrease in revenue was primarily due to certain marketers in the jobs, entertainment, retail, automotive, and consumer products industry verticals being impacted by the ongoing adverse effects of labor shortages, inflation and monetary supply shifts, rising interest rates, the tightening of credit markets, and other adverse macroeconomic and geopolitical developments potentially indicative of an economic slowdown or recession. This resulted in revenue decreasing across these industry verticals by a combined 32% from the prior-year period, offset by a 15% increase in all other industry verticals.</w:t>
      </w:r>
    </w:p>
    <w:p>
      <w:pPr>
        <w:pStyle w:val="TextBody"/>
        <w:bidi w:val="0"/>
        <w:spacing w:before="12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Platform Operations</w:t>
      </w:r>
    </w:p>
    <w:tbl>
      <w:tblPr>
        <w:tblW w:w="10238" w:type="dxa"/>
        <w:jc w:val="center"/>
        <w:tblInd w:w="0" w:type="dxa"/>
        <w:tblLayout w:type="fixed"/>
        <w:tblCellMar>
          <w:top w:w="28" w:type="dxa"/>
          <w:left w:w="28" w:type="dxa"/>
          <w:bottom w:w="28" w:type="dxa"/>
          <w:right w:w="28" w:type="dxa"/>
        </w:tblCellMar>
      </w:tblPr>
      <w:tblGrid>
        <w:gridCol w:w="375"/>
        <w:gridCol w:w="330"/>
        <w:gridCol w:w="331"/>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616"/>
        <w:gridCol w:w="109"/>
        <w:gridCol w:w="109"/>
        <w:gridCol w:w="109"/>
        <w:gridCol w:w="109"/>
        <w:gridCol w:w="180"/>
        <w:gridCol w:w="181"/>
        <w:gridCol w:w="271"/>
        <w:gridCol w:w="109"/>
        <w:gridCol w:w="109"/>
        <w:gridCol w:w="109"/>
        <w:gridCol w:w="211"/>
        <w:gridCol w:w="736"/>
        <w:gridCol w:w="109"/>
        <w:gridCol w:w="109"/>
        <w:gridCol w:w="109"/>
        <w:gridCol w:w="109"/>
        <w:gridCol w:w="188"/>
        <w:gridCol w:w="188"/>
        <w:gridCol w:w="316"/>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2022 vs 2021 </w:t>
              <w:br/>
              <w:t>Change</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Traffic acquisition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platform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platform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 expense increased by $3.8 million, or 3%, during the year ended December 31, 2023 compared to the year ended December 31, 2022. This increase was driven by a $7.1 million increase in TAC, a variable function of revenue related to our fixed CPM pricing option and certain arrangements related to our percentage of spend pricing option. The increase was partially offset by a decrease in other platform operations expense due to a $2.0 million decrease in personnel costs, a $1.1 million decrease in third-party costs in support of our DSP, a $0.7 million decrease in cloud costs due to recognized cloud infrastructure efficiencies, a $0.7 million decrease in stock-based compensation and a $0.3 million decrease related to disposals in the prior period, partially offset by a $1.6 million increase in depreciation and amortization, net, related to our continued investment in developed technology.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 expense decreased by $12.9 million, or 10%, during the year ended December 31, 2022 compared to the year ended December 31, 2021. This decrease was primarily driven by a $10.2 million decrease in TAC, a variable function of revenue related to our fixed CPM pricing option and certain arrangements related to our percentage of spend pricing option and an $8.3 million decrease in stock-based compensation expense primarily driven by restricted stock units ("RSUs") that were granted in connection with our initial public offering ("IPO"), a portion of which became fully vested during the year ended December 31, 2021. This decrease was partially offset by a $2.1 million increase in depreciation, a $1.8 million increase in cloud costs due to continued enhancements to our cloud infrastructure, a $1.3 million increase in third-party costs in support of our DSP, a $0.1 million increase in facilities expense and a $0.1 million increase in travel and entertainment expenses.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10205" w:type="dxa"/>
        <w:jc w:val="center"/>
        <w:tblInd w:w="0" w:type="dxa"/>
        <w:tblLayout w:type="fixed"/>
        <w:tblCellMar>
          <w:top w:w="28" w:type="dxa"/>
          <w:left w:w="28" w:type="dxa"/>
          <w:bottom w:w="28" w:type="dxa"/>
          <w:right w:w="28" w:type="dxa"/>
        </w:tblCellMar>
      </w:tblPr>
      <w:tblGrid>
        <w:gridCol w:w="499"/>
        <w:gridCol w:w="404"/>
        <w:gridCol w:w="407"/>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56"/>
        <w:gridCol w:w="109"/>
        <w:gridCol w:w="109"/>
        <w:gridCol w:w="109"/>
        <w:gridCol w:w="109"/>
        <w:gridCol w:w="198"/>
        <w:gridCol w:w="198"/>
        <w:gridCol w:w="271"/>
        <w:gridCol w:w="109"/>
        <w:gridCol w:w="109"/>
        <w:gridCol w:w="109"/>
        <w:gridCol w:w="211"/>
        <w:gridCol w:w="651"/>
        <w:gridCol w:w="109"/>
        <w:gridCol w:w="109"/>
        <w:gridCol w:w="109"/>
        <w:gridCol w:w="109"/>
        <w:gridCol w:w="144"/>
        <w:gridCol w:w="146"/>
        <w:gridCol w:w="320"/>
      </w:tblGrid>
      <w:tr>
        <w:trPr/>
        <w:tc>
          <w:tcPr>
            <w:tcW w:w="49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2022 vs 2021 </w:t>
              <w:br/>
              <w:t>Change</w:t>
            </w:r>
          </w:p>
        </w:tc>
      </w:tr>
      <w:tr>
        <w:trPr/>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decreased by $13.3 million, or 21%, during the year ended December 31, 2023 compared to the year ended December 31, 2022. This decrease was due to an $8.8 million decrease in personnel costs and a $5.9 million decrease in advertising expense, partially offset by a $0.7 million increase in stock-based compensation and a $0.6 million increase in travel and entertainment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decreased by $1.1 million, or 2%, during the year ended December 31, 2022 compared to the year ended December 31, 2021. This decrease was primarily due to a $16.6 million decrease in stock-based compensation driven by RSUs that were granted in connection with our IPO, a portion of which became fully vested during the year ended December 31, 2021, partially offset by a $7.4 million increase in personnel costs driven by increased headcount, a $5.2 million increase in advertising expense, a $1.8 million increase in travel and entertainment expenses, a $0.4 million increase in software license expenses, a $0.4 million increase in facilities expense and a $0.2 million increase in consulting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Technology and Development</w:t>
      </w:r>
    </w:p>
    <w:tbl>
      <w:tblPr>
        <w:tblW w:w="10205" w:type="dxa"/>
        <w:jc w:val="center"/>
        <w:tblInd w:w="0" w:type="dxa"/>
        <w:tblLayout w:type="fixed"/>
        <w:tblCellMar>
          <w:top w:w="28" w:type="dxa"/>
          <w:left w:w="28" w:type="dxa"/>
          <w:bottom w:w="28" w:type="dxa"/>
          <w:right w:w="28" w:type="dxa"/>
        </w:tblCellMar>
      </w:tblPr>
      <w:tblGrid>
        <w:gridCol w:w="509"/>
        <w:gridCol w:w="446"/>
        <w:gridCol w:w="448"/>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271"/>
        <w:gridCol w:w="109"/>
        <w:gridCol w:w="109"/>
        <w:gridCol w:w="109"/>
        <w:gridCol w:w="211"/>
        <w:gridCol w:w="640"/>
        <w:gridCol w:w="109"/>
        <w:gridCol w:w="109"/>
        <w:gridCol w:w="109"/>
        <w:gridCol w:w="109"/>
        <w:gridCol w:w="192"/>
        <w:gridCol w:w="192"/>
        <w:gridCol w:w="319"/>
      </w:tblGrid>
      <w:tr>
        <w:trPr/>
        <w:tc>
          <w:tcPr>
            <w:tcW w:w="5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2022 vs 2021 </w:t>
              <w:br/>
              <w:t>Change</w:t>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expense increased by $3.5 million, or 16%, during the year ended December 31, 2023 compared to the year ended December 31, 2022. This increase was due to a $2.8 million increase in personnel costs, a $0.5 million increase in facilities expense and a $0.4 million increase in stock-based compensation, partially offset by a $0.2 million decrease in cloud costs due to recognized cloud infrastructure efficiencies.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expense decreased by $4.1 million, or 16%, during the year ended December 31, 2022 compared to the year ended December 31, 2021. This decrease was primarily attributable to a $7.0 million decrease in stock-based compensation driven by RSUs that were granted in connection with our IPO, a portion of which became fully vested during the year ended December 31, 2021, partially offset by a $1.1 million increase in personnel costs driven by increased headcount, a $1.0 million increase in cloud infrastructure costs, a $0.5 million increase in consulting expenses, a $0.1 million increase in travel and entertainment expenses and a $0.1 million increase in facilities expense.</w: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10205" w:type="dxa"/>
        <w:jc w:val="center"/>
        <w:tblInd w:w="0" w:type="dxa"/>
        <w:tblLayout w:type="fixed"/>
        <w:tblCellMar>
          <w:top w:w="28" w:type="dxa"/>
          <w:left w:w="28" w:type="dxa"/>
          <w:bottom w:w="28" w:type="dxa"/>
          <w:right w:w="28" w:type="dxa"/>
        </w:tblCellMar>
      </w:tblPr>
      <w:tblGrid>
        <w:gridCol w:w="627"/>
        <w:gridCol w:w="551"/>
        <w:gridCol w:w="552"/>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466"/>
        <w:gridCol w:w="109"/>
        <w:gridCol w:w="109"/>
        <w:gridCol w:w="109"/>
        <w:gridCol w:w="109"/>
        <w:gridCol w:w="128"/>
        <w:gridCol w:w="128"/>
        <w:gridCol w:w="271"/>
        <w:gridCol w:w="109"/>
        <w:gridCol w:w="109"/>
        <w:gridCol w:w="109"/>
        <w:gridCol w:w="211"/>
        <w:gridCol w:w="656"/>
        <w:gridCol w:w="109"/>
        <w:gridCol w:w="109"/>
        <w:gridCol w:w="109"/>
        <w:gridCol w:w="109"/>
        <w:gridCol w:w="147"/>
        <w:gridCol w:w="148"/>
        <w:gridCol w:w="320"/>
      </w:tblGrid>
      <w:tr>
        <w:trPr/>
        <w:tc>
          <w:tcPr>
            <w:tcW w:w="62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2022 vs 2021 </w:t>
              <w:br/>
              <w:t>Change</w:t>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by $0.9 million, or 2%, during the year ended December 31, 2023 compared to the year ended December 31, 2022. This increase was due to a $2.9 million increase in stock-based compensation and a $1.7 million increase in personnel costs, offset by a $1.9 million decrease in business insurance and tax, accounting, legal, and consulting expenses associated with general corporate and compliance matters, a $1.2 million decrease in bad debt reserves and a $0.7 million decrease in recruiting services.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by $2.5 million, or 5%, during the year ended December 31, 2022 compared to the year ended December 31, 2021. This decrease was primarily attributable to a $7.9 million decrease in stock-based compensation driven by RSUs that were granted in connection with our IPO, a portion of which became fully vested during the year ended December 31, 2021, partially offset by a $1.5 million increase in personnel costs driven by increased headcount, a $1.4 million increase in bad debt reserves, a $1.3 million increase in travel and entertainment expenses, a $0.8 million increase in business insurance and tax, legal, and consulting expenses associated with general corporate and compliance matters, a $0.2 million increase in software license and subscription costs, a $0.1 million increase in recruiting expenses and a $0.1 million increase in facilities expense.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Other Expense (Income), Net</w:t>
      </w:r>
    </w:p>
    <w:tbl>
      <w:tblPr>
        <w:tblW w:w="10205" w:type="dxa"/>
        <w:jc w:val="center"/>
        <w:tblInd w:w="0" w:type="dxa"/>
        <w:tblLayout w:type="fixed"/>
        <w:tblCellMar>
          <w:top w:w="28" w:type="dxa"/>
          <w:left w:w="28" w:type="dxa"/>
          <w:bottom w:w="28" w:type="dxa"/>
          <w:right w:w="28" w:type="dxa"/>
        </w:tblCellMar>
      </w:tblPr>
      <w:tblGrid>
        <w:gridCol w:w="620"/>
        <w:gridCol w:w="441"/>
        <w:gridCol w:w="443"/>
        <w:gridCol w:w="211"/>
        <w:gridCol w:w="647"/>
        <w:gridCol w:w="271"/>
        <w:gridCol w:w="109"/>
        <w:gridCol w:w="109"/>
        <w:gridCol w:w="109"/>
        <w:gridCol w:w="211"/>
        <w:gridCol w:w="647"/>
        <w:gridCol w:w="271"/>
        <w:gridCol w:w="109"/>
        <w:gridCol w:w="109"/>
        <w:gridCol w:w="109"/>
        <w:gridCol w:w="211"/>
        <w:gridCol w:w="647"/>
        <w:gridCol w:w="271"/>
        <w:gridCol w:w="109"/>
        <w:gridCol w:w="109"/>
        <w:gridCol w:w="109"/>
        <w:gridCol w:w="211"/>
        <w:gridCol w:w="647"/>
        <w:gridCol w:w="109"/>
        <w:gridCol w:w="109"/>
        <w:gridCol w:w="109"/>
        <w:gridCol w:w="109"/>
        <w:gridCol w:w="233"/>
        <w:gridCol w:w="233"/>
        <w:gridCol w:w="271"/>
        <w:gridCol w:w="109"/>
        <w:gridCol w:w="109"/>
        <w:gridCol w:w="109"/>
        <w:gridCol w:w="211"/>
        <w:gridCol w:w="616"/>
        <w:gridCol w:w="109"/>
        <w:gridCol w:w="109"/>
        <w:gridCol w:w="109"/>
        <w:gridCol w:w="109"/>
        <w:gridCol w:w="196"/>
        <w:gridCol w:w="196"/>
        <w:gridCol w:w="320"/>
      </w:tblGrid>
      <w:tr>
        <w:trPr/>
        <w:tc>
          <w:tcPr>
            <w:tcW w:w="6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2022 vs 2021 </w:t>
              <w:br/>
              <w:t>Change</w:t>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 increased by $7.3 million during the year ended December 31, 2023 compared to the year ended December 31, 2022. This increase was primarily attributable to higher interest income on cash and cash equivalents driven by higher interest rates and lower interest expense as a result of paying off the full outstanding balance under our Amended Loan Agreement (as defined below) with PNC Bank.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 decreased by $4.0 million, or 77%, during the year ended December 31, 2022 compared to the year ended December 31, 2021. The decrease from the prior year was primarily due to a $6.1 million gain on debt extinguishment in 2021, which was a result of the forgiveness of our Paycheck Protection Program Loan (the “PPP Loan”), partially offset by a $1.9 million increase in interest income.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interest expense incurred was $0.4 million, $0.5 million and $0.9 million, respectively. Interest costs capitalized during the years ended December 31, 2023, 2022 and 2021 were de minimis.</w: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Income Taxes</w:t>
      </w:r>
    </w:p>
    <w:tbl>
      <w:tblPr>
        <w:tblW w:w="9877" w:type="dxa"/>
        <w:jc w:val="center"/>
        <w:tblInd w:w="0" w:type="dxa"/>
        <w:tblLayout w:type="fixed"/>
        <w:tblCellMar>
          <w:top w:w="28" w:type="dxa"/>
          <w:left w:w="28" w:type="dxa"/>
          <w:bottom w:w="28" w:type="dxa"/>
          <w:right w:w="28" w:type="dxa"/>
        </w:tblCellMar>
      </w:tblPr>
      <w:tblGrid>
        <w:gridCol w:w="825"/>
        <w:gridCol w:w="726"/>
        <w:gridCol w:w="729"/>
        <w:gridCol w:w="211"/>
        <w:gridCol w:w="466"/>
        <w:gridCol w:w="271"/>
        <w:gridCol w:w="109"/>
        <w:gridCol w:w="109"/>
        <w:gridCol w:w="109"/>
        <w:gridCol w:w="211"/>
        <w:gridCol w:w="406"/>
        <w:gridCol w:w="271"/>
        <w:gridCol w:w="109"/>
        <w:gridCol w:w="109"/>
        <w:gridCol w:w="109"/>
        <w:gridCol w:w="211"/>
        <w:gridCol w:w="406"/>
        <w:gridCol w:w="271"/>
        <w:gridCol w:w="109"/>
        <w:gridCol w:w="109"/>
        <w:gridCol w:w="109"/>
        <w:gridCol w:w="211"/>
        <w:gridCol w:w="466"/>
        <w:gridCol w:w="109"/>
        <w:gridCol w:w="109"/>
        <w:gridCol w:w="109"/>
        <w:gridCol w:w="109"/>
        <w:gridCol w:w="203"/>
        <w:gridCol w:w="203"/>
        <w:gridCol w:w="271"/>
        <w:gridCol w:w="109"/>
        <w:gridCol w:w="109"/>
        <w:gridCol w:w="109"/>
        <w:gridCol w:w="211"/>
        <w:gridCol w:w="406"/>
        <w:gridCol w:w="109"/>
        <w:gridCol w:w="109"/>
        <w:gridCol w:w="109"/>
        <w:gridCol w:w="109"/>
        <w:gridCol w:w="203"/>
        <w:gridCol w:w="203"/>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2022 vs 2021 </w:t>
              <w:br/>
              <w:t>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The U.S. federal statutory tax rate was 21% for the years ended </w:t>
      </w:r>
      <w:r>
        <w:rPr>
          <w:rFonts w:ascii="Times New Roman;sans-serif" w:hAnsi="Times New Roman;sans-serif"/>
          <w:b w:val="false"/>
          <w:color w:val="000000"/>
          <w:sz w:val="20"/>
        </w:rPr>
        <w:t>December 31, 2023</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2022</w:t>
      </w:r>
      <w:r>
        <w:rPr>
          <w:rFonts w:ascii="Times New Roman;sans-serif" w:hAnsi="Times New Roman;sans-serif"/>
          <w:b w:val="false"/>
          <w:color w:val="231F20"/>
          <w:sz w:val="20"/>
        </w:rPr>
        <w:t xml:space="preserve">. The provision for income taxes increased by $0.2 million during the year ended </w:t>
      </w:r>
      <w:r>
        <w:rPr>
          <w:rFonts w:ascii="Times New Roman;sans-serif" w:hAnsi="Times New Roman;sans-serif"/>
          <w:b w:val="false"/>
          <w:color w:val="000000"/>
          <w:sz w:val="20"/>
        </w:rPr>
        <w:t>December 31, 2023</w:t>
      </w:r>
      <w:r>
        <w:rPr>
          <w:color w:val="231F20"/>
        </w:rPr>
        <w:t xml:space="preserve"> </w:t>
      </w:r>
      <w:r>
        <w:rPr>
          <w:rFonts w:ascii="Times New Roman;sans-serif" w:hAnsi="Times New Roman;sans-serif"/>
          <w:b w:val="false"/>
          <w:color w:val="231F20"/>
          <w:sz w:val="20"/>
        </w:rPr>
        <w:t xml:space="preserve">compared to the year ended </w:t>
      </w:r>
      <w:r>
        <w:rPr>
          <w:rFonts w:ascii="Times New Roman;sans-serif" w:hAnsi="Times New Roman;sans-serif"/>
          <w:b w:val="false"/>
          <w:color w:val="000000"/>
          <w:sz w:val="20"/>
        </w:rPr>
        <w:t>December 31, 2022</w:t>
      </w:r>
      <w:r>
        <w:rPr>
          <w:rFonts w:ascii="Times New Roman;sans-serif" w:hAnsi="Times New Roman;sans-serif"/>
          <w:b w:val="false"/>
          <w:color w:val="231F20"/>
          <w:sz w:val="20"/>
        </w:rPr>
        <w:t>. This increase was attributable to current federal and state taxes resulting from Viant Technology Inc.'s pro-rata share of taxable income from Viant Technology LLC.</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The U.S. federal statutory tax rate was 21% for the years ended </w:t>
      </w:r>
      <w:r>
        <w:rPr>
          <w:rFonts w:ascii="Times New Roman;sans-serif" w:hAnsi="Times New Roman;sans-serif"/>
          <w:b w:val="false"/>
          <w:color w:val="000000"/>
          <w:sz w:val="20"/>
        </w:rPr>
        <w:t>December 31, 2022</w:t>
      </w:r>
      <w:r>
        <w:rPr>
          <w:color w:val="231F20"/>
        </w:rPr>
        <w:t xml:space="preserve"> </w:t>
      </w:r>
      <w:r>
        <w:rPr>
          <w:rFonts w:ascii="Times New Roman;sans-serif" w:hAnsi="Times New Roman;sans-serif"/>
          <w:b w:val="false"/>
          <w:color w:val="231F20"/>
          <w:sz w:val="20"/>
        </w:rPr>
        <w:t xml:space="preserve">and 2021. There was no provision for income taxes for the years ended </w:t>
      </w:r>
      <w:r>
        <w:rPr>
          <w:rFonts w:ascii="Times New Roman;sans-serif" w:hAnsi="Times New Roman;sans-serif"/>
          <w:b w:val="false"/>
          <w:color w:val="000000"/>
          <w:sz w:val="20"/>
        </w:rPr>
        <w:t>December 31, 2022</w:t>
      </w:r>
      <w:r>
        <w:rPr>
          <w:color w:val="231F20"/>
        </w:rPr>
        <w:t xml:space="preserve"> </w:t>
      </w:r>
      <w:r>
        <w:rPr>
          <w:rFonts w:ascii="Times New Roman;sans-serif" w:hAnsi="Times New Roman;sans-serif"/>
          <w:b w:val="false"/>
          <w:color w:val="231F20"/>
          <w:sz w:val="20"/>
        </w:rPr>
        <w:t>and 2021.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unaudited quarterly condensed consolidated statements of operations data for each quarter of our fiscal years ended December 31, 2023 and 2022. The information for each of these quarters has been prepared on a basis consistent with our consolidated financial statements and, in our opinion, includes all adjustments, consisting only of normal recurring adjustments necessary for the fair presentation of the financial information contained in those statements. The following unaudited quarterly condensed consolidated financial data should be read in conjunction with our annual audited consolidated financial statements and the related notes included elsewhere in this Annual Report. These quarterly results are not necessarily indicative of our operating results for a full year or any future period.</w:t>
      </w:r>
    </w:p>
    <w:p>
      <w:pPr>
        <w:pStyle w:val="TextBody"/>
        <w:bidi w:val="0"/>
        <w:spacing w:before="0" w:after="0"/>
        <w:jc w:val="left"/>
        <w:rPr/>
      </w:pPr>
      <w:r>
        <w:rPr/>
      </w:r>
    </w:p>
    <w:tbl>
      <w:tblPr>
        <w:tblW w:w="11425" w:type="dxa"/>
        <w:jc w:val="center"/>
        <w:tblInd w:w="0" w:type="dxa"/>
        <w:tblLayout w:type="fixed"/>
        <w:tblCellMar>
          <w:top w:w="28" w:type="dxa"/>
          <w:left w:w="28" w:type="dxa"/>
          <w:bottom w:w="28" w:type="dxa"/>
          <w:right w:w="28" w:type="dxa"/>
        </w:tblCellMar>
      </w:tblPr>
      <w:tblGrid>
        <w:gridCol w:w="628"/>
        <w:gridCol w:w="262"/>
        <w:gridCol w:w="266"/>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2022</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Operating expenses</w:t>
            </w:r>
            <w:r>
              <w:rPr>
                <w:rFonts w:ascii="Times New Roman;sans-serif" w:hAnsi="Times New Roman;sans-serif"/>
                <w:b w:val="false"/>
                <w:color w:val="000000"/>
                <w:sz w:val="12"/>
              </w:rPr>
              <w:t>(1)</w:t>
            </w: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Platform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Viant Technology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Income (loss) per share of Class A common stock—basic</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Income (loss) per share of Class A common stock—diluted</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tbl>
      <w:tblPr>
        <w:tblW w:w="10343" w:type="dxa"/>
        <w:jc w:val="left"/>
        <w:tblInd w:w="0" w:type="dxa"/>
        <w:tblLayout w:type="fixed"/>
        <w:tblCellMar>
          <w:top w:w="28" w:type="dxa"/>
          <w:left w:w="28" w:type="dxa"/>
          <w:bottom w:w="28" w:type="dxa"/>
          <w:right w:w="28" w:type="dxa"/>
        </w:tblCellMar>
      </w:tblPr>
      <w:tblGrid>
        <w:gridCol w:w="628"/>
        <w:gridCol w:w="262"/>
        <w:gridCol w:w="266"/>
        <w:gridCol w:w="109"/>
        <w:gridCol w:w="109"/>
        <w:gridCol w:w="109"/>
        <w:gridCol w:w="221"/>
        <w:gridCol w:w="200"/>
        <w:gridCol w:w="471"/>
        <w:gridCol w:w="109"/>
        <w:gridCol w:w="109"/>
        <w:gridCol w:w="109"/>
        <w:gridCol w:w="214"/>
        <w:gridCol w:w="214"/>
        <w:gridCol w:w="503"/>
        <w:gridCol w:w="109"/>
        <w:gridCol w:w="109"/>
        <w:gridCol w:w="109"/>
        <w:gridCol w:w="210"/>
        <w:gridCol w:w="211"/>
        <w:gridCol w:w="261"/>
        <w:gridCol w:w="109"/>
        <w:gridCol w:w="109"/>
        <w:gridCol w:w="109"/>
        <w:gridCol w:w="213"/>
        <w:gridCol w:w="208"/>
        <w:gridCol w:w="334"/>
        <w:gridCol w:w="109"/>
        <w:gridCol w:w="109"/>
        <w:gridCol w:w="109"/>
        <w:gridCol w:w="221"/>
        <w:gridCol w:w="200"/>
        <w:gridCol w:w="471"/>
        <w:gridCol w:w="109"/>
        <w:gridCol w:w="109"/>
        <w:gridCol w:w="109"/>
        <w:gridCol w:w="214"/>
        <w:gridCol w:w="214"/>
        <w:gridCol w:w="503"/>
        <w:gridCol w:w="109"/>
        <w:gridCol w:w="109"/>
        <w:gridCol w:w="109"/>
        <w:gridCol w:w="210"/>
        <w:gridCol w:w="211"/>
        <w:gridCol w:w="261"/>
        <w:gridCol w:w="109"/>
        <w:gridCol w:w="109"/>
        <w:gridCol w:w="109"/>
        <w:gridCol w:w="210"/>
        <w:gridCol w:w="211"/>
        <w:gridCol w:w="385"/>
      </w:tblGrid>
      <w:tr>
        <w:trPr/>
        <w:tc>
          <w:tcPr>
            <w:tcW w:w="62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2022</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revenue*)</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Operating expenses</w:t>
            </w:r>
            <w:r>
              <w:rPr>
                <w:rFonts w:ascii="Times New Roman;sans-serif" w:hAnsi="Times New Roman;sans-serif"/>
                <w:b w:val="false"/>
                <w:color w:val="000000"/>
                <w:sz w:val="12"/>
              </w:rPr>
              <w:t>(1)</w:t>
            </w: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Platform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Viant Technology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*Percentages may not sum due to rounding</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(1)Depreciation, amortization, and stock-based compensation included in operating expenses for each quarter of our fiscal years ended December 31, 2023 and 2022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tbl>
      <w:tblPr>
        <w:tblW w:w="10895" w:type="dxa"/>
        <w:jc w:val="left"/>
        <w:tblInd w:w="0" w:type="dxa"/>
        <w:tblLayout w:type="fixed"/>
        <w:tblCellMar>
          <w:top w:w="28" w:type="dxa"/>
          <w:left w:w="28" w:type="dxa"/>
          <w:bottom w:w="28" w:type="dxa"/>
          <w:right w:w="28" w:type="dxa"/>
        </w:tblCellMar>
      </w:tblPr>
      <w:tblGrid>
        <w:gridCol w:w="487"/>
        <w:gridCol w:w="349"/>
        <w:gridCol w:w="350"/>
        <w:gridCol w:w="109"/>
        <w:gridCol w:w="109"/>
        <w:gridCol w:w="109"/>
        <w:gridCol w:w="198"/>
        <w:gridCol w:w="562"/>
        <w:gridCol w:w="111"/>
        <w:gridCol w:w="109"/>
        <w:gridCol w:w="109"/>
        <w:gridCol w:w="109"/>
        <w:gridCol w:w="211"/>
        <w:gridCol w:w="601"/>
        <w:gridCol w:w="119"/>
        <w:gridCol w:w="109"/>
        <w:gridCol w:w="109"/>
        <w:gridCol w:w="109"/>
        <w:gridCol w:w="196"/>
        <w:gridCol w:w="556"/>
        <w:gridCol w:w="109"/>
        <w:gridCol w:w="109"/>
        <w:gridCol w:w="109"/>
        <w:gridCol w:w="109"/>
        <w:gridCol w:w="196"/>
        <w:gridCol w:w="556"/>
        <w:gridCol w:w="109"/>
        <w:gridCol w:w="109"/>
        <w:gridCol w:w="109"/>
        <w:gridCol w:w="109"/>
        <w:gridCol w:w="198"/>
        <w:gridCol w:w="562"/>
        <w:gridCol w:w="111"/>
        <w:gridCol w:w="109"/>
        <w:gridCol w:w="109"/>
        <w:gridCol w:w="109"/>
        <w:gridCol w:w="211"/>
        <w:gridCol w:w="601"/>
        <w:gridCol w:w="119"/>
        <w:gridCol w:w="109"/>
        <w:gridCol w:w="109"/>
        <w:gridCol w:w="109"/>
        <w:gridCol w:w="196"/>
        <w:gridCol w:w="556"/>
        <w:gridCol w:w="109"/>
        <w:gridCol w:w="109"/>
        <w:gridCol w:w="109"/>
        <w:gridCol w:w="109"/>
        <w:gridCol w:w="196"/>
        <w:gridCol w:w="556"/>
        <w:gridCol w:w="154"/>
      </w:tblGrid>
      <w:tr>
        <w:trPr/>
        <w:tc>
          <w:tcPr>
            <w:tcW w:w="48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2022</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Platform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Platform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Platform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See Note 4, Note 6 and Note 9 to our consolidated financial statements included elsewhere in this Annual Report for more information regarding depreciation, amortization and stock-based compensation expense, respectively.</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(2)See Note 2 to our consolidated financial statements included elsewhere in this Annual Report for a description of the earnings (loss) per share—basic and diluted computations.</w:t>
      </w:r>
    </w:p>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Non-GAAP Financial Measures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monitor certain non-GAAP financial measures such as contribution ex-TAC, adjusted EBITDA and adjusted EBITDA as a percentage of contribution ex-TAC when evaluating our quarterly results of operations to help us evaluate growth trends, establish budgets, measure the effectiveness of our sales and marketing efforts and assess our operational efficiencies. Reconciliations of these non-GAAP financial measures for each quarter of our fiscal years ended December 31, 2023 and 2022 to the most directly comparable financial measures calculated and presented in accordance with GAAP are provided in the financial tables presented below. For a description of management’s use of each non-GAAP financial measure contained in this Annual Report, see </w:t>
      </w:r>
      <w:r>
        <w:rPr>
          <w:color w:val="000000"/>
        </w:rPr>
        <w:t>“—</w:t>
      </w:r>
      <w:r>
        <w:rPr>
          <w:rFonts w:ascii="Times New Roman;sans-serif" w:hAnsi="Times New Roman;sans-serif"/>
          <w:b w:val="false"/>
          <w:i/>
          <w:color w:val="000000"/>
          <w:sz w:val="20"/>
        </w:rPr>
        <w:t>Key Operating and Financial Performance Measures—Use of Non-GAAP Financial Measures.”</w:t>
      </w:r>
    </w:p>
    <w:p>
      <w:pPr>
        <w:pStyle w:val="TextBody"/>
        <w:bidi w:val="0"/>
        <w:spacing w:before="0" w:after="0"/>
        <w:jc w:val="left"/>
        <w:rPr/>
      </w:pPr>
      <w:r>
        <w:rPr/>
      </w:r>
    </w:p>
    <w:tbl>
      <w:tblPr>
        <w:tblW w:w="12586" w:type="dxa"/>
        <w:jc w:val="center"/>
        <w:tblInd w:w="0" w:type="dxa"/>
        <w:tblLayout w:type="fixed"/>
        <w:tblCellMar>
          <w:top w:w="28" w:type="dxa"/>
          <w:left w:w="28" w:type="dxa"/>
          <w:bottom w:w="28" w:type="dxa"/>
          <w:right w:w="28" w:type="dxa"/>
        </w:tblCellMar>
      </w:tblPr>
      <w:tblGrid>
        <w:gridCol w:w="397"/>
        <w:gridCol w:w="349"/>
        <w:gridCol w:w="350"/>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61"/>
        <w:gridCol w:w="256"/>
        <w:gridCol w:w="109"/>
        <w:gridCol w:w="109"/>
        <w:gridCol w:w="109"/>
        <w:gridCol w:w="196"/>
        <w:gridCol w:w="661"/>
        <w:gridCol w:w="256"/>
        <w:gridCol w:w="109"/>
        <w:gridCol w:w="109"/>
        <w:gridCol w:w="109"/>
        <w:gridCol w:w="196"/>
        <w:gridCol w:w="661"/>
        <w:gridCol w:w="301"/>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2022</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and Financial Performance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 ex-TAC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27,544 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as a percentage of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as a percentage of contribution ex-TAC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Contribution ex-TAC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gross profit and reconciliation of gross profit to contribution ex-TAC for the periods presented:</w:t>
      </w:r>
    </w:p>
    <w:p>
      <w:pPr>
        <w:pStyle w:val="TextBody"/>
        <w:bidi w:val="0"/>
        <w:spacing w:before="0" w:after="0"/>
        <w:jc w:val="left"/>
        <w:rPr/>
      </w:pPr>
      <w:r>
        <w:rPr/>
      </w:r>
    </w:p>
    <w:tbl>
      <w:tblPr>
        <w:tblW w:w="11290" w:type="dxa"/>
        <w:jc w:val="center"/>
        <w:tblInd w:w="0" w:type="dxa"/>
        <w:tblLayout w:type="fixed"/>
        <w:tblCellMar>
          <w:top w:w="28" w:type="dxa"/>
          <w:left w:w="28" w:type="dxa"/>
          <w:bottom w:w="28" w:type="dxa"/>
          <w:right w:w="28" w:type="dxa"/>
        </w:tblCellMar>
      </w:tblPr>
      <w:tblGrid>
        <w:gridCol w:w="474"/>
        <w:gridCol w:w="272"/>
        <w:gridCol w:w="275"/>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4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2022</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Platform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Other platform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 ex-TAC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Operating Expenses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total operating expenses to non-GAAP operating expenses for the periods presented:</w:t>
      </w:r>
    </w:p>
    <w:p>
      <w:pPr>
        <w:pStyle w:val="TextBody"/>
        <w:bidi w:val="0"/>
        <w:spacing w:before="0" w:after="0"/>
        <w:ind w:left="0" w:right="0" w:firstLine="540"/>
        <w:jc w:val="left"/>
        <w:rPr/>
      </w:pPr>
      <w:r>
        <w:rPr/>
      </w:r>
    </w:p>
    <w:tbl>
      <w:tblPr>
        <w:tblW w:w="11380" w:type="dxa"/>
        <w:jc w:val="center"/>
        <w:tblInd w:w="0" w:type="dxa"/>
        <w:tblLayout w:type="fixed"/>
        <w:tblCellMar>
          <w:top w:w="28" w:type="dxa"/>
          <w:left w:w="28" w:type="dxa"/>
          <w:bottom w:w="28" w:type="dxa"/>
          <w:right w:w="28" w:type="dxa"/>
        </w:tblCellMar>
      </w:tblPr>
      <w:tblGrid>
        <w:gridCol w:w="584"/>
        <w:gridCol w:w="263"/>
        <w:gridCol w:w="264"/>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2022</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Platform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Traffic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Restructuring and 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(1)Restructuring and other includes severance and other charges related to aligning our workforce with our strategic performance goals for the year ended December 31, 2023 and severance and other charges related to a reduction in force for the year ended December 31, 2022.</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income (loss) to adjusted EBITDA for the periods presented:</w:t>
      </w:r>
    </w:p>
    <w:p>
      <w:pPr>
        <w:pStyle w:val="TextBody"/>
        <w:bidi w:val="0"/>
        <w:spacing w:before="0" w:after="0"/>
        <w:jc w:val="left"/>
        <w:rPr/>
      </w:pPr>
      <w:r>
        <w:rPr/>
      </w:r>
    </w:p>
    <w:tbl>
      <w:tblPr>
        <w:tblW w:w="11165" w:type="dxa"/>
        <w:jc w:val="center"/>
        <w:tblInd w:w="0" w:type="dxa"/>
        <w:tblLayout w:type="fixed"/>
        <w:tblCellMar>
          <w:top w:w="28" w:type="dxa"/>
          <w:left w:w="28" w:type="dxa"/>
          <w:bottom w:w="28" w:type="dxa"/>
          <w:right w:w="28" w:type="dxa"/>
        </w:tblCellMar>
      </w:tblPr>
      <w:tblGrid>
        <w:gridCol w:w="693"/>
        <w:gridCol w:w="201"/>
        <w:gridCol w:w="202"/>
        <w:gridCol w:w="109"/>
        <w:gridCol w:w="109"/>
        <w:gridCol w:w="109"/>
        <w:gridCol w:w="196"/>
        <w:gridCol w:w="646"/>
        <w:gridCol w:w="109"/>
        <w:gridCol w:w="109"/>
        <w:gridCol w:w="109"/>
        <w:gridCol w:w="109"/>
        <w:gridCol w:w="211"/>
        <w:gridCol w:w="601"/>
        <w:gridCol w:w="119"/>
        <w:gridCol w:w="109"/>
        <w:gridCol w:w="109"/>
        <w:gridCol w:w="109"/>
        <w:gridCol w:w="196"/>
        <w:gridCol w:w="571"/>
        <w:gridCol w:w="109"/>
        <w:gridCol w:w="109"/>
        <w:gridCol w:w="109"/>
        <w:gridCol w:w="109"/>
        <w:gridCol w:w="196"/>
        <w:gridCol w:w="571"/>
        <w:gridCol w:w="109"/>
        <w:gridCol w:w="109"/>
        <w:gridCol w:w="109"/>
        <w:gridCol w:w="109"/>
        <w:gridCol w:w="196"/>
        <w:gridCol w:w="571"/>
        <w:gridCol w:w="109"/>
        <w:gridCol w:w="109"/>
        <w:gridCol w:w="109"/>
        <w:gridCol w:w="109"/>
        <w:gridCol w:w="196"/>
        <w:gridCol w:w="661"/>
        <w:gridCol w:w="109"/>
        <w:gridCol w:w="109"/>
        <w:gridCol w:w="109"/>
        <w:gridCol w:w="109"/>
        <w:gridCol w:w="196"/>
        <w:gridCol w:w="661"/>
        <w:gridCol w:w="109"/>
        <w:gridCol w:w="109"/>
        <w:gridCol w:w="109"/>
        <w:gridCol w:w="109"/>
        <w:gridCol w:w="196"/>
        <w:gridCol w:w="661"/>
        <w:gridCol w:w="154"/>
      </w:tblGrid>
      <w:tr>
        <w:trPr/>
        <w:tc>
          <w:tcPr>
            <w:tcW w:w="6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2022</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back (less):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Restructuring and 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(1)Restructuring and other includes severance and other charges related to aligning our workforce with our strategic performance goals for the year ended December 31, 2023 and severance and other charges related to a reduction in force for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 as a percentage of contribution ex-TAC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net income (loss) as a percentage of gross profit and the calculation of adjusted EBITDA as a percentage of contribution ex-TAC for the periods presented:</w:t>
      </w:r>
    </w:p>
    <w:p>
      <w:pPr>
        <w:pStyle w:val="TextBody"/>
        <w:bidi w:val="0"/>
        <w:spacing w:before="0" w:after="0"/>
        <w:jc w:val="left"/>
        <w:rPr/>
      </w:pPr>
      <w:r>
        <w:rPr/>
      </w:r>
    </w:p>
    <w:tbl>
      <w:tblPr>
        <w:tblW w:w="12511" w:type="dxa"/>
        <w:jc w:val="center"/>
        <w:tblInd w:w="0" w:type="dxa"/>
        <w:tblLayout w:type="fixed"/>
        <w:tblCellMar>
          <w:top w:w="28" w:type="dxa"/>
          <w:left w:w="28" w:type="dxa"/>
          <w:bottom w:w="28" w:type="dxa"/>
          <w:right w:w="28" w:type="dxa"/>
        </w:tblCellMar>
      </w:tblPr>
      <w:tblGrid>
        <w:gridCol w:w="649"/>
        <w:gridCol w:w="194"/>
        <w:gridCol w:w="178"/>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61"/>
        <w:gridCol w:w="256"/>
        <w:gridCol w:w="109"/>
        <w:gridCol w:w="109"/>
        <w:gridCol w:w="109"/>
        <w:gridCol w:w="196"/>
        <w:gridCol w:w="661"/>
        <w:gridCol w:w="256"/>
        <w:gridCol w:w="109"/>
        <w:gridCol w:w="109"/>
        <w:gridCol w:w="109"/>
        <w:gridCol w:w="196"/>
        <w:gridCol w:w="661"/>
        <w:gridCol w:w="301"/>
      </w:tblGrid>
      <w:tr>
        <w:trPr/>
        <w:tc>
          <w:tcPr>
            <w:tcW w:w="6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2022</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22,458 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as a percentage of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Contribution ex-TAC</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27,544 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EBITDA</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as a percentage of contribution ex-TAC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20"/>
        </w:rPr>
        <w:t xml:space="preserve">(1)For a reconciliation of contribution ex-TAC to the most directly comparable financial measure calculated in accordance with GAAP, see </w:t>
      </w:r>
      <w:r>
        <w:rPr>
          <w:color w:val="000000"/>
        </w:rPr>
        <w:t>“—</w:t>
      </w:r>
      <w:r>
        <w:rPr>
          <w:rFonts w:ascii="Times New Roman;sans-serif" w:hAnsi="Times New Roman;sans-serif"/>
          <w:b w:val="false"/>
          <w:i/>
          <w:color w:val="000000"/>
          <w:sz w:val="20"/>
        </w:rPr>
        <w:t>Contribution ex-TAC."</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 xml:space="preserve">(2)For a reconciliation of adjusted EBITDA to the most directly comparable financial measure calculated in accordance with GAAP, see </w:t>
      </w:r>
      <w:r>
        <w:rPr>
          <w:color w:val="000000"/>
        </w:rPr>
        <w:t>“—</w:t>
      </w:r>
      <w:r>
        <w:rPr>
          <w:rFonts w:ascii="Times New Roman;sans-serif" w:hAnsi="Times New Roman;sans-serif"/>
          <w:b w:val="false"/>
          <w:i/>
          <w:color w:val="000000"/>
          <w:sz w:val="20"/>
        </w:rPr>
        <w:t>Adjusted EBITDA."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net income (loss)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income (loss) to non-GAAP net income (loss) for the periods presented:</w:t>
      </w:r>
    </w:p>
    <w:p>
      <w:pPr>
        <w:pStyle w:val="TextBody"/>
        <w:bidi w:val="0"/>
        <w:spacing w:before="120" w:after="283"/>
        <w:ind w:left="0" w:right="0" w:firstLine="540"/>
        <w:jc w:val="left"/>
        <w:rPr/>
      </w:pPr>
      <w:r>
        <w:rPr/>
      </w:r>
    </w:p>
    <w:tbl>
      <w:tblPr>
        <w:tblW w:w="11165" w:type="dxa"/>
        <w:jc w:val="center"/>
        <w:tblInd w:w="0" w:type="dxa"/>
        <w:tblLayout w:type="fixed"/>
        <w:tblCellMar>
          <w:top w:w="28" w:type="dxa"/>
          <w:left w:w="28" w:type="dxa"/>
          <w:bottom w:w="28" w:type="dxa"/>
          <w:right w:w="28" w:type="dxa"/>
        </w:tblCellMar>
      </w:tblPr>
      <w:tblGrid>
        <w:gridCol w:w="498"/>
        <w:gridCol w:w="396"/>
        <w:gridCol w:w="202"/>
        <w:gridCol w:w="109"/>
        <w:gridCol w:w="109"/>
        <w:gridCol w:w="109"/>
        <w:gridCol w:w="196"/>
        <w:gridCol w:w="646"/>
        <w:gridCol w:w="109"/>
        <w:gridCol w:w="109"/>
        <w:gridCol w:w="109"/>
        <w:gridCol w:w="109"/>
        <w:gridCol w:w="211"/>
        <w:gridCol w:w="601"/>
        <w:gridCol w:w="119"/>
        <w:gridCol w:w="109"/>
        <w:gridCol w:w="109"/>
        <w:gridCol w:w="109"/>
        <w:gridCol w:w="196"/>
        <w:gridCol w:w="571"/>
        <w:gridCol w:w="109"/>
        <w:gridCol w:w="109"/>
        <w:gridCol w:w="109"/>
        <w:gridCol w:w="109"/>
        <w:gridCol w:w="196"/>
        <w:gridCol w:w="571"/>
        <w:gridCol w:w="109"/>
        <w:gridCol w:w="109"/>
        <w:gridCol w:w="109"/>
        <w:gridCol w:w="109"/>
        <w:gridCol w:w="196"/>
        <w:gridCol w:w="571"/>
        <w:gridCol w:w="109"/>
        <w:gridCol w:w="109"/>
        <w:gridCol w:w="109"/>
        <w:gridCol w:w="109"/>
        <w:gridCol w:w="196"/>
        <w:gridCol w:w="661"/>
        <w:gridCol w:w="109"/>
        <w:gridCol w:w="109"/>
        <w:gridCol w:w="109"/>
        <w:gridCol w:w="109"/>
        <w:gridCol w:w="196"/>
        <w:gridCol w:w="661"/>
        <w:gridCol w:w="109"/>
        <w:gridCol w:w="109"/>
        <w:gridCol w:w="109"/>
        <w:gridCol w:w="109"/>
        <w:gridCol w:w="196"/>
        <w:gridCol w:w="661"/>
        <w:gridCol w:w="154"/>
      </w:tblGrid>
      <w:tr>
        <w:trPr/>
        <w:tc>
          <w:tcPr>
            <w:tcW w:w="49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2022</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back (less):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Restructuring and other</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18"/>
              </w:rPr>
              <w:t>Income tax benefit (expense) related to Viant Technology Inc.'s share of adjustments</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(1)Restructuring and other includes severance and other charges related to aligning our workforce with our strategic performance goals for the year ended December 31, 2023 and severance and other charges related to a reduction in force for the year ended December 31, 2022.</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shd w:fill="FFFFFF" w:val="clear"/>
        </w:rPr>
        <w:t>The estimated income tax effect of our share of non-GAAP reconciling items is calculated using quarterly assumed blended tax rates, which represent our expected corporate tax rates, excluding discrete and non-recurring tax items</w:t>
      </w:r>
      <w:r>
        <w:rPr>
          <w:rFonts w:ascii="Times New Roman;sans-serif" w:hAnsi="Times New Roman;sans-serif"/>
          <w:b w:val="false"/>
          <w:color w:val="231F2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Operating and Financial Performance Measures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Non-GAAP Financial Measures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monitor certain non-GAAP financial measures to help us evaluate growth trends, establish budgets, measure the effectiveness of our sales and marketing efforts and assess our operational efficiencies. We believe these measures enhance an understanding of our overall performance and investors’ ability to review our business from the same perspective as management and facilitate comparisons of this period’s results with prior periods on a consistent basis by excluding items that management does not believe are indicative of our ongoing operating performance. These non-GAAP financial measures include contribution ex-TAC, non-GAAP operating expenses, adjusted EBITDA, adjusted EBITDA as a percentage of contribution ex-TAC, non-GAAP net income (loss), and non-GAAP earnings (loss) per share of Class A common stock—basic and diluted, each of which are discussed immediately following the table below. Reconciliations of these non-GAAP financial measures to the most directly comparable financial measures calculated and presented in accordance with GAAP are provided in the financial tables presented below. There are limitations in using non-GAAP financial measures which are not prepared in accordance with GAAP, as they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tbl>
      <w:tblPr>
        <w:tblW w:w="9270" w:type="dxa"/>
        <w:jc w:val="center"/>
        <w:tblInd w:w="0" w:type="dxa"/>
        <w:tblLayout w:type="fixed"/>
        <w:tblCellMar>
          <w:top w:w="28" w:type="dxa"/>
          <w:left w:w="28" w:type="dxa"/>
          <w:bottom w:w="28" w:type="dxa"/>
          <w:right w:w="28" w:type="dxa"/>
        </w:tblCellMar>
      </w:tblPr>
      <w:tblGrid>
        <w:gridCol w:w="1756"/>
        <w:gridCol w:w="1543"/>
        <w:gridCol w:w="1546"/>
        <w:gridCol w:w="211"/>
        <w:gridCol w:w="826"/>
        <w:gridCol w:w="271"/>
        <w:gridCol w:w="109"/>
        <w:gridCol w:w="109"/>
        <w:gridCol w:w="109"/>
        <w:gridCol w:w="211"/>
        <w:gridCol w:w="826"/>
        <w:gridCol w:w="271"/>
        <w:gridCol w:w="109"/>
        <w:gridCol w:w="109"/>
        <w:gridCol w:w="109"/>
        <w:gridCol w:w="235"/>
        <w:gridCol w:w="235"/>
        <w:gridCol w:w="685"/>
      </w:tblGrid>
      <w:tr>
        <w:trPr/>
        <w:tc>
          <w:tcPr>
            <w:tcW w:w="175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and Financial Performance Measures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as a percentage of 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as a percentage of contribution ex-TAC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earnings (loss) per share—basic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earnings (loss) per share—diluted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hanging="641"/>
        <w:jc w:val="left"/>
        <w:rPr>
          <w:rFonts w:ascii="Times New Roman;sans-serif" w:hAnsi="Times New Roman;sans-serif"/>
          <w:b w:val="false"/>
          <w:i/>
          <w:color w:val="000000"/>
          <w:sz w:val="20"/>
        </w:rPr>
      </w:pPr>
      <w:r>
        <w:rPr>
          <w:rFonts w:ascii="Times New Roman;sans-serif" w:hAnsi="Times New Roman;sans-serif"/>
          <w:b w:val="false"/>
          <w:i/>
          <w:color w:val="000000"/>
          <w:sz w:val="20"/>
        </w:rPr>
        <w:t>Contribution ex-TAC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 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The following table presents the calculation of gross profit and reconciliation of gross profit to contribution ex-TAC</w:t>
      </w:r>
      <w:r>
        <w:rPr>
          <w:color w:val="000000"/>
        </w:rPr>
        <w:t xml:space="preserve"> </w:t>
      </w:r>
      <w:r>
        <w:rPr>
          <w:rFonts w:ascii="Times New Roman;sans-serif" w:hAnsi="Times New Roman;sans-serif"/>
          <w:b w:val="false"/>
          <w:color w:val="000000"/>
          <w:sz w:val="20"/>
        </w:rPr>
        <w:t>for the periods presented:</w:t>
      </w:r>
    </w:p>
    <w:tbl>
      <w:tblPr>
        <w:tblW w:w="6791" w:type="dxa"/>
        <w:jc w:val="center"/>
        <w:tblInd w:w="0" w:type="dxa"/>
        <w:tblLayout w:type="fixed"/>
        <w:tblCellMar>
          <w:top w:w="28" w:type="dxa"/>
          <w:left w:w="28" w:type="dxa"/>
          <w:bottom w:w="28" w:type="dxa"/>
          <w:right w:w="28" w:type="dxa"/>
        </w:tblCellMar>
      </w:tblPr>
      <w:tblGrid>
        <w:gridCol w:w="957"/>
        <w:gridCol w:w="846"/>
        <w:gridCol w:w="851"/>
        <w:gridCol w:w="211"/>
        <w:gridCol w:w="826"/>
        <w:gridCol w:w="109"/>
        <w:gridCol w:w="109"/>
        <w:gridCol w:w="109"/>
        <w:gridCol w:w="109"/>
        <w:gridCol w:w="211"/>
        <w:gridCol w:w="826"/>
        <w:gridCol w:w="109"/>
        <w:gridCol w:w="109"/>
        <w:gridCol w:w="109"/>
        <w:gridCol w:w="109"/>
        <w:gridCol w:w="211"/>
        <w:gridCol w:w="82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Platform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Other platform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Operating Expenses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expenses is a non-GAAP financial measure. Total operating expenses is the most comparable GAAP financial measure. Non-GAAP operating expenses is defined by us as total operating expenses plus other expense (income), net, less TAC, stock-based compensation, depreciation, amortization and certain other items that are not related to our core operations, such as restructuring and other charges and transaction expenses. Non-GAAP operating expenses is a key component in calculating adjusted EBITDA, which is one of the measures we use to provide our quarterly and annual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TAC, stock-based compensation, depreciation, amortization and certain other items not related to our core operations provides another measure for period-to-period comparisons of our business, provides additional insight into our core controllable costs, and is a useful metric for investors because it allows them to evaluate our operational performance in the same manner as our management and board of directors.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use of non-GAAP operating expenses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operating expenses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total operating expenses to non-GAAP operating expenses for the periods presented:</w:t>
      </w:r>
    </w:p>
    <w:tbl>
      <w:tblPr>
        <w:tblW w:w="6777" w:type="dxa"/>
        <w:jc w:val="center"/>
        <w:tblInd w:w="0" w:type="dxa"/>
        <w:tblLayout w:type="fixed"/>
        <w:tblCellMar>
          <w:top w:w="28" w:type="dxa"/>
          <w:left w:w="28" w:type="dxa"/>
          <w:bottom w:w="28" w:type="dxa"/>
          <w:right w:w="28" w:type="dxa"/>
        </w:tblCellMar>
      </w:tblPr>
      <w:tblGrid>
        <w:gridCol w:w="957"/>
        <w:gridCol w:w="839"/>
        <w:gridCol w:w="844"/>
        <w:gridCol w:w="211"/>
        <w:gridCol w:w="826"/>
        <w:gridCol w:w="109"/>
        <w:gridCol w:w="109"/>
        <w:gridCol w:w="109"/>
        <w:gridCol w:w="109"/>
        <w:gridCol w:w="211"/>
        <w:gridCol w:w="826"/>
        <w:gridCol w:w="109"/>
        <w:gridCol w:w="109"/>
        <w:gridCol w:w="109"/>
        <w:gridCol w:w="109"/>
        <w:gridCol w:w="211"/>
        <w:gridCol w:w="82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Traffic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and other</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(1)Restructuring and other includes severance and other charges related to aligning our workforce with our strategic performance goals for the year ended December 31, 2023 and severance and other charges related to a reduction in force for the year ended December 31, 2022.</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 and adjusted EBITDA as a percentage of contribution ex-TAC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financial measure defined by us as net income (loss) before interest expense (income), net, income tax benefit (expense), depreciation, amortization, stock-based compensation and certain other items that are not related to our core operations, such as restructuring and other charges, transaction expenses and the extinguishment of debt. Net income (loss) is the most comparable GAAP financial measure. Adjusted EBITDA as a percentage of contribution ex-TAC is a non-GAAP financial measure we calculate by dividing adjusted EBITDA by contribution ex-TAC for the period or periods presented.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Adjusted EBITDA as a percentage of contribution ex-TAC, a non-GAAP financial measure, is used by our management and board of directors to evaluate adjusted EBITDA relative to our profitability after costs that are directly variable to revenues, which comprise TAC. Accordingly, we believe that adjusted EBITDA and adjusted EBITDA as a percentage of contribution ex-TAC provide information to investors and the market in understanding and evaluating our operating results in the same manner as our management and board of directors.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use of adjusted EBITDA and adjusted EBITDA as a percentage of contribution ex-TAC has limitations as an analytical tool, and you should not consider these measures in isolation or as a substitute for analysis of our financial results as reported under GAAP. Some of these potential limitations include: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other companies, including companies in our industry that have similar business arrangements, may report adjusted EBITDA or adjusted EBITDA as a percentage of contribution ex-TAC, or similarly titled measures, but calculate them differently, which reduces their usefulness as comparative measures;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adjusted EBITDA does not reflect changes in, or cash requirements for, our working capital needs or the potentially dilutive impact of stock-based compensation.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these and other potential limitations, you should consider our non-GAAP financial measures only as supplemental to other GAAP-based financial performance measures, including revenue, net loss and cash flows.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loss to adjusted EBITDA for the periods presented:</w:t>
      </w:r>
    </w:p>
    <w:tbl>
      <w:tblPr>
        <w:tblW w:w="6671" w:type="dxa"/>
        <w:jc w:val="center"/>
        <w:tblInd w:w="0" w:type="dxa"/>
        <w:tblLayout w:type="fixed"/>
        <w:tblCellMar>
          <w:top w:w="28" w:type="dxa"/>
          <w:left w:w="28" w:type="dxa"/>
          <w:bottom w:w="28" w:type="dxa"/>
          <w:right w:w="28" w:type="dxa"/>
        </w:tblCellMar>
      </w:tblPr>
      <w:tblGrid>
        <w:gridCol w:w="980"/>
        <w:gridCol w:w="854"/>
        <w:gridCol w:w="865"/>
        <w:gridCol w:w="211"/>
        <w:gridCol w:w="721"/>
        <w:gridCol w:w="109"/>
        <w:gridCol w:w="109"/>
        <w:gridCol w:w="109"/>
        <w:gridCol w:w="109"/>
        <w:gridCol w:w="211"/>
        <w:gridCol w:w="796"/>
        <w:gridCol w:w="109"/>
        <w:gridCol w:w="109"/>
        <w:gridCol w:w="109"/>
        <w:gridCol w:w="109"/>
        <w:gridCol w:w="211"/>
        <w:gridCol w:w="796"/>
        <w:gridCol w:w="154"/>
      </w:tblGrid>
      <w:tr>
        <w:trPr/>
        <w:tc>
          <w:tcPr>
            <w:tcW w:w="98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back (less):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and other</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(1)Restructuring and other includes severance and other charges related to aligning our workforce with our strategic performance goals for the year ended December 31, 2023 and severance and other charges related to a reduction in force for the year ended December 31, 2022.</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net loss as a percentage of gross profit and the calculation of adjusted EBITDA as a percentage of contribution ex-TAC for the periods presented:</w:t>
      </w:r>
    </w:p>
    <w:tbl>
      <w:tblPr>
        <w:tblW w:w="9468" w:type="dxa"/>
        <w:jc w:val="center"/>
        <w:tblInd w:w="0" w:type="dxa"/>
        <w:tblLayout w:type="fixed"/>
        <w:tblCellMar>
          <w:top w:w="28" w:type="dxa"/>
          <w:left w:w="28" w:type="dxa"/>
          <w:bottom w:w="28" w:type="dxa"/>
          <w:right w:w="28" w:type="dxa"/>
        </w:tblCellMar>
      </w:tblPr>
      <w:tblGrid>
        <w:gridCol w:w="1757"/>
        <w:gridCol w:w="1535"/>
        <w:gridCol w:w="1553"/>
        <w:gridCol w:w="211"/>
        <w:gridCol w:w="826"/>
        <w:gridCol w:w="271"/>
        <w:gridCol w:w="109"/>
        <w:gridCol w:w="109"/>
        <w:gridCol w:w="109"/>
        <w:gridCol w:w="211"/>
        <w:gridCol w:w="826"/>
        <w:gridCol w:w="271"/>
        <w:gridCol w:w="109"/>
        <w:gridCol w:w="109"/>
        <w:gridCol w:w="109"/>
        <w:gridCol w:w="211"/>
        <w:gridCol w:w="826"/>
        <w:gridCol w:w="316"/>
      </w:tblGrid>
      <w:tr>
        <w:trPr/>
        <w:tc>
          <w:tcPr>
            <w:tcW w:w="175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as a percentage of gross profit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Contribution ex-TAC</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as a percentage of contribution ex-TAC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231F20"/>
          <w:sz w:val="20"/>
        </w:rPr>
        <w:t>For a reconciliation of contribution ex-TAC to the most directly comparable financial measure calculated in accordance with GAAP, see “</w:t>
      </w:r>
      <w:r>
        <w:rPr>
          <w:color w:val="231F20"/>
        </w:rPr>
        <w:t>—</w:t>
      </w:r>
      <w:r>
        <w:rPr>
          <w:rFonts w:ascii="Times New Roman;sans-serif" w:hAnsi="Times New Roman;sans-serif"/>
          <w:b w:val="false"/>
          <w:i/>
          <w:color w:val="231F20"/>
          <w:sz w:val="20"/>
        </w:rPr>
        <w:t>Contribution ex-TAC</w:t>
      </w:r>
      <w:r>
        <w:rPr>
          <w:rFonts w:ascii="Times New Roman;sans-serif" w:hAnsi="Times New Roman;sans-serif"/>
          <w:b w:val="false"/>
          <w:color w:val="231F20"/>
          <w:sz w:val="20"/>
        </w:rPr>
        <w: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net income (loss)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(loss) is a non-GAAP financial measure defined by us as net income (loss) adjusted to eliminate the impact of stock-based compensation and certain other items that are not related to our core operations, such as restructuring and other charges, transaction expenses and the extinguishment of debt, as well as the income tax effect of these adjustments. Net income (loss) is the most comparable GAAP financial measure.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restructuring and other charges, the extinguishment of debt,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use of non-GAAP net income (loss)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loss to non-GAAP net income (loss) for the periods presented:</w:t>
      </w:r>
    </w:p>
    <w:tbl>
      <w:tblPr>
        <w:tblW w:w="10205" w:type="dxa"/>
        <w:jc w:val="center"/>
        <w:tblInd w:w="0" w:type="dxa"/>
        <w:tblLayout w:type="fixed"/>
        <w:tblCellMar>
          <w:top w:w="28" w:type="dxa"/>
          <w:left w:w="28" w:type="dxa"/>
          <w:bottom w:w="28" w:type="dxa"/>
          <w:right w:w="28" w:type="dxa"/>
        </w:tblCellMar>
      </w:tblPr>
      <w:tblGrid>
        <w:gridCol w:w="2287"/>
        <w:gridCol w:w="1977"/>
        <w:gridCol w:w="1985"/>
        <w:gridCol w:w="211"/>
        <w:gridCol w:w="721"/>
        <w:gridCol w:w="109"/>
        <w:gridCol w:w="109"/>
        <w:gridCol w:w="109"/>
        <w:gridCol w:w="109"/>
        <w:gridCol w:w="211"/>
        <w:gridCol w:w="786"/>
        <w:gridCol w:w="109"/>
        <w:gridCol w:w="109"/>
        <w:gridCol w:w="109"/>
        <w:gridCol w:w="109"/>
        <w:gridCol w:w="211"/>
        <w:gridCol w:w="786"/>
        <w:gridCol w:w="158"/>
      </w:tblGrid>
      <w:tr>
        <w:trPr/>
        <w:tc>
          <w:tcPr>
            <w:tcW w:w="2287"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back (less):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Restructuring and other</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6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Gain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Income tax benefit (expense) related to Viant Technology Inc.’s share of adjustments</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(1)Restructuring and other includes severance and other charges related to aligning our workforce with our strategic performance goals for the year ended December 31, 2023 and severance and other charges related to a reduction in force for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shd w:fill="FFFFFF" w:val="clear"/>
        </w:rPr>
        <w:t xml:space="preserve">The estimated income tax effect of our share of non-GAAP reconciling items for the years ended </w:t>
      </w:r>
      <w:r>
        <w:rPr>
          <w:rFonts w:ascii="Times New Roman;sans-serif" w:hAnsi="Times New Roman;sans-serif"/>
          <w:b w:val="false"/>
          <w:color w:val="000000"/>
          <w:sz w:val="20"/>
        </w:rPr>
        <w:t>December 31, 2023, 2022</w:t>
      </w:r>
      <w:r>
        <w:rPr>
          <w:color w:val="000000"/>
          <w:shd w:fill="FFFFFF" w:val="clear"/>
        </w:rPr>
        <w:t xml:space="preserve"> </w:t>
      </w:r>
      <w:r>
        <w:rPr>
          <w:rFonts w:ascii="Times New Roman;sans-serif" w:hAnsi="Times New Roman;sans-serif"/>
          <w:b w:val="false"/>
          <w:color w:val="000000"/>
          <w:sz w:val="20"/>
          <w:shd w:fill="FFFFFF" w:val="clear"/>
        </w:rPr>
        <w:t>and 2021 is calculated using assumed blended tax rates of 21%, 45% and 24%, respectively, which represent our expected corporate tax rates, excluding discrete and non-recurring tax items</w:t>
      </w:r>
      <w:r>
        <w:rPr>
          <w:rFonts w:ascii="Times New Roman;sans-serif" w:hAnsi="Times New Roman;sans-serif"/>
          <w:b w:val="false"/>
          <w:color w:val="231F20"/>
          <w:sz w:val="20"/>
          <w:shd w:fill="FFFFFF" w:val="clear"/>
        </w:rPr>
        <w:t>.</w:t>
      </w:r>
    </w:p>
    <w:p>
      <w:pPr>
        <w:pStyle w:val="TextBody"/>
        <w:bidi w:val="0"/>
        <w:spacing w:lineRule="auto" w:line="288" w:before="240" w:after="283"/>
        <w:jc w:val="left"/>
        <w:rPr/>
      </w:pPr>
      <w:r>
        <w:rPr>
          <w:rFonts w:ascii="Times New Roman;sans-serif" w:hAnsi="Times New Roman;sans-serif"/>
          <w:b w:val="false"/>
          <w:i/>
          <w:color w:val="000000"/>
          <w:sz w:val="20"/>
        </w:rPr>
        <w:t>Non-GAAP earnings (loss) per share of Class A common stock</w:t>
      </w:r>
      <w:r>
        <w:rPr>
          <w:color w:val="000000"/>
        </w:rPr>
        <w:t>—</w:t>
      </w:r>
      <w:r>
        <w:rPr>
          <w:rFonts w:ascii="Times New Roman;sans-serif" w:hAnsi="Times New Roman;sans-serif"/>
          <w:b w:val="false"/>
          <w:i/>
          <w:color w:val="000000"/>
          <w:sz w:val="20"/>
        </w:rPr>
        <w:t>basic and diluted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Non-GAAP earnings (loss) per share of Class A common stock—basic and diluted is a non-GAAP financial measure defined by us as earnings (loss) per share of Class A common stock—basic and diluted, adjusted to eliminate the impact of stock-based compensation and certain other items that are not related to our core operations, such as restructuring and other charges, transaction expenses and the extinguishment of debt, as well as the income tax effect of such adjustments. Earnings (loss) per share of Class A common stock—basic and diluted is the most comparable GAAP financial measure. Non-GAAP earnings (loss) per share of Class A common stock—basic and diluted is used by our management and board of directors to evaluate operating performance, generate future operating plans and make strategic decisions regarding the allocation of capital. In particular, we believe that the elimination of stock-based compensation, gain on extinguishment of debt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stock—basic and diluted provides information to investors and the market generally that aids in the understanding and evaluation of our results of operations in the same manner as our management and board of directors.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use of non-GAAP earnings (loss) per share of Class A common stock—basic and diluted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report non-GAAP earnings (loss) per share of Class A common stock—basic and diluted or similarly titled measures, but calculate them differently, which reduces their usefulness as comparative measures. Because of this and other potential limitations, you should consider our non-GAAP financial measures only as supplemental to other GAAP-based financial performance measures, including earnings (loss) per share of Class A common stock—basic and diluted.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Basic non-GAAP earnings (loss) per share of Class A common stock is calculated by dividing the non-GAAP net income (loss) attributable to Class A common stockholders by the number of weighted-average shares of Class A common stock outstanding. Shares of our Class B common stock do not share in our earnings or losses and are therefore not participating securities. As such, separate presentation of basic and diluted non-GAAP earnings (loss) of Class B common stock under the two-class method has not been presented.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Diluted non-GAAP earnings (loss) per share of Class A common stock adjusts the basic non-GAAP earnings (loss) per share for the potential dilutive impact of common shares such as equity awards using the treasury-stock method and Class B common stock using the if-converted method. Diluted non-GAAP earnings (loss) per share of Class A common stock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For the year ended December 31, 2023, Class B common stock and nonqualified stock options have been excluded from the computation of diluted earnings (loss) per share of Class A common stock because the effect would have been anti-dilutive under the if-converted and treasury stock method. For the year ended December 31, 2022, Class B common stock, RSUs and nonqualified stock options have been excluded from the computation of diluted earnings (loss) per share of Class A common stock because the effect would have been anti-dilutive under the if-converted and treasury stock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reconciliation of earnings (loss) per share of Class A common stock—basic and diluted to non-GAAP earnings (loss) per share of Class A common stock—basic and diluted for the years ended December 31, 2023, 2022 and 2021.</w:t>
      </w:r>
    </w:p>
    <w:tbl>
      <w:tblPr>
        <w:tblW w:w="10205" w:type="dxa"/>
        <w:jc w:val="center"/>
        <w:tblInd w:w="0" w:type="dxa"/>
        <w:tblLayout w:type="fixed"/>
        <w:tblCellMar>
          <w:top w:w="28" w:type="dxa"/>
          <w:left w:w="28" w:type="dxa"/>
          <w:bottom w:w="28" w:type="dxa"/>
          <w:right w:w="28" w:type="dxa"/>
        </w:tblCellMar>
      </w:tblPr>
      <w:tblGrid>
        <w:gridCol w:w="2442"/>
        <w:gridCol w:w="1978"/>
        <w:gridCol w:w="2002"/>
        <w:gridCol w:w="211"/>
        <w:gridCol w:w="658"/>
        <w:gridCol w:w="109"/>
        <w:gridCol w:w="109"/>
        <w:gridCol w:w="109"/>
        <w:gridCol w:w="109"/>
        <w:gridCol w:w="226"/>
        <w:gridCol w:w="662"/>
        <w:gridCol w:w="118"/>
        <w:gridCol w:w="109"/>
        <w:gridCol w:w="109"/>
        <w:gridCol w:w="109"/>
        <w:gridCol w:w="234"/>
        <w:gridCol w:w="737"/>
        <w:gridCol w:w="174"/>
      </w:tblGrid>
      <w:tr>
        <w:trPr/>
        <w:tc>
          <w:tcPr>
            <w:tcW w:w="2442"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6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Earnings </w:t>
              <w:br/>
              <w:t xml:space="preserve">(Loss)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Non-GAAP </w:t>
              <w:br/>
              <w:t xml:space="preserve">Earnings (Loss) </w:t>
              <w:br/>
              <w:t>per Share</w:t>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Stock-based compensation</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Add back: Restructuring and other</w:t>
            </w:r>
            <w:r>
              <w:rPr>
                <w:rFonts w:ascii="Times New Roman;sans-serif" w:hAnsi="Times New Roman;sans-serif"/>
                <w:b w:val="false"/>
                <w:color w:val="000000"/>
                <w:sz w:val="13"/>
              </w:rPr>
              <w:t>(1)</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Income tax benefit (expense) related to Viant Technology Inc.'s share of adjustments</w:t>
            </w:r>
            <w:r>
              <w:rPr>
                <w:rFonts w:ascii="Times New Roman;sans-serif" w:hAnsi="Times New Roman;sans-serif"/>
                <w:b w:val="false"/>
                <w:color w:val="000000"/>
                <w:sz w:val="13"/>
              </w:rPr>
              <w:t>(2)</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(loss)</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Net income (loss) attributable to noncontrolling interests</w:t>
            </w:r>
            <w:r>
              <w:rPr>
                <w:rFonts w:ascii="Times New Roman;sans-serif" w:hAnsi="Times New Roman;sans-serif"/>
                <w:b w:val="false"/>
                <w:color w:val="000000"/>
                <w:sz w:val="13"/>
              </w:rPr>
              <w:t>(3)</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Inc.—basic</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Reallocation of net loss attributable to noncontrolling interest from the assumed exchange of RSUs and NQSOs for Class A common stock</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from the assumed exchange of RSUs and NQSOs for Class A common stock</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—basic</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—diluted</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 excluded from earnings (loss) per share of Class A common stock—diluted:</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47,032 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excluded from earnings (loss) per share of Class A common stock—diluted</w:t>
            </w:r>
          </w:p>
        </w:tc>
        <w:tc>
          <w:tcPr>
            <w:tcW w:w="8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(1)Restructuring and other includes severance and other charges related to aligning our workforce with our strategic performance goals for the year ended December 31, 2023.</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shd w:fill="FFFFFF" w:val="clear"/>
        </w:rPr>
        <w:t xml:space="preserve">The estimated income tax effect of our share of non-GAAP reconciling items for the year ended </w:t>
      </w:r>
      <w:r>
        <w:rPr>
          <w:rFonts w:ascii="Times New Roman;sans-serif" w:hAnsi="Times New Roman;sans-serif"/>
          <w:b w:val="false"/>
          <w:color w:val="000000"/>
          <w:sz w:val="20"/>
        </w:rPr>
        <w:t xml:space="preserve">December 31, 2023 </w:t>
      </w:r>
      <w:r>
        <w:rPr>
          <w:rFonts w:ascii="Times New Roman;sans-serif" w:hAnsi="Times New Roman;sans-serif"/>
          <w:b w:val="false"/>
          <w:color w:val="000000"/>
          <w:sz w:val="20"/>
          <w:shd w:fill="FFFFFF" w:val="clear"/>
        </w:rPr>
        <w:t>is calculated using an assumed blended tax rate of 21%, which represents our expected corporate tax rate, excluding discrete and non-recurring tax items</w:t>
      </w:r>
      <w:r>
        <w:rPr>
          <w:rFonts w:ascii="Times New Roman;sans-serif" w:hAnsi="Times New Roman;sans-serif"/>
          <w:b w:val="false"/>
          <w:color w:val="231F20"/>
          <w:sz w:val="20"/>
          <w:shd w:fill="FFFFFF" w:val="clear"/>
        </w:rPr>
        <w:t>.</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(3)</w:t>
      </w:r>
      <w:r>
        <w:rPr>
          <w:rFonts w:ascii="Times New Roman;sans-serif" w:hAnsi="Times New Roman;sans-serif"/>
          <w:b w:val="false"/>
          <w:color w:val="231F20"/>
          <w:sz w:val="20"/>
        </w:rPr>
        <w:t>The adjustment to net income (loss) attributable to noncontrolling interests represents stock-based compensation and restructuring charges attributed to the noncontrolling interests outstanding during the period.</w:t>
      </w:r>
    </w:p>
    <w:p>
      <w:pPr>
        <w:pStyle w:val="TextBody"/>
        <w:bidi w:val="0"/>
        <w:spacing w:before="12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tbl>
      <w:tblPr>
        <w:tblW w:w="10205" w:type="dxa"/>
        <w:jc w:val="center"/>
        <w:tblInd w:w="0" w:type="dxa"/>
        <w:tblLayout w:type="fixed"/>
        <w:tblCellMar>
          <w:top w:w="28" w:type="dxa"/>
          <w:left w:w="28" w:type="dxa"/>
          <w:bottom w:w="28" w:type="dxa"/>
          <w:right w:w="28" w:type="dxa"/>
        </w:tblCellMar>
      </w:tblPr>
      <w:tblGrid>
        <w:gridCol w:w="2374"/>
        <w:gridCol w:w="1927"/>
        <w:gridCol w:w="1950"/>
        <w:gridCol w:w="211"/>
        <w:gridCol w:w="765"/>
        <w:gridCol w:w="109"/>
        <w:gridCol w:w="109"/>
        <w:gridCol w:w="109"/>
        <w:gridCol w:w="109"/>
        <w:gridCol w:w="226"/>
        <w:gridCol w:w="662"/>
        <w:gridCol w:w="118"/>
        <w:gridCol w:w="109"/>
        <w:gridCol w:w="109"/>
        <w:gridCol w:w="109"/>
        <w:gridCol w:w="225"/>
        <w:gridCol w:w="817"/>
        <w:gridCol w:w="167"/>
      </w:tblGrid>
      <w:tr>
        <w:trPr/>
        <w:tc>
          <w:tcPr>
            <w:tcW w:w="2374"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6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Earnings </w:t>
              <w:br/>
              <w:t xml:space="preserve">(Loss)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Non-GAAP </w:t>
              <w:br/>
              <w:t xml:space="preserve">Earnings (Loss) </w:t>
              <w:br/>
              <w:t>per Share</w:t>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Add back: Restructuring and other</w:t>
            </w:r>
            <w:r>
              <w:rPr>
                <w:rFonts w:ascii="Times New Roman;sans-serif" w:hAnsi="Times New Roman;sans-serif"/>
                <w:b w:val="false"/>
                <w:color w:val="000000"/>
                <w:sz w:val="13"/>
              </w:rPr>
              <w:t>(1)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Income tax benefit (expense) related to Viant Technology Inc.'s share of adjustments</w:t>
            </w:r>
            <w:r>
              <w:rPr>
                <w:rFonts w:ascii="Times New Roman;sans-serif" w:hAnsi="Times New Roman;sans-serif"/>
                <w:b w:val="false"/>
                <w:color w:val="000000"/>
                <w:sz w:val="13"/>
              </w:rPr>
              <w:t>(2)</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(loss)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Less: Net income (loss) attributable to noncontrolling interests</w:t>
            </w:r>
            <w:r>
              <w:rPr>
                <w:rFonts w:ascii="Times New Roman;sans-serif" w:hAnsi="Times New Roman;sans-serif"/>
                <w:b w:val="false"/>
                <w:color w:val="000000"/>
                <w:sz w:val="13"/>
              </w:rPr>
              <w:t>(3)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Inc.—basic</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Reallocation of net loss attributable to noncontrolling interest from the assumed exchange of RSUs for Class A common stock</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from the assumed exchange of RSUs for Class A common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—basic</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—diluted</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 excluded from earnings (loss) per share of Class A common stock—diluted:</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excluded from earnings (loss) per share of Class A common stock—diluted</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54,671 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(1)Restructuring and other includes severance and other charges related to a reduction in force for the year ended December 31, 2022.</w:t>
      </w:r>
    </w:p>
    <w:p>
      <w:pPr>
        <w:pStyle w:val="TextBody"/>
        <w:bidi w:val="0"/>
        <w:spacing w:lineRule="auto" w:line="288" w:before="120" w:after="283"/>
        <w:ind w:left="0" w:right="0" w:hanging="360"/>
        <w:jc w:val="left"/>
        <w:rPr/>
      </w:pPr>
      <w:r>
        <w:rPr>
          <w:rFonts w:ascii="Times New Roman;sans-serif" w:hAnsi="Times New Roman;sans-serif"/>
          <w:b w:val="false"/>
          <w:color w:val="231F20"/>
          <w:sz w:val="20"/>
        </w:rPr>
        <w:t>(2)</w:t>
      </w:r>
      <w:r>
        <w:rPr>
          <w:rFonts w:ascii="Times New Roman;sans-serif" w:hAnsi="Times New Roman;sans-serif"/>
          <w:b w:val="false"/>
          <w:color w:val="000000"/>
          <w:sz w:val="20"/>
          <w:shd w:fill="FFFFFF" w:val="clear"/>
        </w:rPr>
        <w:t xml:space="preserve">The estimated income tax effect of our share of non-GAAP reconciling items for the year ended </w:t>
      </w:r>
      <w:r>
        <w:rPr>
          <w:rFonts w:ascii="Times New Roman;sans-serif" w:hAnsi="Times New Roman;sans-serif"/>
          <w:b w:val="false"/>
          <w:color w:val="000000"/>
          <w:sz w:val="20"/>
        </w:rPr>
        <w:t>December 31, 2022</w:t>
      </w:r>
      <w:r>
        <w:rPr>
          <w:color w:val="000000"/>
          <w:shd w:fill="FFFFFF" w:val="clear"/>
        </w:rPr>
        <w:t xml:space="preserve"> </w:t>
      </w:r>
      <w:r>
        <w:rPr>
          <w:rFonts w:ascii="Times New Roman;sans-serif" w:hAnsi="Times New Roman;sans-serif"/>
          <w:b w:val="false"/>
          <w:color w:val="000000"/>
          <w:sz w:val="20"/>
          <w:shd w:fill="FFFFFF" w:val="clear"/>
        </w:rPr>
        <w:t>is calculated using an assumed blended tax rate of 45%, which represents our expected corporate tax rate, excluding discrete and non-recurring tax items</w:t>
      </w:r>
      <w:r>
        <w:rPr>
          <w:rFonts w:ascii="Times New Roman;sans-serif" w:hAnsi="Times New Roman;sans-serif"/>
          <w:b w:val="false"/>
          <w:color w:val="231F20"/>
          <w:sz w:val="20"/>
          <w:shd w:fill="FFFFFF" w:val="clear"/>
        </w:rPr>
        <w:t>.</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(3)</w:t>
      </w:r>
      <w:r>
        <w:rPr>
          <w:rFonts w:ascii="Times New Roman;sans-serif" w:hAnsi="Times New Roman;sans-serif"/>
          <w:b w:val="false"/>
          <w:color w:val="231F20"/>
          <w:sz w:val="20"/>
        </w:rPr>
        <w:t>The adjustment to net income (loss) attributable to noncontrolling interests represents stock-based compensation and restructuring charges attributed to the noncontrolling interests outstanding during the period.</w:t>
      </w:r>
    </w:p>
    <w:p>
      <w:pPr>
        <w:pStyle w:val="TextBody"/>
        <w:bidi w:val="0"/>
        <w:spacing w:before="12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tbl>
      <w:tblPr>
        <w:tblW w:w="10205" w:type="dxa"/>
        <w:jc w:val="center"/>
        <w:tblInd w:w="0" w:type="dxa"/>
        <w:tblLayout w:type="fixed"/>
        <w:tblCellMar>
          <w:top w:w="28" w:type="dxa"/>
          <w:left w:w="28" w:type="dxa"/>
          <w:bottom w:w="28" w:type="dxa"/>
          <w:right w:w="28" w:type="dxa"/>
        </w:tblCellMar>
      </w:tblPr>
      <w:tblGrid>
        <w:gridCol w:w="2362"/>
        <w:gridCol w:w="1916"/>
        <w:gridCol w:w="1939"/>
        <w:gridCol w:w="211"/>
        <w:gridCol w:w="764"/>
        <w:gridCol w:w="109"/>
        <w:gridCol w:w="109"/>
        <w:gridCol w:w="109"/>
        <w:gridCol w:w="109"/>
        <w:gridCol w:w="211"/>
        <w:gridCol w:w="721"/>
        <w:gridCol w:w="109"/>
        <w:gridCol w:w="109"/>
        <w:gridCol w:w="109"/>
        <w:gridCol w:w="109"/>
        <w:gridCol w:w="224"/>
        <w:gridCol w:w="817"/>
        <w:gridCol w:w="168"/>
      </w:tblGrid>
      <w:tr>
        <w:trPr/>
        <w:tc>
          <w:tcPr>
            <w:tcW w:w="2362"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6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Earnings </w:t>
              <w:br/>
              <w:t xml:space="preserve">(Loss)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Non-GAAP </w:t>
              <w:br/>
              <w:t xml:space="preserve">Earnings (Loss) </w:t>
              <w:br/>
              <w:t>per Share</w:t>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Stock-based compensation</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68,822 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Gain on extinguishment of debt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Income tax benefit (expense) related to Viant Technology Inc.'s share of adjustments</w:t>
            </w:r>
            <w:r>
              <w:rPr>
                <w:rFonts w:ascii="Times New Roman;sans-serif" w:hAnsi="Times New Roman;sans-serif"/>
                <w:b w:val="false"/>
                <w:color w:val="000000"/>
                <w:sz w:val="13"/>
              </w:rPr>
              <w:t>(1)</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(loss)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Less: Net income (loss) attributable to noncontrolling interests</w:t>
            </w:r>
            <w:r>
              <w:rPr>
                <w:rFonts w:ascii="Times New Roman;sans-serif" w:hAnsi="Times New Roman;sans-serif"/>
                <w:b w:val="false"/>
                <w:color w:val="000000"/>
                <w:sz w:val="13"/>
              </w:rPr>
              <w:t>(2)</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Inc.—basic</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Reallocation of net loss attributable to noncontrolling interest from the assumed exchange of RSUs for Class A common stock</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from the assumed exchange of RSUs for Class A common stock</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—basic</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—diluted</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 excluded from earnings (loss) per share of Class A common stock—diluted:</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47,107 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excluded from earnings (loss) per share of Class A common stock—diluted</w:t>
            </w:r>
          </w:p>
        </w:tc>
        <w:tc>
          <w:tcPr>
            <w:tcW w:w="9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47,107 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231F20"/>
          <w:sz w:val="20"/>
        </w:rPr>
        <w:t>(1)</w:t>
      </w:r>
      <w:r>
        <w:rPr>
          <w:rFonts w:ascii="Times New Roman;sans-serif" w:hAnsi="Times New Roman;sans-serif"/>
          <w:b w:val="false"/>
          <w:color w:val="000000"/>
          <w:sz w:val="20"/>
          <w:shd w:fill="FFFFFF" w:val="clear"/>
        </w:rPr>
        <w:t>The estimated income tax effect of our share of non-GAAP reconciling items for the year ended December 31, 2021</w:t>
      </w:r>
      <w:r>
        <w:rPr>
          <w:color w:val="000000"/>
        </w:rPr>
        <w:t xml:space="preserve"> </w:t>
      </w:r>
      <w:r>
        <w:rPr>
          <w:rFonts w:ascii="Times New Roman;sans-serif" w:hAnsi="Times New Roman;sans-serif"/>
          <w:b w:val="false"/>
          <w:color w:val="000000"/>
          <w:sz w:val="20"/>
          <w:shd w:fill="FFFFFF" w:val="clear"/>
        </w:rPr>
        <w:t>is calculated using an assumed blended tax rate of 24%, which represents our expected corporate tax rate, excluding discrete and non-recurring tax items</w:t>
      </w:r>
      <w:r>
        <w:rPr>
          <w:rFonts w:ascii="Times New Roman;sans-serif" w:hAnsi="Times New Roman;sans-serif"/>
          <w:b w:val="false"/>
          <w:color w:val="231F20"/>
          <w:sz w:val="20"/>
          <w:shd w:fill="FFFFFF" w:val="clear"/>
        </w:rPr>
        <w:t>.</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231F20"/>
          <w:sz w:val="20"/>
        </w:rPr>
        <w:t>The adjustment to net income (loss) attributable to noncontrolling interests represents stock-based compensation and gain on extinguishment of debt attributed to the noncontrolling interests outstanding during the period.</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cash and cash equivalents of $216.5 million and working capital, consisting of current assets less current liabilities, of $231.6 million, compared to cash and cash equivalents of $206.6 million and working capital of $227.7 million as of December 31, 2022.</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cash are revenues derived from the programmatic purchase of advertising on our platform and our existing cash and cash equivalents, although we have addressed, and may in the future address, our liquidity needs by utilizing our borrowing capacity under the asset-based revolving credit and security agreement we have with PNC Bank (as amended in April 2023) (the "Amended Loan Agreement"), obtaining debt financing from other sources or raising additional funds by issuing equity.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uses of cash are capital expenditures to develop our technology in support of enhancing our platform; purchases of property and equipment in support of our expanding headcount as a result of our growth; the payment of debt obligations used to finance our operations, capital expenditures, platform development and rapid growth; and future minimum payments under our non-cancelable operating leases. We intend to continue investing in critical areas of our business in 2024 to further accelerate demand for our product and growth across the platform.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material cash requirements from non-cancelable contractual obligations with an original duration of over one year included future minimum payments under our non-cancelable operating leases, which we estimate will be approximately $4.6 million in 2024, $4.4 million in 2025, $4.4 million in 2026, $4.3 million in 2027, and $3.2 million in 2028, and non-cancelable contractual agreements primarily related to the hosting of our data storage processing, storage, and other computing services, which we estimate will be approximately $7.1 million in 2024, $5.9 million in 2025, and $1.5 million in 2026.</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9, 2021, in connection with our IPO, we entered into a tax receivable agreement (the "Tax Receivable Agreement") with Viant Technology LLC, continuing members of Viant Technology LLC (our "pre-IPO owners") and the TRA Representative (as defined in the Tax Receivable Agreement), as described under Note 10—Income Taxes and Tax Receivable Agreement to our consolidated financial statements included elsewhere in this Annual Report. From time to time, our subsidiary, Viant Technology LLC, makes cash distributions on a pro rata basis to its members to the extent necessary to cover the members' tax liabilities with respect to their share of earnings of Viant Technology LLC. These payments are reflected within "Payment of member tax distributions" on the consolidated statements of cash flows. As of December 31, 2023, we concluded that it was more likely than not that our deferred tax assets subject to the Tax Receivable Agreement would not be realized. Therefore, we currently do not expect to make payments under our Tax Receivable Agreement based on our estimates of future taxable income. As of December 31, 2023, the total unrecorded liability for our Tax Receivable Agreement is approximately $10.3 million.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and cash equivalents, cash flow from revenues derived from the programmatic purchase of advertising on our platform and the undrawn availability under our revolving credit facility from the Amended Loan Agreement will be sufficient to meet our cash requirements over the next 12 months. We believe we will meet longer-term expected future cash requirements and obligations beyond the next 12 months through a combination of existing cash and cash equivalents, cash flow from operations, the undrawn availability under our credit facility and issuances of equity securities or debt offerings. Our ability to fund longer-term operating needs will depend on our ability to generate positive cash flows through programmatic advertising purchases on our platform, our ability to access the capital markets and other factors, including those discussed under the section titled “Risk Factors” in this Annual Report.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have any other off-balance sheet arrangements as of December 31, 2023 other than the minimum payments under the operating leases, hosting arrangements, and the indemnification agreements described in Note 13—Commitments and Contingencies to our consolidated financial statements included elsewhere in this Annual Report.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with no operations of our own and are dependent on distributions from Viant Technology LLC to pay our taxes and satisfy any current or future cash requirements. Our Amended Loan Agreement imposes, and any future credit facilities may impose, limitations on our ability and the ability of Viant Technology LLC to pay dividends to third parties.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Amended Loan Agreement provided us with access to a $75.0 million senior secured revolving credit facility with a maturity date of April 4, 2028 that is collateralized by security interests in substantially all of our assets. As of December 31, 2023, there was no outstanding balance and up to $74.1 million of undrawn availability under the Amended Loan Agreement. As of December 31, 2022, there was no outstanding balance and up to $39.6 million of undrawn availability under the Loan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Loan Agreement contains customary conditions to borrowings, events of default and covenants, and also contains a financial covenant requiring us to maintain a minimum fixed charge coverage ratio of 1.40 to 1 when undrawn availability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Amended Loan Agreement is less than 25%. As of December 31, 2023, we would have been in compliance with this covenant, if applicable, and we do not believe this covenant or any other provision in the Amended Loan Agreement will materially impact our liquidity or otherwise restrict our ability to execute on our business plan during or beyond the next 12 months.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discussion of our Amended Loan Agreement, refer to Note 8—Revolving Credit Facility and PPP Loan to our consolidated financial statements included elsewhere in this Annual Report.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investing and financing activities for the fiscal years ended December 31, 2023 and 2022, as reflected in the consolidated statements of cash flows included in Item 8 of this Annual Report, are summarized in the following table:</w:t>
      </w:r>
    </w:p>
    <w:tbl>
      <w:tblPr>
        <w:tblW w:w="6938" w:type="dxa"/>
        <w:jc w:val="center"/>
        <w:tblInd w:w="0" w:type="dxa"/>
        <w:tblLayout w:type="fixed"/>
        <w:tblCellMar>
          <w:top w:w="28" w:type="dxa"/>
          <w:left w:w="28" w:type="dxa"/>
          <w:bottom w:w="28" w:type="dxa"/>
          <w:right w:w="28" w:type="dxa"/>
        </w:tblCellMar>
      </w:tblPr>
      <w:tblGrid>
        <w:gridCol w:w="1598"/>
        <w:gridCol w:w="1403"/>
        <w:gridCol w:w="1408"/>
        <w:gridCol w:w="211"/>
        <w:gridCol w:w="721"/>
        <w:gridCol w:w="109"/>
        <w:gridCol w:w="109"/>
        <w:gridCol w:w="109"/>
        <w:gridCol w:w="109"/>
        <w:gridCol w:w="211"/>
        <w:gridCol w:w="796"/>
        <w:gridCol w:w="154"/>
      </w:tblGrid>
      <w:tr>
        <w:trPr/>
        <w:tc>
          <w:tcPr>
            <w:tcW w:w="159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 Data</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Provided by (Used in) Operating Activities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flows from operating activities have been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flows provided by operating activities for the year ended December 31, 2023 was $37.8 million, a net increase of $41.3 million from cash flows used in operating activities for the year ended December 31, 2022 of $3.5 million. Cash flows provided by operating activities during the year ended December 31, 2023 resulted primarily from: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231F20"/>
          <w:sz w:val="20"/>
        </w:rPr>
        <w:t>a decrease of $9.9 million from net loss;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231F20"/>
          <w:sz w:val="20"/>
        </w:rPr>
        <w:t>an increase of $51.2 million due to non-cash add back adjustments to net loss primarily comprised of $32.3 million for stock-based compensation, $14.7 million for depreciation and amortization and $4.0 million of amortization of operating lease assets;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231F20"/>
          <w:sz w:val="20"/>
        </w:rPr>
        <w:t>a decrease of $0.6 million from changes in working capital (excluding deferred revenue, other liabilities, and operating lease liabilities), including a net decrease of $16.2 million in accounts receivable, prepaid assets and other assets primarily related to higher sales and timing of customer collections due to seasonal fluctuations as well as an increase of $15.6 million in accounts payable, accrued liabilities and accrued compensation primarily related to timing of payments;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231F20"/>
          <w:sz w:val="20"/>
        </w:rPr>
        <w:t>an increase in deferred revenue of $0.2 million;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a decrease in operating lease liabilities of </w:t>
      </w:r>
      <w:r>
        <w:rPr>
          <w:rFonts w:ascii="Times New Roman;sans-serif" w:hAnsi="Times New Roman;sans-serif"/>
          <w:b w:val="false"/>
          <w:color w:val="231F20"/>
          <w:sz w:val="20"/>
        </w:rPr>
        <w:t>$3.8</w:t>
      </w:r>
      <w:r>
        <w:rPr>
          <w:color w:val="000000"/>
        </w:rPr>
        <w:t xml:space="preserve"> </w:t>
      </w:r>
      <w:r>
        <w:rPr>
          <w:rFonts w:ascii="Times New Roman;sans-serif" w:hAnsi="Times New Roman;sans-serif"/>
          <w:b w:val="false"/>
          <w:color w:val="000000"/>
          <w:sz w:val="20"/>
        </w:rPr>
        <w:t>million;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 increase in other liabilities of $0.7 million.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cash used in operating activities of $3.5 million resulted primarily from a net loss of $48.1 million offset by non-cash add back adjustments to net loss of $28.9 million for stock-based compensation, $13.1 million for depreciation and amortization, $2.9 million of amortization of operating lease assets and an increase in net working capital (excluding deferred revenue, operating lease liabilities and other liabilities) of $6.1 million, offset by a decrease in deferred revenue of $6.4 million, a decrease in operating lease liabilities of $1.6 million and a decrease in other liabilities of $0.3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Investing Activities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investing activities have consisted of capital expenditures to develop our technology in support of enhancing our platform and purchases of property and equipment in support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who devote time to, platform development projects. Purchases of property and equipment and capitalized software development costs may vary from period-to-period due to the timing of the expansion of our operations, the addition or reduction of headcount and our platform development cycles. As a result of capitalization of stock-based compensation in future periods and the growth of our business, we expect our capital expenditures and our investment activity to continue to increase.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flows used in investing activities for the year ended December 31, 2023 was $13.5 million, a net increase of $4.7 million, or 53%, from cash flows used in investing activities for the year ended December 31, 2022 of $8.8 million. Cash flows used in investing activities for the year ended December 31, 2023 resulted primarily from: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$12.3 million of investments in capitalized software to develop our technology in support of enhancing our platform; and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$1.2 million of purchases of property and equipment.</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During the year ended </w:t>
      </w:r>
      <w:r>
        <w:rPr>
          <w:rFonts w:ascii="Times New Roman;sans-serif" w:hAnsi="Times New Roman;sans-serif"/>
          <w:b w:val="false"/>
          <w:color w:val="000000"/>
          <w:sz w:val="20"/>
        </w:rPr>
        <w:t>December 31, 2022</w:t>
      </w:r>
      <w:r>
        <w:rPr>
          <w:rFonts w:ascii="Times New Roman;sans-serif" w:hAnsi="Times New Roman;sans-serif"/>
          <w:b w:val="false"/>
          <w:color w:val="231F20"/>
          <w:sz w:val="20"/>
        </w:rPr>
        <w:t xml:space="preserve">, cash used in investing activities of </w:t>
      </w:r>
      <w:r>
        <w:rPr>
          <w:rFonts w:ascii="Times New Roman;sans-serif" w:hAnsi="Times New Roman;sans-serif"/>
          <w:b w:val="false"/>
          <w:color w:val="000000"/>
          <w:sz w:val="20"/>
        </w:rPr>
        <w:t>$8.8</w:t>
      </w:r>
      <w:r>
        <w:rPr>
          <w:color w:val="231F20"/>
        </w:rPr>
        <w:t xml:space="preserve"> </w:t>
      </w:r>
      <w:r>
        <w:rPr>
          <w:rFonts w:ascii="Times New Roman;sans-serif" w:hAnsi="Times New Roman;sans-serif"/>
          <w:b w:val="false"/>
          <w:color w:val="231F20"/>
          <w:sz w:val="20"/>
        </w:rPr>
        <w:t xml:space="preserve">million resulted from </w:t>
      </w:r>
      <w:r>
        <w:rPr>
          <w:rFonts w:ascii="Times New Roman;sans-serif" w:hAnsi="Times New Roman;sans-serif"/>
          <w:b w:val="false"/>
          <w:color w:val="000000"/>
          <w:sz w:val="20"/>
        </w:rPr>
        <w:t xml:space="preserve">$8.1 million of </w:t>
      </w:r>
      <w:r>
        <w:rPr>
          <w:rFonts w:ascii="Times New Roman;sans-serif" w:hAnsi="Times New Roman;sans-serif"/>
          <w:b w:val="false"/>
          <w:color w:val="231F20"/>
          <w:sz w:val="20"/>
        </w:rPr>
        <w:t xml:space="preserve">investments in capitalized software development costs and </w:t>
      </w:r>
      <w:r>
        <w:rPr>
          <w:rFonts w:ascii="Times New Roman;sans-serif" w:hAnsi="Times New Roman;sans-serif"/>
          <w:b w:val="false"/>
          <w:color w:val="000000"/>
          <w:sz w:val="20"/>
        </w:rPr>
        <w:t xml:space="preserve">$0.8 million of </w:t>
      </w:r>
      <w:r>
        <w:rPr>
          <w:rFonts w:ascii="Times New Roman;sans-serif" w:hAnsi="Times New Roman;sans-serif"/>
          <w:b w:val="false"/>
          <w:color w:val="231F20"/>
          <w:sz w:val="20"/>
        </w:rPr>
        <w:t>purchases of property and equipment.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Financing Activities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have consisted primarily of proceeds from borrowings and repayments of our debt, issuances of our equity and payments of member distributions in accordance with their assumed tax liabilities. Net cash provided by or used in financing activities has been and will be used to finance our operations, capital expenditures, platform development and growth.</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Our cash flows used in financing activities for the year ended December 31, 2023 was $14.4 million, a net decrease of $5.2 million, or 26%, from cash flows used in financing activities for the year ended December 31, 2022 of $19.6 million. </w:t>
      </w:r>
      <w:r>
        <w:rPr>
          <w:rFonts w:ascii="Times New Roman;sans-serif" w:hAnsi="Times New Roman;sans-serif"/>
          <w:b w:val="false"/>
          <w:color w:val="231F20"/>
          <w:sz w:val="20"/>
        </w:rPr>
        <w:t xml:space="preserve">Cash flows used in financing activities for the year ended </w:t>
      </w:r>
      <w:r>
        <w:rPr>
          <w:rFonts w:ascii="Times New Roman;sans-serif" w:hAnsi="Times New Roman;sans-serif"/>
          <w:b w:val="false"/>
          <w:color w:val="000000"/>
          <w:sz w:val="20"/>
        </w:rPr>
        <w:t>December 31, 2023 resulted primarily from $10.2 million for payments for member tax distributions and $4.2 million for taxes paid related to the net share settlement of equity awards.</w:t>
      </w:r>
    </w:p>
    <w:p>
      <w:pPr>
        <w:pStyle w:val="TextBody"/>
        <w:bidi w:val="0"/>
        <w:spacing w:lineRule="auto" w:line="288" w:before="120" w:after="283"/>
        <w:ind w:left="0" w:right="0" w:firstLine="490"/>
        <w:jc w:val="left"/>
        <w:rPr/>
      </w:pPr>
      <w:r>
        <w:rPr>
          <w:rFonts w:ascii="Times New Roman;sans-serif" w:hAnsi="Times New Roman;sans-serif"/>
          <w:b w:val="false"/>
          <w:color w:val="231F20"/>
          <w:sz w:val="20"/>
        </w:rPr>
        <w:t xml:space="preserve">During the year ended </w:t>
      </w:r>
      <w:r>
        <w:rPr>
          <w:rFonts w:ascii="Times New Roman;sans-serif" w:hAnsi="Times New Roman;sans-serif"/>
          <w:b w:val="false"/>
          <w:color w:val="000000"/>
          <w:sz w:val="20"/>
        </w:rPr>
        <w:t>December 31, 2022</w:t>
      </w:r>
      <w:r>
        <w:rPr>
          <w:rFonts w:ascii="Times New Roman;sans-serif" w:hAnsi="Times New Roman;sans-serif"/>
          <w:b w:val="false"/>
          <w:color w:val="231F20"/>
          <w:sz w:val="20"/>
        </w:rPr>
        <w:t xml:space="preserve">, cash used in financing activities of </w:t>
      </w:r>
      <w:r>
        <w:rPr>
          <w:rFonts w:ascii="Times New Roman;sans-serif" w:hAnsi="Times New Roman;sans-serif"/>
          <w:b w:val="false"/>
          <w:color w:val="000000"/>
          <w:sz w:val="20"/>
        </w:rPr>
        <w:t>$19.6</w:t>
      </w:r>
      <w:r>
        <w:rPr>
          <w:color w:val="231F20"/>
        </w:rPr>
        <w:t xml:space="preserve"> </w:t>
      </w:r>
      <w:r>
        <w:rPr>
          <w:rFonts w:ascii="Times New Roman;sans-serif" w:hAnsi="Times New Roman;sans-serif"/>
          <w:b w:val="false"/>
          <w:color w:val="231F20"/>
          <w:sz w:val="20"/>
        </w:rPr>
        <w:t>million resulted primarily from the $17.5 million repayment of our revolving credit facility and $2.0 million of taxes paid related to the net share settlement of equity awards.</w:t>
      </w:r>
    </w:p>
    <w:p>
      <w:pPr>
        <w:pStyle w:val="TextBody"/>
        <w:bidi w:val="0"/>
        <w:spacing w:lineRule="auto" w:line="26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Fiscal 2022 Changes in Cash Flows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comparison of fiscal 2022 to fiscal 2021, refer to Part II, Item 7 "Management's Discussion and Analysis of Financial Condition and Results of Operations— Liquidity and Capital Resources" included in our Annual Report on Form 10-K for our fiscal year ended December 31, 2022, filed with the SEC on March 2, 2023 under the subheading "Liquidity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Critical Accounting Policies and Estimates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revenue recognition net versus gross assessment in our revenue arrangements, the assumptions used in the valuation models to determine the fair value of common stock and stock-based compensation, and internal use software have the greatest potential impact on our consolidated financial statements. Therefore, we consider these to be our critical accounting policies and estimates.</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See Note 2</w:t>
      </w:r>
      <w:r>
        <w:rPr>
          <w:color w:val="000000"/>
        </w:rPr>
        <w:t>—</w:t>
      </w:r>
      <w:r>
        <w:rPr>
          <w:rFonts w:ascii="Times New Roman;sans-serif" w:hAnsi="Times New Roman;sans-serif"/>
          <w:b w:val="false"/>
          <w:color w:val="000000"/>
          <w:sz w:val="20"/>
        </w:rPr>
        <w:t>Basis of Presentation and Summary of Significant Accounting Policies</w:t>
      </w:r>
      <w:r>
        <w:rPr>
          <w:color w:val="231F20"/>
        </w:rPr>
        <w:t xml:space="preserve"> </w:t>
      </w:r>
      <w:r>
        <w:rPr>
          <w:rFonts w:ascii="Times New Roman;sans-serif" w:hAnsi="Times New Roman;sans-serif"/>
          <w:b w:val="false"/>
          <w:color w:val="231F20"/>
          <w:sz w:val="20"/>
        </w:rPr>
        <w:t xml:space="preserve">to our consolidated financial statements included elsewhere in this Annual Report for additional information on the </w:t>
      </w:r>
      <w:r>
        <w:rPr>
          <w:rFonts w:ascii="Times New Roman;sans-serif" w:hAnsi="Times New Roman;sans-serif"/>
          <w:b w:val="false"/>
          <w:color w:val="000000"/>
          <w:sz w:val="20"/>
          <w:shd w:fill="FFFFFF" w:val="clear"/>
        </w:rPr>
        <w:t>significant accounting policies and methods used in the preparation of our consolidated</w:t>
      </w:r>
      <w:r>
        <w:rPr>
          <w:color w:val="231F20"/>
        </w:rPr>
        <w:t xml:space="preserve"> </w:t>
      </w:r>
      <w:r>
        <w:rPr>
          <w:rFonts w:ascii="Times New Roman;sans-serif" w:hAnsi="Times New Roman;sans-serif"/>
          <w:b w:val="false"/>
          <w:color w:val="231F20"/>
          <w:sz w:val="20"/>
        </w:rPr>
        <w:t>financial statements.</w:t>
      </w:r>
    </w:p>
    <w:p>
      <w:pPr>
        <w:pStyle w:val="TextBody"/>
        <w:bidi w:val="0"/>
        <w:spacing w:lineRule="auto" w:line="288" w:before="24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Revenue Recognition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our revenue by providing marketers and advertising agencies with the ability to plan, buy and measure their digital advertising campaigns using our people-based DSP. Our platform enables marketers and their advertising agencies to reach their target audience across desktop, mobile, connected TV, linear TV, in-game, streaming audio and digital billboards.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apply a five-step approach as defined in Financial Accounting Standards Board (“FASB”) Accounting Standards Codification (“ASC”) 606, Revenue from Contracts with Customers (“ASC 606”), in determining the amount and timing of revenue to be recognized: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Identification of a contract with a customer;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Recognition of revenue when or as the performance obligations are satisfied.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our platform available through different pricing options to tailor to multiple customer types and customer needs. These options consist of a percentage of spend option and a fixed CPM option. “CPM” refers to a payment option in which customers pay a price for every 1,000 impressions an ad receives. We generate revenue when our platform is used on a self-service basis by charging a platform fee that is a percentage of spend. We also offer our customers the ability to use our services to aid in data management, media execution and advanced reporting. When customers utilize these services, we generate revenue by charging (1) a separate service fee that represents a percentage of spend in addition to the platform fee; (2) a flat monthly fee; or (3) a fixed CPM.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agreements with our customers in the form of MSAs in connection with the percentage of spend pricing option, as well as instances where we charge our customers a flat monthly fee. We maintain IOs in connection with the fixed CPM pricing option, which set out the terms of the relationship and use of our platform. The nature of our performance obligations is to enable customers to plan, buy and measure advertising campaigns using our platform and provide campaign execution services as requested.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percentage of spend pricing option, we typically bill customers a platform fee, and in certain instances an additional service fee, which is based on a specified percentage of the customer’s purchases through the platform as well as fees for additional features such as data and advanced reporting, plus the cost of TAC. We recognize revenue at the point in time when a purchase by the customer occurs through our platform.</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determination of whether revenue for the percentage of spend pricing option should be reported on a gross or net basis is based on an assessment of whether we are acting as the principal or an agent in the transaction. In determining whether we are acting as the principal or an agent, we follow the accounting guidance for principal-agent considerations. Making such determinations involves judgment and is based on an evaluation of the terms of each arrangement, none of which are considered presumptive or determinative.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instances discussed above related to the percentage of spend pricing option, </w:t>
      </w:r>
      <w:r>
        <w:rPr>
          <w:rFonts w:ascii="Times New Roman;sans-serif" w:hAnsi="Times New Roman;sans-serif"/>
          <w:b w:val="false"/>
          <w:color w:val="000000"/>
          <w:sz w:val="20"/>
          <w:shd w:fill="FFFFFF" w:val="clear"/>
        </w:rPr>
        <w:t xml:space="preserve">we typically act as an agent because </w:t>
      </w:r>
      <w:r>
        <w:rPr>
          <w:rFonts w:ascii="Times New Roman;sans-serif" w:hAnsi="Times New Roman;sans-serif"/>
          <w:b w:val="false"/>
          <w:color w:val="000000"/>
          <w:sz w:val="20"/>
        </w:rPr>
        <w:t xml:space="preserve">we arrange for the transfer of such costs from the supplier to the customer through the use of our platform and do not control such features prior to transfer to the customer. We do not have primary responsibility for meeting customer specifications and do not have discretion in establishing the price of TAC related to this pricing option. </w:t>
      </w:r>
      <w:r>
        <w:rPr>
          <w:rFonts w:ascii="Times New Roman;sans-serif" w:hAnsi="Times New Roman;sans-serif"/>
          <w:b w:val="false"/>
          <w:color w:val="000000"/>
          <w:sz w:val="20"/>
          <w:shd w:fill="FFFFFF" w:val="clear"/>
        </w:rPr>
        <w:t>As we act as the agent in these arrangements, we report revenue on a net basis.</w:t>
      </w:r>
      <w:r>
        <w:rPr>
          <w:color w:val="000000"/>
        </w:rPr>
        <w:t xml:space="preserve"> </w:t>
      </w:r>
      <w:r>
        <w:rPr>
          <w:rFonts w:ascii="Times New Roman;sans-serif" w:hAnsi="Times New Roman;sans-serif"/>
          <w:b w:val="false"/>
          <w:color w:val="000000"/>
          <w:sz w:val="20"/>
          <w:shd w:fill="FFFFFF" w:val="clear"/>
        </w:rPr>
        <w:t>In certain percentage of spend arrangements, we act as a principal because we control the advertising inventory before it is transferred to the customer and we bear sole responsibility for fulfillment of the advertising promise and inventory risks. As we act as the principal in these arrangements, we report revenue and the related costs incurred on a gross basis.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For the fixed CPM pricing option, we typically bill customers a fixed CPM price based on advertising impressions delivered through the platform and recognize revenue at the point in time when the advertising impressions are delivered. In certain cases, we also provide third party data segments and measurement reporting, which are recognized at the point in time they are delivered to the customer. We have the primary responsibility for meeting customer specifications and have discretion in establishing the price of TAC related to this pricing option. </w:t>
      </w:r>
      <w:r>
        <w:rPr>
          <w:rFonts w:ascii="Times New Roman;sans-serif" w:hAnsi="Times New Roman;sans-serif"/>
          <w:b w:val="false"/>
          <w:color w:val="000000"/>
          <w:sz w:val="20"/>
          <w:shd w:fill="FFFFFF" w:val="clear"/>
        </w:rPr>
        <w:t>As we act as the principal in these arrangements, we report revenue and the related costs incurred on a gross basis.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invoice our customers on a monthly basis for all pricing options. Invoice payment terms, negotiated on a customer-by-customer basis, are typically 30 to 60 days. Advertising agency customers typically have sequential liability terms, which means payments are not due to us from our advertising agency customer until the advertising agency customer has received payment from its customer, the advertiser.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contract assets recorded on the consolidated balance sheets because our right to any unbilled consideration for performance obligations satisfied is only conditional upon the passage of time. Contract liabilities, or deferred revenue, are recorded for amounts that are collected in advance of the satisfaction of performance obligations. These liabilities are classified as current if the respective performance obligations are anticipated to be satisfied during the succeeding 12-month period per the terms of the contract, and the remaining portion is recorded as non-current deferred revenue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ASC 606 provides various optional practical expedients. We elected the use of the practical expedient relating to the disclosure of remaining performance obligations within a contract and will not disclose remaining performance obligations for contracts with an original expected duration of one year or less.</w:t>
      </w:r>
    </w:p>
    <w:p>
      <w:pPr>
        <w:pStyle w:val="TextBody"/>
        <w:bidi w:val="0"/>
        <w:spacing w:lineRule="auto" w:line="288" w:before="24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Internal Use Software</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We capitalize certain costs associated with creating and enhancing internally developed software. These costs include personnel and related employee benefits expenses for employees who are directly associated with and who devote time to software development projects. Software development costs that do not qualify for capitalization are expensed as incurred and recorded in technology and development expense in the consolidated statements of operations.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Software development activities typically consist of three stages: (1) the planning stage; (2) the application and infrastructure development stage; and (3) the post-implementation stage. Costs incurred in the planning and post-implementation stages, including costs associated with training and repairs and maintenance of the developed technologies, are expensed as incurred. We capitalize costs associated with software developed when the preliminary project stage is completed, management implicitly or explicitly authorizes and commits to funding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is ready for its intended purpose, at which point the software begins to be depreciated over its estimated useful life.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relates to equity awards granted under the Company’s 2021 Long-Term Incentive Plan (the “LTIP”), which is measured and recognized in the consolidated financial statements based on the fair value of the equity awards granted. Since inception of the LTIP, the Company has only granted restricted stock units (“RSUs”) and nonqualified stock options. The fair value of RSUs is calculated using the closing market price of the Company’s Class A common stock on the date of grant. The fair value of nonqualified stock options is estimated using the Black-Scholes option pricing model. The Black-Scholes option pricing model is impacted by the fair value of the Company’s Class A common stock, as well as changes in certain assumptions, including but not limited to, the expected Class A common stock price volatility over the term of the nonqualified stock options, the expected term of the nonqualified stock options, the risk-free interest rate, and the expected dividend yield. The Company records compensation for all equity awards under the LTIP under the straight-line attribution method over the requisite service period. The Company has elected the accounting policy for stock-based compensation to account for forfeitures as they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JOBS Act Accounting Election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April 5, 2012, the JOBS Act was signed into law. The JOBS Act contains provisions that, among other things, reduce certain reporting requirements for qualifying public companies. As an “emerging growth company,” we may, under Section 7(a)(2)(B) of the Securities Act of 1933, as amended (the “Securities Act”), delay adoption of new or revised accounting standards applicable to public companies until such standards would otherwise apply to private companies. An “emerging growth company” is one with less than $1.235 billion in annual gross revenues, has issued less than $1 billion of non-convertible debt over a three-year period and is not deemed to be a large accelerated filer under the rules of the SEC. We will remain an emerging growth company until December 31, 2026, or sooner if we no longer qualify. We may take advantage of this extended transition period until the first to occur of the date that we (i) are no longer an “emerging growth company” or (ii) affirmatively and irrevocably opt out of this extended transition period.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elected to take advantage of the benefits of this extended transition period. Until the date that we are no longer an “emerging growth company” or affirmatively and irrevocably opt out of the exemption provided by Securities Act Section 7(a)(2)(B), upon issuance of a new or revised accounting standard that applies to our consolidated financial statements and that has a different effective date for public and private companies, the Company will disclose the date on which adoption is required for non-emerging growth companies and the date on which we will adopt the recently issued accounting standard.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recently issued accounting pronouncements, see Note 2—Basis of Presentation and Summary of Significant Accounting Policies to our consolidated financial statements included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7A. Quantitative and Qualitative Disclosures About Market Risk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primarily within the United States, and we are exposed to market risks in the ordinary course of our business, including the effects of interest rate changes, foreign currency fluctuations and inflation.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be exposed to market risk from changes in interest rates on our Amended Loan Agreement, which accrues interest at a variable rate. We have not used any derivative financial instruments to manage our interest rate risk exposure. As of December 31, 2023, we had no outstanding balances on our revolving credit facility and had no market risk from changes in interest rates as of such date.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6837" w:type="dxa"/>
        <w:jc w:val="center"/>
        <w:tblInd w:w="0" w:type="dxa"/>
        <w:tblLayout w:type="fixed"/>
        <w:tblCellMar>
          <w:top w:w="28" w:type="dxa"/>
          <w:left w:w="28" w:type="dxa"/>
          <w:bottom w:w="28" w:type="dxa"/>
          <w:right w:w="28" w:type="dxa"/>
        </w:tblCellMar>
      </w:tblPr>
      <w:tblGrid>
        <w:gridCol w:w="2340"/>
        <w:gridCol w:w="2057"/>
        <w:gridCol w:w="2068"/>
        <w:gridCol w:w="109"/>
        <w:gridCol w:w="109"/>
        <w:gridCol w:w="154"/>
      </w:tblGrid>
      <w:tr>
        <w:trPr/>
        <w:tc>
          <w:tcPr>
            <w:tcW w:w="2340"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c6ade9373462f87f89f00de532d41_91">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No.34)</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ac6ade9373462f87f89f00de532d41_91">
              <w:r>
                <w:rPr>
                  <w:rStyle w:val="InternetLink"/>
                  <w:rFonts w:ascii="Times New Roman;sans-serif" w:hAnsi="Times New Roman;sans-serif"/>
                  <w:b w:val="false"/>
                  <w:strike w:val="false"/>
                  <w:dstrike w:val="false"/>
                  <w:color w:val="000000"/>
                  <w:sz w:val="20"/>
                  <w:u w:val="none"/>
                  <w:effect w:val="none"/>
                </w:rPr>
                <w:t>75</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c6ade9373462f87f89f00de532d41_94">
              <w:r>
                <w:rPr>
                  <w:rStyle w:val="InternetLink"/>
                  <w:rFonts w:ascii="Times New Roman;sans-serif" w:hAnsi="Times New Roman;sans-serif"/>
                  <w:b w:val="false"/>
                  <w:color w:val="0000FF"/>
                  <w:sz w:val="20"/>
                  <w:u w:val="single"/>
                </w:rPr>
                <w:t>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ac6ade9373462f87f89f00de532d41_94">
              <w:r>
                <w:rPr>
                  <w:rStyle w:val="InternetLink"/>
                  <w:rFonts w:ascii="Times New Roman;sans-serif" w:hAnsi="Times New Roman;sans-serif"/>
                  <w:b w:val="false"/>
                  <w:strike w:val="false"/>
                  <w:dstrike w:val="false"/>
                  <w:color w:val="000000"/>
                  <w:sz w:val="20"/>
                  <w:u w:val="none"/>
                  <w:effect w:val="none"/>
                </w:rPr>
                <w:t>76</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c6ade9373462f87f89f00de532d41_97">
              <w:r>
                <w:rPr>
                  <w:rStyle w:val="InternetLink"/>
                  <w:rFonts w:ascii="Times New Roman;sans-serif" w:hAnsi="Times New Roman;sans-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ac6ade9373462f87f89f00de532d41_97">
              <w:r>
                <w:rPr>
                  <w:rStyle w:val="InternetLink"/>
                  <w:rFonts w:ascii="Times New Roman;sans-serif" w:hAnsi="Times New Roman;sans-serif"/>
                  <w:b w:val="false"/>
                  <w:strike w:val="false"/>
                  <w:dstrike w:val="false"/>
                  <w:color w:val="000000"/>
                  <w:sz w:val="20"/>
                  <w:u w:val="none"/>
                  <w:effect w:val="none"/>
                </w:rPr>
                <w:t>77</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c6ade9373462f87f89f00de532d41_100">
              <w:r>
                <w:rPr>
                  <w:rStyle w:val="InternetLink"/>
                  <w:rFonts w:ascii="Times New Roman;sans-serif" w:hAnsi="Times New Roman;sans-serif"/>
                  <w:b w:val="false"/>
                  <w:color w:val="0000FF"/>
                  <w:sz w:val="20"/>
                  <w:u w:val="single"/>
                </w:rPr>
                <w:t>Consolidated Statements of Convertible Preferred Units and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ac6ade9373462f87f89f00de532d41_100">
              <w:r>
                <w:rPr>
                  <w:rStyle w:val="InternetLink"/>
                  <w:rFonts w:ascii="Times New Roman;sans-serif" w:hAnsi="Times New Roman;sans-serif"/>
                  <w:b w:val="false"/>
                  <w:strike w:val="false"/>
                  <w:dstrike w:val="false"/>
                  <w:color w:val="000000"/>
                  <w:sz w:val="20"/>
                  <w:u w:val="none"/>
                  <w:effect w:val="none"/>
                </w:rPr>
                <w:t>78</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c6ade9373462f87f89f00de532d41_103">
              <w:r>
                <w:rPr>
                  <w:rStyle w:val="InternetLink"/>
                  <w:rFonts w:ascii="Times New Roman;sans-serif" w:hAnsi="Times New Roman;sans-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ac6ade9373462f87f89f00de532d41_103">
              <w:r>
                <w:rPr>
                  <w:rStyle w:val="InternetLink"/>
                  <w:rFonts w:ascii="Times New Roman;sans-serif" w:hAnsi="Times New Roman;sans-serif"/>
                  <w:b w:val="false"/>
                  <w:strike w:val="false"/>
                  <w:dstrike w:val="false"/>
                  <w:color w:val="000000"/>
                  <w:sz w:val="20"/>
                  <w:u w:val="none"/>
                  <w:effect w:val="none"/>
                </w:rPr>
                <w:t>80</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ac6ade9373462f87f89f00de532d41_106">
              <w:r>
                <w:rPr>
                  <w:rStyle w:val="InternetLink"/>
                  <w:rFonts w:ascii="Times New Roman;sans-serif" w:hAnsi="Times New Roman;sans-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ac6ade9373462f87f89f00de532d41_106">
              <w:r>
                <w:rPr>
                  <w:rStyle w:val="InternetLink"/>
                  <w:rFonts w:ascii="Times New Roman;sans-serif" w:hAnsi="Times New Roman;sans-serif"/>
                  <w:b w:val="false"/>
                  <w:strike w:val="false"/>
                  <w:dstrike w:val="false"/>
                  <w:color w:val="000000"/>
                  <w:sz w:val="20"/>
                  <w:u w:val="none"/>
                  <w:effect w:val="none"/>
                </w:rPr>
                <w:t>81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Viant Technology Inc.</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Viant Technology Inc. and subsidiaries (the "Company") as of December 31, 2023 and 2022, the related consolidated statements of operations, convertible preferred units and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 in Accounting Principle</w:t>
      </w:r>
    </w:p>
    <w:p>
      <w:pPr>
        <w:pStyle w:val="TextBody"/>
        <w:bidi w:val="0"/>
        <w:spacing w:lineRule="auto" w:line="288" w:before="120" w:after="283"/>
        <w:jc w:val="left"/>
        <w:rPr/>
      </w:pPr>
      <w:r>
        <w:rPr>
          <w:rFonts w:ascii="Times New Roman;sans-serif" w:hAnsi="Times New Roman;sans-serif"/>
          <w:b w:val="false"/>
          <w:color w:val="000000"/>
          <w:sz w:val="20"/>
        </w:rPr>
        <w:t xml:space="preserve">As discussed in Note 2 to the financial statements, the Company changed its method of accounting for leases in 2022, due to the adoption of Accounting Standards Update No. 2016-02, </w:t>
      </w:r>
      <w:r>
        <w:rPr>
          <w:rFonts w:ascii="Times New Roman;sans-serif" w:hAnsi="Times New Roman;sans-serif"/>
          <w:b w:val="false"/>
          <w:i/>
          <w:color w:val="000000"/>
          <w:sz w:val="20"/>
        </w:rPr>
        <w:t>Leases (Topic 842)</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Costa Mesa, California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4,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bidi w:val="0"/>
        <w:spacing w:before="240" w:after="283"/>
        <w:jc w:val="center"/>
        <w:rPr/>
      </w:pPr>
      <w:r>
        <w:rPr/>
      </w:r>
    </w:p>
    <w:tbl>
      <w:tblPr>
        <w:tblW w:w="8712" w:type="dxa"/>
        <w:jc w:val="center"/>
        <w:tblInd w:w="0" w:type="dxa"/>
        <w:tblLayout w:type="fixed"/>
        <w:tblCellMar>
          <w:top w:w="28" w:type="dxa"/>
          <w:left w:w="28" w:type="dxa"/>
          <w:bottom w:w="28" w:type="dxa"/>
          <w:right w:w="28" w:type="dxa"/>
        </w:tblCellMar>
      </w:tblPr>
      <w:tblGrid>
        <w:gridCol w:w="1652"/>
        <w:gridCol w:w="1456"/>
        <w:gridCol w:w="1467"/>
        <w:gridCol w:w="211"/>
        <w:gridCol w:w="826"/>
        <w:gridCol w:w="109"/>
        <w:gridCol w:w="109"/>
        <w:gridCol w:w="109"/>
        <w:gridCol w:w="109"/>
        <w:gridCol w:w="211"/>
        <w:gridCol w:w="826"/>
        <w:gridCol w:w="109"/>
        <w:gridCol w:w="109"/>
        <w:gridCol w:w="109"/>
        <w:gridCol w:w="109"/>
        <w:gridCol w:w="211"/>
        <w:gridCol w:w="826"/>
        <w:gridCol w:w="154"/>
      </w:tblGrid>
      <w:tr>
        <w:trPr/>
        <w:tc>
          <w:tcPr>
            <w:tcW w:w="16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Viant Technology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Class A common stock:</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Class A common stock outstanding:</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12,364</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4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12,364</w:t>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bl>
      <w:tblPr>
        <w:tblW w:w="7973" w:type="dxa"/>
        <w:jc w:val="center"/>
        <w:tblInd w:w="0" w:type="dxa"/>
        <w:tblLayout w:type="fixed"/>
        <w:tblCellMar>
          <w:top w:w="28" w:type="dxa"/>
          <w:left w:w="28" w:type="dxa"/>
          <w:bottom w:w="28" w:type="dxa"/>
          <w:right w:w="28" w:type="dxa"/>
        </w:tblCellMar>
      </w:tblPr>
      <w:tblGrid>
        <w:gridCol w:w="1915"/>
        <w:gridCol w:w="1686"/>
        <w:gridCol w:w="1708"/>
        <w:gridCol w:w="211"/>
        <w:gridCol w:w="826"/>
        <w:gridCol w:w="109"/>
        <w:gridCol w:w="109"/>
        <w:gridCol w:w="109"/>
        <w:gridCol w:w="109"/>
        <w:gridCol w:w="211"/>
        <w:gridCol w:w="826"/>
        <w:gridCol w:w="154"/>
      </w:tblGrid>
      <w:tr>
        <w:trPr/>
        <w:tc>
          <w:tcPr>
            <w:tcW w:w="1915"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13)</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shares — 10,000,000</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 none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$0.001 par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shares — 450,000,000</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Issued — 15,937,816 and 14,783,886</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 15,783,941 and 14,643,798</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$0.001 par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shares — 150,000,000</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 47,032,260 and 47,082,260</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153,875 and 140,088 shares held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attributable to Viant Technology Inc.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VIANT TECHNOLOGY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CONSOLIDATED STATEMENTS OF CONVERTIBLE PREFERRED UNITS AND EQUITY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thousands)</w:t>
      </w:r>
    </w:p>
    <w:tbl>
      <w:tblPr>
        <w:tblW w:w="16355" w:type="dxa"/>
        <w:jc w:val="center"/>
        <w:tblInd w:w="0" w:type="dxa"/>
        <w:tblLayout w:type="fixed"/>
        <w:tblCellMar>
          <w:top w:w="28" w:type="dxa"/>
          <w:left w:w="28" w:type="dxa"/>
          <w:bottom w:w="28" w:type="dxa"/>
          <w:right w:w="28" w:type="dxa"/>
        </w:tblCellMar>
      </w:tblPr>
      <w:tblGrid>
        <w:gridCol w:w="565"/>
        <w:gridCol w:w="220"/>
        <w:gridCol w:w="221"/>
        <w:gridCol w:w="203"/>
        <w:gridCol w:w="203"/>
        <w:gridCol w:w="141"/>
        <w:gridCol w:w="109"/>
        <w:gridCol w:w="109"/>
        <w:gridCol w:w="109"/>
        <w:gridCol w:w="240"/>
        <w:gridCol w:w="241"/>
        <w:gridCol w:w="191"/>
        <w:gridCol w:w="109"/>
        <w:gridCol w:w="109"/>
        <w:gridCol w:w="109"/>
        <w:gridCol w:w="109"/>
        <w:gridCol w:w="109"/>
        <w:gridCol w:w="109"/>
        <w:gridCol w:w="203"/>
        <w:gridCol w:w="203"/>
        <w:gridCol w:w="141"/>
        <w:gridCol w:w="109"/>
        <w:gridCol w:w="109"/>
        <w:gridCol w:w="109"/>
        <w:gridCol w:w="203"/>
        <w:gridCol w:w="203"/>
        <w:gridCol w:w="191"/>
        <w:gridCol w:w="109"/>
        <w:gridCol w:w="109"/>
        <w:gridCol w:w="109"/>
        <w:gridCol w:w="203"/>
        <w:gridCol w:w="203"/>
        <w:gridCol w:w="171"/>
        <w:gridCol w:w="109"/>
        <w:gridCol w:w="109"/>
        <w:gridCol w:w="109"/>
        <w:gridCol w:w="203"/>
        <w:gridCol w:w="203"/>
        <w:gridCol w:w="191"/>
        <w:gridCol w:w="109"/>
        <w:gridCol w:w="109"/>
        <w:gridCol w:w="109"/>
        <w:gridCol w:w="203"/>
        <w:gridCol w:w="203"/>
        <w:gridCol w:w="171"/>
        <w:gridCol w:w="109"/>
        <w:gridCol w:w="109"/>
        <w:gridCol w:w="109"/>
        <w:gridCol w:w="203"/>
        <w:gridCol w:w="203"/>
        <w:gridCol w:w="191"/>
        <w:gridCol w:w="109"/>
        <w:gridCol w:w="109"/>
        <w:gridCol w:w="109"/>
        <w:gridCol w:w="314"/>
        <w:gridCol w:w="317"/>
        <w:gridCol w:w="251"/>
        <w:gridCol w:w="109"/>
        <w:gridCol w:w="109"/>
        <w:gridCol w:w="109"/>
        <w:gridCol w:w="290"/>
        <w:gridCol w:w="290"/>
        <w:gridCol w:w="291"/>
        <w:gridCol w:w="327"/>
        <w:gridCol w:w="556"/>
        <w:gridCol w:w="231"/>
        <w:gridCol w:w="327"/>
        <w:gridCol w:w="406"/>
        <w:gridCol w:w="171"/>
        <w:gridCol w:w="327"/>
        <w:gridCol w:w="556"/>
        <w:gridCol w:w="191"/>
        <w:gridCol w:w="327"/>
        <w:gridCol w:w="680"/>
        <w:gridCol w:w="341"/>
        <w:gridCol w:w="327"/>
        <w:gridCol w:w="616"/>
        <w:gridCol w:w="232"/>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Convertible</w:t>
              <w:b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Members' </w:t>
              <w:br/>
              <w:t xml:space="preserve">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 xml:space="preserve">Equity </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Units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December 31, 2020</w:t>
            </w:r>
          </w:p>
        </w:tc>
        <w:tc>
          <w:tcPr>
            <w:tcW w:w="5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7,500 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20,117 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20,117 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prior to Reorganization Transactions</w:t>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669 </w:t>
            </w:r>
          </w:p>
        </w:tc>
        <w:tc>
          <w:tcPr>
            <w:tcW w:w="23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Effect of Reorganization Transactions</w:t>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28,237 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(20,786)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7,500 </w:t>
            </w:r>
          </w:p>
        </w:tc>
        <w:tc>
          <w:tcPr>
            <w:tcW w:w="23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stock in initial public offering, net of underwriting and offering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228,175 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228,185 </w:t>
            </w:r>
          </w:p>
        </w:tc>
        <w:tc>
          <w:tcPr>
            <w:tcW w:w="23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 of Class B common stock for Class A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stock in connection with vesting of restricted stock units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treasury stock in connection with the taxes paid related to net share settlement of equity awards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(15,045)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(15,045)</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Reissuance of treasury stock in connection with equity- based compensation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(12,397)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12,397 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Allocation of equity to noncontrolling interests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(252,948)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252,948 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Accrued member tax distributions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79,839 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79,839 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(7,742)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(30,536)</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(38,278)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December 31, 2021</w:t>
            </w:r>
          </w:p>
        </w:tc>
        <w:tc>
          <w:tcPr>
            <w:tcW w:w="5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222,412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4"/>
              </w:rPr>
            </w:pPr>
            <w:r>
              <w:rPr>
                <w:rFonts w:ascii="Times New Roman;sans-serif" w:hAnsi="Times New Roman;sans-serif"/>
                <w:b w:val="false"/>
                <w:color w:val="000000"/>
                <w:sz w:val="14"/>
              </w:rPr>
              <w:t>282,574</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stock in connection with vesting of restricted stock units</w:t>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 of Class B common stock for Class A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treasury stock in connection with the taxes paid related to net share settlement of equity awards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Reissuance of treasury stock in connection with equity- based compensation plans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(4,209)</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Allocation of equity to noncontrolling interests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(20,284)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20,284 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Accrued member tax distributions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33,330 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33,330 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(11,913)</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(36,176)</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(48,089)</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December 31, 2022</w:t>
            </w:r>
          </w:p>
        </w:tc>
        <w:tc>
          <w:tcPr>
            <w:tcW w:w="5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4"/>
              </w:rPr>
            </w:pPr>
            <w:r>
              <w:rPr>
                <w:rFonts w:ascii="Times New Roman;sans-serif" w:hAnsi="Times New Roman;sans-serif"/>
                <w:b w:val="false"/>
                <w:color w:val="000000"/>
                <w:sz w:val="14"/>
              </w:rPr>
              <w:t>265,768</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Cumulative impact of ASU 2016-13 adoption (CECL)</w:t>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w:t>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w:t>
            </w:r>
          </w:p>
        </w:tc>
        <w:tc>
          <w:tcPr>
            <w:tcW w:w="2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stock in connection with vesting of restricted stock units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VIANT TECHNOLOGY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CONSOLIDATED STATEMENTS OF CONVERTIBLE PREFERRED UNITS AND EQUITY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thousands)</w:t>
      </w:r>
    </w:p>
    <w:tbl>
      <w:tblPr>
        <w:tblW w:w="16406" w:type="dxa"/>
        <w:jc w:val="center"/>
        <w:tblInd w:w="0" w:type="dxa"/>
        <w:tblLayout w:type="fixed"/>
        <w:tblCellMar>
          <w:top w:w="28" w:type="dxa"/>
          <w:left w:w="28" w:type="dxa"/>
          <w:bottom w:w="28" w:type="dxa"/>
          <w:right w:w="28" w:type="dxa"/>
        </w:tblCellMar>
      </w:tblPr>
      <w:tblGrid>
        <w:gridCol w:w="427"/>
        <w:gridCol w:w="244"/>
        <w:gridCol w:w="245"/>
        <w:gridCol w:w="203"/>
        <w:gridCol w:w="203"/>
        <w:gridCol w:w="141"/>
        <w:gridCol w:w="109"/>
        <w:gridCol w:w="109"/>
        <w:gridCol w:w="109"/>
        <w:gridCol w:w="181"/>
        <w:gridCol w:w="406"/>
        <w:gridCol w:w="109"/>
        <w:gridCol w:w="109"/>
        <w:gridCol w:w="109"/>
        <w:gridCol w:w="109"/>
        <w:gridCol w:w="109"/>
        <w:gridCol w:w="109"/>
        <w:gridCol w:w="109"/>
        <w:gridCol w:w="203"/>
        <w:gridCol w:w="203"/>
        <w:gridCol w:w="141"/>
        <w:gridCol w:w="109"/>
        <w:gridCol w:w="109"/>
        <w:gridCol w:w="109"/>
        <w:gridCol w:w="181"/>
        <w:gridCol w:w="406"/>
        <w:gridCol w:w="109"/>
        <w:gridCol w:w="109"/>
        <w:gridCol w:w="109"/>
        <w:gridCol w:w="109"/>
        <w:gridCol w:w="203"/>
        <w:gridCol w:w="203"/>
        <w:gridCol w:w="171"/>
        <w:gridCol w:w="109"/>
        <w:gridCol w:w="109"/>
        <w:gridCol w:w="109"/>
        <w:gridCol w:w="181"/>
        <w:gridCol w:w="286"/>
        <w:gridCol w:w="109"/>
        <w:gridCol w:w="109"/>
        <w:gridCol w:w="109"/>
        <w:gridCol w:w="109"/>
        <w:gridCol w:w="203"/>
        <w:gridCol w:w="203"/>
        <w:gridCol w:w="171"/>
        <w:gridCol w:w="109"/>
        <w:gridCol w:w="109"/>
        <w:gridCol w:w="109"/>
        <w:gridCol w:w="181"/>
        <w:gridCol w:w="286"/>
        <w:gridCol w:w="109"/>
        <w:gridCol w:w="109"/>
        <w:gridCol w:w="109"/>
        <w:gridCol w:w="109"/>
        <w:gridCol w:w="181"/>
        <w:gridCol w:w="616"/>
        <w:gridCol w:w="109"/>
        <w:gridCol w:w="109"/>
        <w:gridCol w:w="109"/>
        <w:gridCol w:w="109"/>
        <w:gridCol w:w="181"/>
        <w:gridCol w:w="581"/>
        <w:gridCol w:w="109"/>
        <w:gridCol w:w="327"/>
        <w:gridCol w:w="181"/>
        <w:gridCol w:w="406"/>
        <w:gridCol w:w="109"/>
        <w:gridCol w:w="327"/>
        <w:gridCol w:w="406"/>
        <w:gridCol w:w="171"/>
        <w:gridCol w:w="327"/>
        <w:gridCol w:w="181"/>
        <w:gridCol w:w="481"/>
        <w:gridCol w:w="109"/>
        <w:gridCol w:w="327"/>
        <w:gridCol w:w="203"/>
        <w:gridCol w:w="694"/>
        <w:gridCol w:w="124"/>
        <w:gridCol w:w="327"/>
        <w:gridCol w:w="181"/>
        <w:gridCol w:w="616"/>
        <w:gridCol w:w="154"/>
      </w:tblGrid>
      <w:tr>
        <w:trPr/>
        <w:tc>
          <w:tcPr>
            <w:tcW w:w="4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Convertible</w:t>
              <w:b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Members'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Equity</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stock in connection with exercise of stock options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 of Class B common stock for Class A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treasury stock in connection with the taxes paid related to net share settlement of equity awards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Reissuance of treasury stock in connection with equity- based compensation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Allocation of equity to noncontrolling interests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Accrued member tax distributions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(6,500)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December 31, 2023</w:t>
            </w:r>
          </w:p>
        </w:tc>
        <w:tc>
          <w:tcPr>
            <w:tcW w:w="54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(43,509)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206,132 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274,389 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VIANT TECHNOLOGY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CASH FLOWS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thousands)</w:t>
      </w:r>
    </w:p>
    <w:tbl>
      <w:tblPr>
        <w:tblW w:w="10061" w:type="dxa"/>
        <w:jc w:val="center"/>
        <w:tblInd w:w="0" w:type="dxa"/>
        <w:tblLayout w:type="fixed"/>
        <w:tblCellMar>
          <w:top w:w="28" w:type="dxa"/>
          <w:left w:w="28" w:type="dxa"/>
          <w:bottom w:w="28" w:type="dxa"/>
          <w:right w:w="28" w:type="dxa"/>
        </w:tblCellMar>
      </w:tblPr>
      <w:tblGrid>
        <w:gridCol w:w="2260"/>
        <w:gridCol w:w="1982"/>
        <w:gridCol w:w="1997"/>
        <w:gridCol w:w="196"/>
        <w:gridCol w:w="736"/>
        <w:gridCol w:w="109"/>
        <w:gridCol w:w="109"/>
        <w:gridCol w:w="109"/>
        <w:gridCol w:w="109"/>
        <w:gridCol w:w="196"/>
        <w:gridCol w:w="736"/>
        <w:gridCol w:w="109"/>
        <w:gridCol w:w="109"/>
        <w:gridCol w:w="109"/>
        <w:gridCol w:w="109"/>
        <w:gridCol w:w="196"/>
        <w:gridCol w:w="736"/>
        <w:gridCol w:w="154"/>
      </w:tblGrid>
      <w:tr>
        <w:trPr/>
        <w:tc>
          <w:tcPr>
            <w:tcW w:w="22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(recovery of) doubtful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net of underwriting discounts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member tax distributions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offering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member tax distributions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 obtained in exchange for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included in 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assets financed by accounts payable and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gain on extinguishment of debt related to Paycheck Protection Program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1. Nature of Operations</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Viant Technology Inc. (the “Company,” “we,” “us,” “our” or “Viant”) was incorporated in the State of Delaware on October 9, 2020</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231F20"/>
          <w:sz w:val="20"/>
        </w:rPr>
        <w:t>The Company operates a demand side platform ("DSP") that is used by marketers and their advertising agencies to centralize the planning, buying and measurement of their advertising across most channels, including desktop, mobile, connected TV, linear TV, in-game, streaming audio and digital billboards.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9, 2021, the Securities and Exchange Commission (“SEC”) declared effective the Company’s Form S-1 related to the initial public offering ("IPO") of its Class A common stock. The closing date of the IPO was February 12, 2021, and in connection with the closing and the corporate reorganization (the “Reorganization Transactions”), the following actions were taken: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Company amended and restated its certificate of incorporation, under which the Company is authorized to issue up to 450,000,000 shares of Class A common stock, up to 150,000,000 shares of Class B common stock, and up to 10,000,000 shares of preferred stock;</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shd w:fill="FFFFFF" w:val="clear"/>
        </w:rPr>
        <w:t>The limited liability company agreement of Viant Technology LLC was amended and restated (as amended and restated, the “Viant Technology LLC Agreement”) to, among other things, provide for Class A units and Class B units and appoint the Company as the sole managing member of Viant Technology LLC;</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Viant Technology LLC Agreement classified the interests acquired by the Company as Class A units, reclassified the interests held by the continuing members of Viant Technology LLC as Class B units, and permits the continuing members of Viant Technology LLC to exchange Class B units for shares of Class A common stock of Viant Technology Inc. on a one-for-one basis or, at the election of Viant Technology Inc., for cash at the current fair value on the date of the exchange. Immediately following such reclassification, the continuing members held 48,935,559 Class B units.</w:t>
      </w:r>
      <w:r>
        <w:rPr>
          <w:color w:val="000000"/>
          <w:shd w:fill="FFFFFF" w:val="clear"/>
        </w:rPr>
        <w:t xml:space="preserve"> </w:t>
      </w:r>
      <w:r>
        <w:rPr>
          <w:rFonts w:ascii="Times New Roman;sans-serif" w:hAnsi="Times New Roman;sans-serif"/>
          <w:b w:val="false"/>
          <w:color w:val="000000"/>
          <w:sz w:val="20"/>
          <w:shd w:fill="FFFFFF" w:val="clear"/>
        </w:rPr>
        <w:t>For each membership unit of Viant Technology LLC that was reclassified as a Class B unit, the Company issued one corresponding share of our Class B common stock to the continuing members, or 48,935,559 shares of Class B common stock in total;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shd w:fill="FFFFFF" w:val="clear"/>
        </w:rPr>
        <w:t>The Company issued and sold 10,000,000 shares of its Class A common stock to the underwriters at an IPO price of $25.00 per share, for gross proceeds of $250.0 million before deducting underwriting discounts and commissions of $17.5 million;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The Company used the net proceeds of $232.5 million </w:t>
      </w:r>
      <w:r>
        <w:rPr>
          <w:rFonts w:ascii="Times New Roman;sans-serif" w:hAnsi="Times New Roman;sans-serif"/>
          <w:b w:val="false"/>
          <w:color w:val="000000"/>
          <w:sz w:val="20"/>
          <w:shd w:fill="FFFFFF" w:val="clear"/>
        </w:rPr>
        <w:t>to acquire 10,000,000 newly issued Class A units of Viant Technology LLC at a per-unit price equal to the per-share price paid by the underwriters for shares of our Class A common stock;</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underwriters exercised their option to purchase 1,500,000 additional shares of Class A common stock from the selling stockholders in the IPO. The Company did not receive any proceeds from the sale of shares by the selling stockholders. Pursuant to such exercise, the selling stockholders exchanged the corresponding number of Class B units for the shares of Class A common stock, the corresponding number of shares of Class B common stock were automatically retired, and 1,500,000 Class A units were issued to the Company;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Class B stockholders and Class A stockholders initially had 80.5% and 19.5%, respectively, of the combined voting power of the Company’s common stock. The Class A common stock outstanding represents 100% of the rights of the holders of all classes of the Company’s outstanding common stock to share in distributions from the Company, except for the right of Class B stockholders to receive the par value of the Class B common stock upon our liquidation, dissolution or winding up or an exchange of Class B units;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Company entered into a Registration Rights Agreement with the Class B stockholders to provide for certain rights and restrictions after the IPO;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Viant Technology LLC’s 2020 Equity Based Incentive Compensation Plan (the “Phantom Unit Plan”) was terminated and replaced with the Company’s 2021 Long Term Incentive Plan (the “LTIP”).</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Immediately following the closing of the IPO, Viant Technology LLC became the predecessor of the Company for financial reporting purposes. Viant Technology Inc. is a holding company, and its sole material asset is its equity interest in Viant Technology LLC. As the sole managing member of Viant Technology LLC, the Company operates and controls all of the business and affairs of Viant Technology LLC. The Reorganization Transactions are accounted for as a reorganization of entities under common control. As a result, the consolidated financial statements of the Company recognize the assets and liabilities received in the Reorganization Transactions at their historical carrying amounts, as reflected in the historical consolidated financial statements of Viant Technology LLC. The Company consolidates Viant Technology LLC in its consolidated financial statements and records a noncontrolling interest related to the Class B units held by the Class B stockholders on its consolidated balance sheets, and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2. Basis of Presentation and Summary of Significant Accounting Policies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are prepared in accordance with accounting principles generally accepted in the United States of America (“GAAP”) and include the operations of the Company, Viant Technology LLC and its wholly owned subsidiaries. Viant Technology LLC is considered a variable interest entity (“VIE”). The Company is the primary beneficiary and sole managing member of Viant Technology LLC and has decision making authority that significantly affects the economic performance of the entity. As a result, the Company consolidates Viant Technology LLC. All intercompany balances and transactions have been eliminated in consolidation.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Viant Technology LLC has been determined to be the predecessor for accounting purposes and, accordingly, the consolidated financial statements for periods prior to the IPO and the related Reorganization Transactions have been adjusted to combine the previously separate entities for presentation purposes. Amounts for the period prior to February 12, 2021 presented in the consolidated financial statements and notes to consolidated financial statements herein represent the historical operations of Viant Technology LLC. The amounts as of and for the years ended December 31, 2023, December 31, 2022, and December 31, 2021 and the operations since February 12, 2021 reflect the consolidated operations of the Company.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accompanying consolidated financial statements reflect the adjustments necessary for the fair statement of its consolidated balance sheets as of December 31, 2023 and 2022, statements of operations for the years ended December 31, 2023, 2022 and 2021, and cash flows for the years ended December 31, 2023, 2022 and 2021.</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 On an ongoing basis, management evaluates its estimates, primarily those related to revenue recognition, stock-based compensation, income taxes, allowances for doubtful accounts, the useful lives of capitalized software development costs and other property, equipment and software and assumptions used in the impairment analyses of long-lived assets and goodwill.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widespread macroeconomic and geopolitical uncertainties, including the impact of bank failures, rising interest rates, inflationary pressures, labor shortages, shortages of goods and services, supply chain constraints, pandemics, international conflicts and acts of terrorism on our business continues to evolve. Many of our estimates and assumptions consider these macroeconomic and geopolitical factors in the market, which require increased judgment and carry a higher degree of variability and volatility. As events continue to evolve and additional information becomes available on the potential impact on our business of global economic and business events, our estimates may change materially in future periods as a result.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net loss is equal to comprehensive loss.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single reportable operating segment which operates an enterprise technology platform that enables marketers and their advertising agencies to automate and centralize the planning, buying and measurement of their video, audio and display ads across all channels, including desktop, mobile, connected TV, linear TV, in-game, streaming audio and digital billboards in the United States. In reaching this conclusion, management considers the definition of the chief operating decision maker (“CODM”), how the business is defined by the CODM, the nature of the information provided to the CODM and how that information is used to make operating decisions, allocate resources and assess performance. The Company’s CODM is comprised of the chief executive officer and chief operating officer. The results of operations provided to and analyzed by the CODM are at the consolidated level and, accordingly, key resource decisions and assessment of performance are performed at the consolidated level. The Company assesses its determination of operating segments at least annually.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generates its revenue by providing marketers and advertising agencies with the ability to plan, buy and measure their digital advertising campaigns using its people-based DSP. Our platform enables marketers to reach their target audience across desktop, mobile, connected TV, linear TV, in-game, streaming audio and digital billboards.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applies a five-step approach as defined in Financial Accounting Standards Board (“FASB”) Accounting Standards Codification (“ASC”) 606, Revenue from Contracts with Customers (“ASC 606”), in determining the amount and timing of revenue to be recognized: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Identification of a contract with a customer;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Recognition of revenue when or as the performance obligations are satisfied.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make our platform available through different pricing options to tailor to multiple customer types and customer needs. These options consist of a percentage of spend option and a fixed cost per mille (“CPM”) option. CPM refers to a payment option in which customers pay a price for every 1,000 impressions an ad receives. We generate revenue when our platform is used on a self-service basis by charging a platform fee that is a percentage of spend. We also offer our customers the ability to use our services to aid in data management, media execution and advanced reporting. When customers utilize these services, we generate revenue by charging (1) a separate service fee that represents a percentage of spend in addition to the platform fee; (2) a flat monthly fee; or (3) a fixed CPM.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agreements with our customers in the form of master service agreements (“MSA”) in connection with the percentage of spend pricing option, as well as instances where we charge our customers a flat monthly fee. We maintain insertion orders (“IO”) in connection with the fixed CPM pricing option, which set out the terms of the relationship and use of our platform. The nature of our performance obligations is to enable customers to plan, buy and measure advertising campaigns using our platform and provide campaign execution services as requested.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percentage of spend pricing option, we typically bill customers a platform fee, and in certain instances an additional service fee, which is based on a specified percentage of the customer’s purchases through the platform as well as fees for additional features such as data and advanced reporting, plus the cost of TAC, as defined below. We recognize revenue at the point in time when a purchase by the customer occurs through our platform.</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determination of whether revenue for the percentage of spend pricing option should be reported on a gross or net basis is based on an assessment of whether we are acting as the principal or an agent in the transaction. In determining whether we are acting as the principal or an agent, we follow the accounting guidance for principal-agent considerations. Making such determinations involves judgment and is based on an evaluation of the terms of each arrangement, none of which are considered presumptive or determinative.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instances discussed above related to the percentage of spend pricing option, </w:t>
      </w:r>
      <w:r>
        <w:rPr>
          <w:rFonts w:ascii="Times New Roman;sans-serif" w:hAnsi="Times New Roman;sans-serif"/>
          <w:b w:val="false"/>
          <w:color w:val="000000"/>
          <w:sz w:val="20"/>
          <w:shd w:fill="FFFFFF" w:val="clear"/>
        </w:rPr>
        <w:t xml:space="preserve">we typically act as an agent because </w:t>
      </w:r>
      <w:r>
        <w:rPr>
          <w:rFonts w:ascii="Times New Roman;sans-serif" w:hAnsi="Times New Roman;sans-serif"/>
          <w:b w:val="false"/>
          <w:color w:val="000000"/>
          <w:sz w:val="20"/>
        </w:rPr>
        <w:t xml:space="preserve">we arrange for the transfer of such costs from the supplier to the customer through the use of our platform and do not control such features prior to transfer to the customer. We do not have primary responsibility for meeting customer specifications and do not have discretion in establishing the price of TAC related to this pricing option. </w:t>
      </w:r>
      <w:r>
        <w:rPr>
          <w:rFonts w:ascii="Times New Roman;sans-serif" w:hAnsi="Times New Roman;sans-serif"/>
          <w:b w:val="false"/>
          <w:color w:val="000000"/>
          <w:sz w:val="20"/>
          <w:shd w:fill="FFFFFF" w:val="clear"/>
        </w:rPr>
        <w:t>As we act as the agent in these arrangements, we report revenue on a net basis.</w:t>
      </w:r>
      <w:r>
        <w:rPr>
          <w:color w:val="000000"/>
        </w:rPr>
        <w:t xml:space="preserve"> </w:t>
      </w:r>
      <w:r>
        <w:rPr>
          <w:rFonts w:ascii="Times New Roman;sans-serif" w:hAnsi="Times New Roman;sans-serif"/>
          <w:b w:val="false"/>
          <w:color w:val="000000"/>
          <w:sz w:val="20"/>
          <w:shd w:fill="FFFFFF" w:val="clear"/>
        </w:rPr>
        <w:t>In certain percentage of spend arrangements, we act as a principal because we control the advertising inventory before it is transferred to the customer and we bear sole responsibility for fulfillment of the advertising promise and inventory risks. As we act as the principal in these arrangements, we report revenue and the related costs incurred on a gross basis.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For the fixed CPM pricing option, we typically bill customers a fixed CPM price based on advertising impressions delivered through the platform and recognize revenue at the point in time when the advertising impressions are delivered. In certain cases, we also provide third party data segments and measurement reporting, which are recognized at the point in time they are delivered to the customer. We have the primary responsibility for meeting customer specifications and have discretion in establishing the price of TAC related to this pricing option. </w:t>
      </w:r>
      <w:r>
        <w:rPr>
          <w:rFonts w:ascii="Times New Roman;sans-serif" w:hAnsi="Times New Roman;sans-serif"/>
          <w:b w:val="false"/>
          <w:color w:val="000000"/>
          <w:sz w:val="20"/>
          <w:shd w:fill="FFFFFF" w:val="clear"/>
        </w:rPr>
        <w:t>As we act as the principal in these arrangements, we report revenue and the related costs incurred on a gross basis.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invoices its customers on a monthly basis for all pricing options. Invoice payment terms, negotiated on a customer-by-customer basis, are typically 30 to 60 days. Advertising agency customers typically have sequential liability terms, which means payments are not due to the Company from its advertising agency customer until the advertising agency customer has received payment from its customer, the advertiser.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contract assets recorded on the consolidated balance sheets because the Company’s right to any unbilled consideration for performance obligations satisfied is only conditional upon the passage of time. Contract liabilities, or deferred revenue, are recorded for amounts that are collected in advance of the satisfaction of performance obligations. These liabilities are classified as current if the respective performance obligations are anticipated to be satisfied during the succeeding 12-month period per the terms of the contract, and the remaining portion is recorded as non-current deferred revenue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ASC 606 provides various optional practical expedients. The Company elected the use of the practical expedient relating to the disclosure of remaining performance obligations within a contract and will not disclose remaining performance obligations for contracts with an original expected duration of one year or less.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classify our operating expenses into the following four categories. Each expense category includes overhead such as rent and occupancy charges, which is allocated based on headcount.</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Platform Operations. </w:t>
      </w:r>
      <w:r>
        <w:rPr>
          <w:rFonts w:ascii="Times New Roman;sans-serif" w:hAnsi="Times New Roman;sans-serif"/>
          <w:b w:val="false"/>
          <w:color w:val="000000"/>
          <w:sz w:val="20"/>
        </w:rPr>
        <w:t>Platform operations expense represents our cost of revenues, which consists of TAC, hosting costs, personnel costs, depreciation of capitalized software development costs, customer support costs and allocated overhead. TAC recorded in platform operations consists of amounts incurred and payable to suppliers for costs associated with our fixed CPM pricing option and certain arrangements related to our percentage of spend pricing option. Personnel costs within platform operations include salaries, bonuses, stock-based compensation and employee benefit costs primarily attributable to personnel who directly support our platform.</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Sales and marketing expense consists primarily of personnel costs, including salaries, bonuses, stock-based compensation, employee benefit costs and commissions for our sales personnel. Sales and marketing expense also includes costs for market development programs, advertising, promotional and other marketing activities and allocated overhead. Commissions are expensed as incurred.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advertising costs of $3.4 million, $9.3 million, and $4.1 million for the years ended December 31, 2023, 2022 and 2021, respectively, related to the promotion of the Company, its brands, products and services to potential customers. Advertising costs are expensed as incurred and recorded in sales and marketing expense within the consolidated statements of operations.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Technology and Development. </w:t>
      </w:r>
      <w:r>
        <w:rPr>
          <w:rFonts w:ascii="Times New Roman;sans-serif" w:hAnsi="Times New Roman;sans-serif"/>
          <w:b w:val="false"/>
          <w:color w:val="000000"/>
          <w:sz w:val="20"/>
        </w:rPr>
        <w:t>Technology and development expense consists primarily of personnel costs, including salaries, bonuses, stock-based compensation and employee benefit costs associated with the ongoing development and maintenance of our platform and allocated overhead. Technology and development costs are expensed as incurred, except to the extent that such costs are associated with software development that qualifies for capitalization, which are then recorded as capitalized software development costs included in "Property, equipment, and software, net", on the consolidated balance sheets. We record depreciation for capitalized software not related to our platform within technology and development expense.</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General and administrative expense consists primarily of personnel costs, including salaries, bonuses, stock-based compensation and employee benefit costs associated with our executive, accounting, finance, legal, human resources, and other administrative personnel. Additionally, this includes accounting, legal and other professional services fees, insurance expense, bad debt expense and allocated overhead.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relates to equity awards granted under the Company’s LTIP, which is measured and recognized in the consolidated financial statements based on the fair value of the equity awards granted. Since inception of the LTIP, the Company has only granted restricted stock units (“RSUs”) and nonqualified stock options. The fair value of RSUs is calculated using the closing market price of the Company’s Class A common stock on the date of grant. The fair value of nonqualified stock options is estimated using the Black-Scholes option pricing model. The Black-Scholes option pricing model is impacted by the fair value of the Company’s Class A common stock, as well as changes in certain assumptions, including but not limited to, the expected Class A common stock price volatility over the term of the nonqualified stock options, the expected term of the nonqualified stock options, the risk-free interest rate, and the expected dividend yield. The Company records compensation for all equity awards under the LTIP under the straight-line attribution method over the requisite service period. The Company has elected the accounting policy for stock-based compensation to account for forfeitures as they occur.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RSUs granted during the year ended December 31, 2021 to certain employees and board members, pursuant to the LTIP, vested upon expiration of the 180 day IPO lock-up period during the fiscal year ended December 31, 2021. The remainder of RSUs and nonqualified stock options granted to employees will vest through the applicable vesting dates. RSUs generally vest over a period of two-to-four years, contingent upon employment on the vesting date. RSUs awarded to board members upon their appointment will vest on the third anniversary of the grant date and RSUs awarded to board members annually will vest on the first anniversary of the grant date. Nonqualified stock options generally vest over a period of two-to-four years and have a contractual term of ten years.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Earnings (Loss) Per Share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(loss) per share is calculated by dividing the earnings (loss) attributable to Class A common stockholders by the number of weighted-average shares of Class A common stock outstanding. The Company’s RSUs, nonqualified stock options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 do not share in the earnings or losses of the Company and are therefore not participating securities. As such, separate presentation of basic and diluted earnings (loss) per share of RSUs, nonqualified stock options and Class B common stock under the two-class method has not been presented.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(loss) per share adjusts the basic earnings (loss) per share calculation for the potential dilutive impact of common shares such as equity awards using the treasury-stock method. Diluted earnings per share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however, the shares have been excluded from the computation of diluted earnings per share of Class A common stock for the years ended December 31, 2023, 2022, and 2021 because the effect would have been anti-dilutive under the if-converted method and treasury-stock method.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balance sheet presentation and reporting of cash flows, the Company considers all highly liquid investments purchased with a maturity of three months or less to be cash equivalents. Cash and cash equivalents are comprised of cash in bank accounts and money market funds for which the carrying value approximates fair value due to their short-term nature. Cash equivalents are valued based on Level 1 inputs which consist of quoted prices in active markets. As of December 31, 2023, cash equivalents included money market funds of $188.0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 Net of Allowances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are recorded at the invoiced amount, net of an allowance for doubtful accounts, and are unsecured and do not bear interest. The Company performs credit evaluations of its customers and certain advertisers when the Company’s agreements with its customers contain sequential liability terms that provide that the customer payments are not due to the Company until the customer has received payment from its customers (advertisers). The allowance for doubtful accounts is based on the best estimate of the amount of expected credit losses in accounts receivable. The allowance for doubtful accounts is determined based on historical collection experience, our assessment of the financial condition of companies with which we do business, current macroeconomic conditions, and reasonable and supportable forecasts of future macroeconomic conditions, as well as the review in each period of the status of the then-outstanding accounts receivable. Account balances are charged off against the allowance when the Company believes it is probable the receivable will not be recovered. Recoveries of accounts receivable previously written off are recorded when received.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the allowance for doubtful accounts:</w:t>
      </w:r>
    </w:p>
    <w:tbl>
      <w:tblPr>
        <w:tblW w:w="6025" w:type="dxa"/>
        <w:jc w:val="center"/>
        <w:tblInd w:w="0" w:type="dxa"/>
        <w:tblLayout w:type="fixed"/>
        <w:tblCellMar>
          <w:top w:w="28" w:type="dxa"/>
          <w:left w:w="28" w:type="dxa"/>
          <w:bottom w:w="28" w:type="dxa"/>
          <w:right w:w="28" w:type="dxa"/>
        </w:tblCellMar>
      </w:tblPr>
      <w:tblGrid>
        <w:gridCol w:w="1315"/>
        <w:gridCol w:w="1154"/>
        <w:gridCol w:w="1160"/>
        <w:gridCol w:w="225"/>
        <w:gridCol w:w="659"/>
        <w:gridCol w:w="116"/>
        <w:gridCol w:w="116"/>
        <w:gridCol w:w="116"/>
        <w:gridCol w:w="116"/>
        <w:gridCol w:w="225"/>
        <w:gridCol w:w="659"/>
        <w:gridCol w:w="164"/>
      </w:tblGrid>
      <w:tr>
        <w:trPr/>
        <w:tc>
          <w:tcPr>
            <w:tcW w:w="131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impact of accounting adoption</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Property, Equipment and Software, Net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are recorded at historical cost, less accumulated depreciation. Depreciation is computed using the straight-line method based upon the following estimated useful lives:</w:t>
      </w:r>
    </w:p>
    <w:tbl>
      <w:tblPr>
        <w:tblW w:w="3991" w:type="dxa"/>
        <w:jc w:val="center"/>
        <w:tblInd w:w="0" w:type="dxa"/>
        <w:tblLayout w:type="fixed"/>
        <w:tblCellMar>
          <w:top w:w="28" w:type="dxa"/>
          <w:left w:w="28" w:type="dxa"/>
          <w:bottom w:w="28" w:type="dxa"/>
          <w:right w:w="28" w:type="dxa"/>
        </w:tblCellMar>
      </w:tblPr>
      <w:tblGrid>
        <w:gridCol w:w="1212"/>
        <w:gridCol w:w="1063"/>
        <w:gridCol w:w="1070"/>
        <w:gridCol w:w="189"/>
        <w:gridCol w:w="189"/>
        <w:gridCol w:w="268"/>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 are depreciated on a straight-line basis over the term of the lease, or the useful life of the assets, whichever is shorter.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Repair and maintenance costs are charged to expense as incurred, while replacements and improvements are capitalized. When assets are retired or otherwise disposed of, the cost and related accumulated depreciation are removed from the accounts and any resulting gain or loss is recorded in operating expenses within the consolidated statements of operations.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Capitalized Software Development Costs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costs associated with creating and enhancing internally developed software related to the Company’s technology infrastructure and such costs are recorded within property, equipment and software, net. These costs include personnel and related employee benefit expenses for employees who are directly associated with and who devote time to software development projects. Software development costs that do not qualify for capitalization are expensed as incurred and recorded in technology and development expense in the consolidated statements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 activities typically consist of three stages: (1) the planning stage; (2) the application and infrastructure development stage; and (3) the post-implementation stage. Costs incurred in the planning and post-implementation stages, including costs associated with training and repairs and maintenance of the developed technologies, are expensed as incurred. The Company capitalizes costs associated with software developed when the preliminary project stage is completed, management implicitly or explicitly authorizes and commits to funding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is ready for its intended purpose. Software development costs are depreciated using a straight-line method over the estimated useful life, commencing when the software is ready for its intended use. The straight-line recognition method approximates the manner in which the expected benefit will be derived.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Capitalized Interest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capitalizes interest on borrowings related to eligible capital expenditures including development costs related to internal use software which is recorded within property, equipment and software, net. Capitalized interest is added to the cost of the qualified assets and depreciated over the estimated useful lives of the assets.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consist of property, equipment and software and intangible assets with estimable useful lives subject to depreciation and amortization. The Company reviews long-lived assets for impairment whenever events or changes in circumstances indicate that the carrying amount of an asset or asset group may not be recoverable. Recoverability of an asset or asset group to be held and used is measured by a comparison of the carrying amount of an asset or asset group to the estimated undiscounted future cash flows expected to be generated by the asset or asset group. If the carrying amount of the asset or asset group exceeds its estimated future cash flows, an impairment charge is recognized in the amount by which the carrying amount of the asset or asset group exceeds the fair value of the asset or asset group.</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tested at least annually for impairment as of the first day of the fourth fiscal quarter, or more frequently if indicators of impairment exist during the fiscal year. Events or circumstances which could trigger an impairment review include a significant adverse change in legal factors or in the business climate, loss of key customers,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expected historical or projected future results of operations. The Company assesses its conclusion regarding reporting units in conjunction with its annual goodwill impairment test and has determined that it has one reporting unit for the purposes of allocating and testing goodwill.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When testing goodwill for impairment, the Company first performs a qualitative assessment. If the Company determines it is more likely than not that a reporting unit’s fair value is less than its carrying amount, then a one-step impairment test is required. If the Company determines it is not more likely than not a reporting unit’s fair value is less than its carrying amount, then no further analysis is necessary. To identify whether a potential impairment exists, the Company compares the estimated fair value of the reporting unit with its carrying amount, including goodwill. If the estimated fair value of the reporting unit exceeds its carrying amount, goodwill is not considered to be impaired. If, however, the fair value of the reporting unit is less than its carrying amount, then such balance would be recorded as an impairment loss. Any impairment loss is limited to the carrying amount of goodwill within the entity.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Paycheck Protection Program Loan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14, 2020, the Company received the proceeds from a loan in the amount of approximately $6.0 million (the “PPP Loan”) from PNC Bank, as lender, pursuant to the Paycheck Protection Program (“PPP”) of the Coronavirus Aid, Relief, and Economic Security Act (the “CARES Act”). The Company accounted for the PPP Loan as a financial liability in accordance with ASC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jc w:val="left"/>
        <w:rPr/>
      </w:pPr>
      <w:r>
        <w:rPr>
          <w:rFonts w:ascii="Times New Roman;sans-serif" w:hAnsi="Times New Roman;sans-serif"/>
          <w:b w:val="false"/>
          <w:color w:val="000000"/>
          <w:sz w:val="20"/>
        </w:rPr>
        <w:t xml:space="preserve">Topic 470, Debt. Accordingly, the PPP Loan was recognized within long-term debt and current portion of long-term debt in the Company’s consolidated balance sheet and the related accrued interest was included within accrued liabilities in the Company’s consolidated balance sheet as of December 31, 2020. In June 2021, </w:t>
      </w:r>
      <w:r>
        <w:rPr>
          <w:rFonts w:ascii="Times New Roman;sans-serif" w:hAnsi="Times New Roman;sans-serif"/>
          <w:b w:val="false"/>
          <w:color w:val="000000"/>
          <w:sz w:val="20"/>
          <w:shd w:fill="FFFFFF" w:val="clear"/>
        </w:rPr>
        <w:t>the Company received a notice of forgiveness of the PPP Loan in whole, including all accrued unpaid interest. The forgiveness of the loan is recognized within "Gain on extinguishment of debt" on the consolidated statement of operations for the year ended December 31, 2021.</w:t>
      </w:r>
      <w:r>
        <w:rPr>
          <w:color w:val="000000"/>
        </w:rPr>
        <w:t xml:space="preserve"> </w:t>
      </w:r>
      <w:r>
        <w:rPr>
          <w:rFonts w:ascii="Times New Roman;sans-serif" w:hAnsi="Times New Roman;sans-serif"/>
          <w:b w:val="false"/>
          <w:color w:val="000000"/>
          <w:sz w:val="20"/>
        </w:rPr>
        <w:t>Refer to Note 8—Revolving Credit Facility and PPP Loan for additional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framework for measuring fair value and related disclosure requirements about fair value measurements are provided in ASC 820, Fair Value Measurement (“ASC 820”). This pronouncement defines fair value as the price that would be received to sell an asset or paid to transfer a liability (an exit price) in the principal or most advantageous market for the asset or liability in an orderly transaction between market participants on the measurement date. The fair value hierarchy prescribed by ASC 820 contains three input levels as follows: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Level 1</w:t>
      </w:r>
      <w:r>
        <w:rPr>
          <w:rFonts w:ascii="Times New Roman;sans-serif" w:hAnsi="Times New Roman;sans-serif"/>
          <w:b w:val="false"/>
          <w:color w:val="000000"/>
          <w:sz w:val="20"/>
        </w:rPr>
        <w:t>: Unadjusted quoted prices in active markets for identical assets or liabilities accessible to the reporting entity at the measurement date.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Level 2</w:t>
      </w:r>
      <w:r>
        <w:rPr>
          <w:rFonts w:ascii="Times New Roman;sans-serif" w:hAnsi="Times New Roman;sans-serif"/>
          <w:b w:val="false"/>
          <w:color w:val="000000"/>
          <w:sz w:val="20"/>
        </w:rPr>
        <w:t>: Other than quoted prices included in Level 1 inputs that are observable for the asset or liability, either directly or indirectly, for substantially the full term of the asset or liability.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Level 3</w:t>
      </w:r>
      <w:r>
        <w:rPr>
          <w:rFonts w:ascii="Times New Roman;sans-serif" w:hAnsi="Times New Roman;sans-serif"/>
          <w:b w:val="false"/>
          <w:color w:val="000000"/>
          <w:sz w:val="20"/>
        </w:rPr>
        <w:t>: Unobservable inputs for the asset or liability used to measure fair value to the extent that observable inputs are not available, thereby allowing for situations in which there is little, if any, market activity for the asset or liability at the measurement date.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the Company’s cash and cash equivalents, accounts receivable, accounts payable, accrued compensation and accrued liabilities approximate fair value due to the short-term nature of these instruments.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 Not Recorded at Fair Value on a Recurring Basis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financial instruments, including debt, are not measured at fair value on a recurring basis in the consolidated balance sheets. The fair value of debt is estimated using primarily level 2 inputs including quoted market prices or discounted cash flow analyses, based on estimated incremental borrowing rates for similar types of borrowing arrangements. As of December 31, 2023, there was no outstanding balance under the Loan Agreement.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Recorded at Fair Value on a Non-Recurring Basis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including goodwill and intangible assets, are subject to measurement at fair value on a non-recurring basis if there are indicators of impairment or if they are deemed to be impaired as a result of an impairment review.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beginning of fiscal 2022, the Company adopted new lease accounting guidance issued by the FASB. The most significant change requires lessees to record the present value of operating lease payments as operating lease assets and lease liabilities on its balance sheet and disclose key information about leasing arrangements.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adopted the new guidance using the modified retrospective method at the beginning of fiscal 2022 by applying the package of practical expedients permitted under the transition guidance, which allowed the Company to carry forward its original assessment of whether: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existing arrangements are or contain leases;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existing arrangements are operating or finance leases;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to capitalize initial direct costs.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Upon adoption, the new guidance resulted in the recognition of operating lease assets of approximately $21.0 million and operating lease liabilities of approximately $22.0 million, which were measured by the present value of the remaining minimum lease payments. In accordance with the guidance, the Company elected the practical expedient to exclude leases with a term of less than one year from the measurement of operating lease assets and lease liabilities. The Company also elected the practical expedient that allows lessees the option to account for lease and non-lease components together as a single component for all real estate classes of underlying assets. At adoption, in the consolidated balance sheet, we also reclassified deferred rent of approximately $1.0 million for operating leases at the end of the fiscal year ended December 31, 2021 from other current liabilities (current portion) and other long-term liabilities (non-current portion) to current portion of operating lease liabilities and long-term portion of operating lease liabilities, respectively. </w:t>
      </w:r>
      <w:r>
        <w:rPr>
          <w:rFonts w:ascii="Times New Roman;sans-serif" w:hAnsi="Times New Roman;sans-serif"/>
          <w:b w:val="false"/>
          <w:color w:val="252525"/>
          <w:sz w:val="20"/>
        </w:rPr>
        <w:t>The impact on the Company’s consolidated statements of operations and cash flows was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ind w:left="0" w:right="0" w:firstLine="540"/>
        <w:jc w:val="left"/>
        <w:rPr/>
      </w:pPr>
      <w:r>
        <w:rPr>
          <w:rFonts w:ascii="Times New Roman;sans-serif" w:hAnsi="Times New Roman;sans-serif"/>
          <w:b w:val="false"/>
          <w:color w:val="252525"/>
          <w:sz w:val="20"/>
        </w:rPr>
        <w:t xml:space="preserve">The present value of the lease payments was calculated using the Company’s incremental borrowing rate applicable to the lease, which is </w:t>
      </w:r>
      <w:r>
        <w:rPr>
          <w:rFonts w:ascii="Times New Roman;sans-serif" w:hAnsi="Times New Roman;sans-serif"/>
          <w:b w:val="false"/>
          <w:color w:val="000000"/>
          <w:sz w:val="20"/>
        </w:rPr>
        <w:t>determined</w:t>
      </w:r>
      <w:r>
        <w:rPr>
          <w:color w:val="252525"/>
        </w:rPr>
        <w:t xml:space="preserve"> </w:t>
      </w:r>
      <w:r>
        <w:rPr>
          <w:rFonts w:ascii="Times New Roman;sans-serif" w:hAnsi="Times New Roman;sans-serif"/>
          <w:b w:val="false"/>
          <w:color w:val="252525"/>
          <w:sz w:val="20"/>
        </w:rPr>
        <w:t>by estimating what it would cost the Company to borrow a collateralized amount equal to the total lease payments over the lease term based on the contractual terms of the lease and the location of the leased asset.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 whether an arrangement is a lease at the contract inception date. Our leases may require us to make fixed rental payments or variable lease payments, which are based on a variety of factors including property values, tax and utility rates, property services fees, and other factors. Since these costs are variable in nature, they are excluded from the measurement of the reported operating lease assets and liabilities and are expensed as incurred. The Company records rent expense for operating leases, some of which have escalating rent payments, on a straight-line basis over the lease term.</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Concentration of Risk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risk consist principally of cash and cash equivalents and accounts receivable. The Company maintains its cash with financial institutions and its cash levels exceed the Federal Deposit Insurance Corporation's federally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 Accounts receivable include amounts due from customers with principal operations primarily in the United States.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one individual customer accounted for 17.9% of consolidated accounts receivable. As of December 31, 2022, no individual customers accounted for 10.0% or greater of consolidated accounts receivable.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three individual suppliers accounted for 16.1%, 14.4% and 11.6%, respectively, of consolidated accounts payable and accrued liabilities. As of December 31, 2022, one supplier accounted for 24.6% of consolidated accounts payable and accrued liabilities.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following table provides the Company’s concentrations of credit risk with respect to advertising agency holding companies and individual customers as a percentage of the Company’s total revenues for the periods presented. </w:t>
      </w:r>
    </w:p>
    <w:tbl>
      <w:tblPr>
        <w:tblW w:w="6518" w:type="dxa"/>
        <w:jc w:val="left"/>
        <w:tblInd w:w="0" w:type="dxa"/>
        <w:tblLayout w:type="fixed"/>
        <w:tblCellMar>
          <w:top w:w="28" w:type="dxa"/>
          <w:left w:w="28" w:type="dxa"/>
          <w:bottom w:w="28" w:type="dxa"/>
          <w:right w:w="28" w:type="dxa"/>
        </w:tblCellMar>
      </w:tblPr>
      <w:tblGrid>
        <w:gridCol w:w="1199"/>
        <w:gridCol w:w="1055"/>
        <w:gridCol w:w="1061"/>
        <w:gridCol w:w="255"/>
        <w:gridCol w:w="256"/>
        <w:gridCol w:w="300"/>
        <w:gridCol w:w="120"/>
        <w:gridCol w:w="120"/>
        <w:gridCol w:w="120"/>
        <w:gridCol w:w="255"/>
        <w:gridCol w:w="256"/>
        <w:gridCol w:w="300"/>
        <w:gridCol w:w="120"/>
        <w:gridCol w:w="120"/>
        <w:gridCol w:w="120"/>
        <w:gridCol w:w="255"/>
        <w:gridCol w:w="256"/>
        <w:gridCol w:w="350"/>
      </w:tblGrid>
      <w:tr>
        <w:trPr/>
        <w:tc>
          <w:tcPr>
            <w:tcW w:w="119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Agency Holding Company</w:t>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&lt;10.0 %</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&lt;10.0 %</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 Customer</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&lt;10.0 %</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&lt;10.0 %</w:t>
            </w:r>
          </w:p>
        </w:tc>
      </w:tr>
    </w:tbl>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Related Party Relationships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Capital V LLC (formerly Four Brothers 2 LLC), the holder of Class B common stock as of December 31, 2023, is controlled by the Company’s co-founders, Tim Vanderhook and Chris Vanderhook, and therefore is considered a related party. Refer to Note 14—Related Parties for additional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the sole managing member of Viant Technology LLC and, as a result, consolidates the financial results of Viant Technology LLC in the consolidated financial statements. Viant Technology LLC is a pass-through entity for U.S. federal and most applicable state and local income tax purposes following a corporate reorganization effected in connection with our initial public offering. As an entity classified as a partnership for tax purposes, Viant Technology LLC generally is not subject to U.S. federal and certain state and local income taxes. Any taxable income or loss generated by Viant Technology LLC is passed through to and included in the taxable income or loss of its members, including us. The Company is taxed as a corporation and pays corporate federal, state and local taxes with respect to income allocated from Viant Technology LLC, based on the Company's 25.1% interest in Viant Technology LLC.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under the asset and liability method, which requires the recognition of deferred tax assets and liabilities (“DTAs” and “DTLs”) for the expected future tax consequences of events that have been included in the financial statements. Under this method, we determine DTAs and DTLs on the basis of the differences between the financial statement and tax bases of assets and liabilities by using enacted tax rates in effect for the year in which the differences are expected to reverse. The effect of a change in tax rates on DTAs and DTLs is recognized in income in the period that includes the enactment date. We recognize DTAs to the extent that we believe that these assets are more likely than not to be realized. In making such a determination, we consider all available positive and negative evidence, including future reversals of existing taxable temporary differences,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future taxable income, tax-planning strategies, carryback potential if permitted under the tax law and results of recent operations. If we determine that we would be able to realize our DTAs in the future in excess of their net recorded amount, we would make an adjustment to the DTA valuation allowance, which would reduce the provision for income taxes.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Tax Receivable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to obtain an increase in its share of tax basis in the net assets of Viant Technology LLC when Class B units are exchanged by the holders of Class B units for shares of Class A common stock of the Company and upon other qualifying transactions. Each change in outstanding shares of Class A common stock of the Company results in a corresponding increase or decrease in the Company's ownership of Class A units of Viant Technology LLC. The Company intends to treat any exchanges of Class B units as direct purchases of LLC interests for U.S. federal income tax purposes. These increases in tax basis may reduce the amounts that the Company would otherwise pay in the future to various taxing authorities. They may also decrease gains (or increase losses) on future dispositions of certain capital assets to the extent tax basis is allocated to those capital assets.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IPO, the Company entered into a Tax Receivable Agreement (“TRA”) with Viant Technology LLC and the holders of Class B units of Viant Technology LLC. In the event that such parties exchange any or all of their Class B units for Class A common stock, the TRA requires the Company to make payments to such holders for 85% of the tax benefits realized, or in some cases deemed to be realized, by the Company by such exchange as a result of (i) increases in the Company’s tax basis of its ownership interest in the net assets of Viant Technology LLC resulting from any redemptions or exchanges of noncontrolling interest, (ii) tax basis increases attributable to payments made under the TRA and (iii) deductions attributable to imputed interest pursuant to the TRA (the “TRA Payments”). The annual tax benefits are computed by calculating the income taxes due, including such tax benefits and the income taxes due without such benefits. The Company expects to benefit from the remaining 15% of any tax benefits that it may actually realize. The TRA Payments are not conditioned upon any continued ownership interest in Viant Technology LLC or the Company. To the extent that the Company is unable to timely make payments under the TRA for any reason, such payments generally will be deferred and will accrue interest until paid.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and amount of aggregate payments due under the TRA may vary based on a number of factors, including the amount and timing of the taxable income the Company generates each year and the tax rate then applicable. The Company calculates the liability under the TRA using a TRA model, which includes an assumption related to the fair market value of assets. The payment obligations under the TRA are obligations of the Company and not of Viant Technology LLC. Payments are generally due under the TRA within a specified period of time following the filing of the Company’s tax return for the taxable year with respect to which the payment obligation arises, although interest on such payments will begin to accrue at a rate of the Secured Overnight Financing Rate plus 500 basis points from the due date (without extensions) of such tax return.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 provides that if (i) certain mergers, asset sales, other forms of business combinations, or other changes of control were to occur, (ii) there is a material breach of any material obligations under the TRA; or (iii) the Company elects an early termination of the TRA, then the TRA will terminate and the Company's obligations, or the Company's successor’s obligations, under the TRA will accelerate and become due and payable, based on certain assumptions, including an assumption that the Company would have sufficient taxable income to fully utilize all potential future tax benefits that are subject to the TRA and that any Class B units that have not been exchanged are deemed exchanged for the fair market value of the Company's Class A common stock at the time of termination.</w:t>
      </w:r>
    </w:p>
    <w:p>
      <w:pPr>
        <w:pStyle w:val="TextBody"/>
        <w:bidi w:val="0"/>
        <w:spacing w:lineRule="auto" w:line="288" w:before="240" w:after="283"/>
        <w:jc w:val="left"/>
        <w:rPr/>
      </w:pPr>
      <w:r>
        <w:rPr>
          <w:rFonts w:ascii="Times New Roman;sans-serif" w:hAnsi="Times New Roman;sans-serif"/>
          <w:b/>
          <w:i/>
          <w:color w:val="000000"/>
          <w:sz w:val="20"/>
        </w:rPr>
        <w:t>Treasury Stock</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treasury stock under the cost method. When treasury stock is re-issued at a price higher than its cost, the difference is recorded as a component of additional paid-in-capital in our consolidated balance sheets. When treasury stock is re-issued at a price lower than its cost, the difference is recorded as a component of additional paid-in-capital to the extent that there are previously recorded gains to offset the losses. If there are no treasury stock gains in additional paid-in-capital, the losses upon re-issuance of treasury stock are recorded as an increase in accumulated deficit in our consolidated balance sheets.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JOBS Act Election as an Emerging Growth Company</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On April 5, 2012, the Jumpstart Our Business Startups Act (the “JOBS Act”) was signed into law. The JOBS Act contains provisions that, among other things, reduce certain reporting requirements for qualifying public companies. As an “emerging growth company,” the </w:t>
      </w:r>
      <w:r>
        <w:rPr>
          <w:rFonts w:ascii="Times New Roman;sans-serif" w:hAnsi="Times New Roman;sans-serif"/>
          <w:b w:val="false"/>
          <w:color w:val="231F20"/>
          <w:sz w:val="20"/>
        </w:rPr>
        <w:t>Company</w:t>
      </w:r>
      <w:r>
        <w:rPr>
          <w:color w:val="000000"/>
        </w:rPr>
        <w:t xml:space="preserve"> </w:t>
      </w:r>
      <w:r>
        <w:rPr>
          <w:rFonts w:ascii="Times New Roman;sans-serif" w:hAnsi="Times New Roman;sans-serif"/>
          <w:b w:val="false"/>
          <w:color w:val="000000"/>
          <w:sz w:val="20"/>
        </w:rPr>
        <w:t xml:space="preserve">may, under Section 7(a)(2)(B) of the Securities Act, delay adoption of new or revised accounting standards applicable to public companies until such standards would otherwise apply to private companies. An “emerging growth company” is one with less than $1.235 billion in annual gross revenues, has issued less than $1 billion of non-convertible debt over a three-year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 and is not deemed to be a large accelerated filer under the rules of the SEC. The Company will remain an emerging growth company until December 31, 2026, or sooner if it no longer qualifies. The Company may take advantage of this extended transition period until the first to occur of the date that it (i) is no longer an “emerging growth company” or (ii) affirmatively and irrevocably opts out of this extended transition period.</w:t>
      </w:r>
    </w:p>
    <w:p>
      <w:pPr>
        <w:pStyle w:val="TextBody"/>
        <w:bidi w:val="0"/>
        <w:spacing w:lineRule="auto" w:line="288" w:before="12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elected to take advantage of the benefits of this extended transition period. Until the date that the Company is no longer an “emerging growth company” or affirmatively and irrevocably opts out of the exemption provided by Securities Act Section 7(a)(2)(B), upon issuance of a new or revised accounting standard that applies to its consolidated financial statements and that has a different effective date for public and private companies, the Company will disclose the date on which it will adopt the recently issued accounting standard.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Disclosure Improvements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October 2023, the Financial Accounting Standards Board (“FASB”) issued Accounting Standards Update ("ASU") No. 2023-06, </w:t>
      </w:r>
      <w:r>
        <w:rPr>
          <w:rFonts w:ascii="Times New Roman;sans-serif" w:hAnsi="Times New Roman;sans-serif"/>
          <w:b w:val="false"/>
          <w:i/>
          <w:color w:val="000000"/>
          <w:sz w:val="20"/>
        </w:rPr>
        <w:t>Disclosure Improvements: Codification Amendments in Response to the SEC’s Disclosure Update and Simplification Initiative</w:t>
      </w:r>
      <w:r>
        <w:rPr>
          <w:rFonts w:ascii="Times New Roman;sans-serif" w:hAnsi="Times New Roman;sans-serif"/>
          <w:b w:val="false"/>
          <w:color w:val="000000"/>
          <w:sz w:val="20"/>
        </w:rPr>
        <w:t>. ASU 2023-06 includes a number of amendments to clarify or improve disclosure and presentation requirements of a variety of topics in order to allow users to more easily compare entities subject to the SEC’s existing disclosures with those entities that were not previously subject to the requirements and to align the requirements in the FASB accounting standard codification with the SEC's regulations. The effective date for each amendment will be the date on which the SEC’s removal of that related disclosure requirement from Regulation S-X or Regulation S-K becomes effective, with early adoption prohibited. The Company is currently evaluating the impact of these amendments.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November 2023, the FASB issued ASU No.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ASU 2023-07 requires companies with a single reportable segment to provide all existing segment disclosures in Topic 280, as well as new incremental segment information required by this standard on an annual and interim basis. The guidance is effective for fiscal years beginning after December 15, 2023 on a retrospective basis, and interim periods within fiscal years beginning after December 15, 2024, with early adoption permitted. The Company is currently evaluating the impact of these amendments.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ASU 2023-09 is designed to enhance the transparency and decision usefulness of income tax disclosures. The amendments of this update are related to the rate reconciliation and income taxes paid, requiring consistent categories and greater disaggregation of information in the rate reconciliation as well as income taxes paid disaggregated by jurisdiction. The effective date for this ASU is for the fiscal year beginning January 1, 2025, with early adoption permitted. The Company is currently evaluating the impact of these amendments.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February 2016, the FASB issued ASU No. 2016-02, </w:t>
      </w:r>
      <w:r>
        <w:rPr>
          <w:rFonts w:ascii="Times New Roman;sans-serif" w:hAnsi="Times New Roman;sans-serif"/>
          <w:b w:val="false"/>
          <w:i/>
          <w:color w:val="000000"/>
          <w:sz w:val="20"/>
        </w:rPr>
        <w:t>Leases (Topic 842)</w:t>
      </w:r>
      <w:r>
        <w:rPr>
          <w:rFonts w:ascii="Times New Roman;sans-serif" w:hAnsi="Times New Roman;sans-serif"/>
          <w:b w:val="false"/>
          <w:color w:val="000000"/>
          <w:sz w:val="20"/>
        </w:rPr>
        <w:t>, which requires an entity to recognize right-of-use assets and lease liabilities on its balance sheet and disclose key information about leasing arrangements. The guidance offers specific accounting guidance for a lessee,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Leases will be classified as either finance or operating, with the classification affecting the pattern of expense recognition in the income statement. As a part of the Company’s election under the JOBS Act, the guidance became effective for the Company’s annual reporting period after December 15, 2021 and interim reporting periods within the annual period after December 15, 2022. The Company adopted Topic 842 effective January 1, 2022 utilizing the modified retrospective transition method. The adoption of Topic 842 had a material impact on the Company’s consolidated balance sheet as certain of our operating lease commitments were recognized as right-of-use assets and lease liabilities. This new guidance did not have a material impact upon the Company’s consolidated statement of operations. We elected the package of practical expedients permitted under the transition guidance within Topic 842, which allowed us to carry forward prior conclusions about lease identification, classification and initial direct costs for leases entered into prior to adoption of Topic 842. Additionally, we elected to not separate lease and non-lease components for all of our leases. For leases with a term of 12 months or less, we elected the short-term lease exemption, which allowed us to not recognize right-of-use assets or lease liabilities for qualifying leases existing at transition and new leases we may enter into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Instruments—Credit Losses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In June 2016, the FASB issued ASU No. 2016-13,</w:t>
      </w:r>
      <w:r>
        <w:rPr>
          <w:color w:val="000000"/>
        </w:rPr>
        <w:t xml:space="preserve"> </w:t>
      </w:r>
      <w:r>
        <w:rPr>
          <w:rFonts w:ascii="Times New Roman;sans-serif" w:hAnsi="Times New Roman;sans-serif"/>
          <w:b w:val="false"/>
          <w:i/>
          <w:color w:val="000000"/>
          <w:sz w:val="20"/>
        </w:rPr>
        <w:t>Financial Instruments—Credit Losses (Topic 326)</w:t>
      </w:r>
      <w:r>
        <w:rPr>
          <w:rFonts w:ascii="Times New Roman;sans-serif" w:hAnsi="Times New Roman;sans-serif"/>
          <w:b w:val="false"/>
          <w:color w:val="000000"/>
          <w:sz w:val="20"/>
        </w:rPr>
        <w:t>. ASU 2016-13 revises the impairment model to utilize an expected loss methodology in place of the incurred loss methodology, which results in more timely recognition of losses on financial instruments. We adopted this standard at the beginning of fiscal 2023. As a result, we revised the impairment model to utilize an expected loss methodology in place of an incurred loss methodology related to our allowance for credit losses. We evaluate our allowance for credit losses based on historical bad debt experience, our assessment of the financial condition of companies with which we do business, current macroeconomic conditions and reasonable and supportable forecasts of future macroeconomic conditions. The adoption did not have a material impact on the Company's consolidated financial statements.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Codification Improvements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October 2020, the FASB issued ASU No. 2020-10, </w:t>
      </w:r>
      <w:r>
        <w:rPr>
          <w:rFonts w:ascii="Times New Roman;sans-serif" w:hAnsi="Times New Roman;sans-serif"/>
          <w:b w:val="false"/>
          <w:i/>
          <w:color w:val="000000"/>
          <w:sz w:val="20"/>
        </w:rPr>
        <w:t xml:space="preserve">Codification Improvements, </w:t>
      </w:r>
      <w:r>
        <w:rPr>
          <w:rFonts w:ascii="Times New Roman;sans-serif" w:hAnsi="Times New Roman;sans-serif"/>
          <w:b w:val="false"/>
          <w:color w:val="000000"/>
          <w:sz w:val="20"/>
        </w:rPr>
        <w:t>which updates various codification topics by clarifying disclosure requirements to align with the SEC's regulations. The guidance became effective for the Company’s annual reporting period after December 15, 2021 and interim reporting periods within the annual period after December 15, 2022. Effective January 1, 2022, we adopted this standard on a prospective basis. The adoption of this ASU did not have a material impact on the consolidated financial statements.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Issuer’s Accounting for Certain Modifications or Exchanges of Freestanding Equity-Classified Written Call Options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May 2021, the FASB issued ASU No. 2021-04, </w:t>
      </w:r>
      <w:r>
        <w:rPr>
          <w:rFonts w:ascii="Times New Roman;sans-serif" w:hAnsi="Times New Roman;sans-serif"/>
          <w:b w:val="false"/>
          <w:i/>
          <w:color w:val="000000"/>
          <w:sz w:val="20"/>
        </w:rPr>
        <w:t>Issuer’s Accounting for Certain Modifications or Exchanges of Freestanding Equity-Classified Written Call Options</w:t>
      </w:r>
      <w:r>
        <w:rPr>
          <w:rFonts w:ascii="Times New Roman;sans-serif" w:hAnsi="Times New Roman;sans-serif"/>
          <w:b w:val="false"/>
          <w:color w:val="000000"/>
          <w:sz w:val="20"/>
        </w:rPr>
        <w:t>, which clarifies an issuer’s accounting for modifications or exchanges of freestanding equity-classified written call options that remain equity classified after modifications or exchanges. The ASU requires issuers to account for the modifications or exchanges based on the economic substance of the modification or exchange and whether the transaction was done to issue equity, to issue or modify debt, or for other reasons. We adopted this standard prospectively on January 1, 2022. The adoption did not have an impact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3. Revenue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in accordance with ASC 606. Although the Company maintains agreements with its customers in multiple contractual forms, the overall promise within each of the contract types is to provide customers the ability to plan, buy and measure their digital advertising campaigns using our platform. Refer to Note 2—Basis of Presentation and Summary of Significant Accounting Policies for additional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disaggregation of revenue was as follows:</w:t>
      </w:r>
    </w:p>
    <w:tbl>
      <w:tblPr>
        <w:tblW w:w="6027" w:type="dxa"/>
        <w:jc w:val="center"/>
        <w:tblInd w:w="0" w:type="dxa"/>
        <w:tblLayout w:type="fixed"/>
        <w:tblCellMar>
          <w:top w:w="28" w:type="dxa"/>
          <w:left w:w="28" w:type="dxa"/>
          <w:bottom w:w="28" w:type="dxa"/>
          <w:right w:w="28" w:type="dxa"/>
        </w:tblCellMar>
      </w:tblPr>
      <w:tblGrid>
        <w:gridCol w:w="684"/>
        <w:gridCol w:w="601"/>
        <w:gridCol w:w="605"/>
        <w:gridCol w:w="211"/>
        <w:gridCol w:w="826"/>
        <w:gridCol w:w="109"/>
        <w:gridCol w:w="109"/>
        <w:gridCol w:w="109"/>
        <w:gridCol w:w="109"/>
        <w:gridCol w:w="211"/>
        <w:gridCol w:w="826"/>
        <w:gridCol w:w="109"/>
        <w:gridCol w:w="109"/>
        <w:gridCol w:w="109"/>
        <w:gridCol w:w="109"/>
        <w:gridCol w:w="211"/>
        <w:gridCol w:w="82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Over-time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Point-in-time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for unsatisfied performance obligations expected to be recognized in the future for contracts with an original expected duration of greater than one year was $0.2 million and $0.1 million as of December 31, 2023 and 2022, respectively. These amounts do not include contracts with an original expected duration of less than one year, which is the majority of the Company’s contracts. As of December 31, 2023 and 2022, total deferred revenue was $0.3 million and $0.1 million, respectively. Remaining deferred revenue that is anticipated to be recognized during the succeeding twelve month period is recorded in the current portion of deferred revenue within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4. Property, Equipment and Software, Net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Major classes of property, equipment and software were as follows:</w:t>
      </w:r>
    </w:p>
    <w:tbl>
      <w:tblPr>
        <w:tblW w:w="6158" w:type="dxa"/>
        <w:jc w:val="center"/>
        <w:tblInd w:w="0" w:type="dxa"/>
        <w:tblLayout w:type="fixed"/>
        <w:tblCellMar>
          <w:top w:w="28" w:type="dxa"/>
          <w:left w:w="28" w:type="dxa"/>
          <w:bottom w:w="28" w:type="dxa"/>
          <w:right w:w="28" w:type="dxa"/>
        </w:tblCellMar>
      </w:tblPr>
      <w:tblGrid>
        <w:gridCol w:w="1343"/>
        <w:gridCol w:w="1177"/>
        <w:gridCol w:w="1184"/>
        <w:gridCol w:w="211"/>
        <w:gridCol w:w="721"/>
        <w:gridCol w:w="109"/>
        <w:gridCol w:w="109"/>
        <w:gridCol w:w="109"/>
        <w:gridCol w:w="109"/>
        <w:gridCol w:w="211"/>
        <w:gridCol w:w="721"/>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recorded in the consolidated statements of operations was as follows:</w:t>
      </w:r>
    </w:p>
    <w:tbl>
      <w:tblPr>
        <w:tblW w:w="6281" w:type="dxa"/>
        <w:jc w:val="center"/>
        <w:tblInd w:w="0" w:type="dxa"/>
        <w:tblLayout w:type="fixed"/>
        <w:tblCellMar>
          <w:top w:w="28" w:type="dxa"/>
          <w:left w:w="28" w:type="dxa"/>
          <w:bottom w:w="28" w:type="dxa"/>
          <w:right w:w="28" w:type="dxa"/>
        </w:tblCellMar>
      </w:tblPr>
      <w:tblGrid>
        <w:gridCol w:w="927"/>
        <w:gridCol w:w="817"/>
        <w:gridCol w:w="820"/>
        <w:gridCol w:w="211"/>
        <w:gridCol w:w="721"/>
        <w:gridCol w:w="109"/>
        <w:gridCol w:w="109"/>
        <w:gridCol w:w="109"/>
        <w:gridCol w:w="109"/>
        <w:gridCol w:w="211"/>
        <w:gridCol w:w="721"/>
        <w:gridCol w:w="109"/>
        <w:gridCol w:w="109"/>
        <w:gridCol w:w="109"/>
        <w:gridCol w:w="109"/>
        <w:gridCol w:w="211"/>
        <w:gridCol w:w="61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4"/>
        </w:rPr>
        <w:t xml:space="preserve">5. </w:t>
      </w:r>
      <w:bookmarkStart w:id="0" w:name="icba38b20b4d046e39574776dd0a5af9f_2330"/>
      <w:bookmarkEnd w:id="0"/>
      <w:r>
        <w:rPr>
          <w:rFonts w:ascii="Times New Roman;sans-serif" w:hAnsi="Times New Roman;sans-serif"/>
          <w:b/>
          <w:i/>
          <w:color w:val="000000"/>
          <w:sz w:val="24"/>
        </w:rPr>
        <w:t>Leases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the beginning of fiscal 2022, the Company adopted new FASB guidance that requires lessees to record the present value of operating lease payments as right-of-use assets and lease liabilities on the balance sheet. Refer to Note 2—Basis of Presentation and Summary of Significant Accounting Policies for additional information.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Lessee Arrangements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operating leases for its office space, which have remaining lease terms of up to seven years. The Company does not have finance leases.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these leases include renewal options to extend the leases for up to five years and/or termination options to terminate the leases within one year. If it is reasonably certain that a renewal or termination option will be exercised, the exercise of the option is considered in calculating the term of the lease.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Company's operating leases had a weighted-average remaining lease term of approximately seven years and a weighted-average incremental borrowing rate of 3.6%.</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entered into an operating lease for office space in Michigan with total estimated future lease payments of $0.3 million that had not yet commenced and therefore is not included in the measurement of the operating right-of-use asset and operating lease liability on the consolidated balance sheet. The lease term is expected to commence in the first quarter of fiscal 2024.</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operating lease liabilities was $4.7 million and $2.3 million for the years ended December 31, 2023 and 2022, respectively.</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tbl>
      <w:tblPr>
        <w:tblW w:w="4150" w:type="dxa"/>
        <w:jc w:val="center"/>
        <w:tblInd w:w="0" w:type="dxa"/>
        <w:tblLayout w:type="fixed"/>
        <w:tblCellMar>
          <w:top w:w="28" w:type="dxa"/>
          <w:left w:w="28" w:type="dxa"/>
          <w:bottom w:w="28" w:type="dxa"/>
          <w:right w:w="28" w:type="dxa"/>
        </w:tblCellMar>
      </w:tblPr>
      <w:tblGrid>
        <w:gridCol w:w="651"/>
        <w:gridCol w:w="572"/>
        <w:gridCol w:w="576"/>
        <w:gridCol w:w="221"/>
        <w:gridCol w:w="646"/>
        <w:gridCol w:w="114"/>
        <w:gridCol w:w="114"/>
        <w:gridCol w:w="114"/>
        <w:gridCol w:w="114"/>
        <w:gridCol w:w="221"/>
        <w:gridCol w:w="646"/>
        <w:gridCol w:w="161"/>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a remaining contractual obligation of $2.3 million related to a short-term lease to be paid over the following four years. The effective term of this lease is based on the cumulative days available for use throughout the contractual term, which is less than one year. The cost for this lease is included in the disclosure of short-term lease cost. This lease and other of our short-term leases are not recorded on the Company's consolidated balance sheet due to our accounting policy election for short-term leases.</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were as follows:</w:t>
      </w:r>
    </w:p>
    <w:tbl>
      <w:tblPr>
        <w:tblW w:w="5924" w:type="dxa"/>
        <w:jc w:val="center"/>
        <w:tblInd w:w="0" w:type="dxa"/>
        <w:tblLayout w:type="fixed"/>
        <w:tblCellMar>
          <w:top w:w="28" w:type="dxa"/>
          <w:left w:w="28" w:type="dxa"/>
          <w:bottom w:w="28" w:type="dxa"/>
          <w:right w:w="28" w:type="dxa"/>
        </w:tblCellMar>
      </w:tblPr>
      <w:tblGrid>
        <w:gridCol w:w="1502"/>
        <w:gridCol w:w="1316"/>
        <w:gridCol w:w="1336"/>
        <w:gridCol w:w="344"/>
        <w:gridCol w:w="1175"/>
        <w:gridCol w:w="251"/>
      </w:tblGrid>
      <w:tr>
        <w:trPr/>
        <w:tc>
          <w:tcPr>
            <w:tcW w:w="150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future lease payments</w:t>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Commitments for leases not yet commenced</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operating lease liabilities</w:t>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Operating lease liabilities, current</w:t>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6. Goodwill and Intangible Assets, Net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goodwill balance of $12.4 million as of December 31, 2023 and 2022 was recorded as part of the Company’s February 2017 acquisition of Adelphic. The goodwill balance was determined based on the excess of the purchase price over the fair value of the identifiable net assets acquired and represents its future revenue and earnings potential and certain other assets acquired that do not meet the recognition criteria, such as assembled workforce.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tested for impairment at least annually as of the first day of the fourth fiscal quarter, or more frequently if indicators of impairment exist during the fiscal year. Refer to Note 2—Basis of Presentation and Summary of Significant Accounting Policies for additional information. The Company performed an impairment test of its goodwill as of the first day of the fourth fiscal quarter in accordance with the policy. The results of this test indicated that the Company’s goodwill was not impaired. No goodwill impairment was recorded for the years ended December 31, 2023, 2022 or 2021. As of December 31, 2023, there is no accumulated goodwill impairment loss.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primarily consist of acquired developed technology, customer relationships, trade names and trademarks resulting from business combinations and acquired patent intangible assets, which are recorded at acquisition-date fair value, less accumulated amortization. The Company determines the appropriate useful life of its intangible assets by performing an analysis of expected cash flows of the acquired assets. Intangible assets are amortized over their estimated useful lives using a straight-line method, which approximates the pattern in which the economic benefits are consumed. No impairment was recorded for intangible assets or other long-lived assets during the years ended December 31, 2023, 2022 or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balances of intangibles assets and accumulated amortization are as follows:</w:t>
      </w:r>
    </w:p>
    <w:tbl>
      <w:tblPr>
        <w:tblW w:w="6754" w:type="dxa"/>
        <w:jc w:val="center"/>
        <w:tblInd w:w="0" w:type="dxa"/>
        <w:tblLayout w:type="fixed"/>
        <w:tblCellMar>
          <w:top w:w="28" w:type="dxa"/>
          <w:left w:w="28" w:type="dxa"/>
          <w:bottom w:w="28" w:type="dxa"/>
          <w:right w:w="28" w:type="dxa"/>
        </w:tblCellMar>
      </w:tblPr>
      <w:tblGrid>
        <w:gridCol w:w="739"/>
        <w:gridCol w:w="648"/>
        <w:gridCol w:w="652"/>
        <w:gridCol w:w="295"/>
        <w:gridCol w:w="295"/>
        <w:gridCol w:w="296"/>
        <w:gridCol w:w="109"/>
        <w:gridCol w:w="109"/>
        <w:gridCol w:w="109"/>
        <w:gridCol w:w="211"/>
        <w:gridCol w:w="616"/>
        <w:gridCol w:w="109"/>
        <w:gridCol w:w="109"/>
        <w:gridCol w:w="109"/>
        <w:gridCol w:w="109"/>
        <w:gridCol w:w="239"/>
        <w:gridCol w:w="717"/>
        <w:gridCol w:w="125"/>
        <w:gridCol w:w="109"/>
        <w:gridCol w:w="109"/>
        <w:gridCol w:w="109"/>
        <w:gridCol w:w="211"/>
        <w:gridCol w:w="46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Weighted-</w:t>
              <w:br/>
              <w:t>Average</w:t>
              <w:br/>
              <w:t>Useful Life</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Amount</w:t>
            </w:r>
          </w:p>
        </w:tc>
      </w:tr>
      <w:tr>
        <w:trPr/>
        <w:tc>
          <w:tcPr>
            <w:tcW w:w="20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88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w:t>
            </w:r>
          </w:p>
        </w:tc>
        <w:tc>
          <w:tcPr>
            <w:tcW w:w="12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Trademarks/tradenames</w:t>
            </w:r>
          </w:p>
        </w:tc>
        <w:tc>
          <w:tcPr>
            <w:tcW w:w="88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(8,426)</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754" w:type="dxa"/>
        <w:jc w:val="center"/>
        <w:tblInd w:w="0" w:type="dxa"/>
        <w:tblLayout w:type="fixed"/>
        <w:tblCellMar>
          <w:top w:w="28" w:type="dxa"/>
          <w:left w:w="28" w:type="dxa"/>
          <w:bottom w:w="28" w:type="dxa"/>
          <w:right w:w="28" w:type="dxa"/>
        </w:tblCellMar>
      </w:tblPr>
      <w:tblGrid>
        <w:gridCol w:w="739"/>
        <w:gridCol w:w="648"/>
        <w:gridCol w:w="652"/>
        <w:gridCol w:w="295"/>
        <w:gridCol w:w="295"/>
        <w:gridCol w:w="296"/>
        <w:gridCol w:w="109"/>
        <w:gridCol w:w="109"/>
        <w:gridCol w:w="109"/>
        <w:gridCol w:w="211"/>
        <w:gridCol w:w="616"/>
        <w:gridCol w:w="109"/>
        <w:gridCol w:w="109"/>
        <w:gridCol w:w="109"/>
        <w:gridCol w:w="109"/>
        <w:gridCol w:w="239"/>
        <w:gridCol w:w="717"/>
        <w:gridCol w:w="125"/>
        <w:gridCol w:w="109"/>
        <w:gridCol w:w="109"/>
        <w:gridCol w:w="109"/>
        <w:gridCol w:w="211"/>
        <w:gridCol w:w="46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Weighted-</w:t>
              <w:br/>
              <w:t>Average</w:t>
              <w:br/>
              <w:t>Useful Life</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Amount</w:t>
            </w:r>
          </w:p>
        </w:tc>
      </w:tr>
      <w:tr>
        <w:trPr/>
        <w:tc>
          <w:tcPr>
            <w:tcW w:w="20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88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w:t>
            </w:r>
          </w:p>
        </w:tc>
        <w:tc>
          <w:tcPr>
            <w:tcW w:w="12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Trademarks/tradenames</w:t>
            </w:r>
          </w:p>
        </w:tc>
        <w:tc>
          <w:tcPr>
            <w:tcW w:w="88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recorded in the consolidated statements of operations was as follows:</w:t>
      </w:r>
    </w:p>
    <w:tbl>
      <w:tblPr>
        <w:tblW w:w="5921" w:type="dxa"/>
        <w:jc w:val="center"/>
        <w:tblInd w:w="0" w:type="dxa"/>
        <w:tblLayout w:type="fixed"/>
        <w:tblCellMar>
          <w:top w:w="28" w:type="dxa"/>
          <w:left w:w="28" w:type="dxa"/>
          <w:bottom w:w="28" w:type="dxa"/>
          <w:right w:w="28" w:type="dxa"/>
        </w:tblCellMar>
      </w:tblPr>
      <w:tblGrid>
        <w:gridCol w:w="927"/>
        <w:gridCol w:w="817"/>
        <w:gridCol w:w="820"/>
        <w:gridCol w:w="211"/>
        <w:gridCol w:w="466"/>
        <w:gridCol w:w="109"/>
        <w:gridCol w:w="109"/>
        <w:gridCol w:w="109"/>
        <w:gridCol w:w="109"/>
        <w:gridCol w:w="211"/>
        <w:gridCol w:w="616"/>
        <w:gridCol w:w="109"/>
        <w:gridCol w:w="109"/>
        <w:gridCol w:w="109"/>
        <w:gridCol w:w="109"/>
        <w:gridCol w:w="211"/>
        <w:gridCol w:w="61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56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Estimated future amortization of intangible assets is as follows:</w:t>
      </w:r>
    </w:p>
    <w:tbl>
      <w:tblPr>
        <w:tblW w:w="2715" w:type="dxa"/>
        <w:jc w:val="center"/>
        <w:tblInd w:w="0" w:type="dxa"/>
        <w:tblLayout w:type="fixed"/>
        <w:tblCellMar>
          <w:top w:w="28" w:type="dxa"/>
          <w:left w:w="28" w:type="dxa"/>
          <w:bottom w:w="28" w:type="dxa"/>
          <w:right w:w="28" w:type="dxa"/>
        </w:tblCellMar>
      </w:tblPr>
      <w:tblGrid>
        <w:gridCol w:w="340"/>
        <w:gridCol w:w="300"/>
        <w:gridCol w:w="306"/>
        <w:gridCol w:w="448"/>
        <w:gridCol w:w="992"/>
        <w:gridCol w:w="329"/>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7. Accrued Liabilities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accrued liabilities consisted of the following:</w:t>
      </w:r>
    </w:p>
    <w:tbl>
      <w:tblPr>
        <w:tblW w:w="5183" w:type="dxa"/>
        <w:jc w:val="center"/>
        <w:tblInd w:w="0" w:type="dxa"/>
        <w:tblLayout w:type="fixed"/>
        <w:tblCellMar>
          <w:top w:w="28" w:type="dxa"/>
          <w:left w:w="28" w:type="dxa"/>
          <w:bottom w:w="28" w:type="dxa"/>
          <w:right w:w="28" w:type="dxa"/>
        </w:tblCellMar>
      </w:tblPr>
      <w:tblGrid>
        <w:gridCol w:w="988"/>
        <w:gridCol w:w="869"/>
        <w:gridCol w:w="872"/>
        <w:gridCol w:w="211"/>
        <w:gridCol w:w="721"/>
        <w:gridCol w:w="109"/>
        <w:gridCol w:w="109"/>
        <w:gridCol w:w="109"/>
        <w:gridCol w:w="109"/>
        <w:gridCol w:w="211"/>
        <w:gridCol w:w="721"/>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traffic acquisition costs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29,631 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35,063 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8. Revolving Credit Facility and PPP Loan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31, 2019, the Company entered into an asset-based revolving credit and security agreement (the "Loan Agreement") with PNC Bank, National Association ("PNC Bank") that originally provided a senior secured revolving credit facility with borrowing capacity of up to $40.0 million and a maturity date of October 31, 2024. On April 4, 2023, the Company entered into an amendment to the Loan Agreement (as so amended, the "Amended Loan Agreement") that increased the borrowing capacity under the revolving credit facility to $75.0 million, extended the maturity date to April 4, 2028, and changed the rates at which advances will bear interest. The Amended Loan Agreement is collateralized by security interests in substantially all of the Company's assets.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Advances under the Amended Loan Agreement bear interest through maturity at a variable rate based upon the selection of either a Domestic Rate Loan or a Term SOFR Rate Loan (each, as defined in the Amended Loan Agreement). For Domestic Rate Loans, borrowings bear interest at the Alternate Base Rate plus an applicable margin. The Alternate Base Rate is defined as a fluctuating interest rate equal to the greater of (1) the base commercial lending rate of PNC Bank, (2) the overnight federal funds rate plus 0.50% and (3) the Daily Simple SOFR plus 1.00%. For Term SOFR Rate Loans, borrowings bear interest at the Term SOFR Rate (as defined in the Amended Loan Agreement) plus the SOFR Adjustment of 0.10% plus an applicable margin. The Company did not have an outstanding balance during the year ended December 31, 2023. The applicable margin is between 1.00% to 1.25% for Domestic Rate Loans and between 2.00% and 2.25% for Term SOFR Rate Loans based on the average undrawn availability under the revolving credit facility. </w:t>
      </w:r>
      <w:r>
        <w:rPr>
          <w:rFonts w:ascii="Times New Roman;sans-serif" w:hAnsi="Times New Roman;sans-serif"/>
          <w:b w:val="false"/>
          <w:color w:val="231F20"/>
          <w:sz w:val="20"/>
        </w:rPr>
        <w:t xml:space="preserve">The applicable margin as of </w:t>
      </w:r>
      <w:r>
        <w:rPr>
          <w:rFonts w:ascii="Times New Roman;sans-serif" w:hAnsi="Times New Roman;sans-serif"/>
          <w:b w:val="false"/>
          <w:color w:val="000000"/>
          <w:sz w:val="20"/>
        </w:rPr>
        <w:t>December 31, 2023</w:t>
      </w:r>
      <w:r>
        <w:rPr>
          <w:color w:val="231F20"/>
        </w:rPr>
        <w:t xml:space="preserve"> </w:t>
      </w:r>
      <w:r>
        <w:rPr>
          <w:rFonts w:ascii="Times New Roman;sans-serif" w:hAnsi="Times New Roman;sans-serif"/>
          <w:b w:val="false"/>
          <w:color w:val="231F20"/>
          <w:sz w:val="20"/>
        </w:rPr>
        <w:t xml:space="preserve">was equal to </w:t>
      </w:r>
      <w:r>
        <w:rPr>
          <w:rFonts w:ascii="Times New Roman;sans-serif" w:hAnsi="Times New Roman;sans-serif"/>
          <w:b w:val="false"/>
          <w:color w:val="000000"/>
          <w:sz w:val="20"/>
        </w:rPr>
        <w:t>1.00%</w:t>
      </w:r>
      <w:r>
        <w:rPr>
          <w:color w:val="231F20"/>
        </w:rPr>
        <w:t xml:space="preserve"> </w:t>
      </w:r>
      <w:r>
        <w:rPr>
          <w:rFonts w:ascii="Times New Roman;sans-serif" w:hAnsi="Times New Roman;sans-serif"/>
          <w:b w:val="false"/>
          <w:color w:val="231F20"/>
          <w:sz w:val="20"/>
        </w:rPr>
        <w:t xml:space="preserve">for Domestic Rate Loans and </w:t>
      </w:r>
      <w:r>
        <w:rPr>
          <w:rFonts w:ascii="Times New Roman;sans-serif" w:hAnsi="Times New Roman;sans-serif"/>
          <w:b w:val="false"/>
          <w:color w:val="000000"/>
          <w:sz w:val="20"/>
        </w:rPr>
        <w:t>2.00%</w:t>
      </w:r>
      <w:r>
        <w:rPr>
          <w:color w:val="231F20"/>
        </w:rPr>
        <w:t xml:space="preserve"> </w:t>
      </w:r>
      <w:r>
        <w:rPr>
          <w:rFonts w:ascii="Times New Roman;sans-serif" w:hAnsi="Times New Roman;sans-serif"/>
          <w:b w:val="false"/>
          <w:color w:val="231F20"/>
          <w:sz w:val="20"/>
        </w:rPr>
        <w:t xml:space="preserve">for Term SOFR Rate Loans. </w:t>
      </w:r>
      <w:r>
        <w:rPr>
          <w:rFonts w:ascii="Times New Roman;sans-serif" w:hAnsi="Times New Roman;sans-serif"/>
          <w:b w:val="false"/>
          <w:color w:val="000000"/>
          <w:sz w:val="20"/>
        </w:rPr>
        <w:t>The facility fee for undrawn amounts under the Amended Loan Agreement is 0.375% per annum; additionally, the Company pays customary letter of credit fees as applicable.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Loan Agreement contains customary conditions to borrowings, events of default and covenants, including covenants that restrict the Company's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The Amended Loan Agreement also requires that the Company maintain compliance with a minimum Fixed Charge Coverage Ratio (as defined in the Amended Loan Agreement) of 1.40 to 1.00 at any time undrawn availability under the Loan Agreement is less than 25%. As of December 31, 2023, the Company was in compliance with all applicable covenants under the Amended Loan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6, 2022, the Company fully paid off the outstanding balance of advances under our revolving credit facility, and the carrying value as of December 31, 2023 was zero.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PPP Loan</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On April 14, 2020, the Company received proceeds from the PPP Loan in the amount of approximately $6.0 million from PNC Bank, as lender, pursuant to the Paycheck Protection Program of the Coronavirus Aid, Relief, and Economic Security Act ("CARES Act"). In June 2021, </w:t>
      </w:r>
      <w:r>
        <w:rPr>
          <w:rFonts w:ascii="Times New Roman;sans-serif" w:hAnsi="Times New Roman;sans-serif"/>
          <w:b w:val="false"/>
          <w:color w:val="000000"/>
          <w:sz w:val="20"/>
          <w:shd w:fill="FFFFFF" w:val="clear"/>
        </w:rPr>
        <w:t>the Company received notice of forgiveness of the PPP Loan in whole, including all accrued unpaid interest and recorded the forgiveness of approximately $6.0 million of principal and $0.1 million of accrued interest in "Gain on extinguishment of debt" in the consolidated statements of operations for the year ended December 31,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9. Stock-based Compensation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IPO, which occurred on February 12, 2021, the Phantom Unit Plan was replaced by the LTIP. The aggregate maximum number of shares of the Company’s Class A common stock that may be issued pursuant to stock awards under the LTIP, or the Share Reserve, is 11,787,112 shares of Class A common stock. The Share Reserve automatically increases on January 1 of each year, commencing on January 1, 2022 and ending with a final increase on January 1, 2031 in an amount equal to 5% of the total number of shares of capital stock outstanding on December 31 of the preceding calendar year; provided, however,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Company’s board of directors may provide that there will not be a January 1 increase in the Share Reserve in a given year or that the increase will be less than 5% of the shares of capital stock outstanding on the preceding December 31.</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12, 2021, 6.2 million RSUs were granted under the LTIP. The Company is authorized to grant RSUs, incentive stock options, nonqualified stock options, stock appreciation rights, restricted stock awards, and performance stock awards under the LTIP. As of December 31, 2023, the Company had currently only granted RSUs and nonqualified stock options. Under the LTIP, 4.7 million shares of Class A common stock remained available for grant as of December 31, 2023.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recorded in the consolidated statements of operations was as follows:</w:t>
      </w:r>
    </w:p>
    <w:tbl>
      <w:tblPr>
        <w:tblW w:w="6386" w:type="dxa"/>
        <w:jc w:val="center"/>
        <w:tblInd w:w="0" w:type="dxa"/>
        <w:tblLayout w:type="fixed"/>
        <w:tblCellMar>
          <w:top w:w="28" w:type="dxa"/>
          <w:left w:w="28" w:type="dxa"/>
          <w:bottom w:w="28" w:type="dxa"/>
          <w:right w:w="28" w:type="dxa"/>
        </w:tblCellMar>
      </w:tblPr>
      <w:tblGrid>
        <w:gridCol w:w="927"/>
        <w:gridCol w:w="817"/>
        <w:gridCol w:w="820"/>
        <w:gridCol w:w="211"/>
        <w:gridCol w:w="721"/>
        <w:gridCol w:w="109"/>
        <w:gridCol w:w="109"/>
        <w:gridCol w:w="109"/>
        <w:gridCol w:w="109"/>
        <w:gridCol w:w="211"/>
        <w:gridCol w:w="721"/>
        <w:gridCol w:w="109"/>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56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68,822 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RSUs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RSU activity:</w:t>
      </w:r>
    </w:p>
    <w:tbl>
      <w:tblPr>
        <w:tblW w:w="6730" w:type="dxa"/>
        <w:jc w:val="center"/>
        <w:tblInd w:w="0" w:type="dxa"/>
        <w:tblLayout w:type="fixed"/>
        <w:tblCellMar>
          <w:top w:w="28" w:type="dxa"/>
          <w:left w:w="28" w:type="dxa"/>
          <w:bottom w:w="28" w:type="dxa"/>
          <w:right w:w="28" w:type="dxa"/>
        </w:tblCellMar>
      </w:tblPr>
      <w:tblGrid>
        <w:gridCol w:w="1315"/>
        <w:gridCol w:w="1156"/>
        <w:gridCol w:w="1159"/>
        <w:gridCol w:w="469"/>
        <w:gridCol w:w="469"/>
        <w:gridCol w:w="471"/>
        <w:gridCol w:w="109"/>
        <w:gridCol w:w="109"/>
        <w:gridCol w:w="109"/>
        <w:gridCol w:w="293"/>
        <w:gridCol w:w="857"/>
        <w:gridCol w:w="214"/>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Grant-Date Fair</w:t>
              <w:br/>
              <w:t> Value</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 as of December 31, 2022</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21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 as of December 31, 2023</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RSUs, as of their respective vesting dates, during the year ended December 31, 2023 was $9.9 million. As of December 31, 2023, the Company had unrecognized stock-based compensation relating to RSUs of approximately $16.1 million, which is expected to be recognized over a weighted-average period of 1.9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Nonqualified Stock Options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nonqualified stock option activity:</w:t>
      </w:r>
    </w:p>
    <w:tbl>
      <w:tblPr>
        <w:tblW w:w="10205" w:type="dxa"/>
        <w:jc w:val="center"/>
        <w:tblInd w:w="0" w:type="dxa"/>
        <w:tblLayout w:type="fixed"/>
        <w:tblCellMar>
          <w:top w:w="28" w:type="dxa"/>
          <w:left w:w="28" w:type="dxa"/>
          <w:bottom w:w="28" w:type="dxa"/>
          <w:right w:w="28" w:type="dxa"/>
        </w:tblCellMar>
      </w:tblPr>
      <w:tblGrid>
        <w:gridCol w:w="808"/>
        <w:gridCol w:w="708"/>
        <w:gridCol w:w="712"/>
        <w:gridCol w:w="460"/>
        <w:gridCol w:w="460"/>
        <w:gridCol w:w="462"/>
        <w:gridCol w:w="109"/>
        <w:gridCol w:w="109"/>
        <w:gridCol w:w="109"/>
        <w:gridCol w:w="430"/>
        <w:gridCol w:w="1042"/>
        <w:gridCol w:w="224"/>
        <w:gridCol w:w="109"/>
        <w:gridCol w:w="109"/>
        <w:gridCol w:w="109"/>
        <w:gridCol w:w="732"/>
        <w:gridCol w:w="732"/>
        <w:gridCol w:w="733"/>
        <w:gridCol w:w="109"/>
        <w:gridCol w:w="109"/>
        <w:gridCol w:w="109"/>
        <w:gridCol w:w="369"/>
        <w:gridCol w:w="1077"/>
        <w:gridCol w:w="275"/>
      </w:tblGrid>
      <w:tr>
        <w:trPr/>
        <w:tc>
          <w:tcPr>
            <w:tcW w:w="8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of Options </w:t>
              <w:br/>
              <w:t xml:space="preserve">(in thousands)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Remaining Contractual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Aggregate Intrinsic Value</w:t>
              <w:br/>
              <w:t>(in thousands)</w:t>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1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13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w:t>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 date fair value of the nonqualified stock options granted during the year ended December 31, 2023 was $3.20. The Company had unrecognized stock-based compensation relating to unvested nonqualified stock options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$11.1 million, which is expected to be recognized over a weighted-average period of 1.8 years as of December 31, 2023.</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assumptions used in the Black-Scholes model to determine the fair value of nonqualified stock options were as follows:</w:t>
      </w:r>
    </w:p>
    <w:tbl>
      <w:tblPr>
        <w:tblW w:w="6323" w:type="dxa"/>
        <w:jc w:val="center"/>
        <w:tblInd w:w="0" w:type="dxa"/>
        <w:tblLayout w:type="fixed"/>
        <w:tblCellMar>
          <w:top w:w="28" w:type="dxa"/>
          <w:left w:w="28" w:type="dxa"/>
          <w:bottom w:w="28" w:type="dxa"/>
          <w:right w:w="28" w:type="dxa"/>
        </w:tblCellMar>
      </w:tblPr>
      <w:tblGrid>
        <w:gridCol w:w="771"/>
        <w:gridCol w:w="676"/>
        <w:gridCol w:w="682"/>
        <w:gridCol w:w="434"/>
        <w:gridCol w:w="434"/>
        <w:gridCol w:w="436"/>
        <w:gridCol w:w="152"/>
        <w:gridCol w:w="152"/>
        <w:gridCol w:w="152"/>
        <w:gridCol w:w="434"/>
        <w:gridCol w:w="434"/>
        <w:gridCol w:w="436"/>
        <w:gridCol w:w="152"/>
        <w:gridCol w:w="152"/>
        <w:gridCol w:w="152"/>
        <w:gridCol w:w="197"/>
        <w:gridCol w:w="197"/>
        <w:gridCol w:w="280"/>
      </w:tblGrid>
      <w:tr>
        <w:trPr/>
        <w:tc>
          <w:tcPr>
            <w:tcW w:w="7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3.8% - 4.3%</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 - 2.8%</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75.8% - 81.5%</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61.5% - 62.7%</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6.0 - 6.1</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5.9 - 6.0</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r>
    </w:tbl>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Risk-Free Interest Rate.</w:t>
      </w:r>
      <w:r>
        <w:rPr>
          <w:color w:val="000000"/>
        </w:rPr>
        <w:t xml:space="preserve"> </w:t>
      </w:r>
      <w:r>
        <w:rPr>
          <w:rFonts w:ascii="Times New Roman;sans-serif" w:hAnsi="Times New Roman;sans-serif"/>
          <w:b w:val="false"/>
          <w:color w:val="000000"/>
          <w:sz w:val="20"/>
        </w:rPr>
        <w:t>The Company bases the risk-free interest rate assumption for equity awards on the rates for U.S. Treasury securities with maturities similar to those of the expected term of the award being valued.</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Due to the limited trading history of the Company’s Class A common stock, the expected volatility assumption is primarily based on the volatility of a peer group of similar companies whose share prices are publicly available. The Company will continue to apply this process until a sufficient amount of historical information regarding the volatility of the Company’s own stock price becomes available.</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Expected Term.</w:t>
      </w:r>
      <w:r>
        <w:rPr>
          <w:color w:val="000000"/>
        </w:rPr>
        <w:t xml:space="preserve"> </w:t>
      </w:r>
      <w:r>
        <w:rPr>
          <w:rFonts w:ascii="Times New Roman;sans-serif" w:hAnsi="Times New Roman;sans-serif"/>
          <w:b w:val="false"/>
          <w:color w:val="000000"/>
          <w:sz w:val="20"/>
        </w:rPr>
        <w:t>Given the insufficient historical data relating to nonqualified stock option exercises, the expected term assumption is based on expected terms of a peer group of similar companies whose expected terms are publicly available. The Company will continue to apply this process until a sufficient amount of historical information regarding the Company’s nonqualified stock option exercises becomes available.</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Expected Dividend Yield.</w:t>
      </w:r>
      <w:r>
        <w:rPr>
          <w:color w:val="000000"/>
        </w:rPr>
        <w:t xml:space="preserve"> </w:t>
      </w:r>
      <w:r>
        <w:rPr>
          <w:rFonts w:ascii="Times New Roman;sans-serif" w:hAnsi="Times New Roman;sans-serif"/>
          <w:b w:val="false"/>
          <w:color w:val="000000"/>
          <w:sz w:val="20"/>
        </w:rPr>
        <w:t>The Company’s expected dividend yield assumption is zero as it has never paid dividends and has no present intention to do so in the future.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Issuance of Shares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Upon vesting of shares under the LTIP, the Company will issue treasury stock. If treasury stock is not available, newly issued stock will be issued.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10. Income Taxes and Tax Receivable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differs from the amount of income tax computed by applying the applicable U.S. statutory federal income tax rate of 21% to income before provision of income taxes due to Viant Technology LLC’s pass-through structure for U.S. income tax purposes and the valuation allowance against the deferred tax asset in the current and prior-year periods, as well as a pass-through permanent difference related to the forgiveness of the PPP Loan in the prior-year periods. The Company recognized income tax expense of $0.2 million due to current federal and state taxes payable, resulting in an effective tax rate of (1.5)% for the year ended December 31, 2023. The Company did not recognize an income tax expense or benefit for the years ended December 31, 2022 and 2021, which resulted in an effective tax rate of 0.0%.</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the sole managing member of Viant Technology LLC and, as a result, consolidates the financial results of Viant Technology LLC in the consolidated financial statements. Viant Technology LLC is a pass-through entity for U.S. federal and most applicable state and local income tax purposes following a corporate reorganization effected in connection with the IPO. As an entity classified as a partnership for tax purposes, Viant Technology LLC generally is not subject to U.S. federal and certain state and local income taxes. Subsequent to the IPO, any taxable income or loss generated by Viant Technology LLC is passed through to and included in the taxable income or loss of its members, including the Company. The Company is taxed as a corporation and pays corporate federal, state and local taxes with respect to income allocated from Viant Technology LLC, based on the Company's 25.1% economic interest in Viant Technology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attributable to the Company was as follows:</w:t>
      </w:r>
    </w:p>
    <w:tbl>
      <w:tblPr>
        <w:tblW w:w="5516" w:type="dxa"/>
        <w:jc w:val="center"/>
        <w:tblInd w:w="0" w:type="dxa"/>
        <w:tblLayout w:type="fixed"/>
        <w:tblCellMar>
          <w:top w:w="28" w:type="dxa"/>
          <w:left w:w="28" w:type="dxa"/>
          <w:bottom w:w="28" w:type="dxa"/>
          <w:right w:w="28" w:type="dxa"/>
        </w:tblCellMar>
      </w:tblPr>
      <w:tblGrid>
        <w:gridCol w:w="931"/>
        <w:gridCol w:w="821"/>
        <w:gridCol w:w="827"/>
        <w:gridCol w:w="211"/>
        <w:gridCol w:w="466"/>
        <w:gridCol w:w="109"/>
        <w:gridCol w:w="109"/>
        <w:gridCol w:w="109"/>
        <w:gridCol w:w="109"/>
        <w:gridCol w:w="211"/>
        <w:gridCol w:w="406"/>
        <w:gridCol w:w="109"/>
        <w:gridCol w:w="109"/>
        <w:gridCol w:w="109"/>
        <w:gridCol w:w="109"/>
        <w:gridCol w:w="211"/>
        <w:gridCol w:w="406"/>
        <w:gridCol w:w="154"/>
      </w:tblGrid>
      <w:tr>
        <w:trPr/>
        <w:tc>
          <w:tcPr>
            <w:tcW w:w="93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income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provision</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income tax</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provision</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years ended December 31, 2023 and 2022 was (1.5)% and 0.0%, respectively. A reconciliation of the statutory tax rate to the effective tax rate for the years presented are as follows:</w:t>
      </w:r>
    </w:p>
    <w:tbl>
      <w:tblPr>
        <w:tblW w:w="7758" w:type="dxa"/>
        <w:jc w:val="center"/>
        <w:tblInd w:w="0" w:type="dxa"/>
        <w:tblLayout w:type="fixed"/>
        <w:tblCellMar>
          <w:top w:w="28" w:type="dxa"/>
          <w:left w:w="28" w:type="dxa"/>
          <w:bottom w:w="28" w:type="dxa"/>
          <w:right w:w="28" w:type="dxa"/>
        </w:tblCellMar>
      </w:tblPr>
      <w:tblGrid>
        <w:gridCol w:w="1579"/>
        <w:gridCol w:w="1390"/>
        <w:gridCol w:w="1395"/>
        <w:gridCol w:w="291"/>
        <w:gridCol w:w="294"/>
        <w:gridCol w:w="294"/>
        <w:gridCol w:w="118"/>
        <w:gridCol w:w="118"/>
        <w:gridCol w:w="118"/>
        <w:gridCol w:w="291"/>
        <w:gridCol w:w="294"/>
        <w:gridCol w:w="294"/>
        <w:gridCol w:w="118"/>
        <w:gridCol w:w="118"/>
        <w:gridCol w:w="118"/>
        <w:gridCol w:w="291"/>
        <w:gridCol w:w="294"/>
        <w:gridCol w:w="343"/>
      </w:tblGrid>
      <w:tr>
        <w:trPr/>
        <w:tc>
          <w:tcPr>
            <w:tcW w:w="157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at federal statutory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passed through to noncontrolling interests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taxes, net of federal benefit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items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effective rate</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that give rise to a significant portion of the deferred tax assets and deferred tax liabilities are as follows:</w:t>
      </w:r>
    </w:p>
    <w:tbl>
      <w:tblPr>
        <w:tblW w:w="6371" w:type="dxa"/>
        <w:jc w:val="center"/>
        <w:tblInd w:w="0" w:type="dxa"/>
        <w:tblLayout w:type="fixed"/>
        <w:tblCellMar>
          <w:top w:w="28" w:type="dxa"/>
          <w:left w:w="28" w:type="dxa"/>
          <w:bottom w:w="28" w:type="dxa"/>
          <w:right w:w="28" w:type="dxa"/>
        </w:tblCellMar>
      </w:tblPr>
      <w:tblGrid>
        <w:gridCol w:w="1039"/>
        <w:gridCol w:w="911"/>
        <w:gridCol w:w="914"/>
        <w:gridCol w:w="211"/>
        <w:gridCol w:w="616"/>
        <w:gridCol w:w="109"/>
        <w:gridCol w:w="109"/>
        <w:gridCol w:w="109"/>
        <w:gridCol w:w="109"/>
        <w:gridCol w:w="211"/>
        <w:gridCol w:w="616"/>
        <w:gridCol w:w="109"/>
        <w:gridCol w:w="109"/>
        <w:gridCol w:w="109"/>
        <w:gridCol w:w="109"/>
        <w:gridCol w:w="211"/>
        <w:gridCol w:w="616"/>
        <w:gridCol w:w="154"/>
      </w:tblGrid>
      <w:tr>
        <w:trPr/>
        <w:tc>
          <w:tcPr>
            <w:tcW w:w="103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assessing the realizability of deferred tax assets, the Company considers whether it is probable that some or all of the deferred tax assets will not be realized. In determining whether the deferred taxes are realizable, the Company considers the period of expiration of the tax asset, historical and projected taxable income, and tax liabilities for the tax jurisdiction in which the tax asset is located. Valuation allowances are provided to reduce the amounts of deferred tax assets to an amount that is more likely than not to be realized based on an assessment of positive and negative evidence, including estimates of future taxable income necessary to realize future deductible amounts. As of December 31, 2023 and 2022, the Company has recorded a valuation allowance against its deferred tax assets of $10.9 million and $11.5 million, respectively, as management cannot conclude whether it is more likely than not that these deferred tax assets will be realized.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has federal net operating loss carryforwards of approximately $6.1 million and $10.4 million, respectively. As of December 31, 2023 and 2022, the Company has state net operating losses of approximately $3.8 million and $6.1 million, respectively. The federal net operating losses carry forward indefinitely and state net operating losses begin to expire in 2032. As of December 31, 2023, the Company has federal and state research and development tax credits of approximately $0.4 million and $0.5 million, respectively. The federal credits will begin to expire in 2043 and the state credits carryforward until exhausted.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 of total gross unrecognized tax benefits is as follows:</w:t>
      </w:r>
    </w:p>
    <w:tbl>
      <w:tblPr>
        <w:tblW w:w="6833" w:type="dxa"/>
        <w:jc w:val="center"/>
        <w:tblInd w:w="0" w:type="dxa"/>
        <w:tblLayout w:type="fixed"/>
        <w:tblCellMar>
          <w:top w:w="28" w:type="dxa"/>
          <w:left w:w="28" w:type="dxa"/>
          <w:bottom w:w="28" w:type="dxa"/>
          <w:right w:w="28" w:type="dxa"/>
        </w:tblCellMar>
      </w:tblPr>
      <w:tblGrid>
        <w:gridCol w:w="1793"/>
        <w:gridCol w:w="1576"/>
        <w:gridCol w:w="1580"/>
        <w:gridCol w:w="211"/>
        <w:gridCol w:w="466"/>
        <w:gridCol w:w="109"/>
        <w:gridCol w:w="109"/>
        <w:gridCol w:w="109"/>
        <w:gridCol w:w="109"/>
        <w:gridCol w:w="211"/>
        <w:gridCol w:w="406"/>
        <w:gridCol w:w="154"/>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of unrecognized tax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 based on tax positions related to current year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 based on tax positions related to prior years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of unrecognized tax benefits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unrecognized tax benefits, if recognized, would not have an impact on the Company's effective tax rate assuming the Company continues to maintain a full valuation allowance position. As of December 31, 2023, no significant increases or decreases to the Company's uncertain tax positions are expected within the next twelve months.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U.S. federal and state income taxes. The Company's U.S. federal and state returns are open to examination for all periods ending December 31, 2021 and thereafter. However, to the extent allowed by law the tax authorities may have the right to examine prior periods where net operating losses were generated and carried forward, and make adjustments up to the amount of the net operating loss or credit carry forward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11. Loss Per Share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basic net loss per share has been calculated by dividing net loss attributable to Class A common stockholders for the periods subsequent to the Reorganization Transactions, by the weighted average number of shares of Class A common stock outstanding for the same period. Shares of Class A common stock are weighted for the portion of the period in which the shares were outstanding. Diluted net loss per share has been calculated in a manner consistent with that of basic net loss per share while considering all potentially dilutive shares of Class A common stock outstanding during the period.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net loss per share for the periods presented. Refer to Note 2—Basis of Presentation and Summary of Significant Accounting Policies for additional information related to basic and diluted loss per share.</w:t>
      </w:r>
    </w:p>
    <w:tbl>
      <w:tblPr>
        <w:tblW w:w="10205" w:type="dxa"/>
        <w:jc w:val="center"/>
        <w:tblInd w:w="0" w:type="dxa"/>
        <w:tblLayout w:type="fixed"/>
        <w:tblCellMar>
          <w:top w:w="28" w:type="dxa"/>
          <w:left w:w="28" w:type="dxa"/>
          <w:bottom w:w="28" w:type="dxa"/>
          <w:right w:w="28" w:type="dxa"/>
        </w:tblCellMar>
      </w:tblPr>
      <w:tblGrid>
        <w:gridCol w:w="2297"/>
        <w:gridCol w:w="1984"/>
        <w:gridCol w:w="2004"/>
        <w:gridCol w:w="211"/>
        <w:gridCol w:w="683"/>
        <w:gridCol w:w="109"/>
        <w:gridCol w:w="109"/>
        <w:gridCol w:w="109"/>
        <w:gridCol w:w="109"/>
        <w:gridCol w:w="211"/>
        <w:gridCol w:w="788"/>
        <w:gridCol w:w="109"/>
        <w:gridCol w:w="109"/>
        <w:gridCol w:w="109"/>
        <w:gridCol w:w="109"/>
        <w:gridCol w:w="211"/>
        <w:gridCol w:w="788"/>
        <w:gridCol w:w="156"/>
      </w:tblGrid>
      <w:tr>
        <w:trPr/>
        <w:tc>
          <w:tcPr>
            <w:tcW w:w="2297"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Viant Technology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outstanding—basic and diluted</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12,364</w:t>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 excluded from loss per share of Class A common stock—diluted:</w:t>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w:t>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47,107</w:t>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excluded from loss per share of Class A common stock—diluted</w:t>
            </w:r>
          </w:p>
        </w:tc>
        <w:tc>
          <w:tcPr>
            <w:tcW w:w="10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12. Noncontrolling Interests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Viant Technology Inc. is the sole managing member of Viant Technology LLC and, as a result, consolidates the financial results of Viant Technology LLC. We report noncontrolling interests representing the economic interests in Viant Technology LLC held by the other members of Viant Technology LLC. The Viant Technology LLC Agreement classifies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Changes in the Company’s ownership interest in Viant Technology LLC while retaining control of Viant Technology LLC will be accounted for as equity transactions. As such, future redemptions or direct exchanges of Class B units in Viant Technology LLC by the other members and future issuances of Class A common stock under the LTIP will result in a change in ownership, where the Company will rebalance the noncontrolling interest, offset by a change in additional-paid-in-capital.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ownership of Viant Technology LLC:</w:t>
      </w:r>
    </w:p>
    <w:tbl>
      <w:tblPr>
        <w:tblW w:w="8518" w:type="dxa"/>
        <w:jc w:val="center"/>
        <w:tblInd w:w="0" w:type="dxa"/>
        <w:tblLayout w:type="fixed"/>
        <w:tblCellMar>
          <w:top w:w="28" w:type="dxa"/>
          <w:left w:w="28" w:type="dxa"/>
          <w:bottom w:w="28" w:type="dxa"/>
          <w:right w:w="28" w:type="dxa"/>
        </w:tblCellMar>
      </w:tblPr>
      <w:tblGrid>
        <w:gridCol w:w="758"/>
        <w:gridCol w:w="667"/>
        <w:gridCol w:w="674"/>
        <w:gridCol w:w="389"/>
        <w:gridCol w:w="389"/>
        <w:gridCol w:w="391"/>
        <w:gridCol w:w="208"/>
        <w:gridCol w:w="208"/>
        <w:gridCol w:w="208"/>
        <w:gridCol w:w="307"/>
        <w:gridCol w:w="309"/>
        <w:gridCol w:w="607"/>
        <w:gridCol w:w="109"/>
        <w:gridCol w:w="109"/>
        <w:gridCol w:w="109"/>
        <w:gridCol w:w="389"/>
        <w:gridCol w:w="389"/>
        <w:gridCol w:w="391"/>
        <w:gridCol w:w="205"/>
        <w:gridCol w:w="205"/>
        <w:gridCol w:w="205"/>
        <w:gridCol w:w="307"/>
        <w:gridCol w:w="309"/>
        <w:gridCol w:w="676"/>
      </w:tblGrid>
      <w:tr>
        <w:trPr/>
        <w:tc>
          <w:tcPr>
            <w:tcW w:w="75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Owner</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 Owned</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w:t>
              <w:br/>
              <w:t xml:space="preserve">Percentage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 Owned</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w:t>
              <w:br/>
              <w:t xml:space="preserve">Percentage </w:t>
            </w:r>
          </w:p>
        </w:tc>
      </w:tr>
      <w:tr>
        <w:trPr/>
        <w:tc>
          <w:tcPr>
            <w:tcW w:w="209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Viant Technology Inc.</w:t>
            </w:r>
          </w:p>
        </w:tc>
        <w:tc>
          <w:tcPr>
            <w:tcW w:w="116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15,783,941</w:t>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6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14,643,798</w:t>
            </w:r>
          </w:p>
        </w:tc>
        <w:tc>
          <w:tcPr>
            <w:tcW w:w="6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6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47,032,260</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47,082,260</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9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69"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62,816,201</w:t>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0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61,726,058</w:t>
            </w:r>
          </w:p>
        </w:tc>
        <w:tc>
          <w:tcPr>
            <w:tcW w:w="6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noncontrolling interests exchanged 50,000 Class B shares of Viant Technology LLC for 50,000 shares of the Company’s Class A common stock, which also resulted in the cancellation of 50,000 shares of the Company’s Class B common stock that was previously held by noncontrolling interests with no additional consideration provided. During the year ended December 31, 2022, noncontrolling interests exchanged 24,870 Class B shares of Viant Technology LLC for 24,870 shares of the Company’s Class A common stock, which also resulted in the cancellation of 24,870 shares of the Company’s Class B common stock that was previously held by noncontrolling interests with no additional consideration provided.</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effect of changes in the Company’s ownership interest in Viant Technology LLC on the Company’s equity for the years indicated:</w:t>
      </w:r>
    </w:p>
    <w:tbl>
      <w:tblPr>
        <w:tblW w:w="10205" w:type="dxa"/>
        <w:jc w:val="center"/>
        <w:tblInd w:w="0" w:type="dxa"/>
        <w:tblLayout w:type="fixed"/>
        <w:tblCellMar>
          <w:top w:w="28" w:type="dxa"/>
          <w:left w:w="28" w:type="dxa"/>
          <w:bottom w:w="28" w:type="dxa"/>
          <w:right w:w="28" w:type="dxa"/>
        </w:tblCellMar>
      </w:tblPr>
      <w:tblGrid>
        <w:gridCol w:w="2592"/>
        <w:gridCol w:w="1908"/>
        <w:gridCol w:w="1852"/>
        <w:gridCol w:w="211"/>
        <w:gridCol w:w="660"/>
        <w:gridCol w:w="109"/>
        <w:gridCol w:w="109"/>
        <w:gridCol w:w="109"/>
        <w:gridCol w:w="109"/>
        <w:gridCol w:w="211"/>
        <w:gridCol w:w="765"/>
        <w:gridCol w:w="109"/>
        <w:gridCol w:w="109"/>
        <w:gridCol w:w="109"/>
        <w:gridCol w:w="109"/>
        <w:gridCol w:w="211"/>
        <w:gridCol w:w="765"/>
        <w:gridCol w:w="158"/>
      </w:tblGrid>
      <w:tr>
        <w:trPr/>
        <w:tc>
          <w:tcPr>
            <w:tcW w:w="2592"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Viant Technology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to noncontrolling interests:</w:t>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the additional-paid-in-capital of Viant Technology Inc. resulting from ownership changes in Viant Technology LLC</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(44,361)</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loss attributable to Viant Technology Inc. and transfers to noncontrolling interests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(52,103)</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13. Commitments and Contingencies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Lease Commitments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non-cancelable operating lease commitments for office space that have been recorded as operating lease liabilities. Refer to Note 5—Leases for additional information regarding lease commitments.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Hosting Commitments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non-cancelable contractual agreements primarily related to the hosting of our data storage processing, storage and other computing services. As of December 31, 2023, we estimate these obligations to be approximately $7.1 million in 2024, $5.9 million in 2025, and $1.5 million in 2026.</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Guarantees and Indemnities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consolidated financial statements. Accordingly, no amounts for any obligation have been recorded as of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14. Related Parties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a balance of $0.3 million as of December 31, 2023 and $0.2 million as of December 31, 2022, payable to related parties for expenses they incurred on our behalf, which was recorded within accrued liabilities on the consolidated balance sheets. The related expense incurred by the Company was $0.9 million for the year ended December 31, 2023, and $1.0 million for the year ended December 31, 2022.</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no revenue from its transactions with related parties during the years ended December 31, 2023, 2022 and 2021. The Company recorded no purchases from related parties during the years ended December 31, 2023, 2022 and 2021.</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no amounts were due to or due from related parties, other than those mentioned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9A. Controls and Procedures. </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Evaluation of Disclosure Controls and Procedures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 xml:space="preserve">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Based on such evaluation, our chief executive officer and chief financial officer have concluded that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Management's Report on Internal Control Over Financial Reporting</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management is responsible for establishing and maintaining adequate internal control over financial reporting (as defined in Rules 13a-15(f) and 15d-15(f) under the Exchange Act). We maintain internal control over financial reporting designed to provide reasonable assurance regarding the reliability of financial reporting and the preparation of financial statements for external purposes in accordance with GAAP.</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Internal control over financial reporting includes maintaining records that, in reasonable detail, accurately and fairly reflect our transactions and dispositions of assets; providing reasonable assurance that transactions are recorded as necessary for the preparation of consolidated financial statements in accordance with accounting principles generally accepted in the United States of America; providing reasonable assurance that receipts and expenditures of Company assets are made in accordance with authorizations of management and our board of directors; and providing reasonable assurance that unauthorized acquisition, use or disposition of Company assets that could have a material effect on the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 xml:space="preserve">Under the supervision and with the participation of our chief executive officer and chief financial officer, our management conducted an evaluation of the effectiveness of our internal control over financial reporting based on the criteria set forth in “Internal Control—Integrated Framework” issued by the Committee of Sponsoring Organizations of the Treadway Commission (2013 framework). Based on this assessment, our management concluded that our internal control over financial reporting was effective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Attestation Report of the Independent Registered Public Accounting Firm</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Annual Report does not include an attestation report of our registered public accounting firm regarding internal control over financial reporting due to an exemption established by the JOBS Act for “emerging growth companies” and because we qualify as a “non-accelerated filer” (i.e., we do not qualify as either an “accelerated filer” or a “large accelerated filer” as defined in Rule 12b-2 under the Exchange Act).</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Changes in Internal Control over Financial Reporting</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 xml:space="preserve">There was no change in our internal control over financial reporting (as defined in Rules 13a-15(d) and 15d-15(d) under the Exchange Act) during the three months ended </w:t>
      </w:r>
      <w:r>
        <w:rPr>
          <w:rFonts w:ascii="Times New Roman;sans-serif" w:hAnsi="Times New Roman;sans-serif"/>
          <w:b w:val="false"/>
          <w:color w:val="000000"/>
          <w:sz w:val="20"/>
        </w:rPr>
        <w:t>December 31, 2023 that has materially affected</w:t>
      </w:r>
      <w:r>
        <w:rPr>
          <w:rFonts w:ascii="Times New Roman;sans-serif" w:hAnsi="Times New Roman;sans-serif"/>
          <w:b w:val="false"/>
          <w:color w:val="000000"/>
          <w:sz w:val="20"/>
          <w:shd w:fill="FFFFFF" w:val="clear"/>
        </w:rPr>
        <w:t>, or is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Limitations on the Effectiveness of Disclosure Controls and Procedures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projections of any evaluation of effectiveness to future periods are subject to the risk that controls may become inadequate because of changes in conditions or that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9B. Other Information.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 During the three months ended December 31, 2023,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9C. Disclosure Regarding Foreign Jurisdictions that Prevent Inspections.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10. Directors, Executive Officers and Corporate Governance.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2024 Annual Meeting of Stockholders, which will be filed with the SEC no later than 120 days after December 31, 2023.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 written Code of Business Conduct and Ethics (our “Code of Conduct”) that applies to all officers, directors and employees, including our principal executive officer, principal financial officer, principal accounting officer or controller, or persons performing similar functions. The Code of Conduct is available on our website at www.viantinc.com. We intend to satisfy the disclosure requirement under Item 5.05 of Form 8-K regarding amendments to, or waiver from, a provision of our Code of Conduct, as well as Nasdaq’s requirement to disclose waivers with respect to directors and executive officers, by posting such information on our website at the address specified above. The information contained on our website is not incorporated by reference into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11. Executive Compensation.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2024 Annual Meeting of Stockholders, which will be filed with the SEC no later than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12. Security Ownership of Certain Beneficial Owners and Management and Related Stockholder Matters.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2024 Annual Meeting of Stockholders, which will be filed with the SEC no later than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2024 Annual Meeting of Stockholders, which will be filed with the SEC no later than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2024 Annual Meeting of Stockholders, which will be filed with the SEC no later than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15. Exhibits and Financial Statement Schedules.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(a)The following documents are filed as a part of this Annual Report: </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Index to Consolidated Financial Statements at Part II, Item 8 of this Annual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(2)Financial Statement Schedules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 schedules are omitted as they are either not applicable or the information required is presented in the financial statements and notes thereto under Part II, Item 8 of this Annual Report. </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documents listed in the following Exhibit Index of this Annual Report are incorporated by reference or are filed with this Annual Report, in each case as indicated therein (numbered in accordance with Item 601 of Regulation S-K).</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86"/>
        <w:gridCol w:w="2630"/>
        <w:gridCol w:w="375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Certificate of Incorporation of Viant Technology Inc. (incorporated by reference to Exhibit 3.1 to the Company’s Annual Report on Form 10-K (File No. 001-40015) for the year ended December 31, 2020, filed on March 23,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Amended and Restated Bylaws of Viant Technology Inc. (incorporated by reference to Exhibit 3.2 to the Company’s Annual Report on Form 10-K (File No. 001-40015) for the year ended December 31, 2020, filed on March 23,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Description of Securities (incorporated by reference to Exhibit 4.1 to the Company’s Annual Report on Form 10-K (File No. 001-40015) for the year ended December 31, 2020, filed on March 23,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Second Amended and Restated Limited Liability Company Agreement of Viant Technology LLC, dated as of February 9, 2021 (incorporated by reference to Exhibit 10.1 to the Company’s Annual Report on Form 10-K (File No. 001-40015) for the year ended December 31, 2020, filed on March 23,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 xml:space="preserve">Amendment No. 1 to Second Amended and Restated Limited Liability Company Agreement of Viant Technology LLC, dated as of February 12, 2021 (incorporated by reference to Exhibit 10.2 to the Company’s Annual Report on Form 10-K (File No. 001-40015) for the year ended December 31, 2020, filed on March 23, 2021) </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Tax Receivable Agreement, by and among Viant Technology Inc., Viant Technology LLC, each of the TRA Holders, and the TRA Representative, dated as of February 9, 2021 (incorporated by reference to Exhibit 10.3 to the Company’s Annual Report on Form 10-K (File No. 001-40015) for the year ended December 31, 2020, filed on March 23,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Registration Rights Agreement, by and among Viant Technology Inc. and the parties thereto, dated as of February 9, 2021 (incorporated by reference to Exhibit 10.4 to the Company’s Annual Report on Form 10-K (File No. 001-40015) for the year ended December 31, 2020, filed on March 23,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Form of Indemnification Agreement by and between Viant Technology Inc. and each of its directors and executive officers (incorporated by reference to Exhibit 10.4 to the Company’s Registration Statement on Form S-1 (File No. 333-252117), filed on February 1,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 xml:space="preserve">Revolving Credit and Security Agreement and Guaranty, dated as of October 31, 2019, by and among Viant Technology LLC, Viant US LLC, Adelphic LLC, Myspace LLC and each additional Borrower from time to time party thereto, PNC Bank, National Association, as Agent and each additional Lender from time to time party thereto (incorporated by reference to Exhibit 10.5 to the Company’s Registration Statement on Form S-1 (File No. 333-252117), filed on February 1, 2021) </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First Amendment to Revolving Credit and Security Agreement and Guaranty, dated as of April 13, 2020, by and among Viant Technology LLC, Viant US LLC, Adelphic LLC and Myspace LLC, as Borrowers, and PNC Bank, National Association, as Agent and Lender (incorporated by reference to Exhibit 10.6 to the Company’s Registration Statement on Form S-1 (File No. 333-252117), filed on February 1,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Second Amendment to Revolving Credit and Security Agreement and Guaranty, dated as of April 30, 2020, by and among Viant Technology LLC, Viant US LLC, Adelphic LLC and Myspace LLC, as Borrowers, and PNC Bank, National Association, as Agent and Lender (incorporated by reference to Exhibit 10.7 to the Company’s Registration Statement on Form S-1 (File No. 333-252117), filed on February 1,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2"/>
        <w:gridCol w:w="205"/>
        <w:gridCol w:w="208"/>
        <w:gridCol w:w="109"/>
        <w:gridCol w:w="109"/>
        <w:gridCol w:w="109"/>
        <w:gridCol w:w="2804"/>
        <w:gridCol w:w="2662"/>
        <w:gridCol w:w="3767"/>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Third Amendment to Revolving Credit and Security Agreement and Guaranty, dated as of May 29, 2020, by and among Viant Technology LLC, Viant US LLC, Adelphic LLC and Myspace LLC, as Borrowers, and PNC Bank, National Association, as Agent and Lender (incorporated by reference to Exhibit 10.8 to the Company’s Registration Statement on Form S-1 (File No. 333-252117), filed on February 1, 2021)</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Fourth Amendment to Revolving Credit and Security Agreement and Guaranty, dated as of January 29, 2021, by and among Viant Technology LLC, Viant US LLC, Adelphic LLC, Myspace LLC and the Company, as Borrowers, and PNC Bank, National Association, as Agent and Lender (incorporated by reference to Exhibit 10.9 to the Company’s Registration Statement on Form S-1 (File No. 333-252117), filed on February 1, 2021)</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Fifth Amendment to Revolving Credit and Security Agreement and Guaranty, dated as of October 15, 2021, by and among Viant Technology LLC, Viant US LLC, Adelphic LLC, Myspace LLC and the Company, as Borrowers, and PNC Bank, National Association, as Agent and Lender (incorporated by reference to Exhibit 10.1 to the Company’s Quarterly Report on Form 10-Q (File No. 001-40015) for the quarter ended September 30, 2021, filed on November 10, 2021)</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Sixth Amendment to the Revolving Credit and Security Agreement and Guaranty, dated as of April 4, 2023, among Viant Technology LLC, Viant US LLC, Adelphic LLC, Myspace LLC, Viant Technology Inc., the Lenders party thereto and PNC Bank, National Association (incorporated by reference to Exhibit 10.1 to the Company’s Current Report on Form 8-K (File No. 001-40015) filed on April 6, 2023).</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Viant Technology Inc. 2021 Long-Term Incentive Plan (incorporated by reference to Exhibit 99.1 to the Company’s Registration Statement on Form S-8 (File No. 333-252912), filed on February 9, 2021)</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Employment Agreement, dated as of March 27, 2017, by and between Viant Technology LLC and Larry Madden (incorporated by reference to Exhibit 10.13 to the Company’s Registration Statement on Form S-1 (File No. 333-252117), filed on February 1, 2021)</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Limited Liability Company Agreement of Viant Technology Equity Plan LLC, dated as of March 15, 2017 (incorporated by reference to Exhibit 10.14 to the Company’s Registration Statement on Form S-1 (File No. 333-252117), filed on February 1, 2021)</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Annual Incentive Plan (incorporated by reference to Exhibit 10.1 to the Company’s Current Report on Form 8-K (File No. 001-40015), filed on March 4, 2022)</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31231xex1017.htm">
              <w:r>
                <w:rPr>
                  <w:rStyle w:val="InternetLink"/>
                  <w:rFonts w:ascii="Times New Roman;sans-serif" w:hAnsi="Times New Roman;sans-serif"/>
                  <w:b w:val="false"/>
                  <w:color w:val="0000FF"/>
                  <w:sz w:val="20"/>
                  <w:u w:val="single"/>
                </w:rPr>
                <w:t>Form of Grant Notice and Standard Terms and Conditions for Nonqualified Stock Options under the Viant Technology Inc. 2021 Long-Term Incentive Plan (Employee Form)</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31231xex1018.htm">
              <w:r>
                <w:rPr>
                  <w:rStyle w:val="InternetLink"/>
                  <w:rFonts w:ascii="Times New Roman;sans-serif" w:hAnsi="Times New Roman;sans-serif"/>
                  <w:b w:val="false"/>
                  <w:color w:val="0000FF"/>
                  <w:sz w:val="20"/>
                  <w:u w:val="single"/>
                </w:rPr>
                <w:t>Form of Grant Notice and Standard Terms and Conditions for Restricted Stock Units under the Viant Technology Inc. 2021 Long-Term Incentive Plan (Employee Form)</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Form of Grant Notice and Standard Terms and Conditions for Restricted Stock Units for Non-Employee Directors under the Viant Technology Inc. 2021 Long-Term Incentive Plan (incorporated by reference to Exhibit 99.4 to the Company’s Registration Statement on Form S-8 (File No. 333-252912), filed on February 9, 2021)</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31231xex1020.htm">
              <w:r>
                <w:rPr>
                  <w:rStyle w:val="InternetLink"/>
                  <w:rFonts w:ascii="Times New Roman;sans-serif" w:hAnsi="Times New Roman;sans-serif"/>
                  <w:b w:val="false"/>
                  <w:color w:val="0000FF"/>
                  <w:sz w:val="20"/>
                  <w:u w:val="single"/>
                </w:rPr>
                <w:t xml:space="preserve">Form of Grant Notice and Standard Terms and Conditions for Restricted Stock Units under the Viant Technology Inc. 2021 Long-Term Incentive Plan (New Hire Form) </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First Amendment to Employment Agreement, dated as of November 15, 2018, by and between Viant Technology LLC and Larry Madden (incorporated by reference to Exhibit 10.2 to the Company’s Quarterly Report on Form 10-Q (File No. 001-40015) for the quarter ended March 31, 2022, filed on May 3, 2022)</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31231xex1022.htm">
              <w:r>
                <w:rPr>
                  <w:rStyle w:val="InternetLink"/>
                  <w:rFonts w:ascii="Times New Roman;sans-serif" w:hAnsi="Times New Roman;sans-serif"/>
                  <w:b w:val="false"/>
                  <w:color w:val="000080"/>
                  <w:sz w:val="20"/>
                  <w:u w:val="single"/>
                </w:rPr>
                <w:t>Viant Technology Inc. Non-Employee Director Compensation Policy, effective as of</w:t>
              </w:r>
            </w:hyperlink>
            <w:hyperlink w:anchor="dsp-20231231xex1022.htm">
              <w:r>
                <w:rPr>
                  <w:rStyle w:val="InternetLink"/>
                  <w:rFonts w:ascii="Times New Roman;sans-serif" w:hAnsi="Times New Roman;sans-serif"/>
                  <w:b w:val="false"/>
                  <w:color w:val="000080"/>
                  <w:sz w:val="20"/>
                  <w:u w:val="single"/>
                </w:rPr>
                <w:t xml:space="preserve"> July 1, 2023</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Subsidiaries of the Company (incorporated by reference to Exhibit 21.1 to the Company’s Registration Statement on Form S-1 (File No. 333-252117), filed on February 1, 2021)</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31231xex231.htm">
              <w:r>
                <w:rPr>
                  <w:rStyle w:val="InternetLink"/>
                  <w:rFonts w:ascii="Times New Roman;sans-serif" w:hAnsi="Times New Roman;sans-serif"/>
                  <w:b w:val="false"/>
                  <w:color w:val="0000FF"/>
                  <w:sz w:val="20"/>
                  <w:u w:val="single"/>
                </w:rPr>
                <w:t>Consent of Deloitte &amp; Touche LLP, independent registered public accounting firm.</w:t>
              </w:r>
            </w:hyperlink>
            <w:r>
              <w:rPr>
                <w:color w:val="000000"/>
              </w:rPr>
              <w:t xml:space="preserve"> </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31231xex311.htm">
              <w:r>
                <w:rPr>
                  <w:rStyle w:val="InternetLink"/>
                  <w:rFonts w:ascii="Times New Roman;sans-serif" w:hAnsi="Times New Roman;sans-serif"/>
                  <w:b w:val="false"/>
                  <w:color w:val="0000FF"/>
                  <w:sz w:val="20"/>
                  <w:u w:val="single"/>
                </w:rPr>
                <w:t>Certification of Principal Executive Officer pursuant to Section 302 of the Sarbanes-Oxley Act of 2002</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31231xex312.htm">
              <w:r>
                <w:rPr>
                  <w:rStyle w:val="InternetLink"/>
                  <w:rFonts w:ascii="Times New Roman;sans-serif" w:hAnsi="Times New Roman;sans-serif"/>
                  <w:b w:val="false"/>
                  <w:color w:val="0000FF"/>
                  <w:sz w:val="20"/>
                  <w:u w:val="single"/>
                </w:rPr>
                <w:t>Certification of Principal Financial Officer pursuant to Section 302 of the Sarbanes-Oxley Act of 2002</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31231xex321.htm">
              <w:r>
                <w:rPr>
                  <w:rStyle w:val="InternetLink"/>
                  <w:rFonts w:ascii="Times New Roman;sans-serif" w:hAnsi="Times New Roman;sans-serif"/>
                  <w:b w:val="false"/>
                  <w:color w:val="0000FF"/>
                  <w:sz w:val="20"/>
                  <w:u w:val="single"/>
                </w:rPr>
                <w:t>Certification of Principal Executive Officer pursuant to Section 906 of the Sarbanes-Oxley Act of 2002</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31231xex322.htm">
              <w:r>
                <w:rPr>
                  <w:rStyle w:val="InternetLink"/>
                  <w:rFonts w:ascii="Times New Roman;sans-serif" w:hAnsi="Times New Roman;sans-serif"/>
                  <w:b w:val="false"/>
                  <w:color w:val="0000FF"/>
                  <w:sz w:val="20"/>
                  <w:u w:val="single"/>
                </w:rPr>
                <w:t>Certification of Principal Financial Officer pursuant to Section 906 of the Sarbanes-Oxley Act of 2002</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31231xex971.htm">
              <w:r>
                <w:rPr>
                  <w:rStyle w:val="InternetLink"/>
                  <w:rFonts w:ascii="Times New Roman;sans-serif" w:hAnsi="Times New Roman;sans-serif"/>
                  <w:b w:val="false"/>
                  <w:color w:val="0000FF"/>
                  <w:sz w:val="20"/>
                  <w:u w:val="single"/>
                </w:rPr>
                <w:t>Viant Technology Inc. Policy For Recovery of Erroneously Awarded Compensation</w:t>
              </w:r>
            </w:hyperlink>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Definition Linkbase Document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tbl>
      <w:tblPr>
        <w:tblW w:w="8621" w:type="dxa"/>
        <w:jc w:val="left"/>
        <w:tblInd w:w="0" w:type="dxa"/>
        <w:tblLayout w:type="fixed"/>
        <w:tblCellMar>
          <w:top w:w="28" w:type="dxa"/>
          <w:left w:w="28" w:type="dxa"/>
          <w:bottom w:w="28" w:type="dxa"/>
          <w:right w:w="28" w:type="dxa"/>
        </w:tblCellMar>
      </w:tblPr>
      <w:tblGrid>
        <w:gridCol w:w="304"/>
        <w:gridCol w:w="267"/>
        <w:gridCol w:w="269"/>
        <w:gridCol w:w="109"/>
        <w:gridCol w:w="109"/>
        <w:gridCol w:w="109"/>
        <w:gridCol w:w="2179"/>
        <w:gridCol w:w="2179"/>
        <w:gridCol w:w="3096"/>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 contract or arrangement.</w:t>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shd w:fill="FFFFFF" w:val="clear"/>
        </w:rPr>
        <w:t>The certifications furnished in Exhibits 32.1 and 32.2 hereto are deemed to accompany this Annual Report on Form 10-K and will not be deemed “filed” for purposes of Section 18 of the Exchange Act,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r>
        <w:rPr>
          <w:rFonts w:ascii="Times New Roman;sans-serif" w:hAnsi="Times New Roman;sans-serif"/>
          <w:b/>
          <w:color w:val="000000"/>
          <w:sz w:val="20"/>
        </w:rPr>
        <w:t>.</w:t>
      </w:r>
    </w:p>
    <w:tbl>
      <w:tblPr>
        <w:tblW w:w="6359" w:type="dxa"/>
        <w:jc w:val="left"/>
        <w:tblInd w:w="0" w:type="dxa"/>
        <w:tblLayout w:type="fixed"/>
        <w:tblCellMar>
          <w:top w:w="28" w:type="dxa"/>
          <w:left w:w="28" w:type="dxa"/>
          <w:bottom w:w="28" w:type="dxa"/>
          <w:right w:w="28" w:type="dxa"/>
        </w:tblCellMar>
      </w:tblPr>
      <w:tblGrid>
        <w:gridCol w:w="645"/>
        <w:gridCol w:w="568"/>
        <w:gridCol w:w="571"/>
        <w:gridCol w:w="390"/>
        <w:gridCol w:w="390"/>
        <w:gridCol w:w="390"/>
        <w:gridCol w:w="997"/>
        <w:gridCol w:w="997"/>
        <w:gridCol w:w="141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VIANT TECHNOLOGY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4, 2024</w:t>
            </w:r>
          </w:p>
        </w:tc>
        <w:tc>
          <w:tcPr>
            <w:tcW w:w="11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0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Tim Vanderhook</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Tim Vanderhook</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Chairman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in the capacities and on the dates indicated.</w:t>
      </w:r>
    </w:p>
    <w:tbl>
      <w:tblPr>
        <w:tblW w:w="7732" w:type="dxa"/>
        <w:jc w:val="center"/>
        <w:tblInd w:w="0" w:type="dxa"/>
        <w:tblLayout w:type="fixed"/>
        <w:tblCellMar>
          <w:top w:w="28" w:type="dxa"/>
          <w:left w:w="28" w:type="dxa"/>
          <w:bottom w:w="28" w:type="dxa"/>
          <w:right w:w="28" w:type="dxa"/>
        </w:tblCellMar>
      </w:tblPr>
      <w:tblGrid>
        <w:gridCol w:w="694"/>
        <w:gridCol w:w="610"/>
        <w:gridCol w:w="615"/>
        <w:gridCol w:w="109"/>
        <w:gridCol w:w="109"/>
        <w:gridCol w:w="109"/>
        <w:gridCol w:w="1269"/>
        <w:gridCol w:w="1269"/>
        <w:gridCol w:w="1286"/>
        <w:gridCol w:w="109"/>
        <w:gridCol w:w="109"/>
        <w:gridCol w:w="109"/>
        <w:gridCol w:w="389"/>
        <w:gridCol w:w="389"/>
        <w:gridCol w:w="557"/>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Tim Vanderhook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p>
            <w:pPr>
              <w:pStyle w:val="TableContents"/>
              <w:bidi w:val="0"/>
              <w:spacing w:lineRule="auto" w:line="276" w:before="15"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Tim Vanderhook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Larry Madden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76" w:before="15"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Larry Madden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Chris Vanderhook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Operating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Chris Vanderhook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Max Valdes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Max Valdes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Elizabeth Williams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Elizabeth Williams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Vivian Yang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4, 2024</w:t>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Vivian Yang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10.17</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42" w:before="0" w:after="0"/>
        <w:jc w:val="center"/>
        <w:rPr>
          <w:rFonts w:ascii="Times New Roman;sans-serif" w:hAnsi="Times New Roman;sans-serif"/>
          <w:b/>
          <w:color w:val="000000"/>
          <w:sz w:val="24"/>
        </w:rPr>
      </w:pPr>
      <w:r>
        <w:rPr>
          <w:rFonts w:ascii="Times New Roman;sans-serif" w:hAnsi="Times New Roman;sans-serif"/>
          <w:b/>
          <w:color w:val="000000"/>
          <w:sz w:val="24"/>
        </w:rPr>
        <w:t>VIANT TECHNOLOGY INC.</w:t>
      </w:r>
    </w:p>
    <w:p>
      <w:pPr>
        <w:pStyle w:val="TextBody"/>
        <w:bidi w:val="0"/>
        <w:spacing w:lineRule="auto" w:line="242" w:before="0" w:after="0"/>
        <w:jc w:val="center"/>
        <w:rPr>
          <w:rFonts w:ascii="Times New Roman;sans-serif" w:hAnsi="Times New Roman;sans-serif"/>
          <w:b/>
          <w:color w:val="000000"/>
          <w:sz w:val="24"/>
        </w:rPr>
      </w:pPr>
      <w:r>
        <w:rPr>
          <w:rFonts w:ascii="Times New Roman;sans-serif" w:hAnsi="Times New Roman;sans-serif"/>
          <w:b/>
          <w:color w:val="000000"/>
          <w:sz w:val="24"/>
        </w:rPr>
        <w:t>2021 LONG-TERM INCENTIVE PLAN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GRANT NOTICE FOR</w:t>
        <w:br/>
        <w:t>NONQUALIFIED STOCK OPTIONS</w:t>
      </w:r>
    </w:p>
    <w:p>
      <w:pPr>
        <w:pStyle w:val="TextBody"/>
        <w:bidi w:val="0"/>
        <w:spacing w:lineRule="auto" w:line="240" w:before="288" w:after="240"/>
        <w:jc w:val="both"/>
        <w:rPr/>
      </w:pPr>
      <w:r>
        <w:rPr>
          <w:rFonts w:ascii="Times New Roman;sans-serif" w:hAnsi="Times New Roman;sans-serif"/>
          <w:b w:val="false"/>
          <w:color w:val="000000"/>
          <w:sz w:val="24"/>
        </w:rPr>
        <w:t>FOR GOOD AND VALUABLE CONSIDERATION, Viant Technology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hereby grants to Participant named below the Nonqualified Stock Option (the “</w:t>
      </w:r>
      <w:r>
        <w:rPr>
          <w:rFonts w:ascii="Times New Roman;sans-serif" w:hAnsi="Times New Roman;sans-serif"/>
          <w:b/>
          <w:i/>
          <w:color w:val="000000"/>
          <w:sz w:val="24"/>
        </w:rPr>
        <w:t>Option</w:t>
      </w:r>
      <w:r>
        <w:rPr>
          <w:color w:val="000000"/>
        </w:rPr>
        <w:t>”</w:t>
      </w:r>
      <w:r>
        <w:rPr>
          <w:rFonts w:ascii="Times New Roman;sans-serif" w:hAnsi="Times New Roman;sans-serif"/>
          <w:b w:val="false"/>
          <w:color w:val="000000"/>
          <w:sz w:val="24"/>
        </w:rPr>
        <w:t>) to purchase any part or all of the number of shares of Common Stock that are covered by this Option at the Exercise Price Per Share, each specified below, and upon the terms and subject to the conditions set forth in this Grant Notice, the Viant Technology Inc. 2021 Long-Term Incentive Plan (as amended from time to time,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and the Standard Terms and Conditions (the “</w:t>
      </w:r>
      <w:r>
        <w:rPr>
          <w:rFonts w:ascii="Times New Roman;sans-serif" w:hAnsi="Times New Roman;sans-serif"/>
          <w:b/>
          <w:i/>
          <w:color w:val="000000"/>
          <w:sz w:val="24"/>
        </w:rPr>
        <w:t>Standard Terms and Conditions</w:t>
      </w:r>
      <w:r>
        <w:rPr>
          <w:color w:val="000000"/>
        </w:rPr>
        <w:t>”</w:t>
      </w:r>
      <w:r>
        <w:rPr>
          <w:rFonts w:ascii="Times New Roman;sans-serif" w:hAnsi="Times New Roman;sans-serif"/>
          <w:b w:val="false"/>
          <w:color w:val="000000"/>
          <w:sz w:val="24"/>
        </w:rPr>
        <w:t xml:space="preserve">) promulgated under such Plan and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This Option is granted pursuant to the Plan and is subject to and qualified in its entirety by the Standard Terms and Conditions. This Option is not intended to qualify as an incentive stock option under Section 422 of the Code. Capitalized terms not otherwise defined herein shall have the meaning set forth in the Plan.</w:t>
      </w:r>
    </w:p>
    <w:tbl>
      <w:tblPr>
        <w:tblW w:w="10205" w:type="dxa"/>
        <w:jc w:val="left"/>
        <w:tblInd w:w="0" w:type="dxa"/>
        <w:tblLayout w:type="fixed"/>
        <w:tblCellMar>
          <w:top w:w="28" w:type="dxa"/>
          <w:left w:w="28" w:type="dxa"/>
          <w:bottom w:w="28" w:type="dxa"/>
          <w:right w:w="28" w:type="dxa"/>
        </w:tblCellMar>
      </w:tblPr>
      <w:tblGrid>
        <w:gridCol w:w="1063"/>
        <w:gridCol w:w="856"/>
        <w:gridCol w:w="712"/>
        <w:gridCol w:w="2217"/>
        <w:gridCol w:w="2217"/>
        <w:gridCol w:w="3140"/>
      </w:tblGrid>
      <w:tr>
        <w:trPr/>
        <w:tc>
          <w:tcPr>
            <w:tcW w:w="106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Participant:</w:t>
            </w:r>
          </w:p>
        </w:tc>
        <w:tc>
          <w:tcPr>
            <w:tcW w:w="757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Grant Date:</w:t>
            </w:r>
          </w:p>
        </w:tc>
        <w:tc>
          <w:tcPr>
            <w:tcW w:w="757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0" w:before="120" w:after="120"/>
              <w:jc w:val="left"/>
              <w:rPr/>
            </w:pPr>
            <w:r>
              <w:rPr>
                <w:rFonts w:ascii="Times New Roman;sans-serif" w:hAnsi="Times New Roman;sans-serif"/>
                <w:b w:val="false"/>
                <w:color w:val="000000"/>
                <w:sz w:val="24"/>
              </w:rPr>
              <w:t>Vesting Commencement Date:</w:t>
            </w:r>
            <w:r>
              <w:rPr>
                <w:rFonts w:ascii="Times New Roman;sans-serif" w:hAnsi="Times New Roman;sans-serif"/>
                <w:b w:val="false"/>
                <w:color w:val="000000"/>
                <w:sz w:val="16"/>
              </w:rPr>
              <w:t>1</w:t>
            </w:r>
          </w:p>
        </w:tc>
        <w:tc>
          <w:tcPr>
            <w:tcW w:w="757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Number of Shares of Common Stock covered by Option:</w:t>
            </w:r>
          </w:p>
        </w:tc>
        <w:tc>
          <w:tcPr>
            <w:tcW w:w="757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Exercise Price Per Share:</w:t>
            </w:r>
          </w:p>
        </w:tc>
        <w:tc>
          <w:tcPr>
            <w:tcW w:w="757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0" w:before="120" w:after="120"/>
              <w:jc w:val="left"/>
              <w:rPr/>
            </w:pPr>
            <w:r>
              <w:rPr>
                <w:rFonts w:ascii="Times New Roman;sans-serif" w:hAnsi="Times New Roman;sans-serif"/>
                <w:b w:val="false"/>
                <w:color w:val="000000"/>
                <w:sz w:val="24"/>
              </w:rPr>
              <w:t>Expiration Date:</w:t>
            </w:r>
            <w:r>
              <w:rPr>
                <w:rFonts w:ascii="Times New Roman;sans-serif" w:hAnsi="Times New Roman;sans-serif"/>
                <w:b w:val="false"/>
                <w:color w:val="000000"/>
                <w:sz w:val="16"/>
              </w:rPr>
              <w:t>2</w:t>
            </w:r>
          </w:p>
        </w:tc>
        <w:tc>
          <w:tcPr>
            <w:tcW w:w="757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Vesting Schedule:</w:t>
            </w:r>
          </w:p>
        </w:tc>
        <w:tc>
          <w:tcPr>
            <w:tcW w:w="757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0"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the Plan and the Standard Terms and Conditions, the Option shall vest in accordance with the following schedule, so long as Participant remains continuously employed by the Company or its Subsidiaries from the Grant Date through such vesting date: [________]. </w:t>
            </w:r>
          </w:p>
        </w:tc>
      </w:tr>
    </w:tbl>
    <w:p>
      <w:pPr>
        <w:pStyle w:val="TextBody"/>
        <w:bidi w:val="0"/>
        <w:spacing w:before="288" w:after="240"/>
        <w:jc w:val="both"/>
        <w:rPr/>
      </w:pPr>
      <w:r>
        <w:rPr/>
      </w:r>
    </w:p>
    <w:p>
      <w:pPr>
        <w:pStyle w:val="TextBody"/>
        <w:bidi w:val="0"/>
        <w:spacing w:lineRule="auto" w:line="240" w:before="288" w:after="240"/>
        <w:jc w:val="both"/>
        <w:rPr/>
      </w:pPr>
      <w:r>
        <w:rPr>
          <w:rFonts w:ascii="Times New Roman;sans-serif" w:hAnsi="Times New Roman;sans-serif"/>
          <w:b w:val="false"/>
          <w:color w:val="000000"/>
          <w:sz w:val="24"/>
        </w:rPr>
        <w:t>IN ORDER TO RECEIVE THE BENEFITS OF THIS AGREEMENT, PARTICIPANT MUST EXECUTE AND RETURN THIS GRANT NOTICE (THE “</w:t>
      </w:r>
      <w:r>
        <w:rPr>
          <w:rFonts w:ascii="Times New Roman;sans-serif" w:hAnsi="Times New Roman;sans-serif"/>
          <w:b/>
          <w:i/>
          <w:color w:val="000000"/>
          <w:sz w:val="24"/>
        </w:rPr>
        <w:t>ACCEPTANCE REQUIREMENTS</w:t>
      </w:r>
      <w:r>
        <w:rPr>
          <w:color w:val="000000"/>
        </w:rPr>
        <w:t>”</w:t>
      </w:r>
      <w:r>
        <w:rPr>
          <w:rFonts w:ascii="Times New Roman;sans-serif" w:hAnsi="Times New Roman;sans-serif"/>
          <w:b w:val="false"/>
          <w:color w:val="000000"/>
          <w:sz w:val="24"/>
        </w:rPr>
        <w:t>). IF YOU FAIL TO SATISFY THE ACCEPTANCE REQUIREMENTS WITHIN 60 DAYS AFTER THE GRANT DATE, THEN THIS GRANT NOTICE WILL BE OF NO FORCE OR EFFECT AND THE OPTION GRANTED HEREIN WILL BE AUTOMATICALLY FORFEITED TO THE COMPANY WITHOUT CONSIDERATION.</w:t>
      </w:r>
    </w:p>
    <w:p>
      <w:pPr>
        <w:pStyle w:val="TextBody"/>
        <w:bidi w:val="0"/>
        <w:spacing w:lineRule="auto" w:line="240"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To be March 10 (if Grant Date is between 2/1/20___ - 4/30/20___), June 10 (if Grant Date is between 5/1/20___ - 7/31/20___), September 10 (if Grant Date is between 8/1/20___ - 10/31/20___), December 10 (if Grant Date is between 11/1/20___ - 1/31/20___).</w:t>
      </w:r>
      <w:r>
        <w:rPr>
          <w:color w:val="000000"/>
        </w:rPr>
        <w:t xml:space="preserve"> </w:t>
      </w:r>
    </w:p>
    <w:p>
      <w:pPr>
        <w:pStyle w:val="TextBody"/>
        <w:bidi w:val="0"/>
        <w:spacing w:before="0" w:after="0"/>
        <w:jc w:val="left"/>
        <w:rPr/>
      </w:pPr>
      <w:r>
        <w:rPr/>
      </w:r>
    </w:p>
    <w:p>
      <w:pPr>
        <w:pStyle w:val="TextBody"/>
        <w:bidi w:val="0"/>
        <w:spacing w:lineRule="auto" w:line="24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To be the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anniversary of the Grant Date.</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50520"/>
                <wp:effectExtent l="0" t="0" r="0" b="0"/>
                <wp:wrapNone/>
                <wp:docPr id="113" name="Frame1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88"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accepting this Grant Notice, Participant acknowledges that he or she has received and read, and agrees that this Option shall be subject to, the terms of this Grant Notice, the Plan, and the Standard Terms and Conditions.</w:t>
      </w:r>
    </w:p>
    <w:p>
      <w:pPr>
        <w:pStyle w:val="TextBody"/>
        <w:bidi w:val="0"/>
        <w:spacing w:before="0" w:after="0"/>
        <w:jc w:val="both"/>
        <w:rPr/>
      </w:pPr>
      <w:r>
        <w:rPr/>
      </w:r>
    </w:p>
    <w:tbl>
      <w:tblPr>
        <w:tblW w:w="3344" w:type="dxa"/>
        <w:jc w:val="left"/>
        <w:tblInd w:w="0" w:type="dxa"/>
        <w:tblLayout w:type="fixed"/>
        <w:tblCellMar>
          <w:top w:w="28" w:type="dxa"/>
          <w:left w:w="28" w:type="dxa"/>
          <w:bottom w:w="28" w:type="dxa"/>
          <w:right w:w="28" w:type="dxa"/>
        </w:tblCellMar>
      </w:tblPr>
      <w:tblGrid>
        <w:gridCol w:w="580"/>
        <w:gridCol w:w="510"/>
        <w:gridCol w:w="510"/>
        <w:gridCol w:w="510"/>
        <w:gridCol w:w="510"/>
        <w:gridCol w:w="724"/>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334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VIANT TECHNOLOGY INC.</w:t>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PARTICIPANT</w:t>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744"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VIANT TECHNOLOGY INC.</w:t>
        <w:br/>
        <w:t>2021 LONG-TERM INCENTIVE PLAN</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STANDARD TERMS AND CONDITIONS FOR</w:t>
        <w:br/>
        <w:t>NONQUALIFIED STOCK OPTIONS</w:t>
      </w:r>
    </w:p>
    <w:p>
      <w:pPr>
        <w:pStyle w:val="TextBody"/>
        <w:bidi w:val="0"/>
        <w:spacing w:lineRule="auto" w:line="240" w:before="240" w:after="283"/>
        <w:jc w:val="both"/>
        <w:rPr/>
      </w:pPr>
      <w:r>
        <w:rPr>
          <w:rFonts w:ascii="Times New Roman;sans-serif" w:hAnsi="Times New Roman;sans-serif"/>
          <w:b w:val="false"/>
          <w:color w:val="000000"/>
          <w:sz w:val="24"/>
        </w:rPr>
        <w:t>These Standard Terms and Conditions For Nonqualifed Stock Options (the “</w:t>
      </w:r>
      <w:r>
        <w:rPr>
          <w:rFonts w:ascii="Times New Roman;sans-serif" w:hAnsi="Times New Roman;sans-serif"/>
          <w:b/>
          <w:i/>
          <w:color w:val="000000"/>
          <w:sz w:val="24"/>
        </w:rPr>
        <w:t>Standard Terms and Condition</w:t>
      </w:r>
      <w:r>
        <w:rPr>
          <w:rFonts w:ascii="Times New Roman;sans-serif" w:hAnsi="Times New Roman;sans-serif"/>
          <w:b/>
          <w:color w:val="000000"/>
          <w:sz w:val="24"/>
        </w:rPr>
        <w:t>s</w:t>
      </w:r>
      <w:r>
        <w:rPr>
          <w:color w:val="000000"/>
        </w:rPr>
        <w:t>”</w:t>
      </w:r>
      <w:r>
        <w:rPr>
          <w:rFonts w:ascii="Times New Roman;sans-serif" w:hAnsi="Times New Roman;sans-serif"/>
          <w:b w:val="false"/>
          <w:color w:val="000000"/>
          <w:sz w:val="24"/>
        </w:rPr>
        <w:t>) apply to the Options (as defined below) granted pursuant to the Viant Technology Inc. 2021 Long-Term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which are identified as a nonqualified stock option and are evidenced by a Grant Notice or an action of the Committee that specifically refers to these Standard Terms and Conditions. In addition to these Standard Terms and Conditions, the Options shall be subject to the terms of the Plan, which are incorporated into these Standard Terms and Conditions by this reference. Capitalized terms not otherwise defined herein shall have the meaning set forth in the Plan.</w:t>
      </w:r>
    </w:p>
    <w:p>
      <w:pPr>
        <w:pStyle w:val="TextBody"/>
        <w:bidi w:val="0"/>
        <w:spacing w:lineRule="auto" w:line="240" w:before="240" w:after="283"/>
        <w:jc w:val="both"/>
        <w:rPr/>
      </w:pPr>
      <w:r>
        <w:rPr>
          <w:rFonts w:ascii="Times New Roman;sans-serif" w:hAnsi="Times New Roman;sans-serif"/>
          <w:b/>
          <w:color w:val="000000"/>
          <w:sz w:val="24"/>
        </w:rPr>
        <w:t>1.</w:t>
      </w:r>
      <w:r>
        <w:rPr>
          <w:rFonts w:ascii="Times New Roman;sans-serif" w:hAnsi="Times New Roman;sans-serif"/>
          <w:b/>
          <w:color w:val="000000"/>
          <w:sz w:val="24"/>
        </w:rPr>
        <w:t>TERMS OF OPTION</w:t>
      </w:r>
    </w:p>
    <w:p>
      <w:pPr>
        <w:pStyle w:val="TextBody"/>
        <w:bidi w:val="0"/>
        <w:spacing w:lineRule="auto" w:line="240" w:before="240" w:after="283"/>
        <w:jc w:val="both"/>
        <w:rPr/>
      </w:pPr>
      <w:r>
        <w:rPr>
          <w:rFonts w:ascii="Times New Roman;sans-serif" w:hAnsi="Times New Roman;sans-serif"/>
          <w:b w:val="false"/>
          <w:color w:val="000000"/>
          <w:sz w:val="24"/>
        </w:rPr>
        <w:t>Viant Technology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granted to the Participant named in the Grant Notice provided to said Participant herewith (the “</w:t>
      </w:r>
      <w:r>
        <w:rPr>
          <w:rFonts w:ascii="Times New Roman;sans-serif" w:hAnsi="Times New Roman;sans-serif"/>
          <w:b/>
          <w:i/>
          <w:color w:val="000000"/>
          <w:sz w:val="24"/>
        </w:rPr>
        <w:t>Grant Notice</w:t>
      </w:r>
      <w:r>
        <w:rPr>
          <w:color w:val="000000"/>
        </w:rPr>
        <w:t>”</w:t>
      </w:r>
      <w:r>
        <w:rPr>
          <w:rFonts w:ascii="Times New Roman;sans-serif" w:hAnsi="Times New Roman;sans-serif"/>
          <w:b w:val="false"/>
          <w:color w:val="000000"/>
          <w:sz w:val="24"/>
        </w:rPr>
        <w:t>) a Nonqualified Stock Option (the “</w:t>
      </w:r>
      <w:r>
        <w:rPr>
          <w:rFonts w:ascii="Times New Roman;sans-serif" w:hAnsi="Times New Roman;sans-serif"/>
          <w:b/>
          <w:i/>
          <w:color w:val="000000"/>
          <w:sz w:val="24"/>
        </w:rPr>
        <w:t>Option</w:t>
      </w:r>
      <w:r>
        <w:rPr>
          <w:color w:val="000000"/>
        </w:rPr>
        <w:t>”</w:t>
      </w:r>
      <w:r>
        <w:rPr>
          <w:rFonts w:ascii="Times New Roman;sans-serif" w:hAnsi="Times New Roman;sans-serif"/>
          <w:b w:val="false"/>
          <w:color w:val="000000"/>
          <w:sz w:val="24"/>
        </w:rPr>
        <w:t>) to purchase up to the number of shares of Common Stock at an exercise price per share, each as set forth in the Grant Notice, as modified to reflect any capitalization adjustment under the Plan. The Option is subject to the conditions set forth in the Grant Notice, these Standard Terms and Conditions, and the Plan. For purposes of these Standard Terms and Conditions and the Grant Notice, any reference to the Company shall include a reference to any Subsidiary.</w:t>
      </w:r>
    </w:p>
    <w:p>
      <w:pPr>
        <w:pStyle w:val="TextBody"/>
        <w:bidi w:val="0"/>
        <w:spacing w:lineRule="auto" w:line="240" w:before="240" w:after="283"/>
        <w:jc w:val="both"/>
        <w:rPr/>
      </w:pPr>
      <w:r>
        <w:rPr>
          <w:rFonts w:ascii="Times New Roman;sans-serif" w:hAnsi="Times New Roman;sans-serif"/>
          <w:b/>
          <w:color w:val="000000"/>
          <w:sz w:val="24"/>
        </w:rPr>
        <w:t>2.</w:t>
      </w:r>
      <w:r>
        <w:rPr>
          <w:rFonts w:ascii="Times New Roman;sans-serif" w:hAnsi="Times New Roman;sans-serif"/>
          <w:b/>
          <w:color w:val="000000"/>
          <w:sz w:val="24"/>
        </w:rPr>
        <w:t>NONQUALIFIED STOCK OPTION</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Option is not intended to be an incentive stock option under Section 422 of the Code and will be interpreted accordingly.</w:t>
      </w:r>
    </w:p>
    <w:p>
      <w:pPr>
        <w:pStyle w:val="TextBody"/>
        <w:bidi w:val="0"/>
        <w:spacing w:lineRule="auto" w:line="240" w:before="240" w:after="283"/>
        <w:jc w:val="both"/>
        <w:rPr/>
      </w:pPr>
      <w:r>
        <w:rPr>
          <w:rFonts w:ascii="Times New Roman;sans-serif" w:hAnsi="Times New Roman;sans-serif"/>
          <w:b/>
          <w:color w:val="000000"/>
          <w:sz w:val="24"/>
        </w:rPr>
        <w:t>3.</w:t>
      </w:r>
      <w:r>
        <w:rPr>
          <w:rFonts w:ascii="Times New Roman;sans-serif" w:hAnsi="Times New Roman;sans-serif"/>
          <w:b/>
          <w:color w:val="000000"/>
          <w:sz w:val="24"/>
        </w:rPr>
        <w:t>EXERCISE OF OPTION</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The Option shall not be exercisable as of the Grant Date set forth in the Grant Notice. After the Grant Date, to the extent not previously exercised, and subject to termination or acceleration as provided in these Standard Terms and Conditions and the Plan, the Option shall be exercisable only to the extent it becomes vested, as described in the Grant Notice or the terms of the Plan, to purchase up to that number of shares of Common Stock as set forth in the Grant Notice; provided, that (except as set forth in </w:t>
      </w:r>
      <w:r>
        <w:rPr>
          <w:rFonts w:ascii="Times New Roman;sans-serif" w:hAnsi="Times New Roman;sans-serif"/>
          <w:b w:val="false"/>
          <w:color w:val="000000"/>
          <w:sz w:val="24"/>
          <w:u w:val="single"/>
        </w:rPr>
        <w:t>Section 4(a)</w:t>
      </w:r>
      <w:r>
        <w:rPr>
          <w:color w:val="000000"/>
        </w:rPr>
        <w:t xml:space="preserve"> </w:t>
      </w:r>
      <w:r>
        <w:rPr>
          <w:rFonts w:ascii="Times New Roman;sans-serif" w:hAnsi="Times New Roman;sans-serif"/>
          <w:b w:val="false"/>
          <w:color w:val="000000"/>
          <w:sz w:val="24"/>
        </w:rPr>
        <w:t>below) the Participant remains employed with the Company and does not experience a termination of Continuous Service. The vesting period and/or exercisability of an Option may be adjusted by the Committee to reflect the decreased level of employment during any period in which the Participant is on an approved leave of absence or is employed on a less than full time basis.</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To exercise the Option (or any part thereof), the Participant shall deliver to the Company a “Notice of Exercise” in a form specified by the Committee, specifying the number of whole shares of Common Stock the Participant wishes to purchase and how the Participant’s shares of Common Stock should be registered (in the Participant’s name only or in the Participant’s and the Participant’s spouse’s names as community property or as joint tenants with right of survivorship). </w:t>
      </w:r>
      <w:r>
        <w:rPr>
          <w:rFonts w:ascii="Times New Roman;sans-serif" w:hAnsi="Times New Roman;sans-serif"/>
          <w:b w:val="false"/>
          <w:color w:val="212529"/>
          <w:sz w:val="24"/>
          <w:shd w:fill="FFFFFF" w:val="clear"/>
        </w:rPr>
        <w:t xml:space="preserve">The Participant shall have no rights as a stockholder with respect to any shares of Common Stock subject to the Option until such time as the shares of Common Stock issuable upon exercise of the Option have been issued and the shares have been registered in the Company's share register in the name of the Participant. Except as is expressly provided in the Plan with respect to certain changes in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01040"/>
                <wp:effectExtent l="0" t="0" r="0" b="0"/>
                <wp:wrapNone/>
                <wp:docPr id="115" name="Frame11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212529"/>
          <w:sz w:val="24"/>
          <w:shd w:fill="FFFFFF" w:val="clear"/>
        </w:rPr>
      </w:pPr>
      <w:r>
        <w:rPr>
          <w:rFonts w:ascii="Times New Roman;sans-serif" w:hAnsi="Times New Roman;sans-serif"/>
          <w:b w:val="false"/>
          <w:color w:val="212529"/>
          <w:sz w:val="24"/>
          <w:shd w:fill="FFFFFF" w:val="clear"/>
        </w:rPr>
        <w:t>the capitalization of the Company, no adjustment shall be made for dividends or similar rights for which the record date is prior to the date of such registration.</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(c)</w:t>
      </w:r>
      <w:r>
        <w:rPr>
          <w:color w:val="000000"/>
        </w:rPr>
        <w:t xml:space="preserve"> </w:t>
      </w:r>
      <w:r>
        <w:rPr>
          <w:rFonts w:ascii="Times New Roman;sans-serif" w:hAnsi="Times New Roman;sans-serif"/>
          <w:b w:val="false"/>
          <w:color w:val="000000"/>
          <w:sz w:val="24"/>
        </w:rPr>
        <w:t>The exercise price of the Option is set forth in the Grant Notice (the “</w:t>
      </w:r>
      <w:r>
        <w:rPr>
          <w:rFonts w:ascii="Times New Roman;sans-serif" w:hAnsi="Times New Roman;sans-serif"/>
          <w:b/>
          <w:i/>
          <w:color w:val="000000"/>
          <w:sz w:val="24"/>
        </w:rPr>
        <w:t>Exercise Price</w:t>
      </w:r>
      <w:r>
        <w:rPr>
          <w:color w:val="000000"/>
        </w:rPr>
        <w:t>”</w:t>
      </w:r>
      <w:r>
        <w:rPr>
          <w:rFonts w:ascii="Times New Roman;sans-serif" w:hAnsi="Times New Roman;sans-serif"/>
          <w:b w:val="false"/>
          <w:color w:val="000000"/>
          <w:sz w:val="24"/>
        </w:rPr>
        <w:t xml:space="preserve">). The Company shall not be obligated to issue any shares of Common Stock until the Participant shall have paid the total Exercise Price for that number of shares of Common Stock being exercised. The Exercise Price for the number of shares of Common Stock being exercised shall be paid in full at the time Participant delivers to the Company the Notice of Exercise. The Exercise Price shall be paid in one or a combination of the following, to the extent permitted by the Company: (a) cash, check, bank draft or money order payable to the Company; (b) shares of Common Stock; (c) through the delivery of a notice that the Participant has placed a market sell order with a broker acceptable to the Company with respect to shares of Common Stock then issuable upon exercise of the Stock Option, and that the broker has been directed to pay a sufficient portion of the net proceeds of the sale to the Company in satisfaction of the Exercise Price; provided that payment of such proceeds is then made to the Company at such time as may be required by the Company, but in any event not later than the settlement of such sale; or (d) net exercise. </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(d)</w:t>
      </w:r>
      <w:r>
        <w:rPr>
          <w:rFonts w:ascii="Times New Roman;sans-serif" w:hAnsi="Times New Roman;sans-serif"/>
          <w:b w:val="false"/>
          <w:color w:val="000000"/>
          <w:sz w:val="24"/>
        </w:rPr>
        <w:t>Fractional shares may not be exercised. Shares of Common Stock will be issued as soon as practical after exercise. Notwithstanding the above, the Company shall not be obligated to deliver any shares of Common Stock during any period when the Company determines that the exercisability of the Option or the delivery of shares of Common Stock hereunder would violate Company policy or any federal, state or other applicable laws.</w:t>
      </w:r>
    </w:p>
    <w:p>
      <w:pPr>
        <w:pStyle w:val="TextBody"/>
        <w:bidi w:val="0"/>
        <w:spacing w:before="0" w:after="0"/>
        <w:jc w:val="left"/>
        <w:rPr/>
      </w:pPr>
      <w:r>
        <w:rPr/>
      </w:r>
    </w:p>
    <w:p>
      <w:pPr>
        <w:pStyle w:val="TextBody"/>
        <w:bidi w:val="0"/>
        <w:spacing w:lineRule="auto" w:line="240" w:before="240" w:after="283"/>
        <w:jc w:val="both"/>
        <w:rPr/>
      </w:pPr>
      <w:r>
        <w:rPr>
          <w:rFonts w:ascii="Times New Roman;sans-serif" w:hAnsi="Times New Roman;sans-serif"/>
          <w:b/>
          <w:color w:val="000000"/>
          <w:sz w:val="24"/>
        </w:rPr>
        <w:t>4.</w:t>
      </w:r>
      <w:r>
        <w:rPr>
          <w:rFonts w:ascii="Times New Roman;sans-serif" w:hAnsi="Times New Roman;sans-serif"/>
          <w:b/>
          <w:color w:val="000000"/>
          <w:sz w:val="24"/>
        </w:rPr>
        <w:t>EXPIRATION OF OPTION</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Option shall expire and cease to be exercisable as of the earlier of (i) the Expiration Date set forth in the Grant Notice or (ii) the date specified below in connection with the Participant’s termination of Continuous Service:</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If the Participant’s termination of Continuous Service is as a result of the Participant’s death, subject to the Participant’s personal representative’s execution and nonrevocation of a general release of claims in a form provided by the Company, (i) the entire Option shall be fully vested and (ii) the Participant's beneficiary may exercise any portion of the Option until the first anniversary of the Termination Date. As used in this </w:t>
      </w:r>
      <w:r>
        <w:rPr>
          <w:rFonts w:ascii="Times New Roman;sans-serif" w:hAnsi="Times New Roman;sans-serif"/>
          <w:b w:val="false"/>
          <w:color w:val="000000"/>
          <w:sz w:val="24"/>
          <w:u w:val="single"/>
        </w:rPr>
        <w:t>Section 4</w:t>
      </w:r>
      <w:r>
        <w:rPr>
          <w:rFonts w:ascii="Times New Roman;sans-serif" w:hAnsi="Times New Roman;sans-serif"/>
          <w:b w:val="false"/>
          <w:color w:val="000000"/>
          <w:sz w:val="24"/>
        </w:rPr>
        <w:t>, “</w:t>
      </w:r>
      <w:r>
        <w:rPr>
          <w:rFonts w:ascii="Times New Roman;sans-serif" w:hAnsi="Times New Roman;sans-serif"/>
          <w:b/>
          <w:i/>
          <w:color w:val="000000"/>
          <w:sz w:val="24"/>
        </w:rPr>
        <w:t>Termination Date</w:t>
      </w:r>
      <w:r>
        <w:rPr>
          <w:color w:val="000000"/>
        </w:rPr>
        <w:t xml:space="preserve">” </w:t>
      </w:r>
      <w:r>
        <w:rPr>
          <w:rFonts w:ascii="Times New Roman;sans-serif" w:hAnsi="Times New Roman;sans-serif"/>
          <w:b w:val="false"/>
          <w:color w:val="000000"/>
          <w:sz w:val="24"/>
        </w:rPr>
        <w:t>means the date of the Participant’s death or termination of Continuous Service.</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If the Participant’s termination of Continuous Service is by the Company for Cause, the entire Option, whether or not then vested and exercisable, shall be immediately forfeited and canceled as of the Termination Date.</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If the Participant’s termination of Continuous Service is for any reason other than as set forth in </w:t>
      </w:r>
      <w:r>
        <w:rPr>
          <w:rFonts w:ascii="Times New Roman;sans-serif" w:hAnsi="Times New Roman;sans-serif"/>
          <w:b w:val="false"/>
          <w:color w:val="000000"/>
          <w:sz w:val="24"/>
          <w:u w:val="single"/>
        </w:rPr>
        <w:t>Section 4(a)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4(b)</w:t>
      </w:r>
      <w:r>
        <w:rPr>
          <w:rFonts w:ascii="Times New Roman;sans-serif" w:hAnsi="Times New Roman;sans-serif"/>
          <w:b w:val="false"/>
          <w:color w:val="000000"/>
          <w:sz w:val="24"/>
        </w:rPr>
        <w:t xml:space="preserve">, the Participant may exercise any portion of the Option that is vested and exercisable at the time of such termination of Continuous Service until the date that is ninety (90) days following the Termination Date. </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(d)</w:t>
      </w:r>
      <w:r>
        <w:rPr>
          <w:rFonts w:ascii="Times New Roman;sans-serif" w:hAnsi="Times New Roman;sans-serif"/>
          <w:b w:val="false"/>
          <w:color w:val="000000"/>
          <w:sz w:val="24"/>
        </w:rPr>
        <w:t xml:space="preserve">Any portion of the Option that is not vested and exercisable at the time of a termination of Continuous Service (after taking into account any accelerated vesting under this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or the Plan or any other agreement between the Participant and the Company) shall be forfeited and canceled as of the Termination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01040"/>
                <wp:effectExtent l="0" t="0" r="0" b="0"/>
                <wp:wrapNone/>
                <wp:docPr id="116" name="Frame113"/>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pPr>
      <w:r>
        <w:rPr>
          <w:rFonts w:ascii="Times New Roman;sans-serif" w:hAnsi="Times New Roman;sans-serif"/>
          <w:b/>
          <w:color w:val="000000"/>
          <w:sz w:val="24"/>
        </w:rPr>
        <w:t>5.</w:t>
      </w:r>
      <w:r>
        <w:rPr>
          <w:rFonts w:ascii="Times New Roman;sans-serif" w:hAnsi="Times New Roman;sans-serif"/>
          <w:b/>
          <w:color w:val="000000"/>
          <w:sz w:val="24"/>
        </w:rPr>
        <w:t>RESTRICTIONS ON RESALES OF SHARES ACQUIRED PURSUANT TO OPTION EXERCISE</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may impose such restrictions, conditions or limitations as it determines appropriate as to the timing and manner of any resales by the Participant or other subsequent transfers by the Participant of any shares of Common Stock issued as a result of the exercise of the Option, including (a) restrictions under an insider trading policy, (b) restrictions designed to delay and/or coordinate the timing and manner of sales by Participant and other option holders and (c) restrictions as to the use of a specified brokerage firm for such resales or other transfers. </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Participant acknowledges and agrees that neither the Company, its shareholders nor its directors and officers, has any duty or obligation to disclose to the Participant any material information regarding the business of the Company or affecting the value of the shares before, at the time of, or following a termination of Continuous Service of the Participant by the Company, including, without limitation, any information concerning plans for the Company to make a public offering of its securities or to be acquired by or merged with or into another firm or entity. </w:t>
      </w:r>
    </w:p>
    <w:p>
      <w:pPr>
        <w:pStyle w:val="TextBody"/>
        <w:bidi w:val="0"/>
        <w:spacing w:before="240" w:after="283"/>
        <w:jc w:val="both"/>
        <w:rPr/>
      </w:pPr>
      <w:r>
        <w:rPr/>
      </w:r>
    </w:p>
    <w:p>
      <w:pPr>
        <w:pStyle w:val="TextBody"/>
        <w:bidi w:val="0"/>
        <w:spacing w:lineRule="auto" w:line="240" w:before="240" w:after="283"/>
        <w:jc w:val="both"/>
        <w:rPr/>
      </w:pPr>
      <w:r>
        <w:rPr>
          <w:rFonts w:ascii="Times New Roman;sans-serif" w:hAnsi="Times New Roman;sans-serif"/>
          <w:b/>
          <w:color w:val="000000"/>
          <w:sz w:val="24"/>
        </w:rPr>
        <w:t>6.</w:t>
      </w:r>
      <w:r>
        <w:rPr>
          <w:rFonts w:ascii="Times New Roman;sans-serif" w:hAnsi="Times New Roman;sans-serif"/>
          <w:b/>
          <w:color w:val="000000"/>
          <w:sz w:val="24"/>
        </w:rPr>
        <w:t>INCOME TAXES</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not deliver shares of Common Stock in respect of the exercise of any Option unless and until the Participant has made arrangements satisfactory to the Company to satisfy applicable withholding tax obligations. The Participant shall pay the withholding tax obligations to the Company by cash or check in connection with the exercise of the Option (including an irrevocable commitment by a broker to pay over such amount from a sale of the Common Stock issuable under the Option). In addition, the Participant acknowledges that the Company shall have the right to deduct any taxes required to be withheld by law in connection with the exercise of the Option from any amounts payable by it to the Participant (including future cash wages) to the extent the Participant’s tax withholding obligations are not satisfied in full pursuant to the preceding sentence.</w:t>
      </w:r>
    </w:p>
    <w:p>
      <w:pPr>
        <w:pStyle w:val="TextBody"/>
        <w:bidi w:val="0"/>
        <w:spacing w:lineRule="auto" w:line="240" w:before="240" w:after="283"/>
        <w:jc w:val="both"/>
        <w:rPr/>
      </w:pPr>
      <w:r>
        <w:rPr>
          <w:rFonts w:ascii="Times New Roman;sans-serif" w:hAnsi="Times New Roman;sans-serif"/>
          <w:b/>
          <w:color w:val="000000"/>
          <w:sz w:val="24"/>
        </w:rPr>
        <w:t>7.</w:t>
      </w:r>
      <w:r>
        <w:rPr>
          <w:rFonts w:ascii="Times New Roman;sans-serif" w:hAnsi="Times New Roman;sans-serif"/>
          <w:b/>
          <w:color w:val="000000"/>
          <w:sz w:val="24"/>
        </w:rPr>
        <w:t>NONTRANSFERABILITY OF OPTION</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understands, acknowledges and agrees that, except as otherwise provided in the Plan or as permitted by the Committee, the Option may not be sold, assigned, transferred, pledged or otherwise directly or indirectly encumbered or disposed of other than by will or the laws of descent and distribution. Any attempted transfer, assignment, pledge, hypothecation or other disposition of the Option or of any rights granted hereunder contrary to the provisions of this Section 7, or the levy of any attachment or similar process upon the Option shall be null and void.</w:t>
      </w:r>
    </w:p>
    <w:p>
      <w:pPr>
        <w:pStyle w:val="TextBody"/>
        <w:bidi w:val="0"/>
        <w:spacing w:lineRule="auto" w:line="240" w:before="240" w:after="283"/>
        <w:jc w:val="both"/>
        <w:rPr/>
      </w:pPr>
      <w:r>
        <w:rPr>
          <w:rFonts w:ascii="Times New Roman;sans-serif" w:hAnsi="Times New Roman;sans-serif"/>
          <w:b/>
          <w:color w:val="000000"/>
          <w:sz w:val="24"/>
        </w:rPr>
        <w:t>8.</w:t>
      </w:r>
      <w:r>
        <w:rPr>
          <w:rFonts w:ascii="Times New Roman;sans-serif" w:hAnsi="Times New Roman;sans-serif"/>
          <w:b/>
          <w:color w:val="000000"/>
          <w:sz w:val="24"/>
        </w:rPr>
        <w:t>OTHER AGREEMENTS SUPERSEDED</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Grant Notice, these Standard Terms and Conditions, and the Plan constitute the entire understanding between the Participant and the Company regarding the Option. Any prior agreements, commitments or negotiations concerning the Option are superseded. </w:t>
      </w:r>
    </w:p>
    <w:p>
      <w:pPr>
        <w:pStyle w:val="TextBody"/>
        <w:bidi w:val="0"/>
        <w:spacing w:lineRule="auto" w:line="240" w:before="240" w:after="283"/>
        <w:jc w:val="both"/>
        <w:rPr/>
      </w:pPr>
      <w:r>
        <w:rPr>
          <w:rFonts w:ascii="Times New Roman;sans-serif" w:hAnsi="Times New Roman;sans-serif"/>
          <w:b/>
          <w:color w:val="000000"/>
          <w:sz w:val="24"/>
        </w:rPr>
        <w:t>9.</w:t>
      </w:r>
      <w:r>
        <w:rPr>
          <w:rFonts w:ascii="Times New Roman;sans-serif" w:hAnsi="Times New Roman;sans-serif"/>
          <w:b/>
          <w:color w:val="000000"/>
          <w:sz w:val="24"/>
        </w:rPr>
        <w:t>LIMITATION OF INTEREST IN SHARES SUBJECT TO OPTION</w: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upon exercise of the Option or any part of it. Nothing in the Plan, in the Grant Notice, these Standard Terms and Conditions or any other instrument executed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01040"/>
                <wp:effectExtent l="0" t="0" r="0" b="0"/>
                <wp:wrapNone/>
                <wp:docPr id="117" name="Frame11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Plan shall confer upon the Participant any right to continue to serve the Company or an Affiliate in the capacity in effect at the time this Option was granted or any other capacity or will affect the right of the Company or an Affiliate to terminate the service of the Participant.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212529"/>
          <w:sz w:val="24"/>
          <w:shd w:fill="FFFFFF" w:val="clear"/>
        </w:rPr>
      </w:pPr>
      <w:r>
        <w:rPr>
          <w:rFonts w:ascii="Times New Roman;sans-serif" w:hAnsi="Times New Roman;sans-serif"/>
          <w:b w:val="false"/>
          <w:color w:val="212529"/>
          <w:sz w:val="24"/>
          <w:shd w:fill="FFFFFF" w:val="clear"/>
        </w:rPr>
        <w:t>The Participant acknowledges: (i) that the Plan is discretionary in nature and may be suspended or terminated by the Company at any time; (ii) that the grant of the Option is a one-time benefit which does not create any contractual or other right or expectation to receive future awards under the Plan or any other equity incentive plan maintained by the Company from time to time; (iii) that the Participant's participation in the Plan is voluntary; (iv) that the value of the Option is an extraordinary item of compensation which is outside the scope of the Participant's employment contract, if any; and (v) that the Option is not part of normal or expected compensation for purposes of calculating any severance, resignation, redundancy, end of service payments, bonuses, long-service awards, pension or retirement benefits or similar payments.</w:t>
      </w:r>
    </w:p>
    <w:p>
      <w:pPr>
        <w:pStyle w:val="TextBody"/>
        <w:bidi w:val="0"/>
        <w:spacing w:lineRule="auto" w:line="240" w:before="240" w:after="283"/>
        <w:jc w:val="both"/>
        <w:rPr/>
      </w:pPr>
      <w:r>
        <w:rPr>
          <w:rFonts w:ascii="Times New Roman;sans-serif" w:hAnsi="Times New Roman;sans-serif"/>
          <w:b/>
          <w:color w:val="000000"/>
          <w:sz w:val="24"/>
        </w:rPr>
        <w:t>10.</w:t>
      </w:r>
      <w:r>
        <w:rPr>
          <w:rFonts w:ascii="Times New Roman;sans-serif" w:hAnsi="Times New Roman;sans-serif"/>
          <w:b/>
          <w:color w:val="000000"/>
          <w:sz w:val="24"/>
        </w:rPr>
        <w:t>NONSOLICITATION OF EMPLOYEES, CONSULTANTS AND OTHER PARTIES</w:t>
      </w:r>
    </w:p>
    <w:p>
      <w:pPr>
        <w:pStyle w:val="TextBody"/>
        <w:bidi w:val="0"/>
        <w:spacing w:lineRule="auto" w:line="240" w:before="100" w:after="10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Participant acknowledges that during the term of Participant’s employment with Company and for one (1) year thereafter, Participant will not directly or indirectly solicit, induce, recruit or encourage any of the Company’s employees or consultants or clients to terminate their relationship with the Company, or attempt any of the foregoing, either for Particpant or for any other person or entity. For a period of one (1) year following termination of Participant’s relationship with the Company for any reason, Participant shall not solicit any licensor to or customer of the Company or licensee of the Company’s products, that are known to the Participant, with respect to any business, products or services that are competitive to the products or services offered by the Company or under development as of the date of termination of Participant’s relationship with the Company. However, the foregoing obligations shall not affect any responsibility Participant may have as an employee of the Company with respect to the bona fide hiring and firing of Company personnel. </w:t>
      </w:r>
    </w:p>
    <w:p>
      <w:pPr>
        <w:pStyle w:val="TextBody"/>
        <w:bidi w:val="0"/>
        <w:spacing w:lineRule="auto" w:line="240" w:before="240" w:after="283"/>
        <w:jc w:val="both"/>
        <w:rPr/>
      </w:pPr>
      <w:r>
        <w:rPr>
          <w:rFonts w:ascii="Times New Roman;sans-serif" w:hAnsi="Times New Roman;sans-serif"/>
          <w:b/>
          <w:color w:val="000000"/>
          <w:sz w:val="24"/>
        </w:rPr>
        <w:t>11.</w:t>
      </w:r>
      <w:r>
        <w:rPr>
          <w:rFonts w:ascii="Times New Roman;sans-serif" w:hAnsi="Times New Roman;sans-serif"/>
          <w:b/>
          <w:color w:val="000000"/>
          <w:sz w:val="24"/>
        </w:rPr>
        <w:t>GENERAL</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These Standard Terms and Conditions shall inure to the benefit of and be binding upon the parties hereto and their respective permitted heirs, beneficiaries, successors and assigns.</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01040"/>
                <wp:effectExtent l="0" t="0" r="0" b="0"/>
                <wp:wrapNone/>
                <wp:docPr id="118" name="Frame11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(d)</w:t>
      </w:r>
      <w:r>
        <w:rPr>
          <w:rFonts w:ascii="Times New Roman;sans-serif" w:hAnsi="Times New Roman;sans-serif"/>
          <w:b w:val="false"/>
          <w:color w:val="000000"/>
          <w:sz w:val="24"/>
        </w:rPr>
        <w:t>These Standard Terms and Conditions shall be construed in accordance with and governed by the laws of the State of Delaware, without regard to principles of conflicts of law.</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(e)</w:t>
      </w:r>
      <w:r>
        <w:rPr>
          <w:rFonts w:ascii="Times New Roman;sans-serif" w:hAnsi="Times New Roman;sans-serif"/>
          <w:b w:val="false"/>
          <w:color w:val="000000"/>
          <w:sz w:val="24"/>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(f)</w:t>
      </w:r>
      <w:r>
        <w:rPr>
          <w:rFonts w:ascii="Times New Roman;sans-serif" w:hAnsi="Times New Roman;sans-serif"/>
          <w:b w:val="false"/>
          <w:color w:val="000000"/>
          <w:sz w:val="24"/>
        </w:rPr>
        <w:t>All questions arising under the Plan or under these Standard Terms and Conditions shall be decided by the Committee in its total and absolute discretion.</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(g)</w:t>
      </w:r>
      <w:r>
        <w:rPr>
          <w:rFonts w:ascii="Times New Roman;sans-serif" w:hAnsi="Times New Roman;sans-serif"/>
          <w:b w:val="false"/>
          <w:color w:val="000000"/>
          <w:sz w:val="24"/>
        </w:rPr>
        <w:t>Except as otherwise described herein or as otherwise instructed by Company from time to time, any notice to Company provided for in this Standard Terms and Conditions shall be addressed to the principal executive office of Company to the attention of the Human Resources Department, and any notice to Participant will be addressed to such Participant at the current address of record for Participant, or to such address as Participant has designated to Company in writing. Any notice shall be delivered by hand, sent by facsimile, overnight delivery, or enclosed in a properly sealed envelope addressed as stated above, registered and deposited, postage prepaid, in a post office regularly maintained by the United States Postal Service.</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(h)</w:t>
      </w:r>
      <w:r>
        <w:rPr>
          <w:rFonts w:ascii="Times New Roman;sans-serif" w:hAnsi="Times New Roman;sans-serif"/>
          <w:b w:val="false"/>
          <w:color w:val="000000"/>
          <w:sz w:val="24"/>
        </w:rPr>
        <w:t>The terms and provisions of this Standard Terms and Conditions may be modified or amended as provided in the Plan.</w:t>
      </w:r>
    </w:p>
    <w:p>
      <w:pPr>
        <w:pStyle w:val="TextBody"/>
        <w:bidi w:val="0"/>
        <w:spacing w:lineRule="auto" w:line="240" w:before="240" w:after="283"/>
        <w:ind w:left="0" w:right="0" w:firstLine="72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rPr>
        <w:t xml:space="preserve">Except as provided in the Plan, the terms and provisions of this Standard Terms and Conditions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Terms and Conditions, whether or not similar. Each such waiver or consent shall be effective only in the specific instance and for the purpose for which it was given, and shall not constitute a continuing waiver or consent. </w:t>
      </w:r>
    </w:p>
    <w:p>
      <w:pPr>
        <w:pStyle w:val="TextBody"/>
        <w:bidi w:val="0"/>
        <w:spacing w:lineRule="auto" w:line="240" w:before="240" w:after="283"/>
        <w:jc w:val="both"/>
        <w:rPr/>
      </w:pPr>
      <w:r>
        <w:rPr>
          <w:rFonts w:ascii="Times New Roman;sans-serif" w:hAnsi="Times New Roman;sans-serif"/>
          <w:b/>
          <w:color w:val="000000"/>
          <w:sz w:val="24"/>
        </w:rPr>
        <w:t>12.</w:t>
      </w:r>
      <w:r>
        <w:rPr>
          <w:rFonts w:ascii="Times New Roman;sans-serif" w:hAnsi="Times New Roman;sans-serif"/>
          <w:b/>
          <w:color w:val="000000"/>
          <w:sz w:val="24"/>
        </w:rPr>
        <w:t>ELECTRONIC DELIVERY AND DATA PRIVACY</w:t>
      </w:r>
    </w:p>
    <w:p>
      <w:pPr>
        <w:pStyle w:val="TextBody"/>
        <w:bidi w:val="0"/>
        <w:spacing w:lineRule="auto" w:line="240" w:before="240" w:after="283"/>
        <w:jc w:val="both"/>
        <w:rPr/>
      </w:pPr>
      <w:r>
        <w:rPr>
          <w:rFonts w:ascii="Times New Roman;sans-serif" w:hAnsi="Times New Roman;sans-serif"/>
          <w:b w:val="false"/>
          <w:color w:val="000000"/>
          <w:sz w:val="24"/>
        </w:rPr>
        <w:t>By executing the Grant Notice, the Participant hereby: (i) authorizes the Company and its Subsidiary, and any agent of the Company or its Subsidiary administering the Plan or providing Plan recordkeeping services, to disclose to the Company or any of its Subsidiary such information and data as the Company or its Subsidiary shall request in order to facilitate the grant of options and the administration of the Plan; (ii) waives any data privacy rights that such Participant may have with respect to such information; and (iii) consents to the delivery of information (including information required</w:t>
      </w:r>
      <w:r>
        <w:rPr>
          <w:color w:val="000000"/>
        </w:rPr>
        <w:t xml:space="preserve"> </w:t>
      </w:r>
      <w:r>
        <w:rPr>
          <w:rFonts w:ascii="Times New Roman;sans-serif" w:hAnsi="Times New Roman;sans-serif"/>
          <w:b w:val="false"/>
          <w:color w:val="000000"/>
          <w:sz w:val="22"/>
        </w:rPr>
        <w:t xml:space="preserve">to be delivered to the Participant </w:t>
      </w:r>
      <w:r>
        <w:rPr>
          <w:rFonts w:ascii="Times New Roman;sans-serif" w:hAnsi="Times New Roman;sans-serif"/>
          <w:b w:val="false"/>
          <w:color w:val="000000"/>
          <w:sz w:val="24"/>
        </w:rPr>
        <w:t>pursuant to applicable securities laws) regarding the Company and the Subsidiaries, the Plan, the Option and the Common Stock via Company web site or other electronic delivery.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pPr>
      <w:r>
        <w:rPr>
          <w:color w:val="000000"/>
        </w:rPr>
        <w:t>        </w:t>
      </w:r>
      <w:r>
        <w:rPr>
          <w:rFonts w:ascii="Times New Roman;sans-serif" w:hAnsi="Times New Roman;sans-serif"/>
          <w:b/>
          <w:color w:val="000000"/>
          <w:sz w:val="24"/>
        </w:rPr>
        <w:t>Exhibit 10.18</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01040"/>
                <wp:effectExtent l="0" t="0" r="0" b="0"/>
                <wp:wrapNone/>
                <wp:docPr id="119" name="Frame116"/>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A-5</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2" w:before="0" w:after="0"/>
        <w:jc w:val="center"/>
        <w:rPr>
          <w:rFonts w:ascii="Times New Roman;sans-serif" w:hAnsi="Times New Roman;sans-serif"/>
          <w:b/>
          <w:color w:val="000000"/>
          <w:sz w:val="24"/>
        </w:rPr>
      </w:pPr>
      <w:r>
        <w:rPr>
          <w:rFonts w:ascii="Times New Roman;sans-serif" w:hAnsi="Times New Roman;sans-serif"/>
          <w:b/>
          <w:color w:val="000000"/>
          <w:sz w:val="24"/>
        </w:rPr>
        <w:t>VIANT TECHNOLOGY INC.</w:t>
      </w:r>
    </w:p>
    <w:p>
      <w:pPr>
        <w:pStyle w:val="TextBody"/>
        <w:bidi w:val="0"/>
        <w:spacing w:lineRule="auto" w:line="242" w:before="0" w:after="0"/>
        <w:jc w:val="center"/>
        <w:rPr>
          <w:rFonts w:ascii="Times New Roman;sans-serif" w:hAnsi="Times New Roman;sans-serif"/>
          <w:b/>
          <w:color w:val="000000"/>
          <w:sz w:val="24"/>
        </w:rPr>
      </w:pPr>
      <w:r>
        <w:rPr>
          <w:rFonts w:ascii="Times New Roman;sans-serif" w:hAnsi="Times New Roman;sans-serif"/>
          <w:b/>
          <w:color w:val="000000"/>
          <w:sz w:val="24"/>
        </w:rPr>
        <w:t>2021 LONG-TERM INCENTIVE PLAN</w:t>
      </w:r>
    </w:p>
    <w:p>
      <w:pPr>
        <w:pStyle w:val="TextBody"/>
        <w:bidi w:val="0"/>
        <w:spacing w:lineRule="auto" w:line="242" w:before="0" w:after="0"/>
        <w:jc w:val="center"/>
        <w:rPr>
          <w:rFonts w:ascii="Times New Roman;sans-serif" w:hAnsi="Times New Roman;sans-serif"/>
          <w:b/>
          <w:color w:val="000000"/>
          <w:sz w:val="24"/>
        </w:rPr>
      </w:pPr>
      <w:r>
        <w:rPr>
          <w:rFonts w:ascii="Times New Roman;sans-serif" w:hAnsi="Times New Roman;sans-serif"/>
          <w:b/>
          <w:color w:val="000000"/>
          <w:sz w:val="24"/>
        </w:rPr>
        <w:t>GRANT NOTICE FOR</w:t>
      </w:r>
    </w:p>
    <w:p>
      <w:pPr>
        <w:pStyle w:val="TextBody"/>
        <w:bidi w:val="0"/>
        <w:spacing w:lineRule="auto" w:line="242" w:before="0" w:after="0"/>
        <w:jc w:val="center"/>
        <w:rPr>
          <w:rFonts w:ascii="Times New Roman;sans-serif" w:hAnsi="Times New Roman;sans-serif"/>
          <w:b/>
          <w:color w:val="000000"/>
          <w:sz w:val="24"/>
        </w:rPr>
      </w:pPr>
      <w:r>
        <w:rPr>
          <w:rFonts w:ascii="Times New Roman;sans-serif" w:hAnsi="Times New Roman;sans-serif"/>
          <w:b/>
          <w:color w:val="000000"/>
          <w:sz w:val="24"/>
        </w:rPr>
        <w:t>RESTRICTED STOCK UNIT AWARD</w:t>
      </w:r>
    </w:p>
    <w:p>
      <w:pPr>
        <w:pStyle w:val="TextBody"/>
        <w:bidi w:val="0"/>
        <w:spacing w:lineRule="auto" w:line="240" w:before="288" w:after="240"/>
        <w:jc w:val="both"/>
        <w:rPr/>
      </w:pPr>
      <w:r>
        <w:rPr>
          <w:rFonts w:ascii="Times New Roman;sans-serif" w:hAnsi="Times New Roman;sans-serif"/>
          <w:b w:val="false"/>
          <w:color w:val="000000"/>
          <w:sz w:val="24"/>
        </w:rPr>
        <w:t>FOR GOOD AND VALUABLE CONSIDERATION, Viant Technology Inc. (the</w:t>
      </w:r>
      <w:r>
        <w:rPr>
          <w:color w:val="000000"/>
        </w:rPr>
        <w:t>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hereby grants to the Participant named below the number of Restricted Stock Units (the “</w:t>
      </w:r>
      <w:r>
        <w:rPr>
          <w:rFonts w:ascii="Times New Roman;sans-serif" w:hAnsi="Times New Roman;sans-serif"/>
          <w:b/>
          <w:i/>
          <w:color w:val="000000"/>
          <w:sz w:val="24"/>
        </w:rPr>
        <w:t>RSUs</w:t>
      </w:r>
      <w:r>
        <w:rPr>
          <w:color w:val="000000"/>
        </w:rPr>
        <w:t>”</w:t>
      </w:r>
      <w:r>
        <w:rPr>
          <w:rFonts w:ascii="Times New Roman;sans-serif" w:hAnsi="Times New Roman;sans-serif"/>
          <w:b w:val="false"/>
          <w:color w:val="000000"/>
          <w:sz w:val="24"/>
        </w:rPr>
        <w:t>) specified below (the “</w:t>
      </w:r>
      <w:r>
        <w:rPr>
          <w:rFonts w:ascii="Times New Roman;sans-serif" w:hAnsi="Times New Roman;sans-serif"/>
          <w:b/>
          <w:i/>
          <w:color w:val="000000"/>
          <w:sz w:val="24"/>
        </w:rPr>
        <w:t>Award</w:t>
      </w:r>
      <w:r>
        <w:rPr>
          <w:color w:val="000000"/>
        </w:rPr>
        <w:t>”</w:t>
      </w:r>
      <w:r>
        <w:rPr>
          <w:rFonts w:ascii="Times New Roman;sans-serif" w:hAnsi="Times New Roman;sans-serif"/>
          <w:b w:val="false"/>
          <w:color w:val="000000"/>
          <w:sz w:val="24"/>
        </w:rPr>
        <w:t>) under the Viant Technology Inc. 2021 Long-Term Incentive Plan (as amended from time to time,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Each RSU represents the right to receive one share of Common Stock, upon the terms and subject to the conditions set forth in this Grant Notice, the Plan and the Standard Terms and Conditions (the “</w:t>
      </w:r>
      <w:r>
        <w:rPr>
          <w:rFonts w:ascii="Times New Roman;sans-serif" w:hAnsi="Times New Roman;sans-serif"/>
          <w:b/>
          <w:i/>
          <w:color w:val="000000"/>
          <w:sz w:val="24"/>
        </w:rPr>
        <w:t>Standard Terms and Conditions</w:t>
      </w:r>
      <w:r>
        <w:rPr>
          <w:color w:val="000000"/>
        </w:rPr>
        <w:t>”</w:t>
      </w:r>
      <w:r>
        <w:rPr>
          <w:rFonts w:ascii="Times New Roman;sans-serif" w:hAnsi="Times New Roman;sans-serif"/>
          <w:b w:val="false"/>
          <w:color w:val="000000"/>
          <w:sz w:val="24"/>
        </w:rPr>
        <w:t xml:space="preserve">) promulgated under such Plan and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This Award is granted pursuant to the Plan and is subject to and qualified in its entirety by the Standard Terms and Conditions. Capitalized terms not otherwise defined herein shall have the meaning set forth in the Plan.</w:t>
      </w:r>
    </w:p>
    <w:tbl>
      <w:tblPr>
        <w:tblW w:w="10205" w:type="dxa"/>
        <w:jc w:val="left"/>
        <w:tblInd w:w="0" w:type="dxa"/>
        <w:tblLayout w:type="fixed"/>
        <w:tblCellMar>
          <w:top w:w="28" w:type="dxa"/>
          <w:left w:w="28" w:type="dxa"/>
          <w:bottom w:w="28" w:type="dxa"/>
          <w:right w:w="28" w:type="dxa"/>
        </w:tblCellMar>
      </w:tblPr>
      <w:tblGrid>
        <w:gridCol w:w="854"/>
        <w:gridCol w:w="675"/>
        <w:gridCol w:w="535"/>
        <w:gridCol w:w="2383"/>
        <w:gridCol w:w="2383"/>
        <w:gridCol w:w="3375"/>
      </w:tblGrid>
      <w:tr>
        <w:trPr/>
        <w:tc>
          <w:tcPr>
            <w:tcW w:w="85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3375"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Participant:</w:t>
            </w:r>
          </w:p>
        </w:tc>
        <w:tc>
          <w:tcPr>
            <w:tcW w:w="814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Grant Date:</w:t>
            </w:r>
          </w:p>
        </w:tc>
        <w:tc>
          <w:tcPr>
            <w:tcW w:w="814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Vesting Commencement Date:</w:t>
            </w:r>
            <w:r>
              <w:rPr>
                <w:rFonts w:ascii="Times New Roman;sans-serif" w:hAnsi="Times New Roman;sans-serif"/>
                <w:b w:val="false"/>
                <w:color w:val="000000"/>
                <w:sz w:val="16"/>
              </w:rPr>
              <w:t>1</w:t>
            </w:r>
          </w:p>
        </w:tc>
        <w:tc>
          <w:tcPr>
            <w:tcW w:w="814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Number of RSUs:</w:t>
            </w:r>
          </w:p>
        </w:tc>
        <w:tc>
          <w:tcPr>
            <w:tcW w:w="814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Vesting Schedule:</w:t>
            </w:r>
          </w:p>
        </w:tc>
        <w:tc>
          <w:tcPr>
            <w:tcW w:w="814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0"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Plan and the Standard Terms and Conditions, the RSUs shall vest in accordance with the following schedule, so long as Participant remains continuously employed by the Company or its Subsidiaries from the Grant Date through such vesting date: [______].</w:t>
            </w:r>
          </w:p>
        </w:tc>
      </w:tr>
    </w:tbl>
    <w:p>
      <w:pPr>
        <w:pStyle w:val="TextBody"/>
        <w:bidi w:val="0"/>
        <w:spacing w:lineRule="auto" w:line="240"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To be March 10 (if Grant Date is between 2/1/20___ - 4/30/20___), June 10 (if Grant Date is between 5/1/20__) - 7/31/20___), September 10 (if Grant Date is between 8/1/20___ - 10/31/20___), December 10 (if Grant Date is between 11/1/20___ - 1/31/20___).</w:t>
      </w:r>
      <w:r>
        <w:rPr>
          <w:color w:val="000000"/>
        </w:rPr>
        <w:t xml:space="preserve"> </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44" w:after="283"/>
        <w:jc w:val="both"/>
        <w:rPr/>
      </w:pPr>
      <w:r>
        <w:rPr>
          <w:rFonts w:ascii="Times New Roman;sans-serif" w:hAnsi="Times New Roman;sans-serif"/>
          <w:b w:val="false"/>
          <w:color w:val="000000"/>
          <w:sz w:val="24"/>
        </w:rPr>
        <w:t>IN ORDER TO RECEIVE THE BENEFITS OF THIS AGREEMENT, PARTICIPANT MUST EXECUTE AND RETURN THIS GRANT NOTICE (THE “</w:t>
      </w:r>
      <w:r>
        <w:rPr>
          <w:rFonts w:ascii="Times New Roman;sans-serif" w:hAnsi="Times New Roman;sans-serif"/>
          <w:b/>
          <w:i/>
          <w:color w:val="000000"/>
          <w:sz w:val="24"/>
        </w:rPr>
        <w:t>ACCEPTANCE REQUIREMENTS</w:t>
      </w:r>
      <w:r>
        <w:rPr>
          <w:color w:val="000000"/>
        </w:rPr>
        <w:t>”</w:t>
      </w:r>
      <w:r>
        <w:rPr>
          <w:rFonts w:ascii="Times New Roman;sans-serif" w:hAnsi="Times New Roman;sans-serif"/>
          <w:b w:val="false"/>
          <w:color w:val="000000"/>
          <w:sz w:val="24"/>
        </w:rPr>
        <w:t>). IF YOU FAIL TO SATISFY THE ACCEPTANCE REQUIREMENTS WITHIN 60 DAYS AFTER THE GRANT DATE, THEN THIS GRANT NOTICE WILL BE OF NO FORCE OR EFFECT AND THIS AWARD WILL BE AUTOMATICALLY FORFEITED TO THE COMPANY WITHOUT CONSIDERATION.</w:t>
      </w:r>
    </w:p>
    <w:p>
      <w:pPr>
        <w:pStyle w:val="TextBody"/>
        <w:bidi w:val="0"/>
        <w:spacing w:lineRule="auto" w:line="240" w:before="144"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 accepting this Grant Notice, Participant acknowledges that Participant has received and read, and agrees that this Award shall be subject to, the terms of this Grant Notice, the Plan, and the Standard Terms and Conditions.</w:t>
      </w:r>
    </w:p>
    <w:p>
      <w:pPr>
        <w:pStyle w:val="TextBody"/>
        <w:bidi w:val="0"/>
        <w:spacing w:before="0" w:after="0"/>
        <w:jc w:val="both"/>
        <w:rPr/>
      </w:pPr>
      <w:r>
        <w:rPr/>
      </w:r>
    </w:p>
    <w:p>
      <w:pPr>
        <w:pStyle w:val="TextBody"/>
        <w:bidi w:val="0"/>
        <w:spacing w:before="0" w:after="0"/>
        <w:jc w:val="both"/>
        <w:rPr/>
      </w:pPr>
      <w:r>
        <w:rPr/>
      </w:r>
    </w:p>
    <w:tbl>
      <w:tblPr>
        <w:tblW w:w="3344" w:type="dxa"/>
        <w:jc w:val="left"/>
        <w:tblInd w:w="0" w:type="dxa"/>
        <w:tblLayout w:type="fixed"/>
        <w:tblCellMar>
          <w:top w:w="28" w:type="dxa"/>
          <w:left w:w="28" w:type="dxa"/>
          <w:bottom w:w="28" w:type="dxa"/>
          <w:right w:w="28" w:type="dxa"/>
        </w:tblCellMar>
      </w:tblPr>
      <w:tblGrid>
        <w:gridCol w:w="580"/>
        <w:gridCol w:w="510"/>
        <w:gridCol w:w="510"/>
        <w:gridCol w:w="510"/>
        <w:gridCol w:w="510"/>
        <w:gridCol w:w="724"/>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334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VIANT TECHNOLOGY INC.</w:t>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PARTICIPANT</w:t>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744"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VIANT TECHNOLOGY INC.</w:t>
        <w:br/>
        <w:t>2021 LONG-TERM INCENTIVE PLAN</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STANDARD TERMS AND CONDITIONS FOR</w:t>
        <w:br/>
        <w:t>RESTRICTED STOCK UNITS</w:t>
      </w:r>
    </w:p>
    <w:p>
      <w:pPr>
        <w:pStyle w:val="TextBody"/>
        <w:bidi w:val="0"/>
        <w:spacing w:lineRule="auto" w:line="240" w:before="288" w:after="240"/>
        <w:jc w:val="both"/>
        <w:rPr/>
      </w:pPr>
      <w:r>
        <w:rPr>
          <w:rFonts w:ascii="Times New Roman;sans-serif" w:hAnsi="Times New Roman;sans-serif"/>
          <w:b w:val="false"/>
          <w:color w:val="000000"/>
          <w:sz w:val="24"/>
        </w:rPr>
        <w:t>These Standard Terms and Conditions apply to the Award of Restricted Stock Units granted pursuant to the Viant Technology Inc. 2021 Long-Term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which are evidenced by a Grant Notice or an action of the Committee that specifically refers to these Standard Terms and Conditions. In addition to these Standard Terms and Conditions, the Restricted Stock Units shall be subject to the terms of the Plan, which are incorporated into these Standard Terms and Conditions by this reference. Capitalized terms not otherwise defined herein shall have the meaning set forth in the Plan.</w:t>
      </w:r>
    </w:p>
    <w:p>
      <w:pPr>
        <w:pStyle w:val="TextBody"/>
        <w:bidi w:val="0"/>
        <w:spacing w:lineRule="auto" w:line="232" w:before="0" w:after="0"/>
        <w:jc w:val="both"/>
        <w:rPr/>
      </w:pPr>
      <w:r>
        <w:rPr>
          <w:rFonts w:ascii="Times New Roman;sans-serif" w:hAnsi="Times New Roman;sans-serif"/>
          <w:b/>
          <w:color w:val="000000"/>
          <w:sz w:val="24"/>
        </w:rPr>
        <w:t>1.</w:t>
      </w:r>
      <w:r>
        <w:rPr>
          <w:rFonts w:ascii="Times New Roman;sans-serif" w:hAnsi="Times New Roman;sans-serif"/>
          <w:b/>
          <w:color w:val="000000"/>
          <w:sz w:val="24"/>
        </w:rPr>
        <w:t>TERMS OF RESTRICTED STOCK UNITS</w:t>
      </w:r>
    </w:p>
    <w:p>
      <w:pPr>
        <w:pStyle w:val="TextBody"/>
        <w:bidi w:val="0"/>
        <w:spacing w:lineRule="auto" w:line="240" w:before="240" w:after="240"/>
        <w:jc w:val="both"/>
        <w:rPr/>
      </w:pPr>
      <w:r>
        <w:rPr>
          <w:rFonts w:ascii="Times New Roman;sans-serif" w:hAnsi="Times New Roman;sans-serif"/>
          <w:b w:val="false"/>
          <w:color w:val="000000"/>
          <w:sz w:val="24"/>
        </w:rPr>
        <w:t>Viant Technology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granted to the Participant named in the Grant Notice provided to said Participant herewith (the “</w:t>
      </w:r>
      <w:r>
        <w:rPr>
          <w:rFonts w:ascii="Times New Roman;sans-serif" w:hAnsi="Times New Roman;sans-serif"/>
          <w:b/>
          <w:i/>
          <w:color w:val="000000"/>
          <w:sz w:val="24"/>
        </w:rPr>
        <w:t>Grant Notice</w:t>
      </w:r>
      <w:r>
        <w:rPr>
          <w:color w:val="000000"/>
        </w:rPr>
        <w:t>”</w:t>
      </w:r>
      <w:r>
        <w:rPr>
          <w:rFonts w:ascii="Times New Roman;sans-serif" w:hAnsi="Times New Roman;sans-serif"/>
          <w:b w:val="false"/>
          <w:color w:val="000000"/>
          <w:sz w:val="24"/>
        </w:rPr>
        <w:t>) an award of Restricted Stock Units (the “</w:t>
      </w:r>
      <w:r>
        <w:rPr>
          <w:rFonts w:ascii="Times New Roman;sans-serif" w:hAnsi="Times New Roman;sans-serif"/>
          <w:b/>
          <w:i/>
          <w:color w:val="000000"/>
          <w:sz w:val="24"/>
        </w:rPr>
        <w:t>Award</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i/>
          <w:color w:val="000000"/>
          <w:sz w:val="24"/>
        </w:rPr>
        <w:t>RSUs</w:t>
      </w:r>
      <w:r>
        <w:rPr>
          <w:color w:val="000000"/>
        </w:rPr>
        <w:t>”</w:t>
      </w:r>
      <w:r>
        <w:rPr>
          <w:rFonts w:ascii="Times New Roman;sans-serif" w:hAnsi="Times New Roman;sans-serif"/>
          <w:b w:val="false"/>
          <w:color w:val="000000"/>
          <w:sz w:val="24"/>
        </w:rPr>
        <w:t>) specified in the Grant Notice, with each Restricted Stock Unit representing the right to receive one share of Common Stock, as modified to reflect any capitalization adjustment under the Plan.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pStyle w:val="TextBody"/>
        <w:bidi w:val="0"/>
        <w:spacing w:lineRule="auto" w:line="232" w:before="240" w:after="283"/>
        <w:jc w:val="both"/>
        <w:rPr/>
      </w:pPr>
      <w:r>
        <w:rPr>
          <w:rFonts w:ascii="Times New Roman;sans-serif" w:hAnsi="Times New Roman;sans-serif"/>
          <w:b/>
          <w:color w:val="000000"/>
          <w:sz w:val="24"/>
        </w:rPr>
        <w:t>2.</w:t>
      </w:r>
      <w:r>
        <w:rPr>
          <w:rFonts w:ascii="Times New Roman;sans-serif" w:hAnsi="Times New Roman;sans-serif"/>
          <w:b/>
          <w:color w:val="000000"/>
          <w:sz w:val="24"/>
        </w:rPr>
        <w:t>VESTING AND SETTLEMENT OF RESTRICTED STOCK UNITS</w:t>
      </w:r>
    </w:p>
    <w:p>
      <w:pPr>
        <w:pStyle w:val="TextBody"/>
        <w:bidi w:val="0"/>
        <w:spacing w:lineRule="auto" w:line="240" w:before="240" w:after="240"/>
        <w:jc w:val="both"/>
        <w:rPr/>
      </w:pPr>
      <w:r>
        <w:rPr>
          <w:rFonts w:ascii="Times New Roman;sans-serif" w:hAnsi="Times New Roman;sans-serif"/>
          <w:b w:val="false"/>
          <w:color w:val="000000"/>
          <w:sz w:val="24"/>
        </w:rPr>
        <w:t>(a)The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as described in the Grant Notice with respect to that number of Restricted Stock Units as set forth in the Grant Notice. Restricted Stock Units that have vested and are no longer subject to forfeiture are referred to herein as “</w:t>
      </w:r>
      <w:r>
        <w:rPr>
          <w:rFonts w:ascii="Times New Roman;sans-serif" w:hAnsi="Times New Roman;sans-serif"/>
          <w:b/>
          <w:i/>
          <w:color w:val="000000"/>
          <w:sz w:val="24"/>
        </w:rPr>
        <w:t>Vested RSUs</w:t>
      </w:r>
      <w:r>
        <w:rPr>
          <w:rFonts w:ascii="Times New Roman;sans-serif" w:hAnsi="Times New Roman;sans-serif"/>
          <w:b w:val="false"/>
          <w:color w:val="000000"/>
          <w:sz w:val="24"/>
        </w:rPr>
        <w:t>.” Restricted Stock Units awarded hereunder that are not vested and remain subject to forfeiture are referred to herein as “</w:t>
      </w:r>
      <w:r>
        <w:rPr>
          <w:rFonts w:ascii="Times New Roman;sans-serif" w:hAnsi="Times New Roman;sans-serif"/>
          <w:b/>
          <w:i/>
          <w:color w:val="000000"/>
          <w:sz w:val="24"/>
        </w:rPr>
        <w:t>Unvested RSUs</w:t>
      </w:r>
      <w:r>
        <w:rPr>
          <w:rFonts w:ascii="Times New Roman;sans-serif" w:hAnsi="Times New Roman;sans-serif"/>
          <w:b w:val="false"/>
          <w:color w:val="000000"/>
          <w:sz w:val="24"/>
        </w:rPr>
        <w:t xml:space="preserve">.” </w:t>
      </w:r>
    </w:p>
    <w:p>
      <w:pPr>
        <w:pStyle w:val="TextBody"/>
        <w:bidi w:val="0"/>
        <w:spacing w:lineRule="auto" w:line="240" w:before="240" w:after="240"/>
        <w:jc w:val="both"/>
        <w:rPr/>
      </w:pPr>
      <w:r>
        <w:rPr>
          <w:rFonts w:ascii="Times New Roman;sans-serif" w:hAnsi="Times New Roman;sans-serif"/>
          <w:b w:val="false"/>
          <w:color w:val="000000"/>
          <w:sz w:val="24"/>
        </w:rPr>
        <w:t xml:space="preserve">(b)As soon as administratively practicable following the vesting of the RSUs pursuant to the Grant Notice and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but in no event later than thirty (30) days after each vesting date (and subject to Section 7(a) of the Plan), the Company shall deliver to the Participant a number of shares of Common Stock equal to the number of RSUs that vested on such date. Notwithstanding the above, the Company shall not be obligated to deliver any shares of Common Stock during any period when the Company determines that the delivery of shares of Common Stock hereunder would violate Company policy or any federal, state or other applicable laws.</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(c)If Participant’s termination of Continuous Service is as a result of the Participant’s death, subject to the Participant’s personal representative’s execution and nonrevocation of a general release of claims in a form provided by the Company, any then Unvested RSUs held by Participant shall be fully vested as of the date of Participant’s death.</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(d)Upon Participant’s termination of Continuous Service for any reason other than death, any then Unvested RSUs held by the Participant shall be forfeited and canceled as of the date of the Participant’s termination of Continuous Service.</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35" w:before="240" w:after="283"/>
        <w:jc w:val="both"/>
        <w:rPr/>
      </w:pPr>
      <w:r>
        <w:rPr>
          <w:rFonts w:ascii="Times New Roman;sans-serif" w:hAnsi="Times New Roman;sans-serif"/>
          <w:b/>
          <w:color w:val="000000"/>
          <w:sz w:val="24"/>
        </w:rPr>
        <w:t>3.</w:t>
      </w:r>
      <w:r>
        <w:rPr>
          <w:rFonts w:ascii="Times New Roman;sans-serif" w:hAnsi="Times New Roman;sans-serif"/>
          <w:b/>
          <w:color w:val="000000"/>
          <w:sz w:val="24"/>
        </w:rPr>
        <w:t>RIGHTS AS STOCKHOLDER; DIVIDEND EQUIVALENTS</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(a)The Award is unfunded, and as a holder of a Vested RSU, Participant will be considered an unsecured creditor of the Company with respect to the Company’s obligation, if any, to issue shares or other property pursuant to this Standard Terms and Conditions. Participant shall not be, nor have any of the rights or privileges of, a stockholder of the Company, no dividend rights and no voting rights in respect of any RSUs unless and until shares of Common Stock settled for such RSUs shall have been issued by the Company to Participant (as evidenced by the appropriate entry on the books and records of the Company or of a duly authorized transfer agent of the Company). </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(b)Notwithstanding the foregoing, from and after the Grant Date and until the earlier of (i) the Participant’s receipt of Common Stock upon settlement of the RSUs and (ii) the time when the Participant’s right to receive Common Stock upon settlement of the RSUs is forfeited, the Participant shall be entitled, as a Dividend equivalent, to a number of additional whole RSUs on the date that the Company pays a cash dividend (if any) to holders of Common Stock generally. Such Dividend equivalent shall be determined by dividing (i) the product of (A) the dollar amount of the cash dividend paid per share of Common Stock on such date and (B) the total number of RSUs (including dividend equivalents paid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RSUs to which the Dividend equivalents were credited.</w:t>
      </w:r>
    </w:p>
    <w:p>
      <w:pPr>
        <w:pStyle w:val="TextBody"/>
        <w:bidi w:val="0"/>
        <w:spacing w:lineRule="auto" w:line="232" w:before="240" w:after="283"/>
        <w:jc w:val="both"/>
        <w:rPr/>
      </w:pPr>
      <w:r>
        <w:rPr>
          <w:rFonts w:ascii="Times New Roman;sans-serif" w:hAnsi="Times New Roman;sans-serif"/>
          <w:b/>
          <w:color w:val="000000"/>
          <w:sz w:val="24"/>
        </w:rPr>
        <w:t>4.</w:t>
      </w:r>
      <w:r>
        <w:rPr>
          <w:rFonts w:ascii="Times New Roman;sans-serif" w:hAnsi="Times New Roman;sans-serif"/>
          <w:b/>
          <w:color w:val="000000"/>
          <w:sz w:val="24"/>
        </w:rPr>
        <w:t>RESTRICTIONS ON RESALES OF SHARES</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may impose such restrictions, conditions or limitations as it determines appropriate as to the timing and manner of any resales by the Participant or other subsequent transfers by the Participant of any shares of Common Stock issued pursuant to Vested RSUs,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pStyle w:val="TextBody"/>
        <w:bidi w:val="0"/>
        <w:spacing w:lineRule="auto" w:line="232" w:before="240" w:after="283"/>
        <w:jc w:val="both"/>
        <w:rPr/>
      </w:pPr>
      <w:r>
        <w:rPr>
          <w:rFonts w:ascii="Times New Roman;sans-serif" w:hAnsi="Times New Roman;sans-serif"/>
          <w:b/>
          <w:color w:val="000000"/>
          <w:sz w:val="24"/>
        </w:rPr>
        <w:t>5.</w:t>
      </w:r>
      <w:r>
        <w:rPr>
          <w:rFonts w:ascii="Times New Roman;sans-serif" w:hAnsi="Times New Roman;sans-serif"/>
          <w:b/>
          <w:color w:val="000000"/>
          <w:sz w:val="24"/>
        </w:rPr>
        <w:t>INCOME TAXES</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(a)These Standard Terms and Conditions and this Award are intended to be exempt from Section 409A of the Code. and shall be construed and interpreted accordingly. In no event shall the Company be liable for any tax, interest or penalty imposed on the Participant under Section 409A of the Code or any damages for failing to comply with Section 409A of the Code.</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(b)Participant acknowledges and agrees that Participant shall be solely responsible for satisfying any and all national, state, local or other tax withholding obligation relating to the RSUs. Unless the Participant elects to instead tender a cash payment in satisfaction of such tax withholding obligations in the manner prescribed by the Company, the Participant acknowledges and agrees that the Company, or any brokerage firm deemed acceptable by the Company, shall generate enough cash proceeds to satisfy such tax withholding obligations by selling on the Participant’s behalf a sufficient number of shares of Common Stock from shares of Common Stock otherwise issuable to the Participant upon the vesting and settlement of the RSUs. Such shares of Common Stock will be sold on the day such tax withholding obligations arise or, if such day is not a trading day, the next following trading day. The Participant shall be responsible for all broker’s fees and other costs of sale. The Participant acknowledges that the Company or its designee is under no obligation to arrange for such sale at any particular price, and that the proceeds of any such sale may not be sufficient to satisfy the Participant’s tax withholding obligations. Accordingly, the Participant agrees to pay to the Company as soon as practicable, including through additional payroll withholding, any amount of the tax withholding obligations that are not satisfied by the sale of shares of Common Stock described above.</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0520"/>
                <wp:effectExtent l="0" t="0" r="0" b="0"/>
                <wp:wrapNone/>
                <wp:docPr id="123" name="Frame1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v:textbox>
                <w10:wrap type="none"/>
              </v:rect>
            </w:pict>
          </mc:Fallback>
        </mc:AlternateContent>
      </w:r>
    </w:p>
    <w:p>
      <w:pPr>
        <w:pStyle w:val="TextBody"/>
        <w:bidi w:val="0"/>
        <w:spacing w:lineRule="auto" w:line="232" w:before="240" w:after="283"/>
        <w:jc w:val="both"/>
        <w:rPr/>
      </w:pPr>
      <w:r>
        <w:rPr>
          <w:rFonts w:ascii="Times New Roman;sans-serif" w:hAnsi="Times New Roman;sans-serif"/>
          <w:b/>
          <w:color w:val="000000"/>
          <w:sz w:val="24"/>
        </w:rPr>
        <w:t>6.</w:t>
      </w:r>
      <w:r>
        <w:rPr>
          <w:rFonts w:ascii="Times New Roman;sans-serif" w:hAnsi="Times New Roman;sans-serif"/>
          <w:b/>
          <w:color w:val="000000"/>
          <w:sz w:val="24"/>
        </w:rPr>
        <w:t>NONTRANSFERABILITY OF AWARD</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Any attempted transfer, assignment, pledge, hypothecation or other disposition of the Award or of any rights granted hereunder contrary to the provisions of this Section 6, or the levy of any attachment or similar process upon the Award, shall be null and void.</w:t>
      </w:r>
    </w:p>
    <w:p>
      <w:pPr>
        <w:pStyle w:val="TextBody"/>
        <w:bidi w:val="0"/>
        <w:spacing w:lineRule="auto" w:line="235" w:before="240" w:after="283"/>
        <w:jc w:val="both"/>
        <w:rPr/>
      </w:pPr>
      <w:r>
        <w:rPr>
          <w:rFonts w:ascii="Times New Roman;sans-serif" w:hAnsi="Times New Roman;sans-serif"/>
          <w:b/>
          <w:color w:val="000000"/>
          <w:sz w:val="24"/>
        </w:rPr>
        <w:t>7.</w:t>
      </w:r>
      <w:r>
        <w:rPr>
          <w:rFonts w:ascii="Times New Roman;sans-serif" w:hAnsi="Times New Roman;sans-serif"/>
          <w:b/>
          <w:color w:val="000000"/>
          <w:sz w:val="24"/>
        </w:rPr>
        <w:t>OTHER AGREEMENTS SUPERSEDED</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Grant Notice, these Standard Terms and Conditions and the Plan constitute the entire understanding between the Participant and the Company regarding the Award. Any prior agreements, commitments or negotiations concerning the Award are superseded.</w:t>
      </w:r>
    </w:p>
    <w:p>
      <w:pPr>
        <w:pStyle w:val="TextBody"/>
        <w:bidi w:val="0"/>
        <w:spacing w:lineRule="auto" w:line="232" w:before="240" w:after="283"/>
        <w:jc w:val="both"/>
        <w:rPr/>
      </w:pPr>
      <w:r>
        <w:rPr>
          <w:rFonts w:ascii="Times New Roman;sans-serif" w:hAnsi="Times New Roman;sans-serif"/>
          <w:b/>
          <w:color w:val="000000"/>
          <w:sz w:val="24"/>
        </w:rPr>
        <w:t>8.</w:t>
      </w:r>
      <w:r>
        <w:rPr>
          <w:rFonts w:ascii="Times New Roman;sans-serif" w:hAnsi="Times New Roman;sans-serif"/>
          <w:b/>
          <w:color w:val="000000"/>
          <w:sz w:val="24"/>
        </w:rPr>
        <w:t>LIMITATION OF INTEREST IN SHARES SUBJECT TO RESTRICTED STOCK UNITS</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to serve the Company or an Affiliate in the capacity in effect at the time this Award was granted or any other capacity or will affect the right of the Company or an Affiliate to terminate the service of the Participant. </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acknowledges: (i) that the Plan is discretionary in nature and may be suspended or terminated by the Company at any time; (ii) that the grant of the Award is a one-time benefit which does not create any contractual or other right or expectation to receive future awards under the Plan or any other equity incentive plan maintained by the Company from time to time; (iii) that the Participant's participation in the Plan is voluntary; (iv) that the value of the Award is an extraordinary item of compensation which is outside the scope of the Participant's employment contract, if any; and (v) that the Award is not part of normal or expected compensation for purposes of calculating any severance, resignation, redundancy, end of service payments, bonuses, long-service awards, pension or retirement benefits or similar payments.</w:t>
      </w:r>
    </w:p>
    <w:p>
      <w:pPr>
        <w:pStyle w:val="TextBody"/>
        <w:bidi w:val="0"/>
        <w:spacing w:lineRule="auto" w:line="232" w:before="240" w:after="283"/>
        <w:jc w:val="both"/>
        <w:rPr/>
      </w:pPr>
      <w:r>
        <w:rPr>
          <w:rFonts w:ascii="Times New Roman;sans-serif" w:hAnsi="Times New Roman;sans-serif"/>
          <w:b/>
          <w:color w:val="000000"/>
          <w:sz w:val="24"/>
        </w:rPr>
        <w:t>9.</w:t>
      </w:r>
      <w:r>
        <w:rPr>
          <w:rFonts w:ascii="Times New Roman;sans-serif" w:hAnsi="Times New Roman;sans-serif"/>
          <w:b/>
          <w:color w:val="000000"/>
          <w:sz w:val="24"/>
        </w:rPr>
        <w:t>NONSOLICITATION OF EMPLOYEES, CONSULTANTS AND OTHER PARTIES</w:t>
      </w:r>
    </w:p>
    <w:p>
      <w:pPr>
        <w:pStyle w:val="TextBody"/>
        <w:bidi w:val="0"/>
        <w:spacing w:lineRule="auto" w:line="240" w:before="100" w:after="10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Participant acknowledges that during the term of Participant’s employment with Company and for one (1) year thereafter, Participant will not directly or indirectly solicit, induce, recruit or encourage any of the Company’s employees or consultants or clients to terminate their relationship with the Company, or attempt any of the foregoing, either for Particpant or for any other person or entity. For a period of one (1) year following termination of Participant’s relationship with the Company for any reason, Participant shall not solicit any licensor to or customer of the Company or licensee of the Company’s products, that are known to the Participant, with respect to any business, products or services that are competitive to the products or services offered by the Company or under development as of the date of termination of Participant’s relationship with the Company. However, the foregoing obligations shall not affect any responsibility Participant may have as an employee of the Company with respect to the bona fide hiring and firing of Company personnel. </w:t>
      </w:r>
    </w:p>
    <w:p>
      <w:pPr>
        <w:pStyle w:val="TextBody"/>
        <w:bidi w:val="0"/>
        <w:spacing w:lineRule="auto" w:line="232" w:before="240" w:after="283"/>
        <w:jc w:val="both"/>
        <w:rPr/>
      </w:pPr>
      <w:r>
        <w:rPr>
          <w:rFonts w:ascii="Times New Roman;sans-serif" w:hAnsi="Times New Roman;sans-serif"/>
          <w:b/>
          <w:color w:val="000000"/>
          <w:sz w:val="24"/>
        </w:rPr>
        <w:t>10.</w:t>
      </w:r>
      <w:r>
        <w:rPr>
          <w:rFonts w:ascii="Times New Roman;sans-serif" w:hAnsi="Times New Roman;sans-serif"/>
          <w:b/>
          <w:color w:val="000000"/>
          <w:sz w:val="24"/>
        </w:rPr>
        <w:t>GENERAL</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0520"/>
                <wp:effectExtent l="0" t="0" r="0" b="0"/>
                <wp:wrapNone/>
                <wp:docPr id="124" name="Frame1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txbxContent>
                </v:textbox>
                <w10:wrap type="none"/>
              </v:rect>
            </w:pict>
          </mc:Fallback>
        </mc:AlternateConten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(c)These Standard Terms and Conditions shall inure to the benefit of and be binding upon the parties hereto and their respective permitted heirs, beneficiaries, successors and assigns.</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(d)These Standard Terms and Conditions shall be construed in accordance with and governed by the laws of the State of Delaware, without regard to principles of conflicts of law.</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(f)All questions arising under the Plan or under these Standard Terms and Conditions shall be decided by the Committee in its total and absolute discretion.</w:t>
      </w:r>
    </w:p>
    <w:p>
      <w:pPr>
        <w:pStyle w:val="TextBody"/>
        <w:bidi w:val="0"/>
        <w:spacing w:lineRule="auto" w:line="240" w:before="144" w:after="240"/>
        <w:jc w:val="both"/>
        <w:rPr>
          <w:rFonts w:ascii="Times New Roman;sans-serif" w:hAnsi="Times New Roman;sans-serif"/>
          <w:b w:val="false"/>
          <w:color w:val="000000"/>
          <w:sz w:val="24"/>
        </w:rPr>
      </w:pPr>
      <w:r>
        <w:rPr>
          <w:rFonts w:ascii="Times New Roman;sans-serif" w:hAnsi="Times New Roman;sans-serif"/>
          <w:b w:val="false"/>
          <w:color w:val="000000"/>
          <w:sz w:val="24"/>
        </w:rPr>
        <w:t>(g)Except as otherwise described herein or as otherwise instructed by Company from time to time, any notice to Company provided for in this Standard Terms and Conditions shall be addressed to the principal executive office of Company to the attention of the Human Resources Department, and any notice to Participant will be addressed to such Participant at the current address of record for Participant, or to such address as Participant has designated to Company in writing. Any notice shall be delivered by hand, sent by facsimile, overnight delivery, or enclosed in a properly sealed envelope addressed as stated above, registered and deposited, postage prepaid, in a post office regularly maintained by the United States Postal Service.</w:t>
      </w:r>
    </w:p>
    <w:p>
      <w:pPr>
        <w:pStyle w:val="TextBody"/>
        <w:bidi w:val="0"/>
        <w:spacing w:lineRule="auto" w:line="240" w:before="144" w:after="240"/>
        <w:jc w:val="both"/>
        <w:rPr>
          <w:rFonts w:ascii="Times New Roman;sans-serif" w:hAnsi="Times New Roman;sans-serif"/>
          <w:b w:val="false"/>
          <w:color w:val="000000"/>
          <w:sz w:val="24"/>
        </w:rPr>
      </w:pPr>
      <w:r>
        <w:rPr>
          <w:rFonts w:ascii="Times New Roman;sans-serif" w:hAnsi="Times New Roman;sans-serif"/>
          <w:b w:val="false"/>
          <w:color w:val="000000"/>
          <w:sz w:val="24"/>
        </w:rPr>
        <w:t>(h)The terms and provisions of this Standard Terms and Conditions may be modified or amended as provided in the Plan.</w:t>
      </w:r>
    </w:p>
    <w:p>
      <w:pPr>
        <w:pStyle w:val="TextBody"/>
        <w:bidi w:val="0"/>
        <w:spacing w:lineRule="auto" w:line="240" w:before="144" w:after="240"/>
        <w:jc w:val="both"/>
        <w:rPr>
          <w:rFonts w:ascii="Times New Roman;sans-serif" w:hAnsi="Times New Roman;sans-serif"/>
          <w:b w:val="false"/>
          <w:color w:val="000000"/>
          <w:sz w:val="24"/>
        </w:rPr>
      </w:pPr>
      <w:r>
        <w:rPr>
          <w:rFonts w:ascii="Times New Roman;sans-serif" w:hAnsi="Times New Roman;sans-serif"/>
          <w:b w:val="false"/>
          <w:color w:val="000000"/>
          <w:sz w:val="24"/>
        </w:rPr>
        <w:t>(i)Except as provided in the Plan, the terms and provisions of this Standard Terms and Conditions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Terms and Conditions, whether or not similar. Each such waiver or consent shall be effective only in the specific instance and for the purpose for which it was given, and shall not constitute a continuing waiver or consent.</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50520"/>
                <wp:effectExtent l="0" t="0" r="0" b="0"/>
                <wp:wrapNone/>
                <wp:docPr id="125" name="Frame1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v:textbox>
                <w10:wrap type="none"/>
              </v:rect>
            </w:pict>
          </mc:Fallback>
        </mc:AlternateContent>
      </w:r>
    </w:p>
    <w:p>
      <w:pPr>
        <w:pStyle w:val="TextBody"/>
        <w:bidi w:val="0"/>
        <w:spacing w:lineRule="auto" w:line="232" w:before="240" w:after="283"/>
        <w:jc w:val="both"/>
        <w:rPr/>
      </w:pPr>
      <w:r>
        <w:rPr>
          <w:rFonts w:ascii="Times New Roman;sans-serif" w:hAnsi="Times New Roman;sans-serif"/>
          <w:b/>
          <w:color w:val="000000"/>
          <w:sz w:val="24"/>
        </w:rPr>
        <w:t>11.</w:t>
      </w:r>
      <w:r>
        <w:rPr>
          <w:rFonts w:ascii="Times New Roman;sans-serif" w:hAnsi="Times New Roman;sans-serif"/>
          <w:b/>
          <w:color w:val="000000"/>
          <w:sz w:val="24"/>
        </w:rPr>
        <w:t>ELECTRONIC DELIVERY AND DATA PRIVACY</w:t>
      </w:r>
    </w:p>
    <w:p>
      <w:pPr>
        <w:pStyle w:val="TextBody"/>
        <w:bidi w:val="0"/>
        <w:spacing w:lineRule="auto" w:line="240" w:before="144"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executing the Grant Notice, the Participant hereby: (i) authorizes the Company and its Subsidiary, and any agent of the Company or its Subsidiary administering the Plan or providing Plan recordkeeping services, to disclose to the Company or any of its Subsidiary such information and data as the Company or its Subsidiary shall request in order to facilitate the grant of options and the administration of the Plan; (ii) waives any data privacy rights that such Participant may have with respect to such information; and (iii) consents to the delivery of information (including, without limitation, information required to be delivered to the Participant pursuant to applicable securities laws) regarding the Company and the Subsidiaries, the Plan, and the Restricted Stock Units via Company web site or other electronic delivery.</w:t>
      </w:r>
    </w:p>
    <w:p>
      <w:pPr>
        <w:pStyle w:val="TextBody"/>
        <w:bidi w:val="0"/>
        <w:spacing w:before="144"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pPr>
      <w:r>
        <w:rPr>
          <w:color w:val="000000"/>
        </w:rPr>
        <w:t>        </w:t>
      </w:r>
      <w:r>
        <w:rPr>
          <w:rFonts w:ascii="Times New Roman;sans-serif" w:hAnsi="Times New Roman;sans-serif"/>
          <w:b/>
          <w:color w:val="000000"/>
          <w:sz w:val="24"/>
        </w:rPr>
        <w:t>Exhibit 10.20</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0520"/>
                <wp:effectExtent l="0" t="0" r="0" b="0"/>
                <wp:wrapNone/>
                <wp:docPr id="126" name="Frame1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A-5</w:t>
                      </w:r>
                    </w:p>
                  </w:txbxContent>
                </v:textbox>
                <w10:wrap type="none"/>
              </v:rect>
            </w:pict>
          </mc:Fallback>
        </mc:AlternateContent>
      </w:r>
    </w:p>
    <w:p>
      <w:pPr>
        <w:pStyle w:val="TextBody"/>
        <w:bidi w:val="0"/>
        <w:spacing w:lineRule="auto" w:line="242" w:before="0" w:after="0"/>
        <w:jc w:val="center"/>
        <w:rPr>
          <w:rFonts w:ascii="Times New Roman;sans-serif" w:hAnsi="Times New Roman;sans-serif"/>
          <w:b/>
          <w:color w:val="000000"/>
          <w:sz w:val="24"/>
        </w:rPr>
      </w:pPr>
      <w:r>
        <w:rPr>
          <w:rFonts w:ascii="Times New Roman;sans-serif" w:hAnsi="Times New Roman;sans-serif"/>
          <w:b/>
          <w:color w:val="000000"/>
          <w:sz w:val="24"/>
        </w:rPr>
        <w:t>VIANT TECHNOLOGY INC.</w:t>
      </w:r>
    </w:p>
    <w:p>
      <w:pPr>
        <w:pStyle w:val="TextBody"/>
        <w:bidi w:val="0"/>
        <w:spacing w:lineRule="auto" w:line="242" w:before="0" w:after="0"/>
        <w:jc w:val="center"/>
        <w:rPr>
          <w:rFonts w:ascii="Times New Roman;sans-serif" w:hAnsi="Times New Roman;sans-serif"/>
          <w:b/>
          <w:color w:val="000000"/>
          <w:sz w:val="24"/>
        </w:rPr>
      </w:pPr>
      <w:r>
        <w:rPr>
          <w:rFonts w:ascii="Times New Roman;sans-serif" w:hAnsi="Times New Roman;sans-serif"/>
          <w:b/>
          <w:color w:val="000000"/>
          <w:sz w:val="24"/>
        </w:rPr>
        <w:t>2021 LONG-TERM INCENTIVE PLAN</w:t>
      </w:r>
    </w:p>
    <w:p>
      <w:pPr>
        <w:pStyle w:val="TextBody"/>
        <w:bidi w:val="0"/>
        <w:spacing w:lineRule="auto" w:line="242" w:before="0" w:after="0"/>
        <w:jc w:val="center"/>
        <w:rPr>
          <w:rFonts w:ascii="Times New Roman;sans-serif" w:hAnsi="Times New Roman;sans-serif"/>
          <w:b/>
          <w:color w:val="000000"/>
          <w:sz w:val="24"/>
        </w:rPr>
      </w:pPr>
      <w:r>
        <w:rPr>
          <w:rFonts w:ascii="Times New Roman;sans-serif" w:hAnsi="Times New Roman;sans-serif"/>
          <w:b/>
          <w:color w:val="000000"/>
          <w:sz w:val="24"/>
        </w:rPr>
        <w:t>GRANT NOTICE FOR</w:t>
      </w:r>
    </w:p>
    <w:p>
      <w:pPr>
        <w:pStyle w:val="TextBody"/>
        <w:bidi w:val="0"/>
        <w:spacing w:lineRule="auto" w:line="242" w:before="0" w:after="0"/>
        <w:jc w:val="center"/>
        <w:rPr>
          <w:rFonts w:ascii="Times New Roman;sans-serif" w:hAnsi="Times New Roman;sans-serif"/>
          <w:b/>
          <w:color w:val="000000"/>
          <w:sz w:val="24"/>
        </w:rPr>
      </w:pPr>
      <w:r>
        <w:rPr>
          <w:rFonts w:ascii="Times New Roman;sans-serif" w:hAnsi="Times New Roman;sans-serif"/>
          <w:b/>
          <w:color w:val="000000"/>
          <w:sz w:val="24"/>
        </w:rPr>
        <w:t>RESTRICTED STOCK UNIT AWARD</w:t>
      </w:r>
    </w:p>
    <w:p>
      <w:pPr>
        <w:pStyle w:val="TextBody"/>
        <w:bidi w:val="0"/>
        <w:spacing w:lineRule="auto" w:line="240" w:before="288" w:after="240"/>
        <w:jc w:val="both"/>
        <w:rPr/>
      </w:pPr>
      <w:r>
        <w:rPr>
          <w:rFonts w:ascii="Times New Roman;sans-serif" w:hAnsi="Times New Roman;sans-serif"/>
          <w:b w:val="false"/>
          <w:color w:val="000000"/>
          <w:sz w:val="24"/>
        </w:rPr>
        <w:t>FOR GOOD AND VALUABLE CONSIDERATION, Viant Technology Inc. (the</w:t>
      </w:r>
      <w:r>
        <w:rPr>
          <w:color w:val="000000"/>
        </w:rPr>
        <w:t>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hereby grants to the Participant named below the number of Restricted Stock Units (the “</w:t>
      </w:r>
      <w:r>
        <w:rPr>
          <w:rFonts w:ascii="Times New Roman;sans-serif" w:hAnsi="Times New Roman;sans-serif"/>
          <w:b/>
          <w:i/>
          <w:color w:val="000000"/>
          <w:sz w:val="24"/>
        </w:rPr>
        <w:t>RSUs</w:t>
      </w:r>
      <w:r>
        <w:rPr>
          <w:color w:val="000000"/>
        </w:rPr>
        <w:t>”</w:t>
      </w:r>
      <w:r>
        <w:rPr>
          <w:rFonts w:ascii="Times New Roman;sans-serif" w:hAnsi="Times New Roman;sans-serif"/>
          <w:b w:val="false"/>
          <w:color w:val="000000"/>
          <w:sz w:val="24"/>
        </w:rPr>
        <w:t>) specified below (the “</w:t>
      </w:r>
      <w:r>
        <w:rPr>
          <w:rFonts w:ascii="Times New Roman;sans-serif" w:hAnsi="Times New Roman;sans-serif"/>
          <w:b/>
          <w:i/>
          <w:color w:val="000000"/>
          <w:sz w:val="24"/>
        </w:rPr>
        <w:t>Award</w:t>
      </w:r>
      <w:r>
        <w:rPr>
          <w:color w:val="000000"/>
        </w:rPr>
        <w:t>”</w:t>
      </w:r>
      <w:r>
        <w:rPr>
          <w:rFonts w:ascii="Times New Roman;sans-serif" w:hAnsi="Times New Roman;sans-serif"/>
          <w:b w:val="false"/>
          <w:color w:val="000000"/>
          <w:sz w:val="24"/>
        </w:rPr>
        <w:t>) under the Viant Technology Inc. 2021 Long-Term Incentive Plan (as amended from time to time,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Each RSU represents the right to receive one share of Common Stock, upon the terms and subject to the conditions set forth in this Grant Notice, the Plan and the Standard Terms and Conditions (the “</w:t>
      </w:r>
      <w:r>
        <w:rPr>
          <w:rFonts w:ascii="Times New Roman;sans-serif" w:hAnsi="Times New Roman;sans-serif"/>
          <w:b/>
          <w:i/>
          <w:color w:val="000000"/>
          <w:sz w:val="24"/>
        </w:rPr>
        <w:t>Standard Terms and Conditions</w:t>
      </w:r>
      <w:r>
        <w:rPr>
          <w:color w:val="000000"/>
        </w:rPr>
        <w:t>”</w:t>
      </w:r>
      <w:r>
        <w:rPr>
          <w:rFonts w:ascii="Times New Roman;sans-serif" w:hAnsi="Times New Roman;sans-serif"/>
          <w:b w:val="false"/>
          <w:color w:val="000000"/>
          <w:sz w:val="24"/>
        </w:rPr>
        <w:t xml:space="preserve">) promulgated under such Plan and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This Award is granted pursuant to the Plan and is subject to and qualified in its entirety by the Standard Terms and Conditions. Capitalized terms not otherwise defined herein shall have the meaning set forth in the Plan.</w:t>
      </w:r>
    </w:p>
    <w:tbl>
      <w:tblPr>
        <w:tblW w:w="10205" w:type="dxa"/>
        <w:jc w:val="left"/>
        <w:tblInd w:w="0" w:type="dxa"/>
        <w:tblLayout w:type="fixed"/>
        <w:tblCellMar>
          <w:top w:w="28" w:type="dxa"/>
          <w:left w:w="28" w:type="dxa"/>
          <w:bottom w:w="28" w:type="dxa"/>
          <w:right w:w="28" w:type="dxa"/>
        </w:tblCellMar>
      </w:tblPr>
      <w:tblGrid>
        <w:gridCol w:w="854"/>
        <w:gridCol w:w="675"/>
        <w:gridCol w:w="535"/>
        <w:gridCol w:w="2383"/>
        <w:gridCol w:w="2383"/>
        <w:gridCol w:w="3375"/>
      </w:tblGrid>
      <w:tr>
        <w:trPr/>
        <w:tc>
          <w:tcPr>
            <w:tcW w:w="85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3375"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Participant:</w:t>
            </w:r>
          </w:p>
        </w:tc>
        <w:tc>
          <w:tcPr>
            <w:tcW w:w="814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Grant Date:</w:t>
            </w:r>
          </w:p>
        </w:tc>
        <w:tc>
          <w:tcPr>
            <w:tcW w:w="814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Vesting Commencement Date:</w:t>
            </w:r>
            <w:r>
              <w:rPr>
                <w:rFonts w:ascii="Times New Roman;sans-serif" w:hAnsi="Times New Roman;sans-serif"/>
                <w:b w:val="false"/>
                <w:color w:val="000000"/>
                <w:sz w:val="16"/>
              </w:rPr>
              <w:t>1</w:t>
            </w:r>
          </w:p>
        </w:tc>
        <w:tc>
          <w:tcPr>
            <w:tcW w:w="814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Number of RSUs:</w:t>
            </w:r>
          </w:p>
        </w:tc>
        <w:tc>
          <w:tcPr>
            <w:tcW w:w="814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Vesting Schedule:</w:t>
            </w:r>
          </w:p>
        </w:tc>
        <w:tc>
          <w:tcPr>
            <w:tcW w:w="814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0"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Plan and the Standard Terms and Conditions, the RSUs shall vest in accordance with the following schedule, so long as Participant remains continuously employed by the Company or its Subsidiaries from the Grant Date through such vesting date: [______].</w:t>
            </w:r>
          </w:p>
        </w:tc>
      </w:tr>
    </w:tbl>
    <w:p>
      <w:pPr>
        <w:pStyle w:val="TextBody"/>
        <w:bidi w:val="0"/>
        <w:spacing w:lineRule="auto" w:line="240"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To be March 10 (if Grant Date is between 2/1/20___ - 4/30/20___), June 10 (if Grant Date is between 5/1/20__) - 7/31/20___), September 10 (if Grant Date is between 8/1/20___ - 10/31/20___), December 10 (if Grant Date is between 11/1/20___ - 1/31/20___).</w:t>
      </w:r>
      <w:r>
        <w:rPr>
          <w:color w:val="000000"/>
        </w:rPr>
        <w:t xml:space="preserve"> </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44" w:after="283"/>
        <w:jc w:val="both"/>
        <w:rPr/>
      </w:pPr>
      <w:r>
        <w:rPr>
          <w:rFonts w:ascii="Times New Roman;sans-serif" w:hAnsi="Times New Roman;sans-serif"/>
          <w:b w:val="false"/>
          <w:color w:val="000000"/>
          <w:sz w:val="24"/>
        </w:rPr>
        <w:t>IN ORDER TO RECEIVE THE BENEFITS OF THIS AGREEMENT, PARTICIPANT MUST EXECUTE AND RETURN THIS GRANT NOTICE (THE “</w:t>
      </w:r>
      <w:r>
        <w:rPr>
          <w:rFonts w:ascii="Times New Roman;sans-serif" w:hAnsi="Times New Roman;sans-serif"/>
          <w:b/>
          <w:i/>
          <w:color w:val="000000"/>
          <w:sz w:val="24"/>
        </w:rPr>
        <w:t>ACCEPTANCE REQUIREMENTS</w:t>
      </w:r>
      <w:r>
        <w:rPr>
          <w:color w:val="000000"/>
        </w:rPr>
        <w:t>”</w:t>
      </w:r>
      <w:r>
        <w:rPr>
          <w:rFonts w:ascii="Times New Roman;sans-serif" w:hAnsi="Times New Roman;sans-serif"/>
          <w:b w:val="false"/>
          <w:color w:val="000000"/>
          <w:sz w:val="24"/>
        </w:rPr>
        <w:t>). IF YOU FAIL TO SATISFY THE ACCEPTANCE REQUIREMENTS WITHIN 60 DAYS AFTER THE GRANT DATE, THEN THIS GRANT NOTICE WILL BE OF NO FORCE OR EFFECT AND THIS AWARD WILL BE AUTOMATICALLY FORFEITED TO THE COMPANY WITHOUT CONSIDERATION.</w:t>
      </w:r>
    </w:p>
    <w:p>
      <w:pPr>
        <w:pStyle w:val="TextBody"/>
        <w:bidi w:val="0"/>
        <w:spacing w:lineRule="auto" w:line="240" w:before="144"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 accepting this Grant Notice, Participant acknowledges that Participant has received and read, and agrees that this Award shall be subject to, the terms of this Grant Notice, the Plan, and the Standard Terms and Conditions.</w:t>
      </w:r>
    </w:p>
    <w:p>
      <w:pPr>
        <w:pStyle w:val="TextBody"/>
        <w:bidi w:val="0"/>
        <w:spacing w:before="0" w:after="0"/>
        <w:jc w:val="both"/>
        <w:rPr/>
      </w:pPr>
      <w:r>
        <w:rPr/>
      </w:r>
    </w:p>
    <w:p>
      <w:pPr>
        <w:pStyle w:val="TextBody"/>
        <w:bidi w:val="0"/>
        <w:spacing w:before="0" w:after="0"/>
        <w:jc w:val="both"/>
        <w:rPr/>
      </w:pPr>
      <w:r>
        <w:rPr/>
      </w:r>
    </w:p>
    <w:tbl>
      <w:tblPr>
        <w:tblW w:w="3344" w:type="dxa"/>
        <w:jc w:val="left"/>
        <w:tblInd w:w="0" w:type="dxa"/>
        <w:tblLayout w:type="fixed"/>
        <w:tblCellMar>
          <w:top w:w="28" w:type="dxa"/>
          <w:left w:w="28" w:type="dxa"/>
          <w:bottom w:w="28" w:type="dxa"/>
          <w:right w:w="28" w:type="dxa"/>
        </w:tblCellMar>
      </w:tblPr>
      <w:tblGrid>
        <w:gridCol w:w="580"/>
        <w:gridCol w:w="510"/>
        <w:gridCol w:w="510"/>
        <w:gridCol w:w="510"/>
        <w:gridCol w:w="510"/>
        <w:gridCol w:w="724"/>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334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VIANT TECHNOLOGY INC.</w:t>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PARTICIPANT</w:t>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744"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VIANT TECHNOLOGY INC.</w:t>
        <w:br/>
        <w:t>2021 LONG-TERM INCENTIVE PLAN</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STANDARD TERMS AND CONDITIONS FOR</w:t>
        <w:br/>
        <w:t>RESTRICTED STOCK UNITS</w:t>
      </w:r>
    </w:p>
    <w:p>
      <w:pPr>
        <w:pStyle w:val="TextBody"/>
        <w:bidi w:val="0"/>
        <w:spacing w:lineRule="auto" w:line="240" w:before="288" w:after="240"/>
        <w:jc w:val="both"/>
        <w:rPr/>
      </w:pPr>
      <w:r>
        <w:rPr>
          <w:rFonts w:ascii="Times New Roman;sans-serif" w:hAnsi="Times New Roman;sans-serif"/>
          <w:b w:val="false"/>
          <w:color w:val="000000"/>
          <w:sz w:val="24"/>
        </w:rPr>
        <w:t>These Standard Terms and Conditions apply to the Award of Restricted Stock Units granted pursuant to the Viant Technology Inc. 2021 Long-Term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which are evidenced by a Grant Notice or an action of the Committee that specifically refers to these Standard Terms and Conditions. In addition to these Standard Terms and Conditions, the Restricted Stock Units shall be subject to the terms of the Plan, which are incorporated into these Standard Terms and Conditions by this reference. Capitalized terms not otherwise defined herein shall have the meaning set forth in the Plan.</w:t>
      </w:r>
    </w:p>
    <w:p>
      <w:pPr>
        <w:pStyle w:val="TextBody"/>
        <w:bidi w:val="0"/>
        <w:spacing w:lineRule="auto" w:line="232" w:before="0" w:after="0"/>
        <w:jc w:val="both"/>
        <w:rPr/>
      </w:pPr>
      <w:r>
        <w:rPr>
          <w:rFonts w:ascii="Times New Roman;sans-serif" w:hAnsi="Times New Roman;sans-serif"/>
          <w:b/>
          <w:color w:val="000000"/>
          <w:sz w:val="24"/>
        </w:rPr>
        <w:t>1.</w:t>
      </w:r>
      <w:r>
        <w:rPr>
          <w:rFonts w:ascii="Times New Roman;sans-serif" w:hAnsi="Times New Roman;sans-serif"/>
          <w:b/>
          <w:color w:val="000000"/>
          <w:sz w:val="24"/>
        </w:rPr>
        <w:t>TERMS OF RESTRICTED STOCK UNITS</w:t>
      </w:r>
    </w:p>
    <w:p>
      <w:pPr>
        <w:pStyle w:val="TextBody"/>
        <w:bidi w:val="0"/>
        <w:spacing w:lineRule="auto" w:line="240" w:before="240" w:after="240"/>
        <w:jc w:val="both"/>
        <w:rPr/>
      </w:pPr>
      <w:r>
        <w:rPr>
          <w:rFonts w:ascii="Times New Roman;sans-serif" w:hAnsi="Times New Roman;sans-serif"/>
          <w:b w:val="false"/>
          <w:color w:val="000000"/>
          <w:sz w:val="24"/>
        </w:rPr>
        <w:t>Viant Technology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granted to the Participant named in the Grant Notice provided to said Participant herewith (the “</w:t>
      </w:r>
      <w:r>
        <w:rPr>
          <w:rFonts w:ascii="Times New Roman;sans-serif" w:hAnsi="Times New Roman;sans-serif"/>
          <w:b/>
          <w:i/>
          <w:color w:val="000000"/>
          <w:sz w:val="24"/>
        </w:rPr>
        <w:t>Grant Notice</w:t>
      </w:r>
      <w:r>
        <w:rPr>
          <w:color w:val="000000"/>
        </w:rPr>
        <w:t>”</w:t>
      </w:r>
      <w:r>
        <w:rPr>
          <w:rFonts w:ascii="Times New Roman;sans-serif" w:hAnsi="Times New Roman;sans-serif"/>
          <w:b w:val="false"/>
          <w:color w:val="000000"/>
          <w:sz w:val="24"/>
        </w:rPr>
        <w:t>) an award of Restricted Stock Units (the “</w:t>
      </w:r>
      <w:r>
        <w:rPr>
          <w:rFonts w:ascii="Times New Roman;sans-serif" w:hAnsi="Times New Roman;sans-serif"/>
          <w:b/>
          <w:i/>
          <w:color w:val="000000"/>
          <w:sz w:val="24"/>
        </w:rPr>
        <w:t>Award</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i/>
          <w:color w:val="000000"/>
          <w:sz w:val="24"/>
        </w:rPr>
        <w:t>RSUs</w:t>
      </w:r>
      <w:r>
        <w:rPr>
          <w:color w:val="000000"/>
        </w:rPr>
        <w:t>”</w:t>
      </w:r>
      <w:r>
        <w:rPr>
          <w:rFonts w:ascii="Times New Roman;sans-serif" w:hAnsi="Times New Roman;sans-serif"/>
          <w:b w:val="false"/>
          <w:color w:val="000000"/>
          <w:sz w:val="24"/>
        </w:rPr>
        <w:t>) specified in the Grant Notice, with each Restricted Stock Unit representing the right to receive one share of Common Stock, as modified to reflect any capitalization adjustment under the Plan.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pStyle w:val="TextBody"/>
        <w:bidi w:val="0"/>
        <w:spacing w:lineRule="auto" w:line="232" w:before="240" w:after="283"/>
        <w:jc w:val="both"/>
        <w:rPr/>
      </w:pPr>
      <w:r>
        <w:rPr>
          <w:rFonts w:ascii="Times New Roman;sans-serif" w:hAnsi="Times New Roman;sans-serif"/>
          <w:b/>
          <w:color w:val="000000"/>
          <w:sz w:val="24"/>
        </w:rPr>
        <w:t>2.</w:t>
      </w:r>
      <w:r>
        <w:rPr>
          <w:rFonts w:ascii="Times New Roman;sans-serif" w:hAnsi="Times New Roman;sans-serif"/>
          <w:b/>
          <w:color w:val="000000"/>
          <w:sz w:val="24"/>
        </w:rPr>
        <w:t>VESTING AND SETTLEMENT OF RESTRICTED STOCK UNITS</w:t>
      </w:r>
    </w:p>
    <w:p>
      <w:pPr>
        <w:pStyle w:val="TextBody"/>
        <w:bidi w:val="0"/>
        <w:spacing w:lineRule="auto" w:line="240" w:before="240" w:after="240"/>
        <w:jc w:val="both"/>
        <w:rPr/>
      </w:pPr>
      <w:r>
        <w:rPr>
          <w:rFonts w:ascii="Times New Roman;sans-serif" w:hAnsi="Times New Roman;sans-serif"/>
          <w:b w:val="false"/>
          <w:color w:val="000000"/>
          <w:sz w:val="24"/>
        </w:rPr>
        <w:t>(a)The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as described in the Grant Notice with respect to that number of Restricted Stock Units as set forth in the Grant Notice. Restricted Stock Units that have vested and are no longer subject to forfeiture are referred to herein as “</w:t>
      </w:r>
      <w:r>
        <w:rPr>
          <w:rFonts w:ascii="Times New Roman;sans-serif" w:hAnsi="Times New Roman;sans-serif"/>
          <w:b/>
          <w:i/>
          <w:color w:val="000000"/>
          <w:sz w:val="24"/>
        </w:rPr>
        <w:t>Vested RSUs</w:t>
      </w:r>
      <w:r>
        <w:rPr>
          <w:rFonts w:ascii="Times New Roman;sans-serif" w:hAnsi="Times New Roman;sans-serif"/>
          <w:b w:val="false"/>
          <w:color w:val="000000"/>
          <w:sz w:val="24"/>
        </w:rPr>
        <w:t>.” Restricted Stock Units awarded hereunder that are not vested and remain subject to forfeiture are referred to herein as “</w:t>
      </w:r>
      <w:r>
        <w:rPr>
          <w:rFonts w:ascii="Times New Roman;sans-serif" w:hAnsi="Times New Roman;sans-serif"/>
          <w:b/>
          <w:i/>
          <w:color w:val="000000"/>
          <w:sz w:val="24"/>
        </w:rPr>
        <w:t>Unvested RSUs</w:t>
      </w:r>
      <w:r>
        <w:rPr>
          <w:rFonts w:ascii="Times New Roman;sans-serif" w:hAnsi="Times New Roman;sans-serif"/>
          <w:b w:val="false"/>
          <w:color w:val="000000"/>
          <w:sz w:val="24"/>
        </w:rPr>
        <w:t xml:space="preserve">.” </w:t>
      </w:r>
    </w:p>
    <w:p>
      <w:pPr>
        <w:pStyle w:val="TextBody"/>
        <w:bidi w:val="0"/>
        <w:spacing w:lineRule="auto" w:line="240" w:before="240" w:after="240"/>
        <w:jc w:val="both"/>
        <w:rPr/>
      </w:pPr>
      <w:r>
        <w:rPr>
          <w:rFonts w:ascii="Times New Roman;sans-serif" w:hAnsi="Times New Roman;sans-serif"/>
          <w:b w:val="false"/>
          <w:color w:val="000000"/>
          <w:sz w:val="24"/>
        </w:rPr>
        <w:t xml:space="preserve">(b)As soon as administratively practicable following the vesting of the RSUs pursuant to the Grant Notice and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but in no event later than thirty (30) days after each vesting date (and subject to Section 7(a) of the Plan), the Company shall deliver to the Participant a number of shares of Common Stock equal to the number of RSUs that vested on such date. Notwithstanding the above, the Company shall not be obligated to deliver any shares of Common Stock during any period when the Company determines that the delivery of shares of Common Stock hereunder would violate Company policy or any federal, state or other applicable laws.</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(c)If Participant’s termination of Continuous Service is as a result of the Participant’s death, subject to the Participant’s personal representative’s execution and nonrevocation of a general release of claims in a form provided by the Company, any then Unvested RSUs held by Participant shall be fully vested as of the date of Participant’s death.</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(d)Upon Participant’s termination of Continuous Service for any reason other than death, any then Unvested RSUs held by the Participant shall be forfeited and canceled as of the date of the Participant’s termination of Continuous Service.</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0520"/>
                <wp:effectExtent l="0" t="0" r="0" b="0"/>
                <wp:wrapNone/>
                <wp:docPr id="129" name="Frame1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35" w:before="240" w:after="283"/>
        <w:jc w:val="both"/>
        <w:rPr/>
      </w:pPr>
      <w:r>
        <w:rPr>
          <w:rFonts w:ascii="Times New Roman;sans-serif" w:hAnsi="Times New Roman;sans-serif"/>
          <w:b/>
          <w:color w:val="000000"/>
          <w:sz w:val="24"/>
        </w:rPr>
        <w:t>3.</w:t>
      </w:r>
      <w:r>
        <w:rPr>
          <w:rFonts w:ascii="Times New Roman;sans-serif" w:hAnsi="Times New Roman;sans-serif"/>
          <w:b/>
          <w:color w:val="000000"/>
          <w:sz w:val="24"/>
        </w:rPr>
        <w:t>RIGHTS AS STOCKHOLDER; DIVIDEND EQUIVALENTS</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(a)The Award is unfunded, and as a holder of a Vested RSU, Participant will be considered an unsecured creditor of the Company with respect to the Company’s obligation, if any, to issue shares or other property pursuant to this Standard Terms and Conditions. Participant shall not be, nor have any of the rights or privileges of, a stockholder of the Company, no dividend rights and no voting rights in respect of any RSUs unless and until shares of Common Stock settled for such RSUs shall have been issued by the Company to Participant (as evidenced by the appropriate entry on the books and records of the Company or of a duly authorized transfer agent of the Company). </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(b)Notwithstanding the foregoing, from and after the Grant Date and until the earlier of (i) the Participant’s receipt of Common Stock upon settlement of the RSUs and (ii) the time when the Participant’s right to receive Common Stock upon settlement of the RSUs is forfeited, the Participant shall be entitled, as a Dividend equivalent, to a number of additional whole RSUs on the date that the Company pays a cash dividend (if any) to holders of Common Stock generally. Such Dividend equivalent shall be determined by dividing (i) the product of (A) the dollar amount of the cash dividend paid per share of Common Stock on such date and (B) the total number of RSUs (including dividend equivalents paid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RSUs to which the Dividend equivalents were credited.</w:t>
      </w:r>
    </w:p>
    <w:p>
      <w:pPr>
        <w:pStyle w:val="TextBody"/>
        <w:bidi w:val="0"/>
        <w:spacing w:lineRule="auto" w:line="232" w:before="240" w:after="283"/>
        <w:jc w:val="both"/>
        <w:rPr/>
      </w:pPr>
      <w:r>
        <w:rPr>
          <w:rFonts w:ascii="Times New Roman;sans-serif" w:hAnsi="Times New Roman;sans-serif"/>
          <w:b/>
          <w:color w:val="000000"/>
          <w:sz w:val="24"/>
        </w:rPr>
        <w:t>4.</w:t>
      </w:r>
      <w:r>
        <w:rPr>
          <w:rFonts w:ascii="Times New Roman;sans-serif" w:hAnsi="Times New Roman;sans-serif"/>
          <w:b/>
          <w:color w:val="000000"/>
          <w:sz w:val="24"/>
        </w:rPr>
        <w:t>RESTRICTIONS ON RESALES OF SHARES</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may impose such restrictions, conditions or limitations as it determines appropriate as to the timing and manner of any resales by the Participant or other subsequent transfers by the Participant of any shares of Common Stock issued pursuant to Vested RSUs,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pStyle w:val="TextBody"/>
        <w:bidi w:val="0"/>
        <w:spacing w:lineRule="auto" w:line="232" w:before="240" w:after="283"/>
        <w:jc w:val="both"/>
        <w:rPr/>
      </w:pPr>
      <w:r>
        <w:rPr>
          <w:rFonts w:ascii="Times New Roman;sans-serif" w:hAnsi="Times New Roman;sans-serif"/>
          <w:b/>
          <w:color w:val="000000"/>
          <w:sz w:val="24"/>
        </w:rPr>
        <w:t>5.</w:t>
      </w:r>
      <w:r>
        <w:rPr>
          <w:rFonts w:ascii="Times New Roman;sans-serif" w:hAnsi="Times New Roman;sans-serif"/>
          <w:b/>
          <w:color w:val="000000"/>
          <w:sz w:val="24"/>
        </w:rPr>
        <w:t>INCOME TAXES</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(a)These Standard Terms and Conditions and this Award are intended to be exempt from Section 409A of the Code. and shall be construed and interpreted accordingly. In no event shall the Company be liable for any tax, interest or penalty imposed on the Participant under Section 409A of the Code or any damages for failing to comply with Section 409A of the Code.</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(b)Participant acknowledges and agrees that Participant shall be solely responsible for satisfying any and all national, state, local or other tax withholding obligation relating to the RSUs. Unless the Participant elects to instead tender a cash payment in satisfaction of such tax withholding obligations in the manner prescribed by the Company, the Participant acknowledges and agrees that the Company, or any brokerage firm deemed acceptable by the Company, shall generate enough cash proceeds to satisfy such tax withholding obligations by selling on the Participant’s behalf a sufficient number of shares of Common Stock from shares of Common Stock otherwise issuable to the Participant upon the vesting and settlement of the RSUs. Such shares of Common Stock will be sold on the day such tax withholding obligations arise or, if such day is not a trading day, the next following trading day. The Participant shall be responsible for all broker’s fees and other costs of sale. The Participant acknowledges that the Company or its designee is under no obligation to arrange for such sale at any particular price, and that the proceeds of any such sale may not be sufficient to satisfy the Participant’s tax withholding obligations. Accordingly, the Participant agrees to pay to the Company as soon as practicable, including through additional payroll withholding, any amount of the tax withholding obligations that are not satisfied by the sale of shares of Common Stock described above.</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0520"/>
                <wp:effectExtent l="0" t="0" r="0" b="0"/>
                <wp:wrapNone/>
                <wp:docPr id="130" name="Frame1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v:textbox>
                <w10:wrap type="none"/>
              </v:rect>
            </w:pict>
          </mc:Fallback>
        </mc:AlternateContent>
      </w:r>
    </w:p>
    <w:p>
      <w:pPr>
        <w:pStyle w:val="TextBody"/>
        <w:bidi w:val="0"/>
        <w:spacing w:lineRule="auto" w:line="232" w:before="240" w:after="283"/>
        <w:jc w:val="both"/>
        <w:rPr/>
      </w:pPr>
      <w:r>
        <w:rPr>
          <w:rFonts w:ascii="Times New Roman;sans-serif" w:hAnsi="Times New Roman;sans-serif"/>
          <w:b/>
          <w:color w:val="000000"/>
          <w:sz w:val="24"/>
        </w:rPr>
        <w:t>6.</w:t>
      </w:r>
      <w:r>
        <w:rPr>
          <w:rFonts w:ascii="Times New Roman;sans-serif" w:hAnsi="Times New Roman;sans-serif"/>
          <w:b/>
          <w:color w:val="000000"/>
          <w:sz w:val="24"/>
        </w:rPr>
        <w:t>NONTRANSFERABILITY OF AWARD</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Any attempted transfer, assignment, pledge, hypothecation or other disposition of the Award or of any rights granted hereunder contrary to the provisions of this Section 6, or the levy of any attachment or similar process upon the Award, shall be null and void.</w:t>
      </w:r>
    </w:p>
    <w:p>
      <w:pPr>
        <w:pStyle w:val="TextBody"/>
        <w:bidi w:val="0"/>
        <w:spacing w:lineRule="auto" w:line="235" w:before="240" w:after="283"/>
        <w:jc w:val="both"/>
        <w:rPr/>
      </w:pPr>
      <w:r>
        <w:rPr>
          <w:rFonts w:ascii="Times New Roman;sans-serif" w:hAnsi="Times New Roman;sans-serif"/>
          <w:b/>
          <w:color w:val="000000"/>
          <w:sz w:val="24"/>
        </w:rPr>
        <w:t>7.</w:t>
      </w:r>
      <w:r>
        <w:rPr>
          <w:rFonts w:ascii="Times New Roman;sans-serif" w:hAnsi="Times New Roman;sans-serif"/>
          <w:b/>
          <w:color w:val="000000"/>
          <w:sz w:val="24"/>
        </w:rPr>
        <w:t>OTHER AGREEMENTS SUPERSEDED</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Grant Notice, these Standard Terms and Conditions and the Plan constitute the entire understanding between the Participant and the Company regarding the Award. Any prior agreements, commitments or negotiations concerning the Award are superseded.</w:t>
      </w:r>
    </w:p>
    <w:p>
      <w:pPr>
        <w:pStyle w:val="TextBody"/>
        <w:bidi w:val="0"/>
        <w:spacing w:lineRule="auto" w:line="232" w:before="240" w:after="283"/>
        <w:jc w:val="both"/>
        <w:rPr/>
      </w:pPr>
      <w:r>
        <w:rPr>
          <w:rFonts w:ascii="Times New Roman;sans-serif" w:hAnsi="Times New Roman;sans-serif"/>
          <w:b/>
          <w:color w:val="000000"/>
          <w:sz w:val="24"/>
        </w:rPr>
        <w:t>8.</w:t>
      </w:r>
      <w:r>
        <w:rPr>
          <w:rFonts w:ascii="Times New Roman;sans-serif" w:hAnsi="Times New Roman;sans-serif"/>
          <w:b/>
          <w:color w:val="000000"/>
          <w:sz w:val="24"/>
        </w:rPr>
        <w:t>LIMITATION OF INTEREST IN SHARES SUBJECT TO RESTRICTED STOCK UNITS</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to serve the Company or an Affiliate in the capacity in effect at the time this Award was granted or any other capacity or will affect the right of the Company or an Affiliate to terminate the service of the Participant. </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acknowledges: (i) that the Plan is discretionary in nature and may be suspended or terminated by the Company at any time; (ii) that the grant of the Award is a one-time benefit which does not create any contractual or other right or expectation to receive future awards under the Plan or any other equity incentive plan maintained by the Company from time to time; (iii) that the Participant's participation in the Plan is voluntary; (iv) that the value of the Award is an extraordinary item of compensation which is outside the scope of the Participant's employment contract, if any; and (v) that the Award is not part of normal or expected compensation for purposes of calculating any severance, resignation, redundancy, end of service payments, bonuses, long-service awards, pension or retirement benefits or similar payments.</w:t>
      </w:r>
    </w:p>
    <w:p>
      <w:pPr>
        <w:pStyle w:val="TextBody"/>
        <w:bidi w:val="0"/>
        <w:spacing w:lineRule="auto" w:line="232" w:before="240" w:after="283"/>
        <w:jc w:val="both"/>
        <w:rPr/>
      </w:pPr>
      <w:r>
        <w:rPr>
          <w:rFonts w:ascii="Times New Roman;sans-serif" w:hAnsi="Times New Roman;sans-serif"/>
          <w:b/>
          <w:color w:val="000000"/>
          <w:sz w:val="24"/>
        </w:rPr>
        <w:t>9.</w:t>
      </w:r>
      <w:r>
        <w:rPr>
          <w:rFonts w:ascii="Times New Roman;sans-serif" w:hAnsi="Times New Roman;sans-serif"/>
          <w:b/>
          <w:color w:val="000000"/>
          <w:sz w:val="24"/>
        </w:rPr>
        <w:t>NONSOLICITATION OF EMPLOYEES, CONSULTANTS AND OTHER PARTIES</w:t>
      </w:r>
    </w:p>
    <w:p>
      <w:pPr>
        <w:pStyle w:val="TextBody"/>
        <w:bidi w:val="0"/>
        <w:spacing w:lineRule="auto" w:line="240" w:before="100" w:after="10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Participant acknowledges that during the term of Participant’s employment with Company and for one (1) year thereafter, Participant will not directly or indirectly solicit, induce, recruit or encourage any of the Company’s employees or consultants or clients to terminate their relationship with the Company, or attempt any of the foregoing, either for Particpant or for any other person or entity. For a period of one (1) year following termination of Participant’s relationship with the Company for any reason, Participant shall not solicit any licensor to or customer of the Company or licensee of the Company’s products, that are known to the Participant, with respect to any business, products or services that are competitive to the products or services offered by the Company or under development as of the date of termination of Participant’s relationship with the Company. However, the foregoing obligations shall not affect any responsibility Participant may have as an employee of the Company with respect to the bona fide hiring and firing of Company personnel. </w:t>
      </w:r>
    </w:p>
    <w:p>
      <w:pPr>
        <w:pStyle w:val="TextBody"/>
        <w:bidi w:val="0"/>
        <w:spacing w:lineRule="auto" w:line="232" w:before="240" w:after="283"/>
        <w:jc w:val="both"/>
        <w:rPr/>
      </w:pPr>
      <w:r>
        <w:rPr>
          <w:rFonts w:ascii="Times New Roman;sans-serif" w:hAnsi="Times New Roman;sans-serif"/>
          <w:b/>
          <w:color w:val="000000"/>
          <w:sz w:val="24"/>
        </w:rPr>
        <w:t>10.</w:t>
      </w:r>
      <w:r>
        <w:rPr>
          <w:rFonts w:ascii="Times New Roman;sans-serif" w:hAnsi="Times New Roman;sans-serif"/>
          <w:b/>
          <w:color w:val="000000"/>
          <w:sz w:val="24"/>
        </w:rPr>
        <w:t>GENERAL</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50520"/>
                <wp:effectExtent l="0" t="0" r="0" b="0"/>
                <wp:wrapNone/>
                <wp:docPr id="131" name="Frame1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txbxContent>
                </v:textbox>
                <w10:wrap type="none"/>
              </v:rect>
            </w:pict>
          </mc:Fallback>
        </mc:AlternateConten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(c)These Standard Terms and Conditions shall inure to the benefit of and be binding upon the parties hereto and their respective permitted heirs, beneficiaries, successors and assigns.</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(d)These Standard Terms and Conditions shall be construed in accordance with and governed by the laws of the State of Delaware, without regard to principles of conflicts of law.</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(f)All questions arising under the Plan or under these Standard Terms and Conditions shall be decided by the Committee in its total and absolute discretion.</w:t>
      </w:r>
    </w:p>
    <w:p>
      <w:pPr>
        <w:pStyle w:val="TextBody"/>
        <w:bidi w:val="0"/>
        <w:spacing w:lineRule="auto" w:line="240" w:before="144" w:after="240"/>
        <w:jc w:val="both"/>
        <w:rPr>
          <w:rFonts w:ascii="Times New Roman;sans-serif" w:hAnsi="Times New Roman;sans-serif"/>
          <w:b w:val="false"/>
          <w:color w:val="000000"/>
          <w:sz w:val="24"/>
        </w:rPr>
      </w:pPr>
      <w:r>
        <w:rPr>
          <w:rFonts w:ascii="Times New Roman;sans-serif" w:hAnsi="Times New Roman;sans-serif"/>
          <w:b w:val="false"/>
          <w:color w:val="000000"/>
          <w:sz w:val="24"/>
        </w:rPr>
        <w:t>(g)Except as otherwise described herein or as otherwise instructed by Company from time to time, any notice to Company provided for in this Standard Terms and Conditions shall be addressed to the principal executive office of Company to the attention of the Human Resources Department, and any notice to Participant will be addressed to such Participant at the current address of record for Participant, or to such address as Participant has designated to Company in writing. Any notice shall be delivered by hand, sent by facsimile, overnight delivery, or enclosed in a properly sealed envelope addressed as stated above, registered and deposited, postage prepaid, in a post office regularly maintained by the United States Postal Service.</w:t>
      </w:r>
    </w:p>
    <w:p>
      <w:pPr>
        <w:pStyle w:val="TextBody"/>
        <w:bidi w:val="0"/>
        <w:spacing w:lineRule="auto" w:line="240" w:before="144" w:after="240"/>
        <w:jc w:val="both"/>
        <w:rPr>
          <w:rFonts w:ascii="Times New Roman;sans-serif" w:hAnsi="Times New Roman;sans-serif"/>
          <w:b w:val="false"/>
          <w:color w:val="000000"/>
          <w:sz w:val="24"/>
        </w:rPr>
      </w:pPr>
      <w:r>
        <w:rPr>
          <w:rFonts w:ascii="Times New Roman;sans-serif" w:hAnsi="Times New Roman;sans-serif"/>
          <w:b w:val="false"/>
          <w:color w:val="000000"/>
          <w:sz w:val="24"/>
        </w:rPr>
        <w:t>(h)The terms and provisions of this Standard Terms and Conditions may be modified or amended as provided in the Plan.</w:t>
      </w:r>
    </w:p>
    <w:p>
      <w:pPr>
        <w:pStyle w:val="TextBody"/>
        <w:bidi w:val="0"/>
        <w:spacing w:lineRule="auto" w:line="240" w:before="144" w:after="240"/>
        <w:jc w:val="both"/>
        <w:rPr>
          <w:rFonts w:ascii="Times New Roman;sans-serif" w:hAnsi="Times New Roman;sans-serif"/>
          <w:b w:val="false"/>
          <w:color w:val="000000"/>
          <w:sz w:val="24"/>
        </w:rPr>
      </w:pPr>
      <w:r>
        <w:rPr>
          <w:rFonts w:ascii="Times New Roman;sans-serif" w:hAnsi="Times New Roman;sans-serif"/>
          <w:b w:val="false"/>
          <w:color w:val="000000"/>
          <w:sz w:val="24"/>
        </w:rPr>
        <w:t>(i)Except as provided in the Plan, the terms and provisions of this Standard Terms and Conditions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Terms and Conditions, whether or not similar. Each such waiver or consent shall be effective only in the specific instance and for the purpose for which it was given, and shall not constitute a continuing waiver or consent.</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0520"/>
                <wp:effectExtent l="0" t="0" r="0" b="0"/>
                <wp:wrapNone/>
                <wp:docPr id="132" name="Frame1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v:textbox>
                <w10:wrap type="none"/>
              </v:rect>
            </w:pict>
          </mc:Fallback>
        </mc:AlternateContent>
      </w:r>
    </w:p>
    <w:p>
      <w:pPr>
        <w:pStyle w:val="TextBody"/>
        <w:bidi w:val="0"/>
        <w:spacing w:lineRule="auto" w:line="232" w:before="240" w:after="283"/>
        <w:jc w:val="both"/>
        <w:rPr/>
      </w:pPr>
      <w:r>
        <w:rPr>
          <w:rFonts w:ascii="Times New Roman;sans-serif" w:hAnsi="Times New Roman;sans-serif"/>
          <w:b/>
          <w:color w:val="000000"/>
          <w:sz w:val="24"/>
        </w:rPr>
        <w:t>11.</w:t>
      </w:r>
      <w:r>
        <w:rPr>
          <w:rFonts w:ascii="Times New Roman;sans-serif" w:hAnsi="Times New Roman;sans-serif"/>
          <w:b/>
          <w:color w:val="000000"/>
          <w:sz w:val="24"/>
        </w:rPr>
        <w:t>ELECTRONIC DELIVERY AND DATA PRIVACY</w:t>
      </w:r>
    </w:p>
    <w:p>
      <w:pPr>
        <w:pStyle w:val="TextBody"/>
        <w:bidi w:val="0"/>
        <w:spacing w:lineRule="auto" w:line="240" w:before="144"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executing the Grant Notice, the Participant hereby: (i) authorizes the Company and its Subsidiary, and any agent of the Company or its Subsidiary administering the Plan or providing Plan recordkeeping services, to disclose to the Company or any of its Subsidiary such information and data as the Company or its Subsidiary shall request in order to facilitate the grant of options and the administration of the Plan; (ii) waives any data privacy rights that such Participant may have with respect to such information; and (iii) consents to the delivery of information (including, without limitation, information required to be delivered to the Participant pursuant to applicable securities laws) regarding the Company and the Subsidiaries, the Plan, and the Restricted Stock Units via Company web site or other electronic delivery.</w:t>
      </w:r>
    </w:p>
    <w:p>
      <w:pPr>
        <w:pStyle w:val="TextBody"/>
        <w:bidi w:val="0"/>
        <w:spacing w:before="144"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10.22</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0520"/>
                <wp:effectExtent l="0" t="0" r="0" b="0"/>
                <wp:wrapNone/>
                <wp:docPr id="133" name="Frame1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A-5</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VIANT TECHNOLOGY INC.</w:t>
      </w:r>
    </w:p>
    <w:p>
      <w:pPr>
        <w:pStyle w:val="TextBody"/>
        <w:bidi w:val="0"/>
        <w:spacing w:before="2" w:after="283"/>
        <w:ind w:left="0" w:right="0" w:hanging="3"/>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NON-EMPLOYEE DIRECTOR COMPENSATION POLICY</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AMENDED AND RESTATED EFFECTIVE AS OF JULY 1, 2023</w:t>
      </w:r>
    </w:p>
    <w:p>
      <w:pPr>
        <w:pStyle w:val="TextBody"/>
        <w:bidi w:val="0"/>
        <w:spacing w:lineRule="auto" w:line="288" w:before="240" w:after="283"/>
        <w:jc w:val="both"/>
        <w:rPr/>
      </w:pPr>
      <w:r>
        <w:rPr>
          <w:rFonts w:ascii="Times New Roman;sans-serif" w:hAnsi="Times New Roman;sans-serif"/>
          <w:b w:val="false"/>
          <w:color w:val="000000"/>
          <w:sz w:val="22"/>
        </w:rPr>
        <w:t>Each member of the Board of Directors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who is not also serving as an employee of or consultant to Viant Technology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or any of its subsidiaries (each such member, an “</w:t>
      </w:r>
      <w:r>
        <w:rPr>
          <w:rFonts w:ascii="Times New Roman;sans-serif" w:hAnsi="Times New Roman;sans-serif"/>
          <w:b/>
          <w:i/>
          <w:color w:val="000000"/>
          <w:sz w:val="22"/>
        </w:rPr>
        <w:t>Eligible Director</w:t>
      </w:r>
      <w:r>
        <w:rPr>
          <w:color w:val="000000"/>
        </w:rPr>
        <w:t>”</w:t>
      </w:r>
      <w:r>
        <w:rPr>
          <w:rFonts w:ascii="Times New Roman;sans-serif" w:hAnsi="Times New Roman;sans-serif"/>
          <w:b w:val="false"/>
          <w:color w:val="000000"/>
          <w:sz w:val="22"/>
        </w:rPr>
        <w:t>) will receive the compensation described in this Non-Employee Director Compensation Policy for his or her Board service upon and following the date first set forth above (the “</w:t>
      </w:r>
      <w:r>
        <w:rPr>
          <w:rFonts w:ascii="Times New Roman;sans-serif" w:hAnsi="Times New Roman;sans-serif"/>
          <w:b/>
          <w:i/>
          <w:color w:val="000000"/>
          <w:sz w:val="22"/>
        </w:rPr>
        <w:t>Policy Effective Date</w:t>
      </w:r>
      <w:r>
        <w:rPr>
          <w:color w:val="000000"/>
        </w:rPr>
        <w:t>”</w:t>
      </w:r>
      <w:r>
        <w:rPr>
          <w:rFonts w:ascii="Times New Roman;sans-serif" w:hAnsi="Times New Roman;sans-serif"/>
          <w:b w:val="false"/>
          <w:color w:val="000000"/>
          <w:sz w:val="22"/>
        </w:rPr>
        <w:t>). An Eligible Director may decline all or any portion of his or her compensation by giving notice to the Company prior to the date cash may be paid or equity awards are to be granted, as the case may be. This policy, as amended and restated, is effective as of the Policy Effective Date and may be amended at any time in the sole discretion of the Board.</w:t>
      </w:r>
    </w:p>
    <w:p>
      <w:pPr>
        <w:pStyle w:val="TextBody"/>
        <w:bidi w:val="0"/>
        <w:spacing w:lineRule="auto" w:line="240" w:before="251" w:after="283"/>
        <w:jc w:val="both"/>
        <w:rPr>
          <w:rFonts w:ascii="Times New Roman;sans-serif" w:hAnsi="Times New Roman;sans-serif"/>
          <w:b/>
          <w:color w:val="000000"/>
          <w:sz w:val="22"/>
        </w:rPr>
      </w:pPr>
      <w:r>
        <w:rPr>
          <w:rFonts w:ascii="Times New Roman;sans-serif" w:hAnsi="Times New Roman;sans-serif"/>
          <w:b/>
          <w:color w:val="000000"/>
          <w:sz w:val="22"/>
        </w:rPr>
        <w:t>Annual Cash Compensation</w:t>
      </w:r>
    </w:p>
    <w:p>
      <w:pPr>
        <w:pStyle w:val="TextBody"/>
        <w:bidi w:val="0"/>
        <w:spacing w:before="1" w:after="283"/>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annual cash compensation amount set forth below is payable to Eligible Directors in equal quarterly installments in arrears, on or promptly following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or promptly following the last day of the first fiscal quarter in which the Eligible Director provides the service and regular full quarterly payments thereafter. All annual cash fees are vested upon payment.</w:t>
      </w:r>
    </w:p>
    <w:p>
      <w:pPr>
        <w:pStyle w:val="TextBody"/>
        <w:bidi w:val="0"/>
        <w:spacing w:before="0" w:after="0"/>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Annual Board Service Retainer</w:t>
      </w:r>
      <w:r>
        <w:rPr>
          <w:rFonts w:ascii="Times New Roman;sans-serif" w:hAnsi="Times New Roman;sans-serif"/>
          <w:b w:val="false"/>
          <w:color w:val="000000"/>
          <w:sz w:val="22"/>
        </w:rPr>
        <w:t>:</w:t>
      </w:r>
    </w:p>
    <w:p>
      <w:pPr>
        <w:pStyle w:val="TextBody"/>
        <w:bidi w:val="0"/>
        <w:spacing w:lineRule="auto" w:line="240" w:before="1" w:after="283"/>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a.All Eligible Directors: $50,000</w:t>
      </w:r>
    </w:p>
    <w:p>
      <w:pPr>
        <w:pStyle w:val="TextBody"/>
        <w:bidi w:val="0"/>
        <w:spacing w:lineRule="auto" w:line="240" w:before="251" w:after="283"/>
        <w:ind w:left="0" w:right="0" w:hanging="719"/>
        <w:jc w:val="left"/>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Annual Committee Chair Service Retainer</w:t>
      </w:r>
      <w:r>
        <w:rPr>
          <w:rFonts w:ascii="Times New Roman;sans-serif" w:hAnsi="Times New Roman;sans-serif"/>
          <w:b w:val="false"/>
          <w:color w:val="000000"/>
          <w:sz w:val="22"/>
        </w:rPr>
        <w:t>:</w:t>
      </w:r>
    </w:p>
    <w:p>
      <w:pPr>
        <w:pStyle w:val="TextBody"/>
        <w:bidi w:val="0"/>
        <w:spacing w:lineRule="auto" w:line="3024" w:before="2" w:after="283"/>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a.Chair of the Audit Committee: $20,000</w:t>
      </w:r>
    </w:p>
    <w:p>
      <w:pPr>
        <w:pStyle w:val="TextBody"/>
        <w:bidi w:val="0"/>
        <w:spacing w:lineRule="auto" w:line="3024" w:before="0" w:after="0"/>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b.Chair of the Compensation Committee: $15,000</w:t>
      </w:r>
    </w:p>
    <w:p>
      <w:pPr>
        <w:pStyle w:val="TextBody"/>
        <w:bidi w:val="0"/>
        <w:spacing w:lineRule="auto" w:line="240" w:before="1"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c.Chair of the Nominating and Corporate Governance Committee: $10,000</w:t>
      </w:r>
    </w:p>
    <w:p>
      <w:pPr>
        <w:pStyle w:val="TextBody"/>
        <w:bidi w:val="0"/>
        <w:spacing w:lineRule="auto" w:line="240" w:before="251" w:after="283"/>
        <w:ind w:left="0" w:right="0" w:hanging="719"/>
        <w:jc w:val="left"/>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Annual Committee (Non-Chair) Member Service Retainer</w:t>
      </w:r>
      <w:r>
        <w:rPr>
          <w:rFonts w:ascii="Times New Roman;sans-serif" w:hAnsi="Times New Roman;sans-serif"/>
          <w:b w:val="false"/>
          <w:color w:val="000000"/>
          <w:sz w:val="22"/>
        </w:rPr>
        <w:t>:</w:t>
      </w:r>
    </w:p>
    <w:p>
      <w:pPr>
        <w:pStyle w:val="TextBody"/>
        <w:bidi w:val="0"/>
        <w:spacing w:lineRule="auto" w:line="3024" w:before="2" w:after="283"/>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a.Member of Audit Committee: $10,000</w:t>
      </w:r>
    </w:p>
    <w:p>
      <w:pPr>
        <w:pStyle w:val="TextBody"/>
        <w:bidi w:val="0"/>
        <w:spacing w:lineRule="auto" w:line="3024" w:before="0" w:after="0"/>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b.Member of Compensation Committee: $7,500</w:t>
      </w:r>
    </w:p>
    <w:p>
      <w:pPr>
        <w:pStyle w:val="TextBody"/>
        <w:bidi w:val="0"/>
        <w:spacing w:lineRule="auto" w:line="240" w:before="1" w:after="283"/>
        <w:ind w:left="0" w:right="0" w:hanging="719"/>
        <w:jc w:val="left"/>
        <w:rPr>
          <w:rFonts w:ascii="Times New Roman;sans-serif" w:hAnsi="Times New Roman;sans-serif"/>
          <w:b w:val="false"/>
          <w:color w:val="000000"/>
          <w:sz w:val="22"/>
        </w:rPr>
      </w:pPr>
      <w:r>
        <w:rPr>
          <w:rFonts w:ascii="Times New Roman;sans-serif" w:hAnsi="Times New Roman;sans-serif"/>
          <w:b w:val="false"/>
          <w:color w:val="000000"/>
          <w:sz w:val="22"/>
        </w:rPr>
        <w:t>c.Member of Nominating and Corporate Governance Committee: $5,000</w:t>
      </w:r>
    </w:p>
    <w:p>
      <w:pPr>
        <w:pStyle w:val="TextBody"/>
        <w:bidi w:val="0"/>
        <w:spacing w:lineRule="auto" w:line="240" w:before="251" w:after="283"/>
        <w:jc w:val="left"/>
        <w:rPr>
          <w:rFonts w:ascii="Times New Roman;sans-serif" w:hAnsi="Times New Roman;sans-serif"/>
          <w:b/>
          <w:color w:val="000000"/>
          <w:sz w:val="22"/>
        </w:rPr>
      </w:pPr>
      <w:r>
        <w:rPr>
          <w:rFonts w:ascii="Times New Roman;sans-serif" w:hAnsi="Times New Roman;sans-serif"/>
          <w:b/>
          <w:color w:val="000000"/>
          <w:sz w:val="22"/>
        </w:rPr>
        <w:t>Expenses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reimburse Eligible Directors for ordinary, necessary and reasonable out-of-pocket travel expenses to cover in-person attendance at and participation in Board and committee meetings; provided, that the Eligible Director timely submits to the Company appropriate documentation substantiating such expenses in accordance with the Company’s travel and expense processes.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8" w:after="283"/>
        <w:jc w:val="both"/>
        <w:rPr>
          <w:rFonts w:ascii="Times New Roman;sans-serif" w:hAnsi="Times New Roman;sans-serif"/>
          <w:b/>
          <w:color w:val="000000"/>
          <w:sz w:val="22"/>
        </w:rPr>
      </w:pPr>
      <w:r>
        <w:rPr>
          <w:rFonts w:ascii="Times New Roman;sans-serif" w:hAnsi="Times New Roman;sans-serif"/>
          <w:b/>
          <w:color w:val="000000"/>
          <w:sz w:val="22"/>
        </w:rPr>
        <w:t>Equity Compensation</w:t>
      </w:r>
    </w:p>
    <w:p>
      <w:pPr>
        <w:pStyle w:val="TextBody"/>
        <w:bidi w:val="0"/>
        <w:spacing w:before="0" w:after="0"/>
        <w:jc w:val="left"/>
        <w:rPr/>
      </w:pPr>
      <w:r>
        <w:rPr/>
      </w:r>
    </w:p>
    <w:p>
      <w:pPr>
        <w:pStyle w:val="TextBody"/>
        <w:bidi w:val="0"/>
        <w:spacing w:lineRule="auto" w:line="240" w:before="1" w:after="283"/>
        <w:jc w:val="both"/>
        <w:rPr/>
      </w:pPr>
      <w:r>
        <w:rPr>
          <w:rFonts w:ascii="Times New Roman;sans-serif" w:hAnsi="Times New Roman;sans-serif"/>
          <w:b w:val="false"/>
          <w:color w:val="000000"/>
          <w:sz w:val="22"/>
        </w:rPr>
        <w:t>The equity compensation set forth below will be granted under the Company’s 2021 Long-Term Incentive Plan as may be amended from time-to-time, or any successor plan thereto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and a restricted stock unit (“</w:t>
      </w:r>
      <w:r>
        <w:rPr>
          <w:rFonts w:ascii="Times New Roman;sans-serif" w:hAnsi="Times New Roman;sans-serif"/>
          <w:b/>
          <w:i/>
          <w:color w:val="000000"/>
          <w:sz w:val="22"/>
        </w:rPr>
        <w:t>RSU</w:t>
      </w:r>
      <w:r>
        <w:rPr>
          <w:color w:val="000000"/>
        </w:rPr>
        <w:t>”</w:t>
      </w:r>
      <w:r>
        <w:rPr>
          <w:rFonts w:ascii="Times New Roman;sans-serif" w:hAnsi="Times New Roman;sans-serif"/>
          <w:b w:val="false"/>
          <w:color w:val="000000"/>
          <w:sz w:val="22"/>
        </w:rPr>
        <w:t>) grant notice and award agreement thereunder.</w:t>
      </w:r>
    </w:p>
    <w:p>
      <w:pPr>
        <w:pStyle w:val="TextBody"/>
        <w:bidi w:val="0"/>
        <w:spacing w:lineRule="auto" w:line="240" w:before="251" w:after="283"/>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Initial RSU Grants</w:t>
      </w:r>
      <w:r>
        <w:rPr>
          <w:rFonts w:ascii="Times New Roman;sans-serif" w:hAnsi="Times New Roman;sans-serif"/>
          <w:b w:val="false"/>
          <w:color w:val="000000"/>
          <w:sz w:val="22"/>
        </w:rPr>
        <w:t>. For each Eligible Director who is first elected or appointed to the Board following the Policy Effective Date, on the effective date of such Eligible Director’s initial election or appointment to the Board (or, if such date is not a market trading day, the first market trading day thereafter) (the “</w:t>
      </w:r>
      <w:r>
        <w:rPr>
          <w:rFonts w:ascii="Times New Roman;sans-serif" w:hAnsi="Times New Roman;sans-serif"/>
          <w:b/>
          <w:i/>
          <w:color w:val="000000"/>
          <w:sz w:val="22"/>
        </w:rPr>
        <w:t>Appointment Effective Date</w:t>
      </w:r>
      <w:r>
        <w:rPr>
          <w:color w:val="000000"/>
        </w:rPr>
        <w:t>”</w:t>
      </w:r>
      <w:r>
        <w:rPr>
          <w:rFonts w:ascii="Times New Roman;sans-serif" w:hAnsi="Times New Roman;sans-serif"/>
          <w:b w:val="false"/>
          <w:color w:val="000000"/>
          <w:sz w:val="22"/>
        </w:rPr>
        <w:t>), the Eligible Director will automatically, and without further action by the Board or the Compensation Committee of the Board, be granted RSUs with respect to shares of the Company’s common stock (“</w:t>
      </w:r>
      <w:r>
        <w:rPr>
          <w:rFonts w:ascii="Times New Roman;sans-serif" w:hAnsi="Times New Roman;sans-serif"/>
          <w:b/>
          <w:i/>
          <w:color w:val="000000"/>
          <w:sz w:val="22"/>
        </w:rPr>
        <w:t>Common Stock</w:t>
      </w:r>
      <w:r>
        <w:rPr>
          <w:color w:val="000000"/>
        </w:rPr>
        <w:t>”</w:t>
      </w:r>
      <w:r>
        <w:rPr>
          <w:rFonts w:ascii="Times New Roman;sans-serif" w:hAnsi="Times New Roman;sans-serif"/>
          <w:b w:val="false"/>
          <w:color w:val="000000"/>
          <w:sz w:val="22"/>
        </w:rPr>
        <w:t>) with an aggregate value of $150,000 (the “</w:t>
      </w:r>
      <w:r>
        <w:rPr>
          <w:rFonts w:ascii="Times New Roman;sans-serif" w:hAnsi="Times New Roman;sans-serif"/>
          <w:b/>
          <w:i/>
          <w:color w:val="000000"/>
          <w:sz w:val="22"/>
        </w:rPr>
        <w:t>Initial RSU Grant</w:t>
      </w:r>
      <w:r>
        <w:rPr>
          <w:color w:val="000000"/>
        </w:rPr>
        <w:t>”</w:t>
      </w:r>
      <w:r>
        <w:rPr>
          <w:rFonts w:ascii="Times New Roman;sans-serif" w:hAnsi="Times New Roman;sans-serif"/>
          <w:b w:val="false"/>
          <w:color w:val="000000"/>
          <w:sz w:val="22"/>
        </w:rPr>
        <w:t>). The number of RSUs subject to the Initial RSU Grant will be determined by dividing the grant value by the closing price per share of Common Stock on the applicable Appointment Effective Date, rounded to the nearest whole share. The Initial RSU Grant will vest over a three-year period, with one-third (1/3) of the Initial RSU Grant vesting on each of the first, second and third anniversaries of the Appointment Effective Date, subject to the Eligible Director’s Continuous Service (as defined in the Plan) through each such vesting date.</w:t>
      </w:r>
    </w:p>
    <w:p>
      <w:pPr>
        <w:pStyle w:val="TextBody"/>
        <w:bidi w:val="0"/>
        <w:spacing w:before="2" w:after="283"/>
        <w:jc w:val="left"/>
        <w:rPr/>
      </w:pPr>
      <w:r>
        <w:rPr/>
      </w:r>
    </w:p>
    <w:p>
      <w:pPr>
        <w:pStyle w:val="TextBody"/>
        <w:bidi w:val="0"/>
        <w:spacing w:lineRule="auto" w:line="240" w:before="0" w:after="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Annual RSU Grants</w:t>
      </w:r>
      <w:r>
        <w:rPr>
          <w:rFonts w:ascii="Times New Roman;sans-serif" w:hAnsi="Times New Roman;sans-serif"/>
          <w:b w:val="false"/>
          <w:color w:val="000000"/>
          <w:sz w:val="22"/>
        </w:rPr>
        <w:t>. On the date of each annual stockholder meeting of the Company (each, an “</w:t>
      </w:r>
      <w:r>
        <w:rPr>
          <w:rFonts w:ascii="Times New Roman;sans-serif" w:hAnsi="Times New Roman;sans-serif"/>
          <w:b/>
          <w:i/>
          <w:color w:val="000000"/>
          <w:sz w:val="22"/>
        </w:rPr>
        <w:t>Annual Meeting</w:t>
      </w:r>
      <w:r>
        <w:rPr>
          <w:color w:val="000000"/>
        </w:rPr>
        <w:t>”</w:t>
      </w:r>
      <w:r>
        <w:rPr>
          <w:rFonts w:ascii="Times New Roman;sans-serif" w:hAnsi="Times New Roman;sans-serif"/>
          <w:b w:val="false"/>
          <w:color w:val="000000"/>
          <w:sz w:val="22"/>
        </w:rPr>
        <w:t>) held after the Policy Effective Date (“</w:t>
      </w:r>
      <w:r>
        <w:rPr>
          <w:rFonts w:ascii="Times New Roman;sans-serif" w:hAnsi="Times New Roman;sans-serif"/>
          <w:b/>
          <w:i/>
          <w:color w:val="000000"/>
          <w:sz w:val="22"/>
        </w:rPr>
        <w:t>Annual Grant Date</w:t>
      </w:r>
      <w:r>
        <w:rPr>
          <w:color w:val="000000"/>
        </w:rPr>
        <w:t>”</w:t>
      </w:r>
      <w:r>
        <w:rPr>
          <w:rFonts w:ascii="Times New Roman;sans-serif" w:hAnsi="Times New Roman;sans-serif"/>
          <w:b w:val="false"/>
          <w:color w:val="000000"/>
          <w:sz w:val="22"/>
        </w:rPr>
        <w:t>), each Eligible Director who continues to serve as a non-employee member of the Board following such Annual Meeting (including any Eligible Director who is first appointed or elected by the Board at an Annual Meeting) will automatically, and without further action by the Board or the Compensation Committee of the Board, be granted RSUs with respect to shares of the Company’s Common Stock with an aggregate value of $150,000 (the “</w:t>
      </w:r>
      <w:r>
        <w:rPr>
          <w:rFonts w:ascii="Times New Roman;sans-serif" w:hAnsi="Times New Roman;sans-serif"/>
          <w:b/>
          <w:i/>
          <w:color w:val="000000"/>
          <w:sz w:val="22"/>
        </w:rPr>
        <w:t>Annual RSU Grant</w:t>
      </w:r>
      <w:r>
        <w:rPr>
          <w:color w:val="000000"/>
        </w:rPr>
        <w:t>”</w:t>
      </w:r>
      <w:r>
        <w:rPr>
          <w:rFonts w:ascii="Times New Roman;sans-serif" w:hAnsi="Times New Roman;sans-serif"/>
          <w:b w:val="false"/>
          <w:color w:val="000000"/>
          <w:sz w:val="22"/>
        </w:rPr>
        <w:t>). The number of RSUs subject to the Annual RSU Grant will be determined by dividing the grant value by the closing price per share of Common Stock on the applicable Annual Grant Date, rounded to the nearest whole share. The Annual RSU Grant will vest in full on the earlier of (i) the date of the following year’s Annual Meeting (or the date immediately prior to the next Annual Meeting if the Non-Employee Director’s service as a director ends at such Annual Meeting due to the director’s failure to be re-elected or the director not standing for re-election); or (ii) the one-year anniversary measured from the applicable Annual Grant Date, subject to the Eligible Director’s Continuous Service through such vesting date.</w:t>
      </w:r>
    </w:p>
    <w:p>
      <w:pPr>
        <w:pStyle w:val="TextBody"/>
        <w:bidi w:val="0"/>
        <w:spacing w:lineRule="auto" w:line="240" w:before="253" w:after="283"/>
        <w:jc w:val="both"/>
        <w:rPr/>
      </w:pPr>
      <w:r>
        <w:rPr>
          <w:rFonts w:ascii="Times New Roman;sans-serif" w:hAnsi="Times New Roman;sans-serif"/>
          <w:b w:val="false"/>
          <w:color w:val="000000"/>
          <w:sz w:val="22"/>
        </w:rPr>
        <w:t>With respect to an Eligible Director who, following the Policy Effective Date, was first elected or appointed to the Board effective as of a date other than the date of the Annual Meeting, on the applicable Appointment Effective Date, such Eligible Director will automatically, and without further action by the Board or the Compensation Committee of the Board, receive a grant of RSUs with respect to shares of the Company’s Common Stock, the aggregate value of which will be $150,000, prorated based on the number of calendar days remaining between the applicable Appointment Effective Date and (i) the next Annual Meeting, if scheduled, or (ii) the first anniversary of the Company’s last Annual Meeting, if the next Annual Meeting is not yet scheduled (the “</w:t>
      </w:r>
      <w:r>
        <w:rPr>
          <w:rFonts w:ascii="Times New Roman;sans-serif" w:hAnsi="Times New Roman;sans-serif"/>
          <w:b/>
          <w:i/>
          <w:color w:val="000000"/>
          <w:sz w:val="22"/>
        </w:rPr>
        <w:t>Prorated Annual RSU Grant</w:t>
      </w:r>
      <w:r>
        <w:rPr>
          <w:color w:val="000000"/>
        </w:rPr>
        <w:t>”</w:t>
      </w:r>
      <w:r>
        <w:rPr>
          <w:rFonts w:ascii="Times New Roman;sans-serif" w:hAnsi="Times New Roman;sans-serif"/>
          <w:b w:val="false"/>
          <w:color w:val="000000"/>
          <w:sz w:val="22"/>
        </w:rPr>
        <w:t>). The number of RSUs subject to the Prorated Annual RSU Grant will be determined by dividing the prorated grant value by the closing price per share of Common Stock on the applicable Appointment Effective Date, rounded to the nearest whole share. The Prorated Annual RSU Grant will vest in full on the date of the next Annual Meeting (or the date immediately prior to the next Annual Meeting if the Non-Employee Director’s service as a director ends at such Annual Meeting due to the director’s failure to be re-elected or the director not standing for re-election), subject to the Eligible Director’s Continuous Service through such vesting date.</w:t>
      </w:r>
    </w:p>
    <w:p>
      <w:pPr>
        <w:pStyle w:val="TextBody"/>
        <w:bidi w:val="0"/>
        <w:spacing w:before="0" w:after="0"/>
        <w:jc w:val="both"/>
        <w:rPr/>
      </w:pPr>
      <w:r>
        <w:rPr/>
      </w:r>
    </w:p>
    <w:p>
      <w:pPr>
        <w:pStyle w:val="TextBody"/>
        <w:bidi w:val="0"/>
        <w:spacing w:lineRule="auto" w:line="240" w:before="78" w:after="283"/>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Accelerated Vesting</w:t>
      </w:r>
      <w:r>
        <w:rPr>
          <w:rFonts w:ascii="Times New Roman;sans-serif" w:hAnsi="Times New Roman;sans-serif"/>
          <w:b w:val="false"/>
          <w:color w:val="000000"/>
          <w:sz w:val="22"/>
        </w:rPr>
        <w:t>. Notwithstanding the foregoing, each Initial RSU Grant, Annual RSU Grant, and Prorated Annual RSU Grant will vest in full upon a Change in Control (as defined in the Plan), subject to the Eligible Director’s Continuous Service through the date of such Change in Control.</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23.1</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righ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Registration Statement Nos. 333-252912, 333-263458, and 333-270244 on Form S-8 of our report dated March 4, 2024, relating to the financial statements of Viant Technology Inc., appearing in this Annual Report on Form 10-K for the year ended December 31,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Costa Mesa, California</w:t>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March 4,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RULES 13a-14(a) AND 15d-14(a) UNDER THE SECURITIES EXCHANGE ACT OF 1934, 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Tim Vanderhook, certify that: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Viant Technology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pPr>
      <w:r>
        <w:rPr>
          <w:rFonts w:ascii="Times New Roman;sans-serif" w:hAnsi="Times New Roman;sans-serif"/>
          <w:b w:val="false"/>
          <w:color w:val="000000"/>
          <w:sz w:val="20"/>
        </w:rPr>
        <w:t xml:space="preserve">(b) </w:t>
      </w:r>
      <w:r>
        <w:rPr>
          <w:rFonts w:ascii="Times New Roman;sans-serif" w:hAnsi="Times New Roman;sans-serif"/>
          <w:b w:val="false"/>
          <w:color w:val="333333"/>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4, 2024</w:t>
      </w:r>
    </w:p>
    <w:tbl>
      <w:tblPr>
        <w:tblW w:w="3924" w:type="dxa"/>
        <w:jc w:val="left"/>
        <w:tblInd w:w="0" w:type="dxa"/>
        <w:tblLayout w:type="fixed"/>
        <w:tblCellMar>
          <w:top w:w="28" w:type="dxa"/>
          <w:left w:w="28" w:type="dxa"/>
          <w:bottom w:w="28" w:type="dxa"/>
          <w:right w:w="28" w:type="dxa"/>
        </w:tblCellMar>
      </w:tblPr>
      <w:tblGrid>
        <w:gridCol w:w="124"/>
        <w:gridCol w:w="109"/>
        <w:gridCol w:w="109"/>
        <w:gridCol w:w="1069"/>
        <w:gridCol w:w="1069"/>
        <w:gridCol w:w="10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 Vanderhook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 Vanderhook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RULES 13a-14(a) AND 15d-14(a) UNDER THE SECURITIES EXCHANGE ACT OF 1934, 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 Larry Madden, certify that: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Viant Technology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pPr>
      <w:r>
        <w:rPr>
          <w:rFonts w:ascii="Times New Roman;sans-serif" w:hAnsi="Times New Roman;sans-serif"/>
          <w:b w:val="false"/>
          <w:color w:val="000000"/>
          <w:sz w:val="20"/>
        </w:rPr>
        <w:t xml:space="preserve">(b) </w:t>
      </w:r>
      <w:r>
        <w:rPr>
          <w:rFonts w:ascii="Times New Roman;sans-serif" w:hAnsi="Times New Roman;sans-serif"/>
          <w:b w:val="false"/>
          <w:color w:val="333333"/>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4, 2024</w:t>
      </w:r>
    </w:p>
    <w:tbl>
      <w:tblPr>
        <w:tblW w:w="4107" w:type="dxa"/>
        <w:jc w:val="left"/>
        <w:tblInd w:w="0" w:type="dxa"/>
        <w:tblLayout w:type="fixed"/>
        <w:tblCellMar>
          <w:top w:w="28" w:type="dxa"/>
          <w:left w:w="28" w:type="dxa"/>
          <w:bottom w:w="28" w:type="dxa"/>
          <w:right w:w="28" w:type="dxa"/>
        </w:tblCellMar>
      </w:tblPr>
      <w:tblGrid>
        <w:gridCol w:w="1352"/>
        <w:gridCol w:w="1186"/>
        <w:gridCol w:w="1197"/>
        <w:gridCol w:w="109"/>
        <w:gridCol w:w="109"/>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Larry Madden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Madden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Viant Technology Inc. (the “Company”) on Form 10-K for the fiscal year ended December 31, 2023,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442"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951"/>
        <w:gridCol w:w="951"/>
        <w:gridCol w:w="135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4,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 Vanderhook</w:t>
            </w:r>
          </w:p>
        </w:tc>
      </w:tr>
      <w:tr>
        <w:trPr/>
        <w:tc>
          <w:tcPr>
            <w:tcW w:w="1784"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 Vanderhook</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76" w:before="20" w:after="5"/>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Viant Technology Inc. (the “Company”) on Form 10-K for the fiscal year ended December 31, 2023,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953"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1102"/>
        <w:gridCol w:w="1102"/>
        <w:gridCol w:w="156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4,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Larry Madden</w:t>
            </w:r>
          </w:p>
        </w:tc>
      </w:tr>
      <w:tr>
        <w:trPr/>
        <w:tc>
          <w:tcPr>
            <w:tcW w:w="1784"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Madden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76" w:before="20" w:after="5"/>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76" w:before="20" w:after="5"/>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97.1</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VIANT TECHNOLOGY INC. POLICY FOR RECOVERY OF ERRONEOUSLY AWARDED COMPENSATION</w:t>
      </w:r>
    </w:p>
    <w:p>
      <w:pPr>
        <w:pStyle w:val="TextBody"/>
        <w:bidi w:val="0"/>
        <w:spacing w:before="0" w:after="0"/>
        <w:jc w:val="center"/>
        <w:rPr/>
      </w:pPr>
      <w:r>
        <w:rPr/>
      </w:r>
    </w:p>
    <w:p>
      <w:pPr>
        <w:pStyle w:val="TextBody"/>
        <w:bidi w:val="0"/>
        <w:spacing w:lineRule="auto" w:line="268" w:before="0" w:after="0"/>
        <w:ind w:left="0" w:right="0" w:firstLine="839"/>
        <w:jc w:val="both"/>
        <w:rPr/>
      </w:pPr>
      <w:r>
        <w:rPr>
          <w:rFonts w:ascii="Times New Roman;sans-serif" w:hAnsi="Times New Roman;sans-serif"/>
          <w:b w:val="false"/>
          <w:color w:val="000000"/>
          <w:sz w:val="24"/>
        </w:rPr>
        <w:t>Viant Technology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adopted this Policy for Recovery of Erroneously Awarded Compensation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effective as of October 2, 2023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Capitalized terms used in this Policy but not otherwise defined in the text of this policy are defined in Section 11.</w:t>
      </w:r>
    </w:p>
    <w:p>
      <w:pPr>
        <w:pStyle w:val="TextBody"/>
        <w:bidi w:val="0"/>
        <w:spacing w:before="0" w:after="0"/>
        <w:ind w:left="0" w:right="0" w:firstLine="839"/>
        <w:jc w:val="both"/>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1.Persons Subject to Policy</w:t>
      </w:r>
    </w:p>
    <w:p>
      <w:pPr>
        <w:pStyle w:val="TextBody"/>
        <w:bidi w:val="0"/>
        <w:spacing w:before="0" w:after="0"/>
        <w:jc w:val="left"/>
        <w:rPr/>
      </w:pPr>
      <w:r>
        <w:rPr/>
      </w:r>
    </w:p>
    <w:p>
      <w:pPr>
        <w:pStyle w:val="TextBody"/>
        <w:bidi w:val="0"/>
        <w:spacing w:lineRule="auto" w:line="268" w:before="0" w:after="0"/>
        <w:ind w:left="0" w:right="0" w:firstLine="84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shall apply to current and former Officers of the Company.</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2.Compensation Subject to Policy</w:t>
      </w:r>
    </w:p>
    <w:p>
      <w:pPr>
        <w:pStyle w:val="TextBody"/>
        <w:bidi w:val="0"/>
        <w:spacing w:before="0" w:after="0"/>
        <w:jc w:val="left"/>
        <w:rPr/>
      </w:pPr>
      <w:r>
        <w:rPr/>
      </w:r>
    </w:p>
    <w:p>
      <w:pPr>
        <w:pStyle w:val="TextBody"/>
        <w:bidi w:val="0"/>
        <w:spacing w:lineRule="auto" w:line="268" w:before="0" w:after="0"/>
        <w:ind w:left="0" w:right="0" w:firstLine="839"/>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before="0" w:after="0"/>
        <w:ind w:left="0" w:right="0" w:firstLine="839"/>
        <w:jc w:val="both"/>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3.Recovery of Compensation</w:t>
      </w:r>
    </w:p>
    <w:p>
      <w:pPr>
        <w:pStyle w:val="TextBody"/>
        <w:bidi w:val="0"/>
        <w:spacing w:before="0" w:after="0"/>
        <w:jc w:val="left"/>
        <w:rPr/>
      </w:pPr>
      <w:r>
        <w:rPr/>
      </w:r>
    </w:p>
    <w:p>
      <w:pPr>
        <w:pStyle w:val="TextBody"/>
        <w:bidi w:val="0"/>
        <w:spacing w:lineRule="auto" w:line="268" w:before="0" w:after="0"/>
        <w:ind w:left="0" w:right="0" w:firstLine="84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before="0" w:after="0"/>
        <w:ind w:left="0" w:right="0" w:firstLine="840"/>
        <w:jc w:val="both"/>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4.Manner of Recovery; Limitation on Duplicative Recovery</w:t>
      </w:r>
    </w:p>
    <w:p>
      <w:pPr>
        <w:pStyle w:val="TextBody"/>
        <w:bidi w:val="0"/>
        <w:spacing w:before="0" w:after="0"/>
        <w:jc w:val="left"/>
        <w:rPr/>
      </w:pPr>
      <w:r>
        <w:rPr/>
      </w:r>
    </w:p>
    <w:p>
      <w:pPr>
        <w:pStyle w:val="TextBody"/>
        <w:bidi w:val="0"/>
        <w:spacing w:lineRule="auto" w:line="268"/>
        <w:ind w:left="0" w:right="0" w:firstLine="8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97.1</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Erroneously Awarded Compensation will be credited to the amount of Erroneously Awarded Compensation required to be recovered pursuant to this Policy from such person.</w:t>
      </w:r>
    </w:p>
    <w:p>
      <w:pPr>
        <w:pStyle w:val="TextBody"/>
        <w:bidi w:val="0"/>
        <w:spacing w:before="0" w:after="0"/>
        <w:ind w:left="0" w:right="0" w:firstLine="120"/>
        <w:jc w:val="both"/>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5.Administration</w:t>
      </w:r>
    </w:p>
    <w:p>
      <w:pPr>
        <w:pStyle w:val="TextBody"/>
        <w:bidi w:val="0"/>
        <w:spacing w:before="0" w:after="0"/>
        <w:jc w:val="left"/>
        <w:rPr/>
      </w:pPr>
      <w:r>
        <w:rPr/>
      </w:r>
    </w:p>
    <w:p>
      <w:pPr>
        <w:pStyle w:val="TextBody"/>
        <w:bidi w:val="0"/>
        <w:spacing w:lineRule="auto" w:line="268" w:before="0" w:after="0"/>
        <w:ind w:left="0" w:right="0" w:firstLine="839"/>
        <w:jc w:val="both"/>
        <w:rPr/>
      </w:pPr>
      <w:r>
        <w:rPr>
          <w:rFonts w:ascii="Times New Roman;sans-serif" w:hAnsi="Times New Roman;sans-serif"/>
          <w:b w:val="false"/>
          <w:color w:val="000000"/>
          <w:sz w:val="24"/>
        </w:rPr>
        <w:t>This Policy shall be administered, interpreted and construed by the Committee, which is authorized to make all determinations necessary, appropriate or advisable for such purpose. The Board of Directors of the Company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pStyle w:val="TextBody"/>
        <w:bidi w:val="0"/>
        <w:spacing w:before="0" w:after="0"/>
        <w:ind w:left="0" w:right="0" w:firstLine="839"/>
        <w:jc w:val="both"/>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6.Interpretation</w:t>
      </w:r>
    </w:p>
    <w:p>
      <w:pPr>
        <w:pStyle w:val="TextBody"/>
        <w:bidi w:val="0"/>
        <w:spacing w:before="0" w:after="0"/>
        <w:jc w:val="left"/>
        <w:rPr/>
      </w:pPr>
      <w:r>
        <w:rPr/>
      </w:r>
    </w:p>
    <w:p>
      <w:pPr>
        <w:pStyle w:val="TextBody"/>
        <w:bidi w:val="0"/>
        <w:spacing w:lineRule="auto" w:line="268" w:before="0" w:after="0"/>
        <w:ind w:left="0" w:right="0" w:firstLine="84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will be interpreted and applied in a manner that is consistent with the requirements of the Applicable Rules, and to the extent this Policy is inconsistent with such Applicable Rules, it shall be deemed amended to the extent necessary to ensure it is consistent therewith.</w:t>
      </w:r>
    </w:p>
    <w:p>
      <w:pPr>
        <w:pStyle w:val="TextBody"/>
        <w:bidi w:val="0"/>
        <w:spacing w:before="0" w:after="0"/>
        <w:ind w:left="0" w:right="0" w:firstLine="840"/>
        <w:jc w:val="both"/>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7.No Indemnification; No Personal Liability</w:t>
      </w:r>
    </w:p>
    <w:p>
      <w:pPr>
        <w:pStyle w:val="TextBody"/>
        <w:bidi w:val="0"/>
        <w:spacing w:before="0" w:after="0"/>
        <w:jc w:val="left"/>
        <w:rPr/>
      </w:pPr>
      <w:r>
        <w:rPr/>
      </w:r>
    </w:p>
    <w:p>
      <w:pPr>
        <w:pStyle w:val="TextBody"/>
        <w:bidi w:val="0"/>
        <w:spacing w:lineRule="auto" w:line="268" w:before="0" w:after="0"/>
        <w:ind w:left="0" w:right="0" w:firstLine="8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 member of the Committee or the Board shall have any personal liability to any person as a result of actions taken under this Policy and each member of the Committee and the Board will be fully indemnified by the Company to the fullest extent available under applicable law and the Company’s governing documents with respect to any actions taken under this Policy. The foregoing sentence will not limit any other rights to indemnification of the members of the Board under applicable law and the Company’s governing documents.</w:t>
      </w:r>
    </w:p>
    <w:p>
      <w:pPr>
        <w:pStyle w:val="TextBody"/>
        <w:bidi w:val="0"/>
        <w:spacing w:before="0" w:after="0"/>
        <w:ind w:left="0" w:right="0" w:firstLine="840"/>
        <w:jc w:val="both"/>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8.Application; Enforceability</w:t>
      </w:r>
    </w:p>
    <w:p>
      <w:pPr>
        <w:pStyle w:val="TextBody"/>
        <w:bidi w:val="0"/>
        <w:spacing w:before="0" w:after="0"/>
        <w:jc w:val="left"/>
        <w:rPr/>
      </w:pPr>
      <w:r>
        <w:rPr/>
      </w:r>
    </w:p>
    <w:p>
      <w:pPr>
        <w:pStyle w:val="TextBody"/>
        <w:bidi w:val="0"/>
        <w:spacing w:lineRule="auto" w:line="268"/>
        <w:ind w:left="0" w:right="0" w:firstLine="840"/>
        <w:jc w:val="both"/>
        <w:rPr/>
      </w:pPr>
      <w:r>
        <w:rPr>
          <w:rFonts w:ascii="Times New Roman;sans-serif" w:hAnsi="Times New Roman;sans-serif"/>
          <w:b w:val="false"/>
          <w:color w:val="000000"/>
          <w:sz w:val="24"/>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sans-serif" w:hAnsi="Times New Roman;sans-serif"/>
          <w:b/>
          <w:i/>
          <w:color w:val="000000"/>
          <w:sz w:val="24"/>
        </w:rPr>
        <w:t>Other Recovery Arrangements</w:t>
      </w:r>
      <w:r>
        <w:rPr>
          <w:color w:val="000000"/>
        </w:rPr>
        <w:t>”</w:t>
      </w:r>
      <w:r>
        <w:rPr>
          <w:rFonts w:ascii="Times New Roman;sans-serif" w:hAnsi="Times New Roman;sans-serif"/>
          <w:b w:val="false"/>
          <w:color w:val="000000"/>
          <w:sz w:val="24"/>
        </w:rPr>
        <w:t>). The remedy specified in this Policy shall not be exclusive and shall be in addition to every other right or remedy at law or in equity that may be available to the Company or an affiliate of the Company.</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97.1</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ind w:left="0" w:right="0" w:firstLine="120"/>
        <w:jc w:val="both"/>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9.Severability</w:t>
      </w:r>
    </w:p>
    <w:p>
      <w:pPr>
        <w:pStyle w:val="TextBody"/>
        <w:bidi w:val="0"/>
        <w:spacing w:before="0" w:after="0"/>
        <w:jc w:val="left"/>
        <w:rPr/>
      </w:pPr>
      <w:r>
        <w:rPr/>
      </w:r>
    </w:p>
    <w:p>
      <w:pPr>
        <w:pStyle w:val="TextBody"/>
        <w:bidi w:val="0"/>
        <w:spacing w:lineRule="auto" w:line="268" w:before="0" w:after="0"/>
        <w:ind w:left="0" w:right="0" w:firstLine="840"/>
        <w:jc w:val="both"/>
        <w:rPr>
          <w:rFonts w:ascii="Times New Roman;sans-serif" w:hAnsi="Times New Roman;sans-serif"/>
          <w:b w:val="false"/>
          <w:color w:val="000000"/>
          <w:sz w:val="24"/>
        </w:rPr>
      </w:pPr>
      <w:r>
        <w:rPr>
          <w:rFonts w:ascii="Times New Roman;sans-serif" w:hAnsi="Times New Roman;sans-serif"/>
          <w:b w:val="false"/>
          <w:color w:val="000000"/>
          <w:sz w:val="24"/>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spacing w:before="0" w:after="0"/>
        <w:ind w:left="0" w:right="0" w:firstLine="840"/>
        <w:jc w:val="both"/>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10.Amendment and Termination</w:t>
      </w:r>
    </w:p>
    <w:p>
      <w:pPr>
        <w:pStyle w:val="TextBody"/>
        <w:bidi w:val="0"/>
        <w:spacing w:before="0" w:after="0"/>
        <w:jc w:val="left"/>
        <w:rPr/>
      </w:pPr>
      <w:r>
        <w:rPr/>
      </w:r>
    </w:p>
    <w:p>
      <w:pPr>
        <w:pStyle w:val="TextBody"/>
        <w:bidi w:val="0"/>
        <w:spacing w:lineRule="auto" w:line="268" w:before="0" w:after="0"/>
        <w:ind w:left="0" w:right="0" w:firstLine="839"/>
        <w:jc w:val="both"/>
        <w:rPr>
          <w:rFonts w:ascii="Times New Roman;sans-serif" w:hAnsi="Times New Roman;sans-serif"/>
          <w:b w:val="false"/>
          <w:color w:val="000000"/>
          <w:sz w:val="24"/>
        </w:rPr>
      </w:pPr>
      <w:r>
        <w:rPr>
          <w:rFonts w:ascii="Times New Roman;sans-serif" w:hAnsi="Times New Roman;sans-serif"/>
          <w:b w:val="false"/>
          <w:color w:val="000000"/>
          <w:sz w:val="24"/>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and will be limited to the extent that any provision of the Applicable Rules is no longer in effect or applicable to the Company.</w:t>
      </w:r>
    </w:p>
    <w:p>
      <w:pPr>
        <w:pStyle w:val="TextBody"/>
        <w:bidi w:val="0"/>
        <w:spacing w:before="0" w:after="0"/>
        <w:ind w:left="0" w:right="0" w:firstLine="839"/>
        <w:jc w:val="both"/>
        <w:rPr/>
      </w:pPr>
      <w:r>
        <w:rPr/>
      </w:r>
    </w:p>
    <w:p>
      <w:pPr>
        <w:pStyle w:val="TextBody"/>
        <w:bidi w:val="0"/>
        <w:spacing w:lineRule="auto" w:line="268" w:before="0" w:after="0"/>
        <w:ind w:left="0" w:right="0" w:hanging="360"/>
        <w:jc w:val="left"/>
        <w:rPr>
          <w:rFonts w:ascii="Times New Roman;sans-serif" w:hAnsi="Times New Roman;sans-serif"/>
          <w:b/>
          <w:color w:val="000000"/>
          <w:sz w:val="24"/>
          <w:u w:val="single"/>
        </w:rPr>
      </w:pPr>
      <w:r>
        <w:rPr>
          <w:rFonts w:ascii="Times New Roman;sans-serif" w:hAnsi="Times New Roman;sans-serif"/>
          <w:b/>
          <w:color w:val="000000"/>
          <w:sz w:val="24"/>
          <w:u w:val="single"/>
        </w:rPr>
        <w:t>11.Definitions</w:t>
      </w:r>
    </w:p>
    <w:p>
      <w:pPr>
        <w:pStyle w:val="TextBody"/>
        <w:bidi w:val="0"/>
        <w:spacing w:before="0" w:after="0"/>
        <w:jc w:val="left"/>
        <w:rPr/>
      </w:pPr>
      <w:r>
        <w:rPr/>
      </w:r>
    </w:p>
    <w:p>
      <w:pPr>
        <w:pStyle w:val="TextBody"/>
        <w:bidi w:val="0"/>
        <w:spacing w:lineRule="auto" w:line="256" w:before="0" w:after="0"/>
        <w:ind w:left="0" w:right="0" w:firstLine="840"/>
        <w:jc w:val="both"/>
        <w:rPr/>
      </w:pPr>
      <w:r>
        <w:rPr>
          <w:color w:val="000000"/>
        </w:rPr>
        <w:t>“</w:t>
      </w:r>
      <w:r>
        <w:rPr>
          <w:rFonts w:ascii="Times New Roman;sans-serif" w:hAnsi="Times New Roman;sans-serif"/>
          <w:b/>
          <w:i/>
          <w:color w:val="000000"/>
          <w:sz w:val="24"/>
        </w:rPr>
        <w:t>Applicable Rules</w:t>
      </w:r>
      <w:r>
        <w:rPr>
          <w:color w:val="000000"/>
        </w:rPr>
        <w:t xml:space="preserve">” </w:t>
      </w:r>
      <w:r>
        <w:rPr>
          <w:rFonts w:ascii="Times New Roman;sans-serif" w:hAnsi="Times New Roman;sans-serif"/>
          <w:b w:val="false"/>
          <w:color w:val="000000"/>
          <w:sz w:val="24"/>
        </w:rPr>
        <w:t>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 in each case, as amended from time to time.</w:t>
      </w:r>
    </w:p>
    <w:p>
      <w:pPr>
        <w:pStyle w:val="TextBody"/>
        <w:bidi w:val="0"/>
        <w:spacing w:before="0" w:after="0"/>
        <w:ind w:left="0" w:right="0" w:firstLine="840"/>
        <w:jc w:val="both"/>
        <w:rPr/>
      </w:pPr>
      <w:r>
        <w:rPr/>
      </w:r>
    </w:p>
    <w:p>
      <w:pPr>
        <w:pStyle w:val="TextBody"/>
        <w:bidi w:val="0"/>
        <w:spacing w:lineRule="auto" w:line="268" w:before="0" w:after="0"/>
        <w:ind w:left="0" w:right="0" w:firstLine="840"/>
        <w:jc w:val="both"/>
        <w:rPr/>
      </w:pPr>
      <w:r>
        <w:rPr>
          <w:color w:val="000000"/>
        </w:rPr>
        <w:t>“</w:t>
      </w:r>
      <w:r>
        <w:rPr>
          <w:rFonts w:ascii="Times New Roman;sans-serif" w:hAnsi="Times New Roman;sans-serif"/>
          <w:b/>
          <w:i/>
          <w:color w:val="000000"/>
          <w:sz w:val="24"/>
        </w:rPr>
        <w:t>Committee</w:t>
      </w:r>
      <w:r>
        <w:rPr>
          <w:color w:val="000000"/>
        </w:rPr>
        <w:t xml:space="preserve">” </w:t>
      </w:r>
      <w:r>
        <w:rPr>
          <w:rFonts w:ascii="Times New Roman;sans-serif" w:hAnsi="Times New Roman;sans-serif"/>
          <w:b w:val="false"/>
          <w:color w:val="000000"/>
          <w:sz w:val="24"/>
        </w:rPr>
        <w:t>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pStyle w:val="TextBody"/>
        <w:bidi w:val="0"/>
        <w:spacing w:before="0" w:after="0"/>
        <w:ind w:left="0" w:right="0" w:firstLine="840"/>
        <w:jc w:val="both"/>
        <w:rPr/>
      </w:pPr>
      <w:r>
        <w:rPr/>
      </w:r>
    </w:p>
    <w:p>
      <w:pPr>
        <w:pStyle w:val="TextBody"/>
        <w:bidi w:val="0"/>
        <w:spacing w:lineRule="auto" w:line="268" w:before="0" w:after="0"/>
        <w:ind w:left="0" w:right="0" w:firstLine="839"/>
        <w:jc w:val="both"/>
        <w:rPr/>
      </w:pPr>
      <w:r>
        <w:rPr>
          <w:color w:val="000000"/>
        </w:rPr>
        <w:t>“</w:t>
      </w:r>
      <w:r>
        <w:rPr>
          <w:rFonts w:ascii="Times New Roman;sans-serif" w:hAnsi="Times New Roman;sans-serif"/>
          <w:b/>
          <w:i/>
          <w:color w:val="000000"/>
          <w:sz w:val="24"/>
        </w:rPr>
        <w:t>Erroneously Awarded Compensation</w:t>
      </w:r>
      <w:r>
        <w:rPr>
          <w:color w:val="000000"/>
        </w:rPr>
        <w:t xml:space="preserve">” </w:t>
      </w:r>
      <w:r>
        <w:rPr>
          <w:rFonts w:ascii="Times New Roman;sans-serif" w:hAnsi="Times New Roman;sans-serif"/>
          <w:b w:val="false"/>
          <w:color w:val="000000"/>
          <w:sz w:val="24"/>
        </w:rPr>
        <w:t>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pStyle w:val="TextBody"/>
        <w:bidi w:val="0"/>
        <w:spacing w:before="0" w:after="0"/>
        <w:ind w:left="0" w:right="0" w:firstLine="839"/>
        <w:jc w:val="both"/>
        <w:rPr/>
      </w:pPr>
      <w:r>
        <w:rPr/>
      </w:r>
    </w:p>
    <w:p>
      <w:pPr>
        <w:pStyle w:val="TextBody"/>
        <w:bidi w:val="0"/>
        <w:spacing w:lineRule="auto" w:line="268" w:before="0" w:after="0"/>
        <w:ind w:left="0" w:right="0" w:firstLine="839"/>
        <w:jc w:val="left"/>
        <w:rPr/>
      </w:pPr>
      <w:r>
        <w:rPr>
          <w:color w:val="000000"/>
        </w:rPr>
        <w:t>“</w:t>
      </w:r>
      <w:r>
        <w:rPr>
          <w:rFonts w:ascii="Times New Roman;sans-serif" w:hAnsi="Times New Roman;sans-serif"/>
          <w:b/>
          <w:i/>
          <w:color w:val="000000"/>
          <w:sz w:val="24"/>
        </w:rPr>
        <w:t>Exchange Act</w:t>
      </w:r>
      <w:r>
        <w:rPr>
          <w:color w:val="000000"/>
        </w:rPr>
        <w:t xml:space="preserve">” </w:t>
      </w:r>
      <w:r>
        <w:rPr>
          <w:rFonts w:ascii="Times New Roman;sans-serif" w:hAnsi="Times New Roman;sans-serif"/>
          <w:b w:val="false"/>
          <w:color w:val="000000"/>
          <w:sz w:val="24"/>
        </w:rPr>
        <w:t>means the Securities Exchange Act of 1934, as amended.</w:t>
      </w:r>
    </w:p>
    <w:p>
      <w:pPr>
        <w:pStyle w:val="TextBody"/>
        <w:bidi w:val="0"/>
        <w:spacing w:before="0" w:after="0"/>
        <w:ind w:left="0" w:right="0" w:firstLine="839"/>
        <w:jc w:val="left"/>
        <w:rPr/>
      </w:pPr>
      <w:r>
        <w:rPr/>
      </w:r>
    </w:p>
    <w:p>
      <w:pPr>
        <w:pStyle w:val="TextBody"/>
        <w:bidi w:val="0"/>
        <w:spacing w:lineRule="auto" w:line="268" w:before="0" w:after="0"/>
        <w:ind w:left="0" w:right="0" w:firstLine="839"/>
        <w:jc w:val="both"/>
        <w:rPr/>
      </w:pPr>
      <w:r>
        <w:rPr>
          <w:color w:val="000000"/>
        </w:rPr>
        <w:t>“</w:t>
      </w:r>
      <w:r>
        <w:rPr>
          <w:rFonts w:ascii="Times New Roman;sans-serif" w:hAnsi="Times New Roman;sans-serif"/>
          <w:b/>
          <w:i/>
          <w:color w:val="000000"/>
          <w:sz w:val="24"/>
        </w:rPr>
        <w:t>Financial Reporting Measure</w:t>
      </w:r>
      <w:r>
        <w:rPr>
          <w:color w:val="000000"/>
        </w:rPr>
        <w:t xml:space="preserve">” </w:t>
      </w:r>
      <w:r>
        <w:rPr>
          <w:rFonts w:ascii="Times New Roman;sans-serif" w:hAnsi="Times New Roman;sans-serif"/>
          <w:b w:val="false"/>
          <w:color w:val="000000"/>
          <w:sz w:val="24"/>
        </w:rPr>
        <w:t>means any measure determined and presented in accordance with the accounting principles used in preparing the Company’s financial statements, and any measures derived wholly or in part from such measures, including GAAP, IFRS and non- GAAP/IFRS financial measures, as well as stock or share price and total equityholder return.</w:t>
      </w:r>
    </w:p>
    <w:p>
      <w:pPr>
        <w:pStyle w:val="TextBody"/>
        <w:bidi w:val="0"/>
        <w:spacing w:before="0" w:after="0"/>
        <w:ind w:left="0" w:right="0" w:firstLine="839"/>
        <w:jc w:val="both"/>
        <w:rPr/>
      </w:pPr>
      <w:r>
        <w:rPr/>
      </w:r>
    </w:p>
    <w:p>
      <w:pPr>
        <w:pStyle w:val="TextBody"/>
        <w:bidi w:val="0"/>
        <w:spacing w:lineRule="auto" w:line="268" w:before="0" w:after="0"/>
        <w:ind w:left="0" w:right="0" w:firstLine="840"/>
        <w:jc w:val="left"/>
        <w:rPr/>
      </w:pPr>
      <w:r>
        <w:rPr>
          <w:color w:val="000000"/>
        </w:rPr>
        <w:t>“</w:t>
      </w:r>
      <w:r>
        <w:rPr>
          <w:rFonts w:ascii="Times New Roman;sans-serif" w:hAnsi="Times New Roman;sans-serif"/>
          <w:b/>
          <w:i/>
          <w:color w:val="000000"/>
          <w:sz w:val="24"/>
        </w:rPr>
        <w:t>GAAP</w:t>
      </w:r>
      <w:r>
        <w:rPr>
          <w:color w:val="000000"/>
        </w:rPr>
        <w:t xml:space="preserve">” </w:t>
      </w:r>
      <w:r>
        <w:rPr>
          <w:rFonts w:ascii="Times New Roman;sans-serif" w:hAnsi="Times New Roman;sans-serif"/>
          <w:b w:val="false"/>
          <w:color w:val="000000"/>
          <w:sz w:val="24"/>
        </w:rPr>
        <w:t>means United States generally accepted accounting principles.</w:t>
      </w:r>
    </w:p>
    <w:p>
      <w:pPr>
        <w:pStyle w:val="TextBody"/>
        <w:bidi w:val="0"/>
        <w:spacing w:before="0" w:after="0"/>
        <w:ind w:left="0" w:right="0" w:firstLine="840"/>
        <w:jc w:val="left"/>
        <w:rPr/>
      </w:pPr>
      <w:r>
        <w:rPr/>
      </w:r>
    </w:p>
    <w:p>
      <w:pPr>
        <w:pStyle w:val="TextBody"/>
        <w:bidi w:val="0"/>
        <w:spacing w:lineRule="auto" w:line="268"/>
        <w:ind w:left="0" w:right="0" w:firstLine="839"/>
        <w:jc w:val="both"/>
        <w:rPr/>
      </w:pPr>
      <w:r>
        <w:rPr>
          <w:color w:val="000000"/>
        </w:rPr>
        <w:t>“</w:t>
      </w:r>
      <w:r>
        <w:rPr>
          <w:rFonts w:ascii="Times New Roman;sans-serif" w:hAnsi="Times New Roman;sans-serif"/>
          <w:b/>
          <w:i/>
          <w:color w:val="000000"/>
          <w:sz w:val="24"/>
        </w:rPr>
        <w:t>IFRS</w:t>
      </w:r>
      <w:r>
        <w:rPr>
          <w:color w:val="000000"/>
        </w:rPr>
        <w:t xml:space="preserve">” </w:t>
      </w:r>
      <w:r>
        <w:rPr>
          <w:rFonts w:ascii="Times New Roman;sans-serif" w:hAnsi="Times New Roman;sans-serif"/>
          <w:b w:val="false"/>
          <w:color w:val="000000"/>
          <w:sz w:val="24"/>
        </w:rPr>
        <w:t>means international financial reporting standards as adopted by the International Accounting Standards Board.</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97.1</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ind w:left="0" w:right="0" w:firstLine="839"/>
        <w:jc w:val="both"/>
        <w:rPr/>
      </w:pPr>
      <w:r>
        <w:rPr/>
      </w:r>
    </w:p>
    <w:p>
      <w:pPr>
        <w:pStyle w:val="TextBody"/>
        <w:bidi w:val="0"/>
        <w:spacing w:lineRule="auto" w:line="268" w:before="0" w:after="0"/>
        <w:ind w:left="0" w:right="0" w:firstLine="840"/>
        <w:jc w:val="both"/>
        <w:rPr/>
      </w:pPr>
      <w:r>
        <w:rPr>
          <w:color w:val="000000"/>
        </w:rPr>
        <w:t>“</w:t>
      </w:r>
      <w:r>
        <w:rPr>
          <w:rFonts w:ascii="Times New Roman;sans-serif" w:hAnsi="Times New Roman;sans-serif"/>
          <w:b/>
          <w:i/>
          <w:color w:val="000000"/>
          <w:sz w:val="24"/>
        </w:rPr>
        <w:t>Impracticable</w:t>
      </w:r>
      <w:r>
        <w:rPr>
          <w:color w:val="000000"/>
        </w:rPr>
        <w:t xml:space="preserve">” </w:t>
      </w:r>
      <w:r>
        <w:rPr>
          <w:rFonts w:ascii="Times New Roman;sans-serif" w:hAnsi="Times New Roman;sans-serif"/>
          <w:b w:val="false"/>
          <w:color w:val="000000"/>
          <w:sz w:val="24"/>
        </w:rPr>
        <w:t>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before="0" w:after="0"/>
        <w:ind w:left="0" w:right="0" w:firstLine="840"/>
        <w:jc w:val="both"/>
        <w:rPr/>
      </w:pPr>
      <w:r>
        <w:rPr/>
      </w:r>
    </w:p>
    <w:p>
      <w:pPr>
        <w:pStyle w:val="TextBody"/>
        <w:bidi w:val="0"/>
        <w:spacing w:lineRule="auto" w:line="268" w:before="0" w:after="0"/>
        <w:ind w:left="0" w:right="0" w:firstLine="839"/>
        <w:jc w:val="both"/>
        <w:rPr/>
      </w:pP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pStyle w:val="TextBody"/>
        <w:bidi w:val="0"/>
        <w:spacing w:before="0" w:after="0"/>
        <w:ind w:left="0" w:right="0" w:firstLine="839"/>
        <w:jc w:val="both"/>
        <w:rPr/>
      </w:pPr>
      <w:r>
        <w:rPr/>
      </w:r>
    </w:p>
    <w:p>
      <w:pPr>
        <w:pStyle w:val="TextBody"/>
        <w:bidi w:val="0"/>
        <w:spacing w:lineRule="auto" w:line="268" w:before="0" w:after="0"/>
        <w:ind w:left="0" w:right="0" w:firstLine="839"/>
        <w:jc w:val="both"/>
        <w:rPr/>
      </w:pPr>
      <w:r>
        <w:rPr>
          <w:color w:val="000000"/>
        </w:rPr>
        <w:t>“</w:t>
      </w:r>
      <w:r>
        <w:rPr>
          <w:rFonts w:ascii="Times New Roman;sans-serif" w:hAnsi="Times New Roman;sans-serif"/>
          <w:b/>
          <w:i/>
          <w:color w:val="000000"/>
          <w:sz w:val="24"/>
        </w:rPr>
        <w:t>Officer</w:t>
      </w:r>
      <w:r>
        <w:rPr>
          <w:color w:val="000000"/>
        </w:rPr>
        <w:t xml:space="preserve">” </w:t>
      </w:r>
      <w:r>
        <w:rPr>
          <w:rFonts w:ascii="Times New Roman;sans-serif" w:hAnsi="Times New Roman;sans-serif"/>
          <w:b w:val="false"/>
          <w:color w:val="000000"/>
          <w:sz w:val="24"/>
        </w:rPr>
        <w:t>means each person who serves as an executive officer of the Company, as defined in Rule 10D-1(d) under the Exchange Act.</w:t>
      </w:r>
    </w:p>
    <w:p>
      <w:pPr>
        <w:pStyle w:val="TextBody"/>
        <w:bidi w:val="0"/>
        <w:spacing w:before="0" w:after="0"/>
        <w:ind w:left="0" w:right="0" w:firstLine="839"/>
        <w:jc w:val="both"/>
        <w:rPr/>
      </w:pPr>
      <w:r>
        <w:rPr/>
      </w:r>
    </w:p>
    <w:p>
      <w:pPr>
        <w:pStyle w:val="TextBody"/>
        <w:bidi w:val="0"/>
        <w:spacing w:lineRule="auto" w:line="268" w:before="0" w:after="0"/>
        <w:ind w:left="0" w:right="0" w:firstLine="839"/>
        <w:jc w:val="both"/>
        <w:rPr/>
      </w:pPr>
      <w:r>
        <w:rPr>
          <w:color w:val="000000"/>
        </w:rPr>
        <w:t>“</w:t>
      </w:r>
      <w:r>
        <w:rPr>
          <w:rFonts w:ascii="Times New Roman;sans-serif" w:hAnsi="Times New Roman;sans-serif"/>
          <w:b/>
          <w:i/>
          <w:color w:val="000000"/>
          <w:sz w:val="24"/>
        </w:rPr>
        <w:t>Restatement</w:t>
      </w:r>
      <w:r>
        <w:rPr>
          <w:color w:val="000000"/>
        </w:rPr>
        <w:t xml:space="preserve">” </w:t>
      </w:r>
      <w:r>
        <w:rPr>
          <w:rFonts w:ascii="Times New Roman;sans-serif" w:hAnsi="Times New Roman;sans-serif"/>
          <w:b w:val="false"/>
          <w:color w:val="000000"/>
          <w:sz w:val="24"/>
        </w:rPr>
        <w:t>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pStyle w:val="TextBody"/>
        <w:bidi w:val="0"/>
        <w:spacing w:before="0" w:after="0"/>
        <w:ind w:left="0" w:right="0" w:firstLine="839"/>
        <w:jc w:val="both"/>
        <w:rPr/>
      </w:pPr>
      <w:r>
        <w:rPr/>
      </w:r>
    </w:p>
    <w:p>
      <w:pPr>
        <w:pStyle w:val="TextBody"/>
        <w:bidi w:val="0"/>
        <w:spacing w:lineRule="auto" w:line="268" w:before="0" w:after="0"/>
        <w:ind w:left="0" w:right="0" w:firstLine="839"/>
        <w:jc w:val="both"/>
        <w:rPr/>
      </w:pPr>
      <w:r>
        <w:rPr>
          <w:color w:val="000000"/>
        </w:rPr>
        <w:t>“</w:t>
      </w:r>
      <w:r>
        <w:rPr>
          <w:rFonts w:ascii="Times New Roman;sans-serif" w:hAnsi="Times New Roman;sans-serif"/>
          <w:b/>
          <w:i/>
          <w:color w:val="000000"/>
          <w:sz w:val="24"/>
        </w:rPr>
        <w:t>Three-Year Period</w:t>
      </w:r>
      <w:r>
        <w:rPr>
          <w:color w:val="000000"/>
        </w:rPr>
        <w:t xml:space="preserve">” </w:t>
      </w:r>
      <w:r>
        <w:rPr>
          <w:rFonts w:ascii="Times New Roman;sans-serif" w:hAnsi="Times New Roman;sans-serif"/>
          <w:b w:val="false"/>
          <w:color w:val="000000"/>
          <w:sz w:val="24"/>
        </w:rPr>
        <w:t>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97.1</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68" w:before="0" w:after="0"/>
        <w:ind w:left="0" w:right="0" w:firstLine="3"/>
        <w:jc w:val="center"/>
        <w:rPr>
          <w:rFonts w:ascii="Times New Roman;sans-serif" w:hAnsi="Times New Roman;sans-serif"/>
          <w:b/>
          <w:color w:val="000000"/>
          <w:sz w:val="24"/>
        </w:rPr>
      </w:pPr>
      <w:r>
        <w:rPr>
          <w:rFonts w:ascii="Times New Roman;sans-serif" w:hAnsi="Times New Roman;sans-serif"/>
          <w:b/>
          <w:color w:val="000000"/>
          <w:sz w:val="24"/>
        </w:rPr>
        <w:t>ACKNOWLEDGMENT AND CONSENT TO</w:t>
      </w:r>
    </w:p>
    <w:p>
      <w:pPr>
        <w:pStyle w:val="TextBody"/>
        <w:bidi w:val="0"/>
        <w:spacing w:lineRule="auto" w:line="268" w:before="0" w:after="0"/>
        <w:ind w:left="0" w:right="0" w:firstLine="3"/>
        <w:jc w:val="center"/>
        <w:rPr>
          <w:rFonts w:ascii="Times New Roman;sans-serif" w:hAnsi="Times New Roman;sans-serif"/>
          <w:b/>
          <w:color w:val="000000"/>
          <w:sz w:val="24"/>
        </w:rPr>
      </w:pPr>
      <w:r>
        <w:rPr>
          <w:rFonts w:ascii="Times New Roman;sans-serif" w:hAnsi="Times New Roman;sans-serif"/>
          <w:b/>
          <w:color w:val="000000"/>
          <w:sz w:val="24"/>
        </w:rPr>
        <w:t>POLICY FOR RECOVERY OF ERRONEOUSLY AWARDED COMPENSATION</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has received a copy of the Policy for Recovery of Erroneously Awarded Compensation (the “Policy”) adopted by Viant Technology Inc. (the “Company”).</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good and valuable consideration, the receipt of which is acknowledged, the undersigned hereby agrees, to the extent that the Policy is authorized and required by applicable law or regulation, that: (i) the undersigned is and shall be bound by and subject to the terms of the Policy; (ii) compensation received by the undersigned may be subject to reduction, cancellation, forfeiture and/or recoupment to the extent necessary to comply with the Policy, notwithstanding any other agreement to the contrary; (iii) the undersigned is not entitled to indemnification in connection with any enforcement of the Policy to the extent required by the Applicable Rules (as defined in the Policy); and (iv) the undersigned expressly waives any rights to such indemnification under the Company’s organizational documents or otherwise.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250" w:type="dxa"/>
        <w:jc w:val="left"/>
        <w:tblInd w:w="0" w:type="dxa"/>
        <w:tblLayout w:type="fixed"/>
        <w:tblCellMar>
          <w:top w:w="28" w:type="dxa"/>
          <w:left w:w="28" w:type="dxa"/>
          <w:bottom w:w="28" w:type="dxa"/>
          <w:right w:w="28" w:type="dxa"/>
        </w:tblCellMar>
      </w:tblPr>
      <w:tblGrid>
        <w:gridCol w:w="869"/>
        <w:gridCol w:w="761"/>
        <w:gridCol w:w="769"/>
        <w:gridCol w:w="1714"/>
        <w:gridCol w:w="1714"/>
        <w:gridCol w:w="2423"/>
      </w:tblGrid>
      <w:tr>
        <w:trPr/>
        <w:tc>
          <w:tcPr>
            <w:tcW w:w="86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ableContents"/>
              <w:bidi w:val="0"/>
              <w:spacing w:before="0" w:after="0"/>
              <w:ind w:left="0" w:right="0" w:firstLine="50"/>
              <w:jc w:val="left"/>
              <w:rPr/>
            </w:pPr>
            <w:r>
              <w:rPr/>
            </w:r>
          </w:p>
          <w:p>
            <w:pPr>
              <w:pStyle w:val="TableContents"/>
              <w:bidi w:val="0"/>
              <w:spacing w:lineRule="auto" w:line="268" w:before="0" w:after="0"/>
              <w:ind w:left="0" w:right="0" w:firstLine="50"/>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58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________________________________________Signature</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________________________________________Name</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w:t>
            </w:r>
          </w:p>
          <w:p>
            <w:pPr>
              <w:pStyle w:val="TableContents"/>
              <w:bidi w:val="0"/>
              <w:spacing w:lineRule="auto" w:line="27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hyperlink" Target="http://www.sec.gov/Archives/edgar/data/1828791/000156459021014855/dsp-ex31_279.htm" TargetMode="External"/><Relationship Id="rId6" Type="http://schemas.openxmlformats.org/officeDocument/2006/relationships/hyperlink" Target="http://www.sec.gov/Archives/edgar/data/1828791/000156459021014855/dsp-ex32_278.htm" TargetMode="External"/><Relationship Id="rId7" Type="http://schemas.openxmlformats.org/officeDocument/2006/relationships/hyperlink" Target="http://www.sec.gov/Archives/edgar/data/1828791/000156459021014855/dsp-ex41_276.htm" TargetMode="External"/><Relationship Id="rId8" Type="http://schemas.openxmlformats.org/officeDocument/2006/relationships/hyperlink" Target="http://www.sec.gov/Archives/edgar/data/1828791/000156459021014855/dsp-ex101_277.htm" TargetMode="External"/><Relationship Id="rId9" Type="http://schemas.openxmlformats.org/officeDocument/2006/relationships/hyperlink" Target="http://www.sec.gov/Archives/edgar/data/1828791/000156459021014855/dsp-ex102_275.htm" TargetMode="External"/><Relationship Id="rId10" Type="http://schemas.openxmlformats.org/officeDocument/2006/relationships/hyperlink" Target="http://www.sec.gov/Archives/edgar/data/1828791/000156459021014855/dsp-ex103_274.htm" TargetMode="External"/><Relationship Id="rId11" Type="http://schemas.openxmlformats.org/officeDocument/2006/relationships/hyperlink" Target="http://www.sec.gov/Archives/edgar/data/1828791/000156459021014855/dsp-ex104_273.htm" TargetMode="External"/><Relationship Id="rId12" Type="http://schemas.openxmlformats.org/officeDocument/2006/relationships/hyperlink" Target="http://www.sec.gov/Archives/edgar/data/1828791/000119312521023519/d88953dex104.htm" TargetMode="External"/><Relationship Id="rId13" Type="http://schemas.openxmlformats.org/officeDocument/2006/relationships/hyperlink" Target="http://www.sec.gov/Archives/edgar/data/1828791/000119312521023519/d88953dex105.htm" TargetMode="External"/><Relationship Id="rId14" Type="http://schemas.openxmlformats.org/officeDocument/2006/relationships/hyperlink" Target="http://www.sec.gov/Archives/edgar/data/1828791/000119312521023519/d88953dex106.htm" TargetMode="External"/><Relationship Id="rId15" Type="http://schemas.openxmlformats.org/officeDocument/2006/relationships/hyperlink" Target="http://www.sec.gov/Archives/edgar/data/1828791/000119312521023519/d88953dex107.htm" TargetMode="External"/><Relationship Id="rId16" Type="http://schemas.openxmlformats.org/officeDocument/2006/relationships/hyperlink" Target="http://www.sec.gov/Archives/edgar/data/1828791/000119312521023519/d88953dex108.htm" TargetMode="External"/><Relationship Id="rId17" Type="http://schemas.openxmlformats.org/officeDocument/2006/relationships/hyperlink" Target="http://www.sec.gov/Archives/edgar/data/1828791/000119312521023519/d88953dex109.htm" TargetMode="External"/><Relationship Id="rId18" Type="http://schemas.openxmlformats.org/officeDocument/2006/relationships/hyperlink" Target="http://www.sec.gov/Archives/edgar/data/1828791/000156459021056133/dsp-ex101_248.htm" TargetMode="External"/><Relationship Id="rId19" Type="http://schemas.openxmlformats.org/officeDocument/2006/relationships/hyperlink" Target="https://www.sec.gov/Archives/edgar/data/1828791/000182879123000030/redline-conformedcreditagr.htm" TargetMode="External"/><Relationship Id="rId20" Type="http://schemas.openxmlformats.org/officeDocument/2006/relationships/hyperlink" Target="http://www.sec.gov/Archives/edgar/data/0001828791/000119312521034620/d84137dex991.htm" TargetMode="External"/><Relationship Id="rId21" Type="http://schemas.openxmlformats.org/officeDocument/2006/relationships/hyperlink" Target="http://www.sec.gov/Archives/edgar/data/1828791/000119312521023519/d88953dex1013.htm" TargetMode="External"/><Relationship Id="rId22" Type="http://schemas.openxmlformats.org/officeDocument/2006/relationships/hyperlink" Target="http://www.sec.gov/Archives/edgar/data/1828791/000119312521023519/d88953dex1014.htm" TargetMode="External"/><Relationship Id="rId23" Type="http://schemas.openxmlformats.org/officeDocument/2006/relationships/hyperlink" Target="http://www.sec.gov/Archives/edgar/data/0001828791/000119312522066059/d323789dex101.htm" TargetMode="External"/><Relationship Id="rId24" Type="http://schemas.openxmlformats.org/officeDocument/2006/relationships/hyperlink" Target="http://www.sec.gov/Archives/edgar/data/1828791/000119312521034620/d84137dex994.htm" TargetMode="External"/><Relationship Id="rId25" Type="http://schemas.openxmlformats.org/officeDocument/2006/relationships/hyperlink" Target="https://www.sec.gov/Archives/edgar/data/1828791/000156459022017525/dsp-ex102_267.htm" TargetMode="External"/><Relationship Id="rId26" Type="http://schemas.openxmlformats.org/officeDocument/2006/relationships/hyperlink" Target="http://www.sec.gov/Archives/edgar/data/1828791/000119312521023519/d88953dex211.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83387</Words>
  <Characters>461076</Characters>
  <CharactersWithSpaces>541054</CharactersWithSpaces>
  <Paragraphs>5811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