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620" w:hanging="3872"/>
        <w:spacing w:after="0" w:line="328"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22" w:right="339" w:bottom="1440" w:gutter="0" w:footer="0" w:header="0"/>
        </w:sectPr>
      </w:pPr>
    </w:p>
    <w:p>
      <w:pPr>
        <w:spacing w:after="0" w:line="9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95" w:lineRule="exact"/>
        <w:rPr>
          <w:sz w:val="24"/>
          <w:szCs w:val="24"/>
          <w:color w:val="auto"/>
        </w:rPr>
      </w:pPr>
    </w:p>
    <w:p>
      <w:pPr>
        <w:sectPr>
          <w:pgSz w:w="11900" w:h="16838" w:orient="portrait"/>
          <w:cols w:equalWidth="0" w:num="2">
            <w:col w:w="6300" w:space="720"/>
            <w:col w:w="4220"/>
          </w:cols>
          <w:pgMar w:left="320" w:top="42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Viant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tbl>
      <w:tblPr>
        <w:tblLayout w:type="fixed"/>
        <w:tblInd w:w="1700" w:type="dxa"/>
        <w:tblCellMar>
          <w:top w:w="0" w:type="dxa"/>
          <w:left w:w="0" w:type="dxa"/>
          <w:bottom w:w="0" w:type="dxa"/>
          <w:right w:w="0" w:type="dxa"/>
        </w:tblCellMar>
      </w:tblP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3"/>
              </w:rPr>
              <w:t>Delaware</w:t>
            </w:r>
          </w:p>
        </w:tc>
        <w:tc>
          <w:tcPr>
            <w:tcW w:w="2980" w:type="dxa"/>
            <w:vAlign w:val="bottom"/>
          </w:tcPr>
          <w:p>
            <w:pPr>
              <w:jc w:val="right"/>
              <w:ind w:right="30"/>
              <w:spacing w:after="0"/>
              <w:rPr>
                <w:sz w:val="20"/>
                <w:szCs w:val="20"/>
                <w:color w:val="auto"/>
              </w:rPr>
            </w:pPr>
            <w:r>
              <w:rPr>
                <w:rFonts w:ascii="Arial" w:cs="Arial" w:eastAsia="Arial" w:hAnsi="Arial"/>
                <w:sz w:val="16"/>
                <w:szCs w:val="16"/>
                <w:b w:val="1"/>
                <w:bCs w:val="1"/>
                <w:color w:val="auto"/>
              </w:rPr>
              <w:t>85-3447553</w:t>
            </w:r>
          </w:p>
        </w:tc>
      </w:tr>
      <w:tr>
        <w:trPr>
          <w:trHeight w:val="135"/>
        </w:trPr>
        <w:tc>
          <w:tcPr>
            <w:tcW w:w="4240" w:type="dxa"/>
            <w:vAlign w:val="bottom"/>
          </w:tcPr>
          <w:p>
            <w:pPr>
              <w:jc w:val="center"/>
              <w:ind w:right="194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9"/>
        </w:trPr>
        <w:tc>
          <w:tcPr>
            <w:tcW w:w="4240" w:type="dxa"/>
            <w:vAlign w:val="bottom"/>
          </w:tcPr>
          <w:p>
            <w:pPr>
              <w:jc w:val="center"/>
              <w:ind w:right="1928"/>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30"/>
              <w:spacing w:after="0" w:line="139" w:lineRule="exact"/>
              <w:rPr>
                <w:sz w:val="20"/>
                <w:szCs w:val="20"/>
                <w:color w:val="auto"/>
              </w:rPr>
            </w:pPr>
            <w:r>
              <w:rPr>
                <w:rFonts w:ascii="Arial" w:cs="Arial" w:eastAsia="Arial" w:hAnsi="Arial"/>
                <w:sz w:val="13"/>
                <w:szCs w:val="13"/>
                <w:b w:val="1"/>
                <w:bCs w:val="1"/>
                <w:color w:val="auto"/>
                <w:w w:val="89"/>
              </w:rPr>
              <w:t>Identification No.)</w:t>
            </w:r>
          </w:p>
        </w:tc>
      </w:tr>
      <w:tr>
        <w:trPr>
          <w:trHeight w:val="203"/>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1"/>
              </w:rPr>
              <w:t>2722 Michelson Drive, Suite 100</w:t>
            </w:r>
          </w:p>
        </w:tc>
        <w:tc>
          <w:tcPr>
            <w:tcW w:w="2980" w:type="dxa"/>
            <w:vAlign w:val="bottom"/>
          </w:tcPr>
          <w:p>
            <w:pPr>
              <w:spacing w:after="0"/>
              <w:rPr>
                <w:sz w:val="17"/>
                <w:szCs w:val="17"/>
                <w:color w:val="auto"/>
              </w:rPr>
            </w:pPr>
          </w:p>
        </w:tc>
      </w:t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9"/>
              </w:rPr>
              <w:t>Irvine, CA</w:t>
            </w:r>
          </w:p>
        </w:tc>
        <w:tc>
          <w:tcPr>
            <w:tcW w:w="2980" w:type="dxa"/>
            <w:vAlign w:val="bottom"/>
          </w:tcPr>
          <w:p>
            <w:pPr>
              <w:jc w:val="right"/>
              <w:ind w:right="210"/>
              <w:spacing w:after="0"/>
              <w:rPr>
                <w:sz w:val="20"/>
                <w:szCs w:val="20"/>
                <w:color w:val="auto"/>
              </w:rPr>
            </w:pPr>
            <w:r>
              <w:rPr>
                <w:rFonts w:ascii="Arial" w:cs="Arial" w:eastAsia="Arial" w:hAnsi="Arial"/>
                <w:sz w:val="16"/>
                <w:szCs w:val="16"/>
                <w:b w:val="1"/>
                <w:bCs w:val="1"/>
                <w:color w:val="auto"/>
              </w:rPr>
              <w:t>92612</w:t>
            </w:r>
          </w:p>
        </w:tc>
      </w:tr>
      <w:tr>
        <w:trPr>
          <w:trHeight w:val="164"/>
        </w:trPr>
        <w:tc>
          <w:tcPr>
            <w:tcW w:w="4240" w:type="dxa"/>
            <w:vAlign w:val="bottom"/>
          </w:tcPr>
          <w:p>
            <w:pPr>
              <w:jc w:val="center"/>
              <w:ind w:right="192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30"/>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(949) 861-8888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2"/>
        </w:trPr>
        <w:tc>
          <w:tcPr>
            <w:tcW w:w="44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Class A common stock, par value $0.001 per share</w:t>
            </w: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0"/>
              </w:rPr>
              <w:t>DSP</w:t>
            </w:r>
          </w:p>
        </w:tc>
        <w:tc>
          <w:tcPr>
            <w:tcW w:w="100" w:type="dxa"/>
            <w:vAlign w:val="bottom"/>
          </w:tcPr>
          <w:p>
            <w:pPr>
              <w:spacing w:after="0"/>
              <w:rPr>
                <w:sz w:val="12"/>
                <w:szCs w:val="12"/>
                <w:color w:val="auto"/>
              </w:rPr>
            </w:pPr>
          </w:p>
        </w:tc>
        <w:tc>
          <w:tcPr>
            <w:tcW w:w="4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4"/>
              </w:rPr>
              <w:t>The Nasdaq Stock Market LLC</w:t>
            </w:r>
          </w:p>
        </w:tc>
      </w:tr>
      <w:tr>
        <w:trPr>
          <w:trHeight w:val="19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5"/>
                <w:szCs w:val="15"/>
                <w:color w:val="auto"/>
                <w:w w:val="92"/>
              </w:rPr>
              <w:t>(Nasdaq Global Select Market)</w:t>
            </w:r>
          </w:p>
        </w:tc>
      </w:tr>
    </w:tbl>
    <w:p>
      <w:pPr>
        <w:spacing w:after="0" w:line="52"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120"/>
        <w:spacing w:after="0" w:line="293" w:lineRule="auto"/>
        <w:rPr>
          <w:sz w:val="20"/>
          <w:szCs w:val="20"/>
          <w:color w:val="auto"/>
        </w:rPr>
      </w:pPr>
      <w:r>
        <w:rPr>
          <w:rFonts w:ascii="Arial" w:cs="Arial" w:eastAsia="Arial" w:hAnsi="Arial"/>
          <w:sz w:val="16"/>
          <w:szCs w:val="16"/>
          <w:color w:val="auto"/>
        </w:rPr>
        <w:t>As of August 11, 2021 there were 12,819,561 shares and 47,435,559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80" w:type="dxa"/>
            <w:vAlign w:val="bottom"/>
            <w:gridSpan w:val="10"/>
            <w:vMerge w:val="restart"/>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280" w:type="dxa"/>
            <w:vAlign w:val="bottom"/>
            <w:gridSpan w:val="10"/>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2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9"/>
          </w:tcPr>
          <w:p>
            <w:pPr>
              <w:ind w:left="120"/>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A. </w:t>
            </w:r>
            <w:hyperlink w:anchor="page3">
              <w:r>
                <w:rPr>
                  <w:rFonts w:ascii="Arial" w:cs="Arial" w:eastAsia="Arial" w:hAnsi="Arial"/>
                  <w:sz w:val="18"/>
                  <w:szCs w:val="18"/>
                  <w:color w:val="0000EE"/>
                </w:rPr>
                <w:t>Condensed Consolidated Balance Sheets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B.</w:t>
            </w: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C.</w:t>
            </w: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Convertible Preferred Units and Equity</w:t>
              </w:r>
            </w:hyperlink>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D. </w:t>
            </w:r>
            <w:hyperlink w:anchor="page7">
              <w:r>
                <w:rPr>
                  <w:rFonts w:ascii="Arial" w:cs="Arial" w:eastAsia="Arial" w:hAnsi="Arial"/>
                  <w:sz w:val="18"/>
                  <w:szCs w:val="18"/>
                  <w:color w:val="0000EE"/>
                </w:rPr>
                <w:t>Condensed Consolidated Statements of Cash Flows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E. </w:t>
            </w:r>
            <w:hyperlink w:anchor="page8">
              <w:r>
                <w:rPr>
                  <w:rFonts w:ascii="Arial" w:cs="Arial" w:eastAsia="Arial" w:hAnsi="Arial"/>
                  <w:sz w:val="18"/>
                  <w:szCs w:val="18"/>
                  <w:color w:val="0000EE"/>
                </w:rPr>
                <w:t>Condensed 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51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Controls and Procedures</w:t>
              </w:r>
            </w:hyperlink>
          </w:p>
        </w:tc>
        <w:tc>
          <w:tcPr>
            <w:tcW w:w="774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6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520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2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82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 June 30,</w:t>
            </w:r>
          </w:p>
        </w:tc>
        <w:tc>
          <w:tcPr>
            <w:tcW w:w="1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252,271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receivable, net of allowances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63,747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320,237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103,883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equipment, and software,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356,378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units and stockholders' equity/members' equity</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revenue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member tax distributions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55,804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79,656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Long-term portion of deferred revenue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79,326</w:t>
            </w: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105,903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contingencies (Note 12)</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Convertible preferred units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2019 convertible preferred units, no par value; none issued and outstanding as of June 30, 2021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600,000 units authorized, issued and outstanding as of December 31, 2020; liquidation</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preference $5,444 as of December 31, 2020</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Members'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Common units, no par value; none issued and outstanding as of June 30, 2021 and 400,000 units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authorized, issued and outstanding as of December 31, 2020</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(72,070)</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none issued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outstanding as of June 30, 2021</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Class A common stock, $0.001 par value; 450,000,000 shares authorized and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11,500,000 shares issued and outstanding as of June 30, 2021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Class B common stock, $0.001 par value; 150,000,000 shares authorized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47,435,559 shares issued and outstanding as of June 30, 2021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102,040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(6,759)</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stockholders' equity attributable to Viant Technology Inc./members'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95,340</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181,712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equity</w:t>
            </w: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277,052</w:t>
            </w:r>
          </w:p>
        </w:tc>
        <w:tc>
          <w:tcPr>
            <w:tcW w:w="2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convertible preferred units and stockholders' equity/members'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356,378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24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Platform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74,374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extinguishment of debt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(6,110)</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(income),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(14,440)</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Earnings (loss) per Class A common stock/unit:</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(0.59)</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Class A common stock/units outstanding:</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UNITS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36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3"/>
                <w:szCs w:val="13"/>
                <w:color w:val="auto"/>
              </w:rPr>
            </w:pPr>
          </w:p>
        </w:tc>
        <w:tc>
          <w:tcPr>
            <w:tcW w:w="960" w:type="dxa"/>
            <w:vAlign w:val="bottom"/>
            <w:gridSpan w:val="4"/>
          </w:tcPr>
          <w:p>
            <w:pPr>
              <w:jc w:val="right"/>
              <w:ind w:right="37"/>
              <w:spacing w:after="0"/>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206"/>
              <w:spacing w:after="0"/>
              <w:rPr>
                <w:sz w:val="20"/>
                <w:szCs w:val="20"/>
                <w:color w:val="auto"/>
              </w:rPr>
            </w:pPr>
            <w:r>
              <w:rPr>
                <w:rFonts w:ascii="Arial" w:cs="Arial" w:eastAsia="Arial" w:hAnsi="Arial"/>
                <w:sz w:val="13"/>
                <w:szCs w:val="13"/>
                <w:b w:val="1"/>
                <w:bCs w:val="1"/>
                <w:color w:val="auto"/>
              </w:rPr>
              <w:t>Class A</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jc w:val="right"/>
              <w:ind w:right="197"/>
              <w:spacing w:after="0"/>
              <w:rPr>
                <w:sz w:val="20"/>
                <w:szCs w:val="20"/>
                <w:color w:val="auto"/>
              </w:rPr>
            </w:pPr>
            <w:r>
              <w:rPr>
                <w:rFonts w:ascii="Arial" w:cs="Arial" w:eastAsia="Arial" w:hAnsi="Arial"/>
                <w:sz w:val="13"/>
                <w:szCs w:val="13"/>
                <w:b w:val="1"/>
                <w:bCs w:val="1"/>
                <w:color w:val="auto"/>
              </w:rPr>
              <w:t>Class B</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1280" w:type="dxa"/>
            <w:vAlign w:val="bottom"/>
          </w:tcPr>
          <w:p>
            <w:pPr>
              <w:spacing w:after="0"/>
              <w:rPr>
                <w:sz w:val="13"/>
                <w:szCs w:val="13"/>
                <w:color w:val="auto"/>
              </w:rPr>
            </w:pPr>
          </w:p>
        </w:tc>
        <w:tc>
          <w:tcPr>
            <w:tcW w:w="1360" w:type="dxa"/>
            <w:vAlign w:val="bottom"/>
            <w:tcBorders>
              <w:right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rPr>
              <w:t>Preferred Units</w:t>
            </w:r>
          </w:p>
        </w:tc>
        <w:tc>
          <w:tcPr>
            <w:tcW w:w="60" w:type="dxa"/>
            <w:vAlign w:val="bottom"/>
          </w:tcPr>
          <w:p>
            <w:pPr>
              <w:spacing w:after="0"/>
              <w:rPr>
                <w:sz w:val="13"/>
                <w:szCs w:val="13"/>
                <w:color w:val="auto"/>
              </w:rPr>
            </w:pPr>
          </w:p>
        </w:tc>
        <w:tc>
          <w:tcPr>
            <w:tcW w:w="96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6"/>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Paid-In</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Members'</w:t>
            </w:r>
          </w:p>
        </w:tc>
        <w:tc>
          <w:tcPr>
            <w:tcW w:w="1020" w:type="dxa"/>
            <w:vAlign w:val="bottom"/>
            <w:gridSpan w:val="4"/>
          </w:tcPr>
          <w:p>
            <w:pPr>
              <w:ind w:left="80"/>
              <w:spacing w:after="0"/>
              <w:rPr>
                <w:sz w:val="20"/>
                <w:szCs w:val="20"/>
                <w:color w:val="auto"/>
              </w:rPr>
            </w:pPr>
            <w:r>
              <w:rPr>
                <w:rFonts w:ascii="Arial" w:cs="Arial" w:eastAsia="Arial" w:hAnsi="Arial"/>
                <w:sz w:val="13"/>
                <w:szCs w:val="13"/>
                <w:b w:val="1"/>
                <w:bCs w:val="1"/>
                <w:color w:val="auto"/>
                <w:w w:val="99"/>
              </w:rPr>
              <w:t>Noncontrolling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r>
      <w:tr>
        <w:trPr>
          <w:trHeight w:val="142"/>
        </w:trPr>
        <w:tc>
          <w:tcPr>
            <w:tcW w:w="128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Units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rPr>
              <w:t>Units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2"/>
              </w:rPr>
              <w:t>Interests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3"/>
        </w:trPr>
        <w:tc>
          <w:tcPr>
            <w:tcW w:w="1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December 31,</w:t>
            </w: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2020</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18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60" w:type="dxa"/>
            <w:vAlign w:val="bottom"/>
            <w:shd w:val="clear" w:color="auto" w:fill="CFF0FC"/>
          </w:tcPr>
          <w:p>
            <w:pPr>
              <w:spacing w:after="0"/>
              <w:rPr>
                <w:sz w:val="14"/>
                <w:szCs w:val="14"/>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prior to</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Reorganization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669</w:t>
            </w:r>
          </w:p>
        </w:tc>
        <w:tc>
          <w:tcPr>
            <w:tcW w:w="60" w:type="dxa"/>
            <w:vAlign w:val="bottom"/>
          </w:tcPr>
          <w:p>
            <w:pPr>
              <w:spacing w:after="0"/>
              <w:rPr>
                <w:sz w:val="13"/>
                <w:szCs w:val="13"/>
                <w:color w:val="auto"/>
              </w:rPr>
            </w:pP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 of</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48"/>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Reorganization</w:t>
            </w: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Transactions</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FF0FC"/>
          </w:tcPr>
          <w:p>
            <w:pPr>
              <w:spacing w:after="0"/>
              <w:rPr>
                <w:sz w:val="13"/>
                <w:szCs w:val="13"/>
                <w:color w:val="auto"/>
              </w:rPr>
            </w:pPr>
          </w:p>
        </w:tc>
        <w:tc>
          <w:tcPr>
            <w:tcW w:w="6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48,936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28,237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(20,786)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FF0FC"/>
          </w:tcPr>
          <w:p>
            <w:pPr>
              <w:spacing w:after="0"/>
              <w:rPr>
                <w:sz w:val="13"/>
                <w:szCs w:val="13"/>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Issuance of</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Class A</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common stock</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in initial public</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offering, net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80" w:type="dxa"/>
            <w:vAlign w:val="bottom"/>
          </w:tcPr>
          <w:p>
            <w:pPr>
              <w:ind w:left="360"/>
              <w:spacing w:after="0"/>
              <w:rPr>
                <w:sz w:val="20"/>
                <w:szCs w:val="20"/>
                <w:color w:val="auto"/>
              </w:rPr>
            </w:pPr>
            <w:r>
              <w:rPr>
                <w:rFonts w:ascii="Arial" w:cs="Arial" w:eastAsia="Arial" w:hAnsi="Arial"/>
                <w:sz w:val="13"/>
                <w:szCs w:val="13"/>
                <w:color w:val="auto"/>
              </w:rPr>
              <w:t>underwriting</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and offering</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280" w:type="dxa"/>
            <w:vAlign w:val="bottom"/>
          </w:tcPr>
          <w:p>
            <w:pPr>
              <w:ind w:left="260"/>
              <w:spacing w:after="0"/>
              <w:rPr>
                <w:sz w:val="20"/>
                <w:szCs w:val="20"/>
                <w:color w:val="auto"/>
              </w:rPr>
            </w:pPr>
            <w:r>
              <w:rPr>
                <w:rFonts w:ascii="Arial" w:cs="Arial" w:eastAsia="Arial" w:hAnsi="Arial"/>
                <w:sz w:val="13"/>
                <w:szCs w:val="13"/>
                <w:color w:val="auto"/>
              </w:rPr>
              <w:t>costs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11,500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ind w:left="40"/>
              <w:spacing w:after="0"/>
              <w:rPr>
                <w:sz w:val="20"/>
                <w:szCs w:val="20"/>
                <w:color w:val="auto"/>
              </w:rPr>
            </w:pPr>
            <w:r>
              <w:rPr>
                <w:rFonts w:ascii="Arial" w:cs="Arial" w:eastAsia="Arial" w:hAnsi="Arial"/>
                <w:sz w:val="13"/>
                <w:szCs w:val="13"/>
                <w:color w:val="auto"/>
                <w:w w:val="96"/>
              </w:rPr>
              <w:t>12</w:t>
            </w:r>
          </w:p>
        </w:tc>
        <w:tc>
          <w:tcPr>
            <w:tcW w:w="1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228,175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228,185</w:t>
            </w:r>
          </w:p>
        </w:tc>
        <w:tc>
          <w:tcPr>
            <w:tcW w:w="60" w:type="dxa"/>
            <w:vAlign w:val="bottom"/>
          </w:tcPr>
          <w:p>
            <w:pPr>
              <w:spacing w:after="0"/>
              <w:rPr>
                <w:sz w:val="13"/>
                <w:szCs w:val="13"/>
                <w:color w:val="auto"/>
              </w:rPr>
            </w:pP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Allocation of</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48"/>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equity to</w:t>
            </w: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noncontrolling</w:t>
            </w: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interests</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(208,587)</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208,587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Accrued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3"/>
                <w:szCs w:val="13"/>
                <w:color w:val="auto"/>
              </w:rPr>
            </w:pP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60" w:type="dxa"/>
            <w:vAlign w:val="bottom"/>
            <w:shd w:val="clear" w:color="auto" w:fill="CFF0FC"/>
          </w:tcPr>
          <w:p>
            <w:pPr>
              <w:spacing w:after="0"/>
              <w:rPr>
                <w:sz w:val="13"/>
                <w:szCs w:val="13"/>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subsequent to</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Reorganization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(3,104)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(12,435)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(15,539)</w:t>
            </w:r>
          </w:p>
        </w:tc>
      </w:tr>
      <w:tr>
        <w:trPr>
          <w:trHeight w:val="143"/>
        </w:trPr>
        <w:tc>
          <w:tcPr>
            <w:tcW w:w="1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61"/>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March 31, 2021</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3"/>
                <w:szCs w:val="13"/>
                <w:color w:val="auto"/>
                <w:w w:val="96"/>
              </w:rPr>
              <w:t>12</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47,436</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67,656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(3,104)</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196,152</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260,763</w:t>
            </w:r>
          </w:p>
        </w:tc>
        <w:tc>
          <w:tcPr>
            <w:tcW w:w="60" w:type="dxa"/>
            <w:vAlign w:val="bottom"/>
            <w:shd w:val="clear" w:color="auto" w:fill="CFF0FC"/>
          </w:tcPr>
          <w:p>
            <w:pPr>
              <w:spacing w:after="0"/>
              <w:rPr>
                <w:sz w:val="14"/>
                <w:szCs w:val="14"/>
                <w:color w:val="auto"/>
              </w:rPr>
            </w:pPr>
          </w:p>
        </w:tc>
      </w:tr>
      <w:tr>
        <w:trPr>
          <w:trHeight w:val="151"/>
        </w:trPr>
        <w:tc>
          <w:tcPr>
            <w:tcW w:w="1280" w:type="dxa"/>
            <w:vAlign w:val="bottom"/>
          </w:tcPr>
          <w:p>
            <w:pPr>
              <w:ind w:left="260"/>
              <w:spacing w:after="0"/>
              <w:rPr>
                <w:sz w:val="20"/>
                <w:szCs w:val="20"/>
                <w:color w:val="auto"/>
              </w:rPr>
            </w:pPr>
            <w:r>
              <w:rPr>
                <w:rFonts w:ascii="Arial" w:cs="Arial" w:eastAsia="Arial" w:hAnsi="Arial"/>
                <w:sz w:val="13"/>
                <w:szCs w:val="13"/>
                <w:color w:val="auto"/>
              </w:rPr>
              <w:t>Accrued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28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28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(192)</w:t>
            </w:r>
          </w:p>
        </w:tc>
      </w:tr>
      <w:tr>
        <w:trPr>
          <w:trHeight w:val="151"/>
        </w:trPr>
        <w:tc>
          <w:tcPr>
            <w:tcW w:w="12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9"/>
        </w:trPr>
        <w:tc>
          <w:tcPr>
            <w:tcW w:w="12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34,576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34,576</w:t>
            </w:r>
          </w:p>
        </w:tc>
        <w:tc>
          <w:tcPr>
            <w:tcW w:w="60" w:type="dxa"/>
            <w:vAlign w:val="bottom"/>
            <w:shd w:val="clear" w:color="auto" w:fill="CFF0FC"/>
          </w:tcPr>
          <w:p>
            <w:pPr>
              <w:spacing w:after="0"/>
              <w:rPr>
                <w:sz w:val="13"/>
                <w:szCs w:val="13"/>
                <w:color w:val="auto"/>
              </w:rPr>
            </w:pPr>
          </w:p>
        </w:tc>
      </w:tr>
      <w:tr>
        <w:trPr>
          <w:trHeight w:val="162"/>
        </w:trPr>
        <w:tc>
          <w:tcPr>
            <w:tcW w:w="12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(3,655)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(14,440)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(18,095)</w:t>
            </w:r>
          </w:p>
        </w:tc>
      </w:tr>
      <w:tr>
        <w:trPr>
          <w:trHeight w:val="143"/>
        </w:trPr>
        <w:tc>
          <w:tcPr>
            <w:tcW w:w="1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61"/>
        </w:trPr>
        <w:tc>
          <w:tcPr>
            <w:tcW w:w="12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June 30, 2021</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3"/>
                <w:szCs w:val="13"/>
                <w:color w:val="auto"/>
                <w:w w:val="96"/>
              </w:rPr>
              <w:t>12</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47,436</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102,040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(6,759)</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181,712</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277,052</w:t>
            </w:r>
          </w:p>
        </w:tc>
        <w:tc>
          <w:tcPr>
            <w:tcW w:w="60" w:type="dxa"/>
            <w:vAlign w:val="bottom"/>
            <w:shd w:val="clear" w:color="auto" w:fill="CFF0FC"/>
          </w:tcPr>
          <w:p>
            <w:pPr>
              <w:spacing w:after="0"/>
              <w:rPr>
                <w:sz w:val="14"/>
                <w:szCs w:val="14"/>
                <w:color w:val="auto"/>
              </w:rPr>
            </w:pPr>
          </w:p>
        </w:tc>
      </w:tr>
      <w:tr>
        <w:trPr>
          <w:trHeight w:val="20"/>
        </w:trPr>
        <w:tc>
          <w:tcPr>
            <w:tcW w:w="12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60" w:type="dxa"/>
            <w:vAlign w:val="bottom"/>
            <w:gridSpan w:val="3"/>
          </w:tcPr>
          <w:p>
            <w:pPr>
              <w:ind w:left="520"/>
              <w:spacing w:after="0"/>
              <w:rPr>
                <w:sz w:val="20"/>
                <w:szCs w:val="20"/>
                <w:color w:val="auto"/>
              </w:rPr>
            </w:pPr>
            <w:r>
              <w:rPr>
                <w:rFonts w:ascii="Arial" w:cs="Arial" w:eastAsia="Arial" w:hAnsi="Arial"/>
                <w:sz w:val="14"/>
                <w:szCs w:val="14"/>
                <w:b w:val="1"/>
                <w:bCs w:val="1"/>
                <w:color w:val="auto"/>
              </w:rPr>
              <w:t>Convertible</w:t>
            </w:r>
          </w:p>
        </w:tc>
        <w:tc>
          <w:tcPr>
            <w:tcW w:w="4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ind w:left="62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3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Preferred Units</w:t>
            </w:r>
          </w:p>
        </w:tc>
        <w:tc>
          <w:tcPr>
            <w:tcW w:w="42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Units</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78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3"/>
                <w:szCs w:val="13"/>
                <w:color w:val="auto"/>
              </w:rPr>
            </w:pPr>
          </w:p>
        </w:tc>
        <w:tc>
          <w:tcPr>
            <w:tcW w:w="78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82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7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6"/>
              </w:rPr>
              <w:t>600</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7,500</w:t>
            </w:r>
          </w:p>
        </w:tc>
        <w:tc>
          <w:tcPr>
            <w:tcW w:w="20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(76,982)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60"/>
              <w:spacing w:after="0"/>
              <w:rPr>
                <w:sz w:val="20"/>
                <w:szCs w:val="20"/>
                <w:color w:val="auto"/>
              </w:rPr>
            </w:pPr>
            <w:r>
              <w:rPr>
                <w:rFonts w:ascii="Arial" w:cs="Arial" w:eastAsia="Arial" w:hAnsi="Arial"/>
                <w:sz w:val="18"/>
                <w:szCs w:val="18"/>
                <w:color w:val="auto"/>
              </w:rPr>
              <w:t>Accrued member tax distributions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780" w:type="dxa"/>
            <w:vAlign w:val="bottom"/>
          </w:tcPr>
          <w:p>
            <w:pPr>
              <w:ind w:left="500"/>
              <w:spacing w:after="0"/>
              <w:rPr>
                <w:sz w:val="20"/>
                <w:szCs w:val="20"/>
                <w:color w:val="auto"/>
              </w:rPr>
            </w:pPr>
            <w:r>
              <w:rPr>
                <w:rFonts w:ascii="Arial" w:cs="Arial" w:eastAsia="Arial" w:hAnsi="Arial"/>
                <w:sz w:val="18"/>
                <w:szCs w:val="18"/>
                <w:color w:val="auto"/>
                <w:w w:val="86"/>
              </w:rPr>
              <w:t>600</w:t>
            </w:r>
          </w:p>
        </w:tc>
        <w:tc>
          <w:tcPr>
            <w:tcW w:w="2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7,500</w:t>
            </w: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92,187</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(77,043)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member tax distributions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7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6"/>
              </w:rPr>
              <w:t>600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7,500</w:t>
            </w:r>
          </w:p>
        </w:tc>
        <w:tc>
          <w:tcPr>
            <w:tcW w:w="20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(32,966)</w:t>
            </w: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Recovery of doubtful accounts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assets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(6,110)</w:t>
            </w: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26,220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16,307</w:t>
            </w:r>
          </w:p>
        </w:tc>
        <w:tc>
          <w:tcPr>
            <w:tcW w:w="120" w:type="dxa"/>
            <w:vAlign w:val="bottom"/>
          </w:tcPr>
          <w:p>
            <w:pPr>
              <w:spacing w:after="0"/>
              <w:rPr>
                <w:sz w:val="19"/>
                <w:szCs w:val="19"/>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(1,753)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(5,126)</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(4,939)</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(9,122)</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(1,831)</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(1,082)</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(958)</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(1,176)</w:t>
            </w: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23,571</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(3,678)</w:t>
            </w: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(3,837)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Paycheck Protection Program Loan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120" w:type="dxa"/>
            <w:vAlign w:val="bottom"/>
            <w:shd w:val="clear" w:color="auto" w:fill="CFF0FC"/>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underwriting discounts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232,500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member tax distributions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(6,805)</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Payment of offering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(2,608)</w:t>
            </w: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223,087</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242,642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13,741</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beginning of period</w:t>
            </w:r>
          </w:p>
        </w:tc>
        <w:tc>
          <w:tcPr>
            <w:tcW w:w="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20" w:type="dxa"/>
            <w:vAlign w:val="bottom"/>
            <w:shd w:val="clear" w:color="auto" w:fill="CFF0FC"/>
          </w:tcPr>
          <w:p>
            <w:pPr>
              <w:spacing w:after="0"/>
              <w:rPr>
                <w:sz w:val="19"/>
                <w:szCs w:val="19"/>
                <w:color w:val="auto"/>
              </w:rPr>
            </w:pPr>
          </w:p>
        </w:tc>
      </w:tr>
      <w:tr>
        <w:trPr>
          <w:trHeight w:val="263"/>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7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252,271</w:t>
            </w:r>
          </w:p>
        </w:tc>
        <w:tc>
          <w:tcPr>
            <w:tcW w:w="2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18,556</w:t>
            </w:r>
          </w:p>
        </w:tc>
        <w:tc>
          <w:tcPr>
            <w:tcW w:w="120" w:type="dxa"/>
            <w:vAlign w:val="bottom"/>
            <w:tcBorders>
              <w:bottom w:val="single" w:sz="8" w:color="CFF0FC"/>
            </w:tcBorders>
          </w:tcPr>
          <w:p>
            <w:pPr>
              <w:spacing w:after="0"/>
              <w:rPr>
                <w:sz w:val="22"/>
                <w:szCs w:val="22"/>
                <w:color w:val="auto"/>
              </w:rPr>
            </w:pPr>
          </w:p>
        </w:tc>
      </w:tr>
      <w:tr>
        <w:trPr>
          <w:trHeight w:val="197"/>
        </w:trPr>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702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16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360</w:t>
            </w:r>
          </w:p>
        </w:tc>
        <w:tc>
          <w:tcPr>
            <w:tcW w:w="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r>
      <w:tr>
        <w:trPr>
          <w:trHeight w:val="219"/>
        </w:trPr>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6"/>
                <w:szCs w:val="16"/>
                <w:color w:val="auto"/>
              </w:rPr>
              <w:t>Stock-based compensation included in capitalized software development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7,556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member tax distributions</w:t>
            </w:r>
          </w:p>
        </w:tc>
        <w:tc>
          <w:tcPr>
            <w:tcW w:w="7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2,445</w:t>
            </w:r>
          </w:p>
        </w:tc>
        <w:tc>
          <w:tcPr>
            <w:tcW w:w="120" w:type="dxa"/>
            <w:vAlign w:val="bottom"/>
            <w:shd w:val="clear" w:color="auto" w:fill="CFF0FC"/>
          </w:tcPr>
          <w:p>
            <w:pPr>
              <w:spacing w:after="0"/>
              <w:rPr>
                <w:sz w:val="18"/>
                <w:szCs w:val="18"/>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6"/>
                <w:szCs w:val="16"/>
                <w:color w:val="auto"/>
              </w:rPr>
              <w:t>Capitalized assets financed by accounts payable and accrued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9"/>
                <w:szCs w:val="19"/>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gain on extinguishment of debt related to Paycheck Protection Program loan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231F20"/>
        </w:rPr>
        <w:t xml:space="preserve">Viant Technology Inc. (the “Company,” “we,” “us,” “our” or “Viant”) was incorporated in the State of Delaware on October 9, 2020 </w:t>
      </w:r>
      <w:r>
        <w:rPr>
          <w:rFonts w:ascii="Arial" w:cs="Arial" w:eastAsia="Arial" w:hAnsi="Arial"/>
          <w:sz w:val="17"/>
          <w:szCs w:val="17"/>
          <w:color w:val="000000"/>
        </w:rPr>
        <w:t>for the purpose</w:t>
      </w:r>
      <w:r>
        <w:rPr>
          <w:rFonts w:ascii="Arial" w:cs="Arial" w:eastAsia="Arial" w:hAnsi="Arial"/>
          <w:sz w:val="17"/>
          <w:szCs w:val="17"/>
          <w:color w:val="231F20"/>
        </w:rPr>
        <w:t xml:space="preserve"> </w:t>
      </w:r>
      <w:r>
        <w:rPr>
          <w:rFonts w:ascii="Arial" w:cs="Arial" w:eastAsia="Arial" w:hAnsi="Arial"/>
          <w:sz w:val="17"/>
          <w:szCs w:val="17"/>
          <w:color w:val="000000"/>
        </w:rPr>
        <w:t xml:space="preserve">of facilitating an Initial Public Offering and other related transactions. </w:t>
      </w:r>
      <w:r>
        <w:rPr>
          <w:rFonts w:ascii="Arial" w:cs="Arial" w:eastAsia="Arial" w:hAnsi="Arial"/>
          <w:sz w:val="17"/>
          <w:szCs w:val="17"/>
          <w:color w:val="231F20"/>
        </w:rPr>
        <w:t>The Company operates a demand side platform (“DSP”), Adelphic, an enterprise</w:t>
      </w:r>
      <w:r>
        <w:rPr>
          <w:rFonts w:ascii="Arial" w:cs="Arial" w:eastAsia="Arial" w:hAnsi="Arial"/>
          <w:sz w:val="17"/>
          <w:szCs w:val="17"/>
          <w:color w:val="000000"/>
        </w:rPr>
        <w:t xml:space="preserve"> </w:t>
      </w:r>
      <w:r>
        <w:rPr>
          <w:rFonts w:ascii="Arial" w:cs="Arial" w:eastAsia="Arial" w:hAnsi="Arial"/>
          <w:sz w:val="17"/>
          <w:szCs w:val="17"/>
          <w:color w:val="231F20"/>
        </w:rPr>
        <w:t>software platform that is used by marketers and their advertising agencies to centralize the planning, buying and measurement of their advertising across channels, including desktop, mobile, connected TV, linear TV, streaming audio and digital billboards.</w:t>
      </w:r>
    </w:p>
    <w:p>
      <w:pPr>
        <w:spacing w:after="0" w:line="17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231F20"/>
        </w:rPr>
        <w:t>On February 9, 2021, the Company’s Form S-1 was declared effective by the SEC related to the IPO of its Class A common stock. The closing date of the IPO was February 12, 2021, and in connection with the closing and the corporate reorganization (the “Reorganization Transactions”), the following actions were taken:</w:t>
      </w:r>
    </w:p>
    <w:p>
      <w:pPr>
        <w:spacing w:after="0" w:line="76" w:lineRule="exact"/>
        <w:rPr>
          <w:sz w:val="20"/>
          <w:szCs w:val="20"/>
          <w:color w:val="auto"/>
        </w:rPr>
      </w:pPr>
    </w:p>
    <w:p>
      <w:pPr>
        <w:ind w:left="1000" w:hanging="493"/>
        <w:spacing w:after="0" w:line="308" w:lineRule="auto"/>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38" w:lineRule="exact"/>
        <w:rPr>
          <w:rFonts w:ascii="Arial" w:cs="Arial" w:eastAsia="Arial" w:hAnsi="Arial"/>
          <w:sz w:val="17"/>
          <w:szCs w:val="17"/>
          <w:color w:val="231F20"/>
        </w:rPr>
      </w:pPr>
    </w:p>
    <w:p>
      <w:pPr>
        <w:ind w:left="1000" w:right="46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5"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Immediately following such reclassification, the continuing members held 48,935,559 Class B units. For each membership unit of Viant Technology LLC that is reclassified as a Class B unit, the Company issued one corresponding share of our Class B common stock to the continuing members, or 48,935,559 shares of Class B common stock in total;</w:t>
      </w:r>
    </w:p>
    <w:p>
      <w:pPr>
        <w:spacing w:after="0" w:line="56" w:lineRule="exact"/>
        <w:rPr>
          <w:rFonts w:ascii="Arial" w:cs="Arial" w:eastAsia="Arial" w:hAnsi="Arial"/>
          <w:sz w:val="16"/>
          <w:szCs w:val="16"/>
          <w:color w:val="auto"/>
        </w:rPr>
      </w:pPr>
    </w:p>
    <w:p>
      <w:pPr>
        <w:ind w:left="1000" w:right="8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issued and sold 10,000,000 shares of its Class A common stock to the underwriters at an initial public offering price of $25.00 per share, for gross proceeds of $250.0 million before deducting underwriting discounts and commissions of $17.5 million;</w:t>
      </w:r>
    </w:p>
    <w:p>
      <w:pPr>
        <w:spacing w:after="0" w:line="38"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jc w:val="both"/>
        <w:ind w:left="1000" w:right="60" w:hanging="493"/>
        <w:spacing w:after="0" w:line="30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underwriters exercised their option to purchase 1,500,000 additional shares of Class A common stock from the selling stockholders.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49" w:lineRule="exact"/>
        <w:rPr>
          <w:rFonts w:ascii="Arial" w:cs="Arial" w:eastAsia="Arial" w:hAnsi="Arial"/>
          <w:sz w:val="16"/>
          <w:szCs w:val="16"/>
          <w:color w:val="auto"/>
        </w:rPr>
      </w:pPr>
    </w:p>
    <w:p>
      <w:pPr>
        <w:ind w:left="1000" w:right="6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initially had 80.5% and 19.5%, respectively, of the combined voting power of the Company’s common stock. The Class A common stock outstanding will represent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63"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 entered into a Registration Rights Agreement with the Class B stockholders to provide for certain rights and restrictions after the IPO; and</w:t>
      </w:r>
    </w:p>
    <w:p>
      <w:pPr>
        <w:spacing w:after="0" w:line="62" w:lineRule="exact"/>
        <w:rPr>
          <w:rFonts w:ascii="Arial" w:cs="Arial" w:eastAsia="Arial" w:hAnsi="Arial"/>
          <w:sz w:val="18"/>
          <w:szCs w:val="18"/>
          <w:color w:val="231F20"/>
        </w:rPr>
      </w:pPr>
    </w:p>
    <w:p>
      <w:pPr>
        <w:ind w:left="1000" w:right="140" w:hanging="493"/>
        <w:spacing w:after="0" w:line="277" w:lineRule="auto"/>
        <w:tabs>
          <w:tab w:leader="none" w:pos="10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2020 Equity Based Incentive Compensation Plan (the “Phantom Unit Plan”) under Viant Technology LLC, was terminated and replaced in conjunction with the adoption of the Company’s 2021 Long Term Incentive Plan (the “LTIP”)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 w:name="page9"/>
    <w:bookmarkEnd w:id="8"/>
    <w:p>
      <w:pPr>
        <w:ind w:firstLine="510"/>
        <w:spacing w:after="0" w:line="254" w:lineRule="auto"/>
        <w:rPr>
          <w:sz w:val="20"/>
          <w:szCs w:val="20"/>
          <w:color w:val="auto"/>
        </w:rPr>
      </w:pPr>
      <w:r>
        <w:rPr>
          <w:rFonts w:ascii="Arial" w:cs="Arial" w:eastAsia="Arial" w:hAnsi="Arial"/>
          <w:sz w:val="18"/>
          <w:szCs w:val="18"/>
          <w:color w:val="auto"/>
        </w:rPr>
        <w:t>Immediately following the closing of the IPO, Viant Technology LLC is the predecessor of the Company for financial reporting purposes. The Company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will consolidate Viant Technology LLC on its condensed consolidated financial statements and record a noncontrolling interest related to the Class B units held by the Class B stockholders on its condensed consolidated balance sheet and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accompanying condensed consolidated financial statements are prepared in accordance with accounting principles generally accepted in the United States of America (“GAAP”) for interim financial information which are unaudited and include the operations of the Company, Viant Technology LLC and its wholly owned subsidiaries. Viant Technology LLC is considered a variable interest entity, or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53"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Viant Technology LLC has been determined to be the predecessor for accounting purposes and, accordingly, the condensed consolidated financial statements for periods prior to the IPO and the related organizational transactions have been adjusted to combine the previously separate entities for presentation purposes. Amounts for the period from January 1, 2020 through February 11, 2021 presented in the condensed consolidated financial statements and notes to condensed consolidated financial statements herein represent the historical operations of Viant Technology LLC. The amounts as of June 30, 2021 and for the period from February 12, 2021 reflect the consolidated operations of the Company.</w:t>
      </w:r>
    </w:p>
    <w:p>
      <w:pPr>
        <w:spacing w:after="0" w:line="6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Management believes that the accompanying condensed consolidated financial statements reflect all adjustments necessary for the fair statement of its condensed consolidated balance sheet as of June 30, 2021, results of operations for the three and six months ended June 30, 2021 and 2020, and cash flows for the six months ended June 30, 2021 and 2020. The condensed consolidated balance sheet as of December 31, 2020 was derived from the audited annual financial statements but does not contain all of the footnote disclosures from the annual financial statements. Certain information and disclosures normally included in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2020.</w:t>
      </w:r>
    </w:p>
    <w:p>
      <w:pPr>
        <w:spacing w:after="0" w:line="6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condensed consolidated results of operations for the three and six months ended June 30, 2021 are not necessarily indicative of the results to be expected for the year ending December 31, 2021, or for any other future annual or interim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231F20"/>
        </w:rPr>
        <w:t xml:space="preserve">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Arial" w:cs="Arial" w:eastAsia="Arial" w:hAnsi="Arial"/>
          <w:sz w:val="18"/>
          <w:szCs w:val="18"/>
          <w:color w:val="000000"/>
        </w:rPr>
        <w:t>On an on-going basis, management evaluates its</w:t>
      </w:r>
      <w:r>
        <w:rPr>
          <w:rFonts w:ascii="Arial" w:cs="Arial" w:eastAsia="Arial" w:hAnsi="Arial"/>
          <w:sz w:val="18"/>
          <w:szCs w:val="18"/>
          <w:color w:val="231F20"/>
        </w:rPr>
        <w:t xml:space="preserve"> </w:t>
      </w:r>
      <w:r>
        <w:rPr>
          <w:rFonts w:ascii="Arial" w:cs="Arial" w:eastAsia="Arial" w:hAnsi="Arial"/>
          <w:sz w:val="18"/>
          <w:szCs w:val="18"/>
          <w:color w:val="000000"/>
        </w:rPr>
        <w:t>estimates, primarily those related to revenue recognition, stock-based compensation, income taxes, allowances for doubtful accounts, the useful lives of capitalized software development costs and other property, equipment and software, assumptions used in the impairment analyses of long-lived assets and goodwill, deferred revenue and accrued liabilities.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96"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As of June 30, 2021,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231F20"/>
        </w:rPr>
        <w:t>Financial instruments consist of cash, accounts receivable, accounts payable, accrued liabilities and debt. The carrying amounts of the Company’s current financial assets and current financial liabilities are considered to be representative of their respective fair values because of the short-term nature of those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Stock-based compensation relates to equity awards granted under the Company’s 2021 LTIP, which is measured and recognized in the condensed consolidated financial statements based on the fair value of the equity awards granted. Since inception of the 2021 LTIP, the Company has only granted restricted stock units (“RSUs”) and nonqualified stock options. The fair value of RSUs is calculated using the closing market price of the Company’s common stock on the date of grant. The fair value of non-qualified stock options is estimated using the Black Scholes option pricing model. The Black Scholes option pricing model is impacted by the fair value of the Company’s common stock, as well as changes in certain assumptions, including but not limited to, the expected common stock price volatility over the term of the nonqualified stock options, the expected term of the nonqualified stock options, the risk-free interest rate, and the expected dividend yield.</w:t>
      </w:r>
    </w:p>
    <w:p>
      <w:pPr>
        <w:spacing w:after="0" w:line="69" w:lineRule="exact"/>
        <w:rPr>
          <w:sz w:val="20"/>
          <w:szCs w:val="20"/>
          <w:color w:val="auto"/>
        </w:rPr>
      </w:pPr>
    </w:p>
    <w:p>
      <w:pPr>
        <w:jc w:val="both"/>
        <w:ind w:right="40" w:firstLine="510"/>
        <w:spacing w:after="0" w:line="329" w:lineRule="auto"/>
        <w:rPr>
          <w:sz w:val="20"/>
          <w:szCs w:val="20"/>
          <w:color w:val="auto"/>
        </w:rPr>
      </w:pPr>
      <w:r>
        <w:rPr>
          <w:rFonts w:ascii="Arial" w:cs="Arial" w:eastAsia="Arial" w:hAnsi="Arial"/>
          <w:sz w:val="16"/>
          <w:szCs w:val="16"/>
          <w:color w:val="auto"/>
        </w:rPr>
        <w:t>A portion of RSUs granted as of June 30, 2021 to certain employees and board members, pursuant to the 2021 LTIP, will vest upon expiration of the 180 day IPO lock-up period and the remainder of RSUs and nonqualified stock options will vest through the applicable vesting dates, subject to continued employment for employee grants. RSUs awarded to board members will vest quarterly and annually through the applicable vesting dates.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periods presented, net income (loss) is equal to comprehensive income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noncontrolling interests represent the economic interests of Viant Technology LLC held by Class B common stockholders. Income or loss is attributed to the noncontrolling interests based on the weighted average LLC interests outstanding during the period. The noncontrolling interests’ ownership percentage can fluctuate over time as the Class B common stockholders elect to exchange their shares of Class B common stock for Class A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 xml:space="preserve">Basic earnings (loss) per share is calculated by dividing the earnings (loss) attributable to Class A common stockholders by the number of weighted-average shares of Class A common stock outstanding. </w:t>
      </w:r>
      <w:r>
        <w:rPr>
          <w:rFonts w:ascii="Arial" w:cs="Arial" w:eastAsia="Arial" w:hAnsi="Arial"/>
          <w:sz w:val="16"/>
          <w:szCs w:val="16"/>
          <w:color w:val="231F20"/>
        </w:rPr>
        <w:t>The Company’s RSUs, nonqualified stock options and shares of Class B common stock do</w:t>
      </w:r>
      <w:r>
        <w:rPr>
          <w:rFonts w:ascii="Arial" w:cs="Arial" w:eastAsia="Arial" w:hAnsi="Arial"/>
          <w:sz w:val="16"/>
          <w:szCs w:val="16"/>
          <w:color w:val="auto"/>
        </w:rPr>
        <w:t xml:space="preserve"> </w:t>
      </w:r>
      <w:r>
        <w:rPr>
          <w:rFonts w:ascii="Arial" w:cs="Arial" w:eastAsia="Arial" w:hAnsi="Arial"/>
          <w:sz w:val="16"/>
          <w:szCs w:val="16"/>
          <w:color w:val="231F20"/>
        </w:rPr>
        <w:t>not share in the earnings or losses of the Company and are therefore not participating securities. As such, separate presentation of basic and diluted earnings (loss) per share of RSUs, nonqualified stock options and Class B common stock under the two-class method has not been presented.</w:t>
      </w:r>
    </w:p>
    <w:p>
      <w:pPr>
        <w:spacing w:after="0" w:line="15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Diluted earnings (loss) per share adjusts the basic earnings (loss) per share calculation for the potential dilutive impact of common shares such as equity awards using the treasury-stock method. Diluted earnings (loss)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however, related amounts have been excluded from the computation of diluted earnings (loss) per share of Class A common stock because the effect would have been anti-dilutive under the if-converted method.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Unit</w:t>
      </w:r>
    </w:p>
    <w:p>
      <w:pPr>
        <w:spacing w:after="0" w:line="225"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Basic earnings (loss) per unit is calculated by dividing the earnings (loss) attributable to common unitholders by the number of weighted-average common units outstanding. The Company applies the two-class method to allocate earnings between common and convertible preferred units.</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Diluted earnings (loss) per unit adjusts the basic earnings (loss) per unit attributable to common unitholders and the weighted-average number of units of common units outstanding for the potential dilutive impact of common units, using the treasury-stock method, and convertible preferred units using the if-converted method. Diluted earnings (loss) per unit considers the impact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potentially dilutive securities except in periods in which there is a loss because the inclusion of the potential common units would have an anti-dilutive effect.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changes in the allowance for doubtful accounts for the three and six months ended June 30, 2021:</w:t>
      </w:r>
    </w:p>
    <w:p>
      <w:pPr>
        <w:sectPr>
          <w:pgSz w:w="11900" w:h="16838" w:orient="portrait"/>
          <w:cols w:equalWidth="0" w:num="1">
            <w:col w:w="11180"/>
          </w:cols>
          <w:pgMar w:left="320" w:top="557" w:right="3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-124460</wp:posOffset>
            </wp:positionV>
            <wp:extent cx="42773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Recovery of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21590</wp:posOffset>
            </wp:positionV>
            <wp:extent cx="427736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Write-offs, net of recoveries</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Recovery of doubtful accounts</w:t>
      </w:r>
    </w:p>
    <w:p>
      <w:pPr>
        <w:spacing w:after="0" w:line="3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Balance as of June 30,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14" w:lineRule="exact"/>
        <w:rPr>
          <w:sz w:val="20"/>
          <w:szCs w:val="20"/>
          <w:color w:val="auto"/>
        </w:rPr>
      </w:pPr>
    </w:p>
    <w:p>
      <w:pPr>
        <w:sectPr>
          <w:pgSz w:w="11900" w:h="16838" w:orient="portrait"/>
          <w:cols w:equalWidth="0" w:num="2">
            <w:col w:w="5880" w:space="720"/>
            <w:col w:w="4580"/>
          </w:cols>
          <w:pgMar w:left="320" w:top="557" w:right="399" w:bottom="1440" w:gutter="0" w:footer="0" w:header="0"/>
          <w:type w:val="continuous"/>
        </w:sectPr>
      </w:pPr>
    </w:p>
    <w:p>
      <w:pPr>
        <w:ind w:right="340" w:firstLine="510"/>
        <w:spacing w:after="0" w:line="259" w:lineRule="auto"/>
        <w:rPr>
          <w:sz w:val="20"/>
          <w:szCs w:val="20"/>
          <w:color w:val="auto"/>
        </w:rPr>
      </w:pPr>
      <w:r>
        <w:rPr>
          <w:rFonts w:ascii="Arial" w:cs="Arial" w:eastAsia="Arial" w:hAnsi="Arial"/>
          <w:sz w:val="18"/>
          <w:szCs w:val="18"/>
          <w:color w:val="auto"/>
        </w:rPr>
        <w:t>Deferred offering costs consisted primarily of accounting, legal, and other costs related to our IPO. As of December 31, 2020, the Company capitalized $2.2 million of deferred offering costs within prepaid expenses and other current assets in the condensed consolidated balance sheet. Upon consummation of the IPO which occurred in February 2021, total deferred offering costs of $4.3 million were reclassified as additional paid-in capital within stockholders’ equity and recorded against the proceeds from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accounts receivable. The Company maintains its cash with financial institutions and its cash levels exceed the Federal Deposit Insurance Corporation (FDIC) federally insured limits. Accounts receivable include amounts due from customers with principal operations primarily in the United States.</w:t>
      </w:r>
    </w:p>
    <w:p>
      <w:pPr>
        <w:spacing w:after="0" w:line="5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of June 30, 2021, no individual customers accounted for 10% of consolidated accounts receivable. As of December 31, 2020, one individual customer accounted for 13.7% of consolidated accounts receivable. For the three months ended June 30, 2021, no individual customers accounted for more than 10% of consolidated revenue. For the three months ended June 30, 2020, two individual customers accounted 13.8% and 12.8% of consolidated revenue, respectively. For the three months ended June 30, 2021, two advertising agency holding companies accounted for 14.7% and 10.0% of consolidated revenue, respectively. For the three months ended June 30, 2020, two advertising agency holding companies accounted for 16.4% and 16.2% of consolidated revenue, respectively. For the six months ended June 30, 2021, one individual customer accounted for 11.3% of consolidated revenue. For the six months ended June 30, 2020, no individual customers accounted for more than 10% of consolidated revenue. For the six months ended June 30, 2021, one advertising agency holding company accounted for 14.2% of consolidated revenue. For the six months ended June 30, 2020, two advertising agency holding companies accounted for 14.9% and 12.3% of consolidated revenue, respectively. As of June 30, 2021, one individual supplier accounted for 16.4% of consolidated accounts payable and accrued liabilities. As of December 31, 2020, three suppliers accounted for 15.5%, 11.5%, and 10.9% of consolidated accounts payable and accrued liabilities,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33"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is the managing member of Viant Technology LLC and, as a result, consolidates the financial results of Viant Technology LLC in the unaudited condensed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Viant Technology Inc.'s 19.5% economic interest in Viant Technology LLC.</w:t>
      </w:r>
    </w:p>
    <w:p>
      <w:pPr>
        <w:spacing w:after="0" w:line="28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(“DTAs” and “DTLs”) for the expected future tax consequences of events that have been included in the financial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type w:val="continuous"/>
        </w:sectPr>
      </w:pPr>
    </w:p>
    <w:bookmarkStart w:id="11" w:name="page12"/>
    <w:bookmarkEnd w:id="11"/>
    <w:p>
      <w:pPr>
        <w:ind w:right="20"/>
        <w:spacing w:after="0" w:line="272" w:lineRule="auto"/>
        <w:rPr>
          <w:sz w:val="20"/>
          <w:szCs w:val="20"/>
          <w:color w:val="auto"/>
        </w:rPr>
      </w:pPr>
      <w:r>
        <w:rPr>
          <w:rFonts w:ascii="Arial" w:cs="Arial" w:eastAsia="Arial" w:hAnsi="Arial"/>
          <w:sz w:val="17"/>
          <w:szCs w:val="17"/>
          <w:color w:val="auto"/>
        </w:rPr>
        <w:t>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spacing w:after="0" w:line="28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333"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Class B units as direct purchases of LLC interests for U.S. federal income tax purposes. These increases in tax basis may reduce the amounts that Viant Technology Inc. would otherwise pay in the future to various taxing authorities. They may also decrease gains (or increase losses) on future dispositions of certain capital assets to the extent tax basis is allocated to those capital assets.</w:t>
      </w:r>
    </w:p>
    <w:p>
      <w:pPr>
        <w:spacing w:after="0" w:line="27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connection with the IPO, the Company entered into a Tax Receivable Agreement (“TRA”) with Viant Technology LLC and the holders of Class B units of Viant Technology LLC (the “Members”).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computed by calculating the income taxes due, including 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spacing w:after="0" w:line="293"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timing and amount of aggregate payments due under the TRA may vary based on a number of factors, including the amount and timing of the taxable income the Company generates each year and the tax rate then applicable. The Company calculates the liability under the TRA using a TRA model, which includes an assumption related to the fair market value of assets. The payment obligations under the TRA are obligations of Viant Technology Inc.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plus 500 basis points from the due date (without extensions) of such tax return.</w:t>
      </w:r>
    </w:p>
    <w:p>
      <w:pPr>
        <w:spacing w:after="0" w:line="286"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Issued Accounting Pronouncements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On April 5, 2012, the Jumpstart Our Business Startups Act (the “JOBS Act”) was signed into law. The JOBS Act contains provisions that, among other things, reduce certain reporting requirements for qualifying public companies. As an “emerging growth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right="20"/>
        <w:spacing w:after="0" w:line="275" w:lineRule="auto"/>
        <w:rPr>
          <w:sz w:val="20"/>
          <w:szCs w:val="20"/>
          <w:color w:val="auto"/>
        </w:rPr>
      </w:pPr>
      <w:r>
        <w:rPr>
          <w:rFonts w:ascii="Arial" w:cs="Arial" w:eastAsia="Arial" w:hAnsi="Arial"/>
          <w:sz w:val="17"/>
          <w:szCs w:val="17"/>
          <w:color w:val="auto"/>
        </w:rPr>
        <w:t>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76"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(Topic 842),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In March 2019, the FASB issued ASU No. 2019-01 which made further targeted improvements including clarification regarding the determination of fair value of lease assets and liabilities and statement of cash flows and presentation guidance. In June 2020, FASB issued ASU 2020-05, which extended the effective date of this guidance for non-public entities to fiscal years beginning after December 15, 2021. As a part of the Company’s election under the JOBS Act, the guidance is effective for the Company’s annual reporting period beginning after December 15, 2021 and interim reporting periods within the annual period beginning after December 15, 2022. The Company is currently assessing the impact this guidance will have on the condensed consolidated financial statements.</w:t>
      </w:r>
    </w:p>
    <w:p>
      <w:pPr>
        <w:spacing w:after="0" w:line="18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In June 2016, the FASB issued ASU No. 2016-13, Financial Instruments—Credit Losses (Topic 326). ASU 2016-13 revises the impairment model to utilize an expected loss methodology in place of the currently used 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and interim reporting periods within that annual reporting period. The Company does not expect the adoption of this ASU to have a material impact on the condensed consolidated financial statements.</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October 2020, the FASB issued ASU No. 2020-10, Codification Improvements</w:t>
      </w:r>
      <w:r>
        <w:rPr>
          <w:rFonts w:ascii="Arial" w:cs="Arial" w:eastAsia="Arial" w:hAnsi="Arial"/>
          <w:sz w:val="18"/>
          <w:szCs w:val="18"/>
          <w:i w:val="1"/>
          <w:iCs w:val="1"/>
          <w:color w:val="auto"/>
        </w:rPr>
        <w:t>,</w:t>
      </w:r>
      <w:r>
        <w:rPr>
          <w:rFonts w:ascii="Arial" w:cs="Arial" w:eastAsia="Arial" w:hAnsi="Arial"/>
          <w:sz w:val="18"/>
          <w:szCs w:val="18"/>
          <w:color w:val="auto"/>
        </w:rPr>
        <w:t xml:space="preserve">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The Company is currently assessing the impact this guidance will have on the condensed consolidated financial statements.</w:t>
      </w:r>
    </w:p>
    <w:p>
      <w:pPr>
        <w:spacing w:after="0" w:line="18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The purpose of ASU 2021-04 is to clarify and reduce diversity in an issuer’s accounting for modifications or exchanges of freestanding equity-classified written call options that remain equity classified after modification or exchange. The ASU requires issuers to account for modifications or exchanges of freestanding equity-classified written call options that remain equity classified after the modification or exchange based on the economic substance of the modification or exchange. In accordance with ASU 2021-04, an issuer determines the accounting for the modification or exchange based on whether the transaction was done to issue equity, to issue or modify debt, or for other reasons. The guidance is effective for the Company’s annual reporting period beginning after December 15, 2021 and interim reporting periods within that annual reporting period. The Company is currently assessing the impact this guidance will have on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Adopted Accounting Pronouncements</w:t>
      </w:r>
    </w:p>
    <w:p>
      <w:pPr>
        <w:spacing w:after="0" w:line="225"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 September 2018, the FASB issued ASU No. 2018-15, Intangibles—Goodwill and Other—Internal-Use Software (Subtopic 350-40): Customer’s Accounting for Implementation Costs Incurred in a Cloud Computing Arrangement That Is a Service Contract (a consensus of the FASB Emerging Issues Task Force), which aligns the requirements for capitalizing implementation costs incurred in a hosting arrangement that is a service contract with the requirements for capitalizing implementation costs incurred to develop or obtain internal-use software. Early adoption is permitted and can be applied prospectively to all implementation costs incurred after the date of adoption or retrospectively. This guidance is effective for the Company’s annual reporting period beginning 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40"/>
        <w:spacing w:after="0" w:line="277" w:lineRule="auto"/>
        <w:rPr>
          <w:sz w:val="20"/>
          <w:szCs w:val="20"/>
          <w:color w:val="auto"/>
        </w:rPr>
      </w:pPr>
      <w:r>
        <w:rPr>
          <w:rFonts w:ascii="Arial" w:cs="Arial" w:eastAsia="Arial" w:hAnsi="Arial"/>
          <w:sz w:val="18"/>
          <w:szCs w:val="18"/>
          <w:color w:val="auto"/>
        </w:rPr>
        <w:t>December 15, 2020. The Company adopted this ASU prospectively on January 1, 2021, and the adoption of this ASU did not have a material impact on the condensed consolidated financial statements.</w:t>
      </w:r>
    </w:p>
    <w:p>
      <w:pPr>
        <w:spacing w:after="0" w:line="170"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ASU 2019-12 removes certain exceptions to the general principles in Topic 740 and also clarifies and amends existing guidance to improve consistent application. This guidance is effective for the Company’s annual reporting period beginning after December 15, 2020. The Company adopted ASU 2019-12 prospectively on January 1, 2021, and the adoption of this ASU did not have a material impact on the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disaggregation of revenue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3"/>
          </w:tcPr>
          <w:p>
            <w:pPr>
              <w:jc w:val="right"/>
              <w:ind w:right="530"/>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Over-time revenue</w:t>
            </w:r>
          </w:p>
        </w:tc>
        <w:tc>
          <w:tcPr>
            <w:tcW w:w="18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14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6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FF0FC"/>
          </w:tcPr>
          <w:p>
            <w:pPr>
              <w:spacing w:after="0"/>
              <w:rPr>
                <w:sz w:val="19"/>
                <w:szCs w:val="19"/>
                <w:color w:val="auto"/>
              </w:rPr>
            </w:pPr>
          </w:p>
        </w:tc>
      </w:tr>
      <w:tr>
        <w:trPr>
          <w:trHeight w:val="229"/>
        </w:trPr>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Point-in-time revenue</w:t>
            </w:r>
          </w:p>
        </w:tc>
        <w:tc>
          <w:tcPr>
            <w:tcW w:w="8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49,306</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29,354</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88,346</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66,242</w:t>
            </w:r>
          </w:p>
        </w:tc>
        <w:tc>
          <w:tcPr>
            <w:tcW w:w="80" w:type="dxa"/>
            <w:vAlign w:val="bottom"/>
            <w:tcBorders>
              <w:bottom w:val="single" w:sz="8" w:color="CFF0FC"/>
            </w:tcBorders>
          </w:tcPr>
          <w:p>
            <w:pPr>
              <w:spacing w:after="0"/>
              <w:rPr>
                <w:sz w:val="19"/>
                <w:szCs w:val="19"/>
                <w:color w:val="auto"/>
              </w:rPr>
            </w:pPr>
          </w:p>
        </w:tc>
      </w:tr>
      <w:tr>
        <w:trPr>
          <w:trHeight w:val="223"/>
        </w:trPr>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50,411</w:t>
            </w: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30,425</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90,555</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231F20"/>
        </w:rPr>
        <w:t>Remaining performance obligations for contracts with an original expected duration of greater than one year amounted to $</w:t>
      </w:r>
      <w:r>
        <w:rPr>
          <w:rFonts w:ascii="Arial" w:cs="Arial" w:eastAsia="Arial" w:hAnsi="Arial"/>
          <w:sz w:val="18"/>
          <w:szCs w:val="18"/>
          <w:color w:val="000000"/>
        </w:rPr>
        <w:t>7.3</w:t>
      </w:r>
      <w:r>
        <w:rPr>
          <w:rFonts w:ascii="Arial" w:cs="Arial" w:eastAsia="Arial" w:hAnsi="Arial"/>
          <w:sz w:val="18"/>
          <w:szCs w:val="18"/>
          <w:color w:val="231F20"/>
        </w:rPr>
        <w:t xml:space="preserve"> million and $9.2 million as of June 30, 2021 and December 31, 2020, respectively, which primarily relate to deferred revenue and analytic services. As of June 30, 2021 and December 31, 2020, $1.6 million and $3.6 million, respectively, is expected to be recognized within one year, with the remaining amounts expected to be recognized thereafter.</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231F20"/>
        </w:rPr>
        <w:t>During the six months ended June 30, 2021, we recognized $</w:t>
      </w:r>
      <w:r>
        <w:rPr>
          <w:rFonts w:ascii="Arial" w:cs="Arial" w:eastAsia="Arial" w:hAnsi="Arial"/>
          <w:sz w:val="16"/>
          <w:szCs w:val="16"/>
          <w:color w:val="000000"/>
        </w:rPr>
        <w:t>1.1</w:t>
      </w:r>
      <w:r>
        <w:rPr>
          <w:rFonts w:ascii="Arial" w:cs="Arial" w:eastAsia="Arial" w:hAnsi="Arial"/>
          <w:sz w:val="16"/>
          <w:szCs w:val="16"/>
          <w:color w:val="231F20"/>
        </w:rPr>
        <w:t xml:space="preserve"> million of revenue related to amounts that were included in deferred revenue as of December 31, 2020. The revenue recognized from the contract liabilities consisted of the Company satisfying performance obligations during the normal course of business. Deferred revenue that is anticipated to be recognized during the succeeding 12-month period is recorded in the current portion of deferred revenue and the remaining amount is recorded as non-current portion of deferred revenue within the condensed consolidated balance sheets.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Property, Equipment and Software,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Major classes of property, equipment and software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55"/>
        </w:trPr>
        <w:tc>
          <w:tcPr>
            <w:tcW w:w="53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116"/>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6"/>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43,627</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equipment and software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48,436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(39,035)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(34,607)</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equipment and software, net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Depreciation recorded in the condensed consolidated statements of operations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Platform operations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3,344</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00" w:type="dxa"/>
            <w:vAlign w:val="bottom"/>
            <w:vMerge w:val="restart"/>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40" w:firstLine="749"/>
        <w:spacing w:after="0" w:line="263" w:lineRule="auto"/>
        <w:rPr>
          <w:sz w:val="20"/>
          <w:szCs w:val="20"/>
          <w:color w:val="auto"/>
        </w:rPr>
      </w:pPr>
      <w:r>
        <w:rPr>
          <w:rFonts w:ascii="Arial" w:cs="Arial" w:eastAsia="Arial" w:hAnsi="Arial"/>
          <w:sz w:val="18"/>
          <w:szCs w:val="18"/>
          <w:color w:val="auto"/>
        </w:rPr>
        <w:t>For the three months ended June 30, 2021 and 2020, total interest cost incurred was $0.2 million and $0.3 million, respectively. For the six months ended June 30, 2021 and 2020, total interest cost incurred was $0.5 million and $0.6 million, respectively. Interest costs capitalized during the three and six months ended June 30, 2021 and 2020 were de minimis.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balances of intangibles assets and accumulated amortization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As of June 30, 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(3,819)</w:t>
            </w: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301"/>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06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(3,469)</w:t>
            </w: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30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06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recorded in the condensed consolidated statements of operations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2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Platform operations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6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 xml:space="preserve">Estimated future </w:t>
      </w:r>
      <w:r>
        <w:rPr>
          <w:rFonts w:ascii="Arial" w:cs="Arial" w:eastAsia="Arial" w:hAnsi="Arial"/>
          <w:sz w:val="18"/>
          <w:szCs w:val="18"/>
          <w:color w:val="000000"/>
        </w:rPr>
        <w:t>amortization</w:t>
      </w:r>
      <w:r>
        <w:rPr>
          <w:rFonts w:ascii="Arial" w:cs="Arial" w:eastAsia="Arial" w:hAnsi="Arial"/>
          <w:sz w:val="18"/>
          <w:szCs w:val="18"/>
          <w:color w:val="231F20"/>
        </w:rPr>
        <w:t xml:space="preserve"> of intangible assets as of June 30, 2021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Year</w:t>
            </w:r>
          </w:p>
        </w:tc>
        <w:tc>
          <w:tcPr>
            <w:tcW w:w="3040" w:type="dxa"/>
            <w:vAlign w:val="bottom"/>
          </w:tcPr>
          <w:p>
            <w:pPr>
              <w:spacing w:after="0"/>
              <w:rPr>
                <w:sz w:val="14"/>
                <w:szCs w:val="14"/>
                <w:color w:val="auto"/>
              </w:rPr>
            </w:pPr>
          </w:p>
        </w:tc>
        <w:tc>
          <w:tcPr>
            <w:tcW w:w="13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3"/>
              </w:rPr>
              <w:t>As of June 30, 2021</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gridSpan w:val="2"/>
            <w:vMerge w:val="continue"/>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40" w:type="dxa"/>
            <w:vAlign w:val="bottom"/>
            <w:vMerge w:val="restart"/>
          </w:tcPr>
          <w:p>
            <w:pPr>
              <w:jc w:val="right"/>
              <w:ind w:right="181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231F20"/>
        </w:rPr>
        <w:t>6.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Company’s accrued liabilities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119"/>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right"/>
              <w:ind w:right="698"/>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Accrued traffic acquisition costs</w:t>
            </w:r>
          </w:p>
        </w:tc>
        <w:tc>
          <w:tcPr>
            <w:tcW w:w="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17,276</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19,440</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231F20"/>
              </w:rPr>
              <w:t>7. Long-Term Debt and Revolving Credit Facility</w:t>
            </w: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ind w:left="520"/>
              <w:spacing w:after="0"/>
              <w:rPr>
                <w:sz w:val="20"/>
                <w:szCs w:val="20"/>
                <w:color w:val="auto"/>
              </w:rPr>
            </w:pPr>
            <w:r>
              <w:rPr>
                <w:rFonts w:ascii="Arial" w:cs="Arial" w:eastAsia="Arial" w:hAnsi="Arial"/>
                <w:sz w:val="18"/>
                <w:szCs w:val="18"/>
                <w:color w:val="231F20"/>
              </w:rPr>
              <w:t>The Company’s debt and revolving credit facilities consisted of the following:</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119"/>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right"/>
              <w:ind w:right="698"/>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Paycheck Protection Program Loan</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231F20"/>
        </w:rPr>
        <w:t xml:space="preserve">As of December 31, 2020, the current portion of long-term debt related to the Paycheck Protection Program (“PPP”) Loan. The carrying value of the revolving credit facility as of June 30, 2021 and December 31, 2020 approximated its fair value </w:t>
      </w:r>
      <w:r>
        <w:rPr>
          <w:rFonts w:ascii="Arial" w:cs="Arial" w:eastAsia="Arial" w:hAnsi="Arial"/>
          <w:sz w:val="16"/>
          <w:szCs w:val="16"/>
          <w:color w:val="000000"/>
        </w:rPr>
        <w:t>as the interest rate is variable and approximates prevailing</w:t>
      </w:r>
      <w:r>
        <w:rPr>
          <w:rFonts w:ascii="Arial" w:cs="Arial" w:eastAsia="Arial" w:hAnsi="Arial"/>
          <w:sz w:val="16"/>
          <w:szCs w:val="16"/>
          <w:color w:val="231F20"/>
        </w:rPr>
        <w:t xml:space="preserve"> </w:t>
      </w:r>
      <w:r>
        <w:rPr>
          <w:rFonts w:ascii="Arial" w:cs="Arial" w:eastAsia="Arial" w:hAnsi="Arial"/>
          <w:sz w:val="16"/>
          <w:szCs w:val="16"/>
          <w:color w:val="000000"/>
        </w:rPr>
        <w:t xml:space="preserve">market interest rates for similar debt arrangements. </w:t>
      </w:r>
      <w:r>
        <w:rPr>
          <w:rFonts w:ascii="Arial" w:cs="Arial" w:eastAsia="Arial" w:hAnsi="Arial"/>
          <w:sz w:val="16"/>
          <w:szCs w:val="16"/>
          <w:color w:val="231F20"/>
        </w:rPr>
        <w:t>The carrying value of the PPP Loan as of December 31, 2020 approximated its fair value which was</w:t>
      </w:r>
      <w:r>
        <w:rPr>
          <w:rFonts w:ascii="Arial" w:cs="Arial" w:eastAsia="Arial" w:hAnsi="Arial"/>
          <w:sz w:val="16"/>
          <w:szCs w:val="16"/>
          <w:color w:val="000000"/>
        </w:rPr>
        <w:t xml:space="preserve"> </w:t>
      </w:r>
      <w:r>
        <w:rPr>
          <w:rFonts w:ascii="Arial" w:cs="Arial" w:eastAsia="Arial" w:hAnsi="Arial"/>
          <w:sz w:val="16"/>
          <w:szCs w:val="16"/>
          <w:color w:val="231F20"/>
        </w:rPr>
        <w:t xml:space="preserve">estimated using </w:t>
      </w:r>
      <w:r>
        <w:rPr>
          <w:rFonts w:ascii="Arial" w:cs="Arial" w:eastAsia="Arial" w:hAnsi="Arial"/>
          <w:sz w:val="16"/>
          <w:szCs w:val="16"/>
          <w:color w:val="000000"/>
        </w:rPr>
        <w:t>quoted market prices, based on estimated incremental borrowing rates for similar types of borrowing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PPP Loan</w:t>
      </w:r>
    </w:p>
    <w:p>
      <w:pPr>
        <w:spacing w:after="0" w:line="5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 xml:space="preserve">On April 14, 2020, the Company received the proceeds from a loan in the amount of approximately $6.0 million (the “PPP Loan”) from PNC Bank, as lender, pursuant to the PPP of the Coronavirus Aid, Relief, and Economic Security Act. The Company accounted for the PPP Loan as a financial liability in accordance with ASC Topic 470, Debt. Accordingly, the PPP Loan was recognized within long-term debt and current portion of long-term debt in the Company’s consolidated balance sheet and the related accrued interest was included within accrued liabilities in the Company’s consolidated balance sheet as of December 31, 2020. In June 2021, </w:t>
      </w:r>
      <w:r>
        <w:rPr>
          <w:rFonts w:ascii="Arial" w:cs="Arial" w:eastAsia="Arial" w:hAnsi="Arial"/>
          <w:sz w:val="16"/>
          <w:szCs w:val="16"/>
          <w:color w:val="000000"/>
        </w:rPr>
        <w:t>the Company received notice of forgiveness of the PPP Loan in whole, including all accrued unpaid interest. The</w:t>
      </w:r>
      <w:r>
        <w:rPr>
          <w:rFonts w:ascii="Arial" w:cs="Arial" w:eastAsia="Arial" w:hAnsi="Arial"/>
          <w:sz w:val="16"/>
          <w:szCs w:val="16"/>
          <w:color w:val="231F20"/>
        </w:rPr>
        <w:t xml:space="preserve"> </w:t>
      </w:r>
      <w:r>
        <w:rPr>
          <w:rFonts w:ascii="Arial" w:cs="Arial" w:eastAsia="Arial" w:hAnsi="Arial"/>
          <w:sz w:val="16"/>
          <w:szCs w:val="16"/>
          <w:color w:val="000000"/>
        </w:rPr>
        <w:t>Company recorded the forgiveness of approximately $6.0 million of principal and $0.1 million of accrued interest, which is included in gain on extinguishment of debt on the condensed consolidated statements of operations for the three and six months ended June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3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for the three and six months ended June 30, 2021 was 3.61% and 3.64%, respectively. The applicable margin commencing January 1, 2021 is between 1.50% to 2.25% for Domestic Rate Loans and between 3.50% and 4.25% for LIBOR Rate Loans based on maintaining certain undrawn availability ratios. The facility fee for undrawn amounts under the Loan Agreement is 0.375% per annum. We will also be required to pay customary letter of credit fees, as necessary.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6" w:name="page17"/>
    <w:bookmarkEnd w:id="16"/>
    <w:p>
      <w:pPr>
        <w:ind w:firstLine="510"/>
        <w:spacing w:after="0" w:line="255" w:lineRule="auto"/>
        <w:rPr>
          <w:sz w:val="20"/>
          <w:szCs w:val="20"/>
          <w:color w:val="auto"/>
        </w:rPr>
      </w:pPr>
      <w:r>
        <w:rPr>
          <w:rFonts w:ascii="Arial" w:cs="Arial" w:eastAsia="Arial" w:hAnsi="Arial"/>
          <w:sz w:val="18"/>
          <w:szCs w:val="18"/>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June 30, 2021, we are in compliance with all covenants.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Stock-Based Compensation</w:t>
      </w:r>
    </w:p>
    <w:p>
      <w:pPr>
        <w:spacing w:after="0" w:line="5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31F20"/>
        </w:rPr>
        <w:t xml:space="preserve">In connection with the IPO, which occurred on February 12, 2021, the Phantom Unit Plan was replaced by the 2021 LTIP. On February 12, 2021, 6.2 million RSUs were granted under the Company’s 2021 LTIP. The Company is authorized to grant RSUs, incentive stock options, nonqualified stock options, stock appreciation rights, restricted stock awards, and performance stock awards under its 2021 LTIP. As of June 30, 2021, the Company has currently only granted RSUs and nonqualified stock options. Under the Company’s 2021 LTIP, </w:t>
      </w:r>
      <w:r>
        <w:rPr>
          <w:rFonts w:ascii="Arial" w:cs="Arial" w:eastAsia="Arial" w:hAnsi="Arial"/>
          <w:sz w:val="18"/>
          <w:szCs w:val="18"/>
          <w:color w:val="000000"/>
        </w:rPr>
        <w:t>5.6</w:t>
      </w:r>
      <w:r>
        <w:rPr>
          <w:rFonts w:ascii="Arial" w:cs="Arial" w:eastAsia="Arial" w:hAnsi="Arial"/>
          <w:sz w:val="18"/>
          <w:szCs w:val="18"/>
          <w:color w:val="231F20"/>
        </w:rPr>
        <w:t xml:space="preserve"> million shares remained available for grant as of June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Stock-based compensation recorded in the condensed consolidated statements of operations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24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18,727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46,777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231F20"/>
              </w:rPr>
              <w:t>RSUs</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4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3"/>
          </w:tcPr>
          <w:p>
            <w:pPr>
              <w:ind w:left="520"/>
              <w:spacing w:after="0"/>
              <w:rPr>
                <w:sz w:val="20"/>
                <w:szCs w:val="20"/>
                <w:color w:val="auto"/>
              </w:rPr>
            </w:pPr>
            <w:r>
              <w:rPr>
                <w:rFonts w:ascii="Arial" w:cs="Arial" w:eastAsia="Arial" w:hAnsi="Arial"/>
                <w:sz w:val="18"/>
                <w:szCs w:val="18"/>
                <w:color w:val="231F20"/>
              </w:rPr>
              <w:t>The following summarizes RSU activity: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Weighted-Average</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4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rPr>
              <w:t>Grant-Date Fair Value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Canceled/forfeited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9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2021</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Canceled/forfeited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98"/>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June 30, 2021</w:t>
            </w:r>
          </w:p>
        </w:tc>
        <w:tc>
          <w:tcPr>
            <w:tcW w:w="4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6,184</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As of June 30, 2021, the Company had unrecognized stock-based compensation relating to RSUs of approximately $100.4 million, which is expected to be recognized over a weighted-average period of 2.4 years.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231F20"/>
        </w:rPr>
        <w:t>Nonqualified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summarizes nonqualified stock option activity:</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Weighted-Average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540" w:type="dxa"/>
            <w:vAlign w:val="bottom"/>
          </w:tcPr>
          <w:p>
            <w:pPr>
              <w:ind w:lef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154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Canceled</w:t>
            </w: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FF0FC"/>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March 31, 2021</w:t>
            </w: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89"/>
              </w:rPr>
              <w:t>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Exercised</w:t>
            </w: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Canceled</w:t>
            </w:r>
          </w:p>
        </w:tc>
        <w:tc>
          <w:tcPr>
            <w:tcW w:w="154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2021</w:t>
            </w:r>
          </w:p>
        </w:tc>
        <w:tc>
          <w:tcPr>
            <w:tcW w:w="154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89"/>
              </w:rPr>
              <w:t>67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the nonqualified stock options granted during the three and six months ended June 30, 2021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$13.04. As of June 30, 2021, there were no nonqualified stock options vested or exercisable. The Company had unrecognized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relating to unvested nonqualified stock options of approximately $0.8 million, which is expected to be recognized over a weighted-average period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3.7 years, as of June 30, 2021.</w:t>
      </w:r>
    </w:p>
    <w:p>
      <w:pPr>
        <w:spacing w:after="0" w:line="25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The following table presents the assumptions used in the Black-Scholes model to determine the fair value of nonqualified stock options for the three and six months ended June 30, 2021. Black-Scholes assumptions have not been disclosed for any other periods presented as there were no nonqualified stock options granted in those periods.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50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r>
      <w:tr>
        <w:trPr>
          <w:trHeight w:val="237"/>
        </w:trPr>
        <w:tc>
          <w:tcPr>
            <w:tcW w:w="3500" w:type="dxa"/>
            <w:vAlign w:val="bottom"/>
            <w:tcBorders>
              <w:bottom w:val="single" w:sz="8" w:color="CFF0FC"/>
            </w:tcBorders>
          </w:tcPr>
          <w:p>
            <w:pPr>
              <w:spacing w:after="0"/>
              <w:rPr>
                <w:sz w:val="20"/>
                <w:szCs w:val="20"/>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CFF0FC"/>
            </w:tcBorders>
          </w:tcPr>
          <w:p>
            <w:pPr>
              <w:spacing w:after="0"/>
              <w:rPr>
                <w:sz w:val="20"/>
                <w:szCs w:val="20"/>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FF0FC"/>
            </w:tcBorders>
          </w:tcPr>
          <w:p>
            <w:pPr>
              <w:spacing w:after="0"/>
              <w:rPr>
                <w:sz w:val="20"/>
                <w:szCs w:val="20"/>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jc w:val="both"/>
        <w:ind w:firstLine="667"/>
        <w:spacing w:after="0" w:line="277" w:lineRule="auto"/>
        <w:rPr>
          <w:sz w:val="20"/>
          <w:szCs w:val="20"/>
          <w:color w:val="auto"/>
        </w:rPr>
      </w:pPr>
      <w:r>
        <w:rPr>
          <w:rFonts w:ascii="Arial" w:cs="Arial" w:eastAsia="Arial" w:hAnsi="Arial"/>
          <w:sz w:val="18"/>
          <w:szCs w:val="18"/>
          <w:color w:val="231F20"/>
        </w:rPr>
        <w:t>Risk-Free Interest Rate. The Company bases the risk-free interest rate assumption for equity awards on the rates for U.S. Treasury securities with maturities similar to those of the expected term of the award being valued.</w:t>
      </w:r>
    </w:p>
    <w:p>
      <w:pPr>
        <w:spacing w:after="0" w:line="170"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8"/>
          <w:szCs w:val="18"/>
          <w:color w:val="231F20"/>
        </w:rPr>
        <w:t>Expected Volatility. Due to the limited trading history of the Company’s common stock, the expected volatility assumption is based on 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184" w:lineRule="exact"/>
        <w:rPr>
          <w:sz w:val="20"/>
          <w:szCs w:val="20"/>
          <w:color w:val="auto"/>
        </w:rPr>
      </w:pPr>
    </w:p>
    <w:p>
      <w:pPr>
        <w:jc w:val="both"/>
        <w:ind w:firstLine="667"/>
        <w:spacing w:after="0" w:line="286" w:lineRule="auto"/>
        <w:rPr>
          <w:sz w:val="20"/>
          <w:szCs w:val="20"/>
          <w:color w:val="auto"/>
        </w:rPr>
      </w:pPr>
      <w:r>
        <w:rPr>
          <w:rFonts w:ascii="Arial" w:cs="Arial" w:eastAsia="Arial" w:hAnsi="Arial"/>
          <w:sz w:val="17"/>
          <w:szCs w:val="17"/>
          <w:color w:val="231F20"/>
        </w:rPr>
        <w:t>Expected Term. Given the insufficient historical data relating to nonqualified stock option exercises, the expected term assumption is based on 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165" w:lineRule="exact"/>
        <w:rPr>
          <w:sz w:val="20"/>
          <w:szCs w:val="20"/>
          <w:color w:val="auto"/>
        </w:rPr>
      </w:pPr>
    </w:p>
    <w:p>
      <w:pPr>
        <w:jc w:val="both"/>
        <w:ind w:right="20" w:firstLine="667"/>
        <w:spacing w:after="0" w:line="277" w:lineRule="auto"/>
        <w:rPr>
          <w:sz w:val="20"/>
          <w:szCs w:val="20"/>
          <w:color w:val="auto"/>
        </w:rPr>
      </w:pPr>
      <w:r>
        <w:rPr>
          <w:rFonts w:ascii="Arial" w:cs="Arial" w:eastAsia="Arial" w:hAnsi="Arial"/>
          <w:sz w:val="18"/>
          <w:szCs w:val="18"/>
          <w:color w:val="231F20"/>
        </w:rPr>
        <w:t>Expected Dividend Yield. The Company’s expected dividend yield assumption is zero as it has never paid dividends and has no present intention to do so in the future.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231F20"/>
        </w:rPr>
        <w:t>9. Income Taxes and Tax Receivable Agreement</w:t>
      </w:r>
    </w:p>
    <w:p>
      <w:pPr>
        <w:spacing w:after="0" w:line="22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The provision for income taxes differs from the amount of income tax computed by applying the applicable U.S. statutory federal income tax rate of 21% to income before provision of income taxes due to Viant Technology LLC’s pass-through structure for U.S. income tax purposes, pass-through permanent differences related to forgiveness of the PPP Loan and the valuation allowance against the deferred tax asset. The Company did not recognize an income tax expense/(benefit) on its share of pre-tax book income (loss), exclusive of the noncontrolling interest of 80.5% due to the full valuation allowance against its deferred tax assets, resulting in an effective tax rate of 0.0% for the six months ended June 30, 2021.</w:t>
      </w:r>
    </w:p>
    <w:p>
      <w:pPr>
        <w:spacing w:after="0" w:line="17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As of June 30, 2021,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June 30, 2021.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16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Company has concluded based on applicable accounting standards and the weight of all available evidence, that it was MLTN that its deferred tax assets subject to the TRA would not be realized as of June 30, 2021. Therefore, the Company has not recorded a liability related to the tax savings it may realize from utilization of such deferred tax assets after concluding it was not probable that such TRA liability would be paid based on its estimates of future taxable income. As of June 30, 2021, the total unrecorded TRA liability is approximately $9.1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Earnings (Loss) Per Share/Unit</w:t>
      </w:r>
    </w:p>
    <w:p>
      <w:pPr>
        <w:spacing w:after="0" w:line="22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Prior to the Reorganization Transactions that occurred on February 12, 2021, the Viant Technology LLC membership structure included certain convertible preferred units and common units. As a result of the Reorganization Transactions, Class B units of Viant Technology LLC are exchangeable in the future for Class A common stock of the Company. As the conversion of Viant Technology LLC preferred and common units to Class B units was not done in a proportionate manner with respect to the rights and economic interests of the former Viant Technology LLC unit holders compared to those of the new Class B unit/shareholders in Viant Technology LLC and Viant Technology Inc, we do not believe it is appropriate to retrospectively adjust these units. Accordingly, the earnings per unit calculation presented for the three and six months ended June 30, 2020 reflects units of the membership structure prior to the Reorganization Transactions.</w:t>
      </w:r>
    </w:p>
    <w:p>
      <w:pPr>
        <w:spacing w:after="0" w:line="17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For the three and six months ended June 30, 2021, basic net loss per share has been calculated by dividing net loss attributable to Class A common stockholders for the period subsequent to the Reorganization Transactions, by the weighted average number of shares of Class A common stock outstanding for the same period. Shares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18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For the three and six months ended June 30, 2020, basic earnings (loss) per unit represents net income (loss) divided by the weighted-average number of units outstanding. Diluted net income (loss) per share has been computed in a manner consistent with that of basic net loss per share while considering all shares of potentially dilutive common units that were outstanding during the period, inclusive of the convertible preferred units using the if-converted method and the incentive common units using the treasury stock method, if dilutive. For the three and six months ended June 30, 2020, there were no potential dilutive units related to incentive common units as they were all issued as of the beginning of the year.</w:t>
      </w:r>
    </w:p>
    <w:p>
      <w:pPr>
        <w:spacing w:after="0" w:line="1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231F20"/>
        </w:rPr>
        <w:t>The undistributed earnings for the three and six months ended June 30, 2020 have been allocated based on the participation rights of the convertible preferred and common units as if the earnings for the period have been distributed. As the participation in distributed and undistributed earnings is identical for both classes, the distributed and undistributed earnings are allocated on a proportionate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9" w:name="page20"/>
    <w:bookmarkEnd w:id="19"/>
    <w:p>
      <w:pPr>
        <w:jc w:val="both"/>
        <w:ind w:right="80" w:firstLine="510"/>
        <w:spacing w:after="0" w:line="263" w:lineRule="auto"/>
        <w:rPr>
          <w:sz w:val="20"/>
          <w:szCs w:val="20"/>
          <w:color w:val="auto"/>
        </w:rPr>
      </w:pPr>
      <w:r>
        <w:rPr>
          <w:rFonts w:ascii="Arial" w:cs="Arial" w:eastAsia="Arial" w:hAnsi="Arial"/>
          <w:sz w:val="18"/>
          <w:szCs w:val="18"/>
          <w:color w:val="231F20"/>
        </w:rPr>
        <w:t>The following table presents the calculation of basic and diluted net earnings (loss) per share/unit for the three and six months ended June 30, 2021, the period following the Reorganization Transactions, and for the three and six months ended June 30, 2020. See Note 2 for additional information related to basic and diluted net loss per share/unit.</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4"/>
                <w:szCs w:val="14"/>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tcPr>
          <w:p>
            <w:pPr>
              <w:jc w:val="center"/>
              <w:ind w:right="31"/>
              <w:spacing w:after="0" w:line="133" w:lineRule="exact"/>
              <w:rPr>
                <w:sz w:val="20"/>
                <w:szCs w:val="20"/>
                <w:color w:val="auto"/>
              </w:rPr>
            </w:pPr>
            <w:r>
              <w:rPr>
                <w:rFonts w:ascii="Arial" w:cs="Arial" w:eastAsia="Arial" w:hAnsi="Arial"/>
                <w:sz w:val="14"/>
                <w:szCs w:val="14"/>
                <w:b w:val="1"/>
                <w:bCs w:val="1"/>
                <w:color w:val="auto"/>
                <w:w w:val="90"/>
              </w:rPr>
              <w:t>(in thousands, except per share/unit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4"/>
          </w:tcPr>
          <w:p>
            <w:pPr>
              <w:jc w:val="center"/>
              <w:ind w:right="51"/>
              <w:spacing w:after="0" w:line="133" w:lineRule="exact"/>
              <w:rPr>
                <w:sz w:val="20"/>
                <w:szCs w:val="20"/>
                <w:color w:val="auto"/>
              </w:rPr>
            </w:pPr>
            <w:r>
              <w:rPr>
                <w:rFonts w:ascii="Arial" w:cs="Arial" w:eastAsia="Arial" w:hAnsi="Arial"/>
                <w:sz w:val="14"/>
                <w:szCs w:val="14"/>
                <w:b w:val="1"/>
                <w:bCs w:val="1"/>
                <w:color w:val="auto"/>
                <w:w w:val="90"/>
              </w:rPr>
              <w:t>(in thousands, except per share/unit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left="654"/>
              <w:spacing w:after="0"/>
              <w:rPr>
                <w:sz w:val="20"/>
                <w:szCs w:val="20"/>
                <w:color w:val="auto"/>
              </w:rPr>
            </w:pPr>
            <w:r>
              <w:rPr>
                <w:rFonts w:ascii="Arial" w:cs="Arial" w:eastAsia="Arial" w:hAnsi="Arial"/>
                <w:sz w:val="14"/>
                <w:szCs w:val="14"/>
                <w:b w:val="1"/>
                <w:bCs w:val="1"/>
                <w:color w:val="auto"/>
                <w:w w:val="95"/>
              </w:rPr>
              <w:t>data)</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5"/>
              </w:rPr>
              <w:t>data)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(18,095)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(32,966)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(14,440)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(26,206)</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Less: Undistributed earnings attributable to participating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Inc./common unitholders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(3,655)</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(6,760)</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Class A common stock/units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outstanding—basic</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Convertible preferred units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of Class A common stock/units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outstanding—diluted</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w w:val="93"/>
              </w:rPr>
              <w:t>Earnings (loss) per share of Class A common stock/unit—basic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 (loss) per share of Class A common stock/unit—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Anti-dilutive shares/units excluded from earnings (loss) per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share of Class A common stock/unit—diluted: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units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Shares of Class B common stock</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Total shares excluded from earnings (loss) per share of Class A</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common stock/unit—diluted</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Noncontrolling Interests</w:t>
      </w:r>
    </w:p>
    <w:p>
      <w:pPr>
        <w:spacing w:after="0" w:line="12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Arial" w:cs="Arial" w:eastAsia="Arial" w:hAnsi="Arial"/>
          <w:sz w:val="17"/>
          <w:szCs w:val="17"/>
          <w:color w:val="000000"/>
        </w:rPr>
        <w:t>The Viant</w:t>
      </w:r>
      <w:r>
        <w:rPr>
          <w:rFonts w:ascii="Arial" w:cs="Arial" w:eastAsia="Arial" w:hAnsi="Arial"/>
          <w:sz w:val="17"/>
          <w:szCs w:val="17"/>
          <w:color w:val="231F20"/>
        </w:rPr>
        <w:t xml:space="preserve"> </w:t>
      </w:r>
      <w:r>
        <w:rPr>
          <w:rFonts w:ascii="Arial" w:cs="Arial" w:eastAsia="Arial" w:hAnsi="Arial"/>
          <w:sz w:val="17"/>
          <w:szCs w:val="17"/>
          <w:color w:val="000000"/>
        </w:rPr>
        <w:t xml:space="preserve">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w:t>
      </w:r>
      <w:r>
        <w:rPr>
          <w:rFonts w:ascii="Arial" w:cs="Arial" w:eastAsia="Arial" w:hAnsi="Arial"/>
          <w:sz w:val="17"/>
          <w:szCs w:val="17"/>
          <w:color w:val="000000"/>
        </w:rPr>
        <w:t xml:space="preserve"> </w:t>
      </w:r>
      <w:r>
        <w:rPr>
          <w:rFonts w:ascii="Arial" w:cs="Arial" w:eastAsia="Arial" w:hAnsi="Arial"/>
          <w:sz w:val="17"/>
          <w:szCs w:val="17"/>
          <w:color w:val="231F20"/>
        </w:rPr>
        <w:t>the Company’s ownership interest in Viant Technology LLC while retaining control of Viant Technology LLC will be accounted for as equity transactions. As such, future redemptions or direct exchanges of Class B units in Viant Technology LLC by the other members will result in a change in ownership, reduce the amount recorded as noncontrolling interest and increase additional paid-in capital.</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ownership of Viant Technology LLC:</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Owner</w:t>
            </w:r>
          </w:p>
        </w:tc>
        <w:tc>
          <w:tcPr>
            <w:tcW w:w="4540" w:type="dxa"/>
            <w:vAlign w:val="bottom"/>
            <w:gridSpan w:val="4"/>
          </w:tcPr>
          <w:p>
            <w:pPr>
              <w:jc w:val="right"/>
              <w:ind w:right="1760"/>
              <w:spacing w:after="0"/>
              <w:rPr>
                <w:sz w:val="20"/>
                <w:szCs w:val="20"/>
                <w:color w:val="auto"/>
              </w:rPr>
            </w:pPr>
            <w:r>
              <w:rPr>
                <w:rFonts w:ascii="Arial" w:cs="Arial" w:eastAsia="Arial" w:hAnsi="Arial"/>
                <w:sz w:val="14"/>
                <w:szCs w:val="14"/>
                <w:b w:val="1"/>
                <w:bCs w:val="1"/>
                <w:color w:val="auto"/>
              </w:rPr>
              <w:t>As of June 30, 2021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gridSpan w:val="2"/>
            <w:vMerge w:val="continue"/>
          </w:tcPr>
          <w:p>
            <w:pPr>
              <w:spacing w:after="0"/>
              <w:rPr>
                <w:sz w:val="13"/>
                <w:szCs w:val="13"/>
                <w:color w:val="auto"/>
              </w:rPr>
            </w:pPr>
          </w:p>
        </w:tc>
        <w:tc>
          <w:tcPr>
            <w:tcW w:w="2340" w:type="dxa"/>
            <w:vAlign w:val="bottom"/>
            <w:tcBorders>
              <w:top w:val="single" w:sz="8" w:color="auto"/>
            </w:tcBorders>
            <w:gridSpan w:val="2"/>
          </w:tcPr>
          <w:p>
            <w:pPr>
              <w:ind w:left="620"/>
              <w:spacing w:after="0" w:line="155" w:lineRule="exact"/>
              <w:rPr>
                <w:sz w:val="20"/>
                <w:szCs w:val="20"/>
                <w:color w:val="auto"/>
              </w:rPr>
            </w:pPr>
            <w:r>
              <w:rPr>
                <w:rFonts w:ascii="Arial" w:cs="Arial" w:eastAsia="Arial" w:hAnsi="Arial"/>
                <w:sz w:val="14"/>
                <w:szCs w:val="14"/>
                <w:b w:val="1"/>
                <w:bCs w:val="1"/>
                <w:color w:val="auto"/>
              </w:rPr>
              <w:t>Units Owned</w:t>
            </w:r>
          </w:p>
        </w:tc>
        <w:tc>
          <w:tcPr>
            <w:tcW w:w="202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Ownership Percentage</w:t>
            </w: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Viant Technology Inc.</w:t>
            </w:r>
          </w:p>
        </w:tc>
        <w:tc>
          <w:tcPr>
            <w:tcW w:w="2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320" w:type="dxa"/>
            <w:vAlign w:val="bottom"/>
            <w:vMerge w:val="continue"/>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11,500,000</w:t>
            </w:r>
          </w:p>
        </w:tc>
        <w:tc>
          <w:tcPr>
            <w:tcW w:w="30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40" w:type="dxa"/>
            <w:vAlign w:val="bottom"/>
          </w:tcPr>
          <w:p>
            <w:pPr>
              <w:jc w:val="right"/>
              <w:spacing w:after="0"/>
              <w:rPr>
                <w:sz w:val="20"/>
                <w:szCs w:val="20"/>
                <w:color w:val="auto"/>
              </w:rPr>
            </w:pPr>
            <w:r>
              <w:rPr>
                <w:rFonts w:ascii="Arial" w:cs="Arial" w:eastAsia="Arial" w:hAnsi="Arial"/>
                <w:sz w:val="18"/>
                <w:szCs w:val="18"/>
                <w:color w:val="auto"/>
              </w:rPr>
              <w:t>47,435,559</w:t>
            </w:r>
          </w:p>
        </w:tc>
        <w:tc>
          <w:tcPr>
            <w:tcW w:w="300" w:type="dxa"/>
            <w:vAlign w:val="bottom"/>
          </w:tcPr>
          <w:p>
            <w:pPr>
              <w:spacing w:after="0"/>
              <w:rPr>
                <w:sz w:val="19"/>
                <w:szCs w:val="19"/>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320" w:type="dxa"/>
            <w:vAlign w:val="bottom"/>
            <w:vMerge w:val="continue"/>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58,935,559</w:t>
            </w:r>
          </w:p>
        </w:tc>
        <w:tc>
          <w:tcPr>
            <w:tcW w:w="30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40" w:type="dxa"/>
            <w:vAlign w:val="bottom"/>
          </w:tcPr>
          <w:p>
            <w:pPr>
              <w:jc w:val="right"/>
              <w:ind w:right="1256"/>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231F20"/>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Lease Commitments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conducts its operations in 10 office spaces around the United States that are under operating leases that expire over the next ten years. Rent expense on operating leases was $1.0 million and $1.0 million for the three months ended June 30, 2021 and 2020, respectively, and $2.0 million and $2.1 million for the six months ended June 30, 2021 and 2020, respectively. The current portion of deferred rent of $0.2 million and $0.4 million as of June 30, 2021 and December 31, 2020, respectively, is included in other current liabilities. The non-current portion of deferred rent of $0.4 million and $0.5 million as of June 30, 2021 and December 31, 2020, respectively, is included in other long-term liabilities.</w:t>
      </w:r>
    </w:p>
    <w:p>
      <w:pPr>
        <w:spacing w:after="0" w:line="6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231F20"/>
        </w:rPr>
        <w:t>Future minimum payments under the Company’s non-cancelable operating leases, which are primarily related to office leases, as of June 30, 2021 are as follows:</w:t>
      </w:r>
    </w:p>
    <w:p>
      <w:pPr>
        <w:spacing w:after="0" w:line="25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As of June 30, 2021</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Matters</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Guarantees and Indemnities</w:t>
      </w:r>
    </w:p>
    <w:p>
      <w:pPr>
        <w:spacing w:after="0" w:line="117" w:lineRule="exact"/>
        <w:rPr>
          <w:sz w:val="20"/>
          <w:szCs w:val="20"/>
          <w:color w:val="auto"/>
        </w:rPr>
      </w:pPr>
    </w:p>
    <w:p>
      <w:pPr>
        <w:ind w:right="260" w:firstLine="510"/>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June 30,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Subsequent Events</w:t>
      </w:r>
    </w:p>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On August 5, 2021, the Board of Directors approved the Company to purchase Class A common stock at fair value upon vesting of RSUs to satisfy minimum statutory tax obligations paid by the Company on behalf of plan participants.</w:t>
      </w:r>
    </w:p>
    <w:p>
      <w:pPr>
        <w:spacing w:after="0" w:line="17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On August 9, 2021, 2.1 million RSUs vested upon expiration of the IPO lockup period. In connection with the minimum tax withholding paid on behalf of employees for the vested RSUs, the Company paid $13.7 million for the repurchase of 0.8 million Class A common shares at an average fair value price of $17.73.</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i w:val="1"/>
          <w:iCs w:val="1"/>
          <w:color w:val="231F20"/>
        </w:rPr>
        <w:t>This Quarterly Report on Form 10-Q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impact of COVID-19 on our business, operations, and the markets and communities in which we, our clients, and partners operate, results of operations, revenues, operating expenses, and capital expenditures, sales and marketing initiatives and competition. In some cases, you can identify forward-looking statements because they contain words such as “may,” “might,” “will,” “should,” “expects,” “plans,” “anticipates,” “could,” “intends,” “target,” “projects,” “contemplates,” “believes,” “estimates,” “predicts,” “suggests,” “potential” or “continue” or the negative of these words or other similar terms or expressions that concern our expectations, strategy, plans or intentions. These statements are not guarantees of future performance; they reflect our current views with respect to future events and are based on assumptions and are subject to known and unknown risks, uncertainties and other factors that may cause our actual results, performance or achievements to be materially different from expectations or results projected or implied by forward-looking statements.</w:t>
      </w:r>
    </w:p>
    <w:p>
      <w:pPr>
        <w:spacing w:after="0" w:line="17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231F20"/>
        </w:rPr>
        <w:t>We discuss many of these risks in our Annual Report on Form 10-K for the year ended December 31, 2020 in greater detail under the heading “Risk Factors” and in other filings we make from time to time with the Securities and Exchange Commission, or SEC. Also, these forward-looking statements represent our estimates and assumptions only as of the date of this Quarterly Report on Form 10-Q, which are inherently subject to change and involve risks and uncertainties.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Given these uncertainties, investors should not place undue reliance on these forward-looking statements.</w:t>
      </w:r>
    </w:p>
    <w:p>
      <w:pPr>
        <w:spacing w:after="0" w:line="178"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i w:val="1"/>
          <w:iCs w:val="1"/>
          <w:color w:val="231F20"/>
        </w:rPr>
        <w:t>Investors should read this Quarterly Report on Form 10-Q and the documents that we reference in this report and have filed with the SEC, including our Annual Report on Form 10-K for the year ended December 31, 2020, completely and with the understanding that our actual future results may be materially different from what we expect. We qualify all of our forward-looking statements by these cautionary statements.</w:t>
      </w:r>
    </w:p>
    <w:p>
      <w:pPr>
        <w:spacing w:after="0" w:line="16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231F20"/>
        </w:rPr>
        <w:t>References to “Notes” are notes included in our unaudited condensed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right="180" w:firstLine="514"/>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84" w:lineRule="exact"/>
        <w:rPr>
          <w:sz w:val="20"/>
          <w:szCs w:val="20"/>
          <w:color w:val="auto"/>
        </w:rPr>
      </w:pPr>
    </w:p>
    <w:p>
      <w:pPr>
        <w:ind w:right="40" w:firstLine="514"/>
        <w:spacing w:after="0" w:line="263" w:lineRule="auto"/>
        <w:rPr>
          <w:sz w:val="20"/>
          <w:szCs w:val="20"/>
          <w:color w:val="auto"/>
        </w:rPr>
      </w:pPr>
      <w:r>
        <w:rPr>
          <w:rFonts w:ascii="Arial" w:cs="Arial" w:eastAsia="Arial" w:hAnsi="Arial"/>
          <w:sz w:val="18"/>
          <w:szCs w:val="18"/>
          <w:color w:val="231F20"/>
        </w:rPr>
        <w:t>Our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streaming audio and digital billboards.</w:t>
      </w:r>
    </w:p>
    <w:p>
      <w:pPr>
        <w:spacing w:after="0" w:line="184" w:lineRule="exact"/>
        <w:rPr>
          <w:sz w:val="20"/>
          <w:szCs w:val="20"/>
          <w:color w:val="auto"/>
        </w:rPr>
      </w:pPr>
    </w:p>
    <w:p>
      <w:pPr>
        <w:ind w:right="100" w:firstLine="514"/>
        <w:spacing w:after="0" w:line="296"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61" w:lineRule="exact"/>
        <w:rPr>
          <w:sz w:val="20"/>
          <w:szCs w:val="20"/>
          <w:color w:val="auto"/>
        </w:rPr>
      </w:pPr>
    </w:p>
    <w:p>
      <w:pPr>
        <w:ind w:firstLine="514"/>
        <w:spacing w:after="0" w:line="289" w:lineRule="auto"/>
        <w:rPr>
          <w:sz w:val="20"/>
          <w:szCs w:val="20"/>
          <w:color w:val="auto"/>
        </w:rPr>
      </w:pPr>
      <w:r>
        <w:rPr>
          <w:rFonts w:ascii="Arial" w:cs="Arial" w:eastAsia="Arial" w:hAnsi="Arial"/>
          <w:sz w:val="16"/>
          <w:szCs w:val="16"/>
          <w:color w:val="231F20"/>
        </w:rPr>
        <w:t>We make our platform available through different pricing options to tailor to multiple client types and customer needs. These options consist of a percentage of spend option, a subscription option and a fixed CPM pricing option. CPM refers to a payment option in which customers pay a price for every 1,000 impressions an ad receives. Customers can enter into master service agreements with us that enable them to use our platform on a self-service basis to execute their advertising campaigns. We generate revenue when the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We believe that offering a multitude of pricing options provides our customers greater flexibility and access to our platform.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231F20"/>
        </w:rPr>
        <w:t>Our financial results include:</w:t>
      </w:r>
    </w:p>
    <w:p>
      <w:pPr>
        <w:spacing w:after="0" w:line="117" w:lineRule="exact"/>
        <w:rPr>
          <w:sz w:val="20"/>
          <w:szCs w:val="20"/>
          <w:color w:val="auto"/>
        </w:rPr>
      </w:pPr>
    </w:p>
    <w:p>
      <w:pPr>
        <w:ind w:left="1000" w:right="360" w:hanging="493"/>
        <w:spacing w:after="0" w:line="291" w:lineRule="auto"/>
        <w:tabs>
          <w:tab w:leader="none" w:pos="100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Revenue of $50.4 million and $30.4 million for the three months ended June 30, 2021 and 2020, respectively, representing an increase of 65.7%, and $90.6 million and $68.6 million for the six months ended June 30, 2021 and 2020, respectively, representing an increase of</w:t>
      </w:r>
    </w:p>
    <w:p>
      <w:pPr>
        <w:ind w:left="1000"/>
        <w:spacing w:after="0"/>
        <w:rPr>
          <w:rFonts w:ascii="Arial" w:cs="Arial" w:eastAsia="Arial" w:hAnsi="Arial"/>
          <w:sz w:val="16"/>
          <w:szCs w:val="16"/>
          <w:color w:val="231F20"/>
        </w:rPr>
      </w:pPr>
      <w:r>
        <w:rPr>
          <w:rFonts w:ascii="Arial" w:cs="Arial" w:eastAsia="Arial" w:hAnsi="Arial"/>
          <w:sz w:val="18"/>
          <w:szCs w:val="18"/>
          <w:color w:val="231F20"/>
        </w:rPr>
        <w:t>32.0%;</w:t>
      </w:r>
    </w:p>
    <w:p>
      <w:pPr>
        <w:spacing w:after="0" w:line="102" w:lineRule="exact"/>
        <w:rPr>
          <w:rFonts w:ascii="Arial" w:cs="Arial" w:eastAsia="Arial" w:hAnsi="Arial"/>
          <w:sz w:val="16"/>
          <w:szCs w:val="16"/>
          <w:color w:val="231F20"/>
        </w:rPr>
      </w:pPr>
    </w:p>
    <w:p>
      <w:pPr>
        <w:ind w:left="1000" w:right="120" w:hanging="493"/>
        <w:spacing w:after="0" w:line="291" w:lineRule="auto"/>
        <w:tabs>
          <w:tab w:leader="none" w:pos="100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Gross profit of $18.7 million and $11.8 million for the three months ended June 30, 2021 and 2020, respectively, representing an increase of 58.0%, and $34.5 million and $26.4 million for the six months ended June 30, 2021 and 2020, respectively, representing an increase of</w:t>
      </w:r>
    </w:p>
    <w:p>
      <w:pPr>
        <w:ind w:left="1000"/>
        <w:spacing w:after="0"/>
        <w:rPr>
          <w:rFonts w:ascii="Arial" w:cs="Arial" w:eastAsia="Arial" w:hAnsi="Arial"/>
          <w:sz w:val="16"/>
          <w:szCs w:val="16"/>
          <w:color w:val="231F20"/>
        </w:rPr>
      </w:pPr>
      <w:r>
        <w:rPr>
          <w:rFonts w:ascii="Arial" w:cs="Arial" w:eastAsia="Arial" w:hAnsi="Arial"/>
          <w:sz w:val="18"/>
          <w:szCs w:val="18"/>
          <w:color w:val="231F20"/>
        </w:rPr>
        <w:t>30.7%;</w:t>
      </w:r>
    </w:p>
    <w:p>
      <w:pPr>
        <w:spacing w:after="0" w:line="102" w:lineRule="exact"/>
        <w:rPr>
          <w:rFonts w:ascii="Arial" w:cs="Arial" w:eastAsia="Arial" w:hAnsi="Arial"/>
          <w:sz w:val="16"/>
          <w:szCs w:val="16"/>
          <w:color w:val="231F20"/>
        </w:rPr>
      </w:pPr>
    </w:p>
    <w:p>
      <w:pPr>
        <w:ind w:left="1000" w:right="260" w:hanging="493"/>
        <w:spacing w:after="0" w:line="263"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Contribution ex-TAC of $32.2 million and $20.0 million for the three months ended June 30, 2021 and 2020, respectively, representing an increase of 60.6%, and $58.9 million and $43.3 million for the six months ended June 30, 2021 and 2020, respectively, representing an increase of 35.9%;</w:t>
      </w:r>
    </w:p>
    <w:p>
      <w:pPr>
        <w:spacing w:after="0" w:line="75" w:lineRule="exact"/>
        <w:rPr>
          <w:rFonts w:ascii="Arial" w:cs="Arial" w:eastAsia="Arial" w:hAnsi="Arial"/>
          <w:sz w:val="18"/>
          <w:szCs w:val="18"/>
          <w:color w:val="231F20"/>
        </w:rPr>
      </w:pPr>
    </w:p>
    <w:p>
      <w:pPr>
        <w:ind w:left="1000" w:right="26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Net loss of $18.1 million and $0.03 million for the three months ended June 30, 2021 and 2020, respectively, and net loss of $33.0 million and net income $0.3 million for the six months ended June 30, 2021 and 2020, respectively;</w:t>
      </w:r>
    </w:p>
    <w:p>
      <w:pPr>
        <w:spacing w:after="0" w:line="62" w:lineRule="exact"/>
        <w:rPr>
          <w:rFonts w:ascii="Arial" w:cs="Arial" w:eastAsia="Arial" w:hAnsi="Arial"/>
          <w:sz w:val="18"/>
          <w:szCs w:val="18"/>
          <w:color w:val="231F20"/>
        </w:rPr>
      </w:pPr>
    </w:p>
    <w:p>
      <w:pPr>
        <w:ind w:left="1000" w:right="60" w:hanging="493"/>
        <w:spacing w:after="0" w:line="342" w:lineRule="auto"/>
        <w:tabs>
          <w:tab w:leader="none" w:pos="100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Non-GAAP net income of $5.2 million and non-GAAP net loss of $0.03 million for the three months ended June 30, 2021 and 2020, respectively, and non-GAAP net income of $7.4 million and $0.3 million for the six months ended June 30, 2021 and 2020, respectively; and</w:t>
      </w:r>
    </w:p>
    <w:p>
      <w:pPr>
        <w:spacing w:after="0" w:line="15" w:lineRule="exact"/>
        <w:rPr>
          <w:rFonts w:ascii="Arial" w:cs="Arial" w:eastAsia="Arial" w:hAnsi="Arial"/>
          <w:sz w:val="16"/>
          <w:szCs w:val="16"/>
          <w:color w:val="231F20"/>
        </w:rPr>
      </w:pPr>
    </w:p>
    <w:p>
      <w:pPr>
        <w:ind w:left="1000" w:hanging="493"/>
        <w:spacing w:after="0" w:line="263"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of $8.3 million and $2.8 million for the three months ended June 30, 2021 and 2020, respectively, representing an increase of 203%, and $13.2 million and $6.0 million for the six months ended June 30, 2021 and 2020, respectively, representing an increase of 121%.</w:t>
      </w:r>
    </w:p>
    <w:p>
      <w:pPr>
        <w:spacing w:after="0" w:line="18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231F20"/>
        </w:rPr>
        <w:t>Contribution ex-TAC, previously referred to as Revenue ex-TAC in our Annual Report on Form 10-K for the year ended December 31, 2020 and our Quarterly Report on Form 10-Q for the quarter ended March 31, 2021, Adjusted EBITDA, non-GAAP net income (loss), and non-GAAP earnings (loss) per share are non-GAAP measures. For a detailed discussion of our key operating and financial performance metrics and a reconciliation of contribution ex-TAC, Adjusted EBITDA, non-GAAP net income (loss), and non-GAAP earnings (loss) per share to the most directly comparable financial measures calculated in accordance with GAAP, see “—Key Operating and Financial Performance Metrics—Use of Non-GAAP Financial Measures.”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231F20"/>
        </w:rPr>
        <w:t>In March 2020, the World Health Organization characterized COVID-19 a pandemic and the President of the United States declared the COVID-19 outbreak a national emergency. COVID-19 has spread across the globe and has impacted economic activity worldwide.</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The ultimate impact of COVID-19 on the Company’s results of operations, financial condition and cash flows is dependent on future developments, including the duration of the pandemic and the related length of its impact on the global economy, which are uncertain and cannot be predicted at this time. See “Risk Factors”—The effects of the ongoing COVID-19 pandemic and other sustained adverse market events have had, and could in the future have, an adverse impact on our business, operating results and financial condition” in our Annual Report on Form 10-K for the year ended December 31, 2020 for further discussion of the potential impacts of the COVID-19 pandemic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Our recent growth has been driven by expanding the use of our platform by our existing customers as well as adding new customers. We believe that our customers value our solutions, as our average contribution ex-TAC per Active Customer for the twelve months ended June 30, 2021 was $438,000, an increase of $19,000, or 4.5%, compared to the twelve months ended December 31, 2020 and an increase of $49,000, or 12.6%, compared to twelve months ended June 30, 2020. The number of Active Customers for the twelve months ended June 30, 2021 was 288, increasing by 24 customers, or 9.1%, from the twelve months ended December 31, 2020 compared to the twelve months ended June 30, 2021 and increased by 28 customers, or 10.8%, from the twelve months ended June 30, 2020 to the twelve months ended June 30, 2021. We review changes in the use of our platform as represented by changes in aggregate spend on the platform as a metric of customer engagement. Platform spend increased by 58.4% during the three months ended June 30, 2021 compared to the three months ended June 30, 2020 and 31.8% during the six months ended June 30, 2021 compared to the six months ended June 30, 2020. For a detailed discussion of our key operating metrics including the definition of Active Customers, see “—Key Operating and Financial Performance Metrics—Use of Non-GAAP Financial Measures.”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ind w:right="160" w:firstLine="510"/>
        <w:spacing w:after="0" w:line="273" w:lineRule="auto"/>
        <w:rPr>
          <w:sz w:val="20"/>
          <w:szCs w:val="20"/>
          <w:color w:val="auto"/>
        </w:rPr>
      </w:pPr>
      <w:r>
        <w:rPr>
          <w:rFonts w:ascii="Arial" w:cs="Arial" w:eastAsia="Arial" w:hAnsi="Arial"/>
          <w:sz w:val="17"/>
          <w:szCs w:val="17"/>
          <w:color w:val="231F20"/>
        </w:rPr>
        <w:t>We continue to add functionality to our platform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sales and marketing efforts to increase awareness of our Adelphic platform and highlight the advantages of our people-based framework as cookie-based options become increasingly limited. As a result, future revenue growth depends upon our ability to retain our existing customers and increase their use of our platform as well as add new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117"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231F20"/>
        </w:rPr>
        <w:t>We believe that the advertising market is in the early stages of a secular shift towards programmatic advertising. We plan to invest for long-term growth. We anticipate that our operating expenses will increase significantly in the foreseeable future as we invest in platform operations and technology and development to enhance our product capabilities, including identity resolution and the integration of new advertising channels, and in sales and marketing to acquire new customers and increase our customers’ use of our platform. We believe that these investments will contribute to our long-term growth, although they may have a negative impact on our profitability in the near-term.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 and Macroeconomics Factors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In the advertising industry, companies commonly experience seasonal fluctuations in revenue. For example,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COVID-19 pandemic. We expect our revenue to continue to fluctuate based on seasonal factors that affect the advertising industry as a whole.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The following tables set forth our consolidated results of operations, our consolidated results of operations as a percentage of revenue, and the impact of stock-based compensation, depreciation and amortization on each operating expense line item for the three and six months ended June 30,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50,411</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30,425</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90,555</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31,715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56,059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67,745</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other expense (income), net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(5,868)</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(5,702)</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(32,966)</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(14,440)</w:t>
            </w: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(26,206)</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556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280" w:type="dxa"/>
        <w:tblCellMar>
          <w:top w:w="0" w:type="dxa"/>
          <w:left w:w="0" w:type="dxa"/>
          <w:bottom w:w="0" w:type="dxa"/>
          <w:right w:w="0" w:type="dxa"/>
        </w:tblCellMar>
      </w:tblP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74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680" w:type="dxa"/>
            <w:vAlign w:val="bottom"/>
          </w:tcPr>
          <w:p>
            <w:pPr>
              <w:spacing w:after="0"/>
              <w:rPr>
                <w:sz w:val="13"/>
                <w:szCs w:val="13"/>
                <w:color w:val="auto"/>
              </w:rPr>
            </w:pPr>
          </w:p>
        </w:tc>
        <w:tc>
          <w:tcPr>
            <w:tcW w:w="1740" w:type="dxa"/>
            <w:vAlign w:val="bottom"/>
          </w:tcPr>
          <w:p>
            <w:pPr>
              <w:jc w:val="right"/>
              <w:ind w:right="648"/>
              <w:spacing w:after="0" w:line="155" w:lineRule="exact"/>
              <w:rPr>
                <w:sz w:val="20"/>
                <w:szCs w:val="20"/>
                <w:color w:val="auto"/>
              </w:rPr>
            </w:pPr>
            <w:r>
              <w:rPr>
                <w:rFonts w:ascii="Arial" w:cs="Arial" w:eastAsia="Arial" w:hAnsi="Arial"/>
                <w:sz w:val="14"/>
                <w:szCs w:val="14"/>
                <w:b w:val="1"/>
                <w:bCs w:val="1"/>
                <w:color w:val="auto"/>
                <w:w w:val="98"/>
              </w:rPr>
              <w:t>(% of revenue*)</w:t>
            </w:r>
          </w:p>
        </w:tc>
      </w:tr>
    </w:tbl>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13970</wp:posOffset>
            </wp:positionV>
            <wp:extent cx="1551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7"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0</wp:posOffset>
            </wp:positionV>
            <wp:extent cx="1551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b w:val="1"/>
          <w:bCs w:val="1"/>
          <w:color w:val="auto"/>
        </w:rPr>
        <w:t>(% of revenue*)</w:t>
      </w:r>
    </w:p>
    <w:p>
      <w:pPr>
        <w:spacing w:after="0" w:line="20" w:lineRule="exact"/>
        <w:rPr>
          <w:sz w:val="20"/>
          <w:szCs w:val="20"/>
          <w:color w:val="auto"/>
        </w:rPr>
      </w:pPr>
    </w:p>
    <w:p>
      <w:pPr>
        <w:sectPr>
          <w:pgSz w:w="11900" w:h="16838" w:orient="portrait"/>
          <w:cols w:equalWidth="0" w:num="2">
            <w:col w:w="7700" w:space="700"/>
            <w:col w:w="2840"/>
          </w:cols>
          <w:pgMar w:left="320" w:top="846" w:right="339" w:bottom="1440" w:gutter="0" w:footer="0" w:header="0"/>
        </w:sectPr>
      </w:pPr>
    </w:p>
    <w:tbl>
      <w:tblPr>
        <w:tblLayout w:type="fixed"/>
        <w:tblInd w:w="50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Platform operations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and marketing</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Technology and development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00" w:type="dxa"/>
            <w:vAlign w:val="bottom"/>
            <w:gridSpan w:val="2"/>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other expense (income), net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231F20"/>
              </w:rPr>
              <w:t>*</w:t>
            </w:r>
          </w:p>
        </w:tc>
        <w:tc>
          <w:tcPr>
            <w:tcW w:w="4580" w:type="dxa"/>
            <w:vAlign w:val="bottom"/>
            <w:vMerge w:val="restart"/>
          </w:tcPr>
          <w:p>
            <w:pPr>
              <w:ind w:left="300"/>
              <w:spacing w:after="0"/>
              <w:rPr>
                <w:sz w:val="20"/>
                <w:szCs w:val="20"/>
                <w:color w:val="auto"/>
              </w:rPr>
            </w:pPr>
            <w:r>
              <w:rPr>
                <w:rFonts w:ascii="Arial" w:cs="Arial" w:eastAsia="Arial" w:hAnsi="Arial"/>
                <w:sz w:val="18"/>
                <w:szCs w:val="18"/>
                <w:color w:val="231F20"/>
              </w:rPr>
              <w:t>Percentages may not sum due to rounding</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gridSpan w:val="2"/>
            <w:vMerge w:val="continue"/>
          </w:tcPr>
          <w:p>
            <w:pPr>
              <w:spacing w:after="0"/>
              <w:rPr>
                <w:sz w:val="20"/>
                <w:szCs w:val="20"/>
                <w:color w:val="auto"/>
              </w:rPr>
            </w:pPr>
          </w:p>
        </w:tc>
        <w:tc>
          <w:tcPr>
            <w:tcW w:w="458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5"/>
          <w:szCs w:val="15"/>
          <w:color w:val="231F20"/>
        </w:rPr>
      </w:pPr>
      <w:r>
        <w:rPr>
          <w:rFonts w:ascii="Arial" w:cs="Arial" w:eastAsia="Arial" w:hAnsi="Arial"/>
          <w:sz w:val="18"/>
          <w:szCs w:val="18"/>
          <w:color w:val="231F20"/>
        </w:rPr>
        <w:t>Stock-based compensation, depreciation, and amortization included above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jc w:val="center"/>
              <w:ind w:right="1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left="4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Stock-based compensation:</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Platform operations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5,540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8,701</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46,777</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 June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jc w:val="center"/>
              <w:ind w:right="1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left="4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Platform operations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1,678</w:t>
            </w: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3,344</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depreciation</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 June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jc w:val="center"/>
              <w:ind w:right="1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left="4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Platform operations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4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amortization</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231F20"/>
                <w:w w:val="95"/>
              </w:rPr>
              <w:t>Comparison of the Three Months Ended June 30, 2021 and 2020</w:t>
            </w: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231F20"/>
              </w:rPr>
              <w:t>Revenue</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restart"/>
          </w:tcPr>
          <w:p>
            <w:pPr>
              <w:jc w:val="right"/>
              <w:ind w:right="207"/>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700" w:type="dxa"/>
            <w:vAlign w:val="bottom"/>
            <w:gridSpan w:val="9"/>
          </w:tcPr>
          <w:p>
            <w:pPr>
              <w:ind w:left="120"/>
              <w:spacing w:after="0" w:line="155" w:lineRule="exact"/>
              <w:rPr>
                <w:sz w:val="20"/>
                <w:szCs w:val="20"/>
                <w:color w:val="auto"/>
              </w:rPr>
            </w:pPr>
            <w:r>
              <w:rPr>
                <w:rFonts w:ascii="Arial" w:cs="Arial" w:eastAsia="Arial" w:hAnsi="Arial"/>
                <w:sz w:val="14"/>
                <w:szCs w:val="14"/>
                <w:b w:val="1"/>
                <w:bCs w:val="1"/>
                <w:color w:val="auto"/>
                <w:w w:val="99"/>
              </w:rPr>
              <w:t>(in thousands, except for percentages)</w:t>
            </w: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50,411</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30,425</w:t>
            </w:r>
          </w:p>
        </w:tc>
        <w:tc>
          <w:tcPr>
            <w:tcW w:w="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w w:val="99"/>
              </w:rPr>
              <w:t>66%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25" w:name="page26"/>
    <w:bookmarkEnd w:id="25"/>
    <w:p>
      <w:pPr>
        <w:ind w:right="80" w:firstLine="749"/>
        <w:spacing w:after="0" w:line="259" w:lineRule="auto"/>
        <w:rPr>
          <w:sz w:val="20"/>
          <w:szCs w:val="20"/>
          <w:color w:val="auto"/>
        </w:rPr>
      </w:pPr>
      <w:r>
        <w:rPr>
          <w:rFonts w:ascii="Arial" w:cs="Arial" w:eastAsia="Arial" w:hAnsi="Arial"/>
          <w:sz w:val="18"/>
          <w:szCs w:val="18"/>
          <w:color w:val="231F20"/>
        </w:rPr>
        <w:t>Revenue increased by $20.0 million, or 66%, during the three months ended June 30, 2021 compared to the three months ended June 30, 2020. Despite ongoing adverse impacts of the COVID-19 pandemic, we have continued to experience increased customer usage of our platform, particularly in the percentage of spend pricing option, and continuing demand for our people-based advertising products and services. Platform spend increased by 58.4% in the comparative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 Operations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9"/>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18,212</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31,715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Platform operations as a percentage of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231F20"/>
        </w:rPr>
        <w:t>Platform operations expense increased by $13.1 million, or 71%, during the three months ended June 30, 2021 compared to the three months ended June 30, 2020. This is comprised of a $7.8 million increase in traffic acquisition costs (“TAC”), which is a variable function of revenue associated with our fixed CPM pricing option and an increase of $5.3 million in other platform operations expense. The increase in other platform operations is primarily driven by a $5.5 million increase in stock-based compensation related to our 2021 LTIP and, a $0.1 million increase in depreciation, partially offset by a decrease of $0.3 million in cloud costs due to continued efforts to increase cloud infrastructure efficiencies.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20,553</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14,811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Sales and marketing expense increased by $14.8 million, or 258%, during the three months ended June 30, 2021 compared to the three months ended June 30, 2020. The increase in sales and marketing expense was primarily due to a $11.9 million increase in stock-based compensation related to our 2021 LTIP, a $2.5 million increase in personnel costs and overhead allocated to sales and marketing as a result of the departments’ headcount increasing and becoming a larger percentage of total headcount, a $0.2 increase in travel and entertainment, a $0.1 increase in software licenses and subscriptions, and a $0.1 increase in advertising.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8,031</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6,047</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ind w:right="160" w:firstLine="749"/>
        <w:spacing w:after="0" w:line="259" w:lineRule="auto"/>
        <w:rPr>
          <w:sz w:val="20"/>
          <w:szCs w:val="20"/>
          <w:color w:val="auto"/>
        </w:rPr>
      </w:pPr>
      <w:r>
        <w:rPr>
          <w:rFonts w:ascii="Arial" w:cs="Arial" w:eastAsia="Arial" w:hAnsi="Arial"/>
          <w:sz w:val="18"/>
          <w:szCs w:val="18"/>
          <w:color w:val="231F20"/>
        </w:rPr>
        <w:t>Technology and development expense increased by $6.0 million, or 305%, during the three months ended June 30, 2021 compared to the three months ended June 30, 2020. The increase in technology and development expense was primarily attributable to a $5.0 million increase in stock-based compensation related to our 2021 LTIP and a $1.0 million increase in personnel and overhead cost allocation as a result of an increase in headcount to support our continued investment in developed technology.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14,075</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10,184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General and administrative expense increased by $10.2 million, or 262%, during the three months ended June 30, 2021 compared to the three months ended June 30, 2020. The increase in general and administrative expense was primarily attributable to a $7.2 million increase in stock-based compensation related to our 2021 LTIP, a $1.4 million increase in insurance and legal expenses associated with being a publicly traded company, a $1.1 million increase in personnel costs due to the increase in headcount and a $0.5 million increase in recruiting expenses, partially offset by a $0.2 decrease in professional fees due to prior year expense relating to preparation for the IPO.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20" w:type="dxa"/>
            <w:vAlign w:val="bottom"/>
            <w:gridSpan w:val="5"/>
          </w:tcPr>
          <w:p>
            <w:pPr>
              <w:jc w:val="right"/>
              <w:ind w:right="48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(5,868)</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(6,117)</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231F20"/>
        </w:rPr>
        <w:t xml:space="preserve">Total other expense (income), net </w:t>
      </w:r>
      <w:r>
        <w:rPr>
          <w:rFonts w:ascii="Arial" w:cs="Arial" w:eastAsia="Arial" w:hAnsi="Arial"/>
          <w:sz w:val="17"/>
          <w:szCs w:val="17"/>
          <w:color w:val="000000"/>
        </w:rPr>
        <w:t>decreased by $</w:t>
      </w:r>
      <w:r>
        <w:rPr>
          <w:rFonts w:ascii="Arial" w:cs="Arial" w:eastAsia="Arial" w:hAnsi="Arial"/>
          <w:sz w:val="17"/>
          <w:szCs w:val="17"/>
          <w:color w:val="231F20"/>
        </w:rPr>
        <w:t xml:space="preserve">6.1 </w:t>
      </w:r>
      <w:r>
        <w:rPr>
          <w:rFonts w:ascii="Arial" w:cs="Arial" w:eastAsia="Arial" w:hAnsi="Arial"/>
          <w:sz w:val="17"/>
          <w:szCs w:val="17"/>
          <w:color w:val="000000"/>
        </w:rPr>
        <w:t>million, or</w:t>
      </w:r>
      <w:r>
        <w:rPr>
          <w:rFonts w:ascii="Arial" w:cs="Arial" w:eastAsia="Arial" w:hAnsi="Arial"/>
          <w:sz w:val="17"/>
          <w:szCs w:val="17"/>
          <w:color w:val="231F20"/>
        </w:rPr>
        <w:t xml:space="preserve"> 2,457</w:t>
      </w:r>
      <w:r>
        <w:rPr>
          <w:rFonts w:ascii="Arial" w:cs="Arial" w:eastAsia="Arial" w:hAnsi="Arial"/>
          <w:sz w:val="17"/>
          <w:szCs w:val="17"/>
          <w:color w:val="000000"/>
        </w:rPr>
        <w:t>%, during the three months ended June 30, 2021 compared to the three months</w:t>
      </w:r>
      <w:r>
        <w:rPr>
          <w:rFonts w:ascii="Arial" w:cs="Arial" w:eastAsia="Arial" w:hAnsi="Arial"/>
          <w:sz w:val="17"/>
          <w:szCs w:val="17"/>
          <w:color w:val="231F20"/>
        </w:rPr>
        <w:t xml:space="preserve"> </w:t>
      </w:r>
      <w:r>
        <w:rPr>
          <w:rFonts w:ascii="Arial" w:cs="Arial" w:eastAsia="Arial" w:hAnsi="Arial"/>
          <w:sz w:val="17"/>
          <w:szCs w:val="17"/>
          <w:color w:val="000000"/>
        </w:rPr>
        <w:t>ended June 30, 2020. The decrease in total other expense (income), net was primarily due to a $</w:t>
      </w:r>
      <w:r>
        <w:rPr>
          <w:rFonts w:ascii="Arial" w:cs="Arial" w:eastAsia="Arial" w:hAnsi="Arial"/>
          <w:sz w:val="17"/>
          <w:szCs w:val="17"/>
          <w:color w:val="231F20"/>
        </w:rPr>
        <w:t>6.1</w:t>
      </w:r>
      <w:r>
        <w:rPr>
          <w:rFonts w:ascii="Arial" w:cs="Arial" w:eastAsia="Arial" w:hAnsi="Arial"/>
          <w:sz w:val="17"/>
          <w:szCs w:val="17"/>
          <w:color w:val="000000"/>
        </w:rPr>
        <w:t xml:space="preserve"> million gain on debt extinguishment as a result of the forgiveness of the Company’s PPP Loan and related accrued interest. For additional information regarding forgiveness of the Company’s PPP Loan, see Note 7</w:t>
      </w:r>
      <w:r>
        <w:rPr>
          <w:rFonts w:ascii="Arial" w:cs="Arial" w:eastAsia="Arial" w:hAnsi="Arial"/>
          <w:sz w:val="17"/>
          <w:szCs w:val="17"/>
          <w:color w:val="231F20"/>
        </w:rPr>
        <w:t>—Long-Term Debt and Revolving Credit Facility</w:t>
      </w:r>
      <w:r>
        <w:rPr>
          <w:rFonts w:ascii="Arial" w:cs="Arial" w:eastAsia="Arial" w:hAnsi="Arial"/>
          <w:sz w:val="17"/>
          <w:szCs w:val="17"/>
          <w:color w:val="000000"/>
        </w:rPr>
        <w:t xml:space="preserve"> to our condensed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Six Months Ended June 30,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2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00" w:type="dxa"/>
            <w:vAlign w:val="bottom"/>
            <w:gridSpan w:val="5"/>
          </w:tcPr>
          <w:p>
            <w:pPr>
              <w:jc w:val="right"/>
              <w:ind w:right="402"/>
              <w:spacing w:after="0" w:line="155" w:lineRule="exact"/>
              <w:rPr>
                <w:sz w:val="20"/>
                <w:szCs w:val="20"/>
                <w:color w:val="auto"/>
              </w:rPr>
            </w:pPr>
            <w:r>
              <w:rPr>
                <w:rFonts w:ascii="Arial" w:cs="Arial" w:eastAsia="Arial" w:hAnsi="Arial"/>
                <w:sz w:val="14"/>
                <w:szCs w:val="14"/>
                <w:b w:val="1"/>
                <w:bCs w:val="1"/>
                <w:color w:val="auto"/>
                <w:w w:val="93"/>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90,555</w:t>
            </w:r>
          </w:p>
        </w:tc>
        <w:tc>
          <w:tcPr>
            <w:tcW w:w="4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21,970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231F20"/>
        </w:rPr>
        <w:t>Revenue increased by $22.0 million, or 32%, during the six months ended June 30, 2021 compared to the six months ended June 30, 2020. Despite ongoing adverse impacts of the COVID-19 pandemic, we have continued to experience increased customer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27" w:name="page28"/>
    <w:bookmarkEnd w:id="27"/>
    <w:p>
      <w:pPr>
        <w:ind w:right="640"/>
        <w:spacing w:after="0" w:line="277" w:lineRule="auto"/>
        <w:rPr>
          <w:sz w:val="20"/>
          <w:szCs w:val="20"/>
          <w:color w:val="auto"/>
        </w:rPr>
      </w:pPr>
      <w:r>
        <w:rPr>
          <w:rFonts w:ascii="Arial" w:cs="Arial" w:eastAsia="Arial" w:hAnsi="Arial"/>
          <w:sz w:val="18"/>
          <w:szCs w:val="18"/>
          <w:color w:val="231F20"/>
        </w:rPr>
        <w:t>usage of our platform, particularly in the percentage of spend pricing option, and continuing demand for our people-based advertising products and services. Platform spend increased by 31.8% in the comparative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 Operations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9"/>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31,615</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25,199</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13,867</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Platform operations as a percentage of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color w:val="231F20"/>
        </w:rPr>
        <w:t>Platform operations expense increased by $13.9 million, or 33%, during the six months ended June 30, 2021 compared to the six months ended June 30, 2020. The increase in platform operations is primarily driven by a $8.7 million increase in stock-based compensation related to our 2021 LTIP and a $6.4 million increase in TAC, which is a variable function of revenue associated with our fixed CPM pricing option, partially offset by a decrease of $0.9 million in cloud costs due to continued efforts to increase cloud infrastructure efficiencies and a decrease of $0.1 million in depreciation.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34,738</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12,872</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21,866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231F20"/>
        </w:rPr>
        <w:t>Sales and marketing expense increased by $21.9 million, or 170%, during the six months ended June 30, 2021 compared to the six months ended June 30, 2020. The increase in sales and marketing expense was primarily due to a $18.7 million increase in stock-based compensation related to our 2021 LTIP, a $2.9 million increase personnel costs and in the amount of overhead allocated to sales and marketing as a result of the departments’ headcount increasing and becoming a larger percentage of total headcount, a $0.3 increase in advertising and a $0.1 increase in software licenses and subscriptions, partially offset by a $0.2 million decrease in travel and entertainment as a result of the COVID-19 pandemic.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 and Development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13,931</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9,797</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380" w:firstLine="749"/>
        <w:spacing w:after="0" w:line="259" w:lineRule="auto"/>
        <w:rPr>
          <w:sz w:val="20"/>
          <w:szCs w:val="20"/>
          <w:color w:val="auto"/>
        </w:rPr>
      </w:pPr>
      <w:r>
        <w:rPr>
          <w:rFonts w:ascii="Arial" w:cs="Arial" w:eastAsia="Arial" w:hAnsi="Arial"/>
          <w:sz w:val="18"/>
          <w:szCs w:val="18"/>
          <w:color w:val="231F20"/>
        </w:rPr>
        <w:t>Technology and development expense increased by $9.8 million, or 237%, during the six months ended June 30, 2021 compared to the six months ended June 30, 2020. The increase in technology and development expense was primarily attributable to a $8.0 million increase in stock-based compensation related to our 2021 LTIP and an $1.8 million increase in personnel costs as a result of an increase in headcount to support our continued investment in developed technology.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24,495</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15,948</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firstLine="510"/>
        <w:spacing w:after="0" w:line="275" w:lineRule="auto"/>
        <w:rPr>
          <w:sz w:val="20"/>
          <w:szCs w:val="20"/>
          <w:color w:val="auto"/>
        </w:rPr>
      </w:pPr>
      <w:r>
        <w:rPr>
          <w:rFonts w:ascii="Arial" w:cs="Arial" w:eastAsia="Arial" w:hAnsi="Arial"/>
          <w:sz w:val="17"/>
          <w:szCs w:val="17"/>
          <w:color w:val="231F20"/>
        </w:rPr>
        <w:t>General and administrative expense increased by $15.9 million, or 187%, during the six months ended June 30, 2021 compared to the six months ended June 30, 2020. The increase in general and administrative expense was primarily attributable to a $11.4 million increase in stock-based compensation related to our 2021 LTIP, a $2.0 million increase in insurance and accounting expenses associated with the IPO, a $1.6 million increase in personnel costs due to the increase in headcount, a $0.8 million increase in recruiting expenses and a $0.2 million increase in software and subscription license expenses, partially offset by a $0.2 decrease in travel and entertainment due to the COVID-19 pandemic.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3"/>
              </w:rPr>
              <w:t>Six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20" w:type="dxa"/>
            <w:vAlign w:val="bottom"/>
            <w:gridSpan w:val="5"/>
          </w:tcPr>
          <w:p>
            <w:pPr>
              <w:jc w:val="right"/>
              <w:ind w:right="48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(5,702)</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541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(6,243)</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231F20"/>
        </w:rPr>
        <w:t xml:space="preserve">Total other expense (income), net </w:t>
      </w:r>
      <w:r>
        <w:rPr>
          <w:rFonts w:ascii="Arial" w:cs="Arial" w:eastAsia="Arial" w:hAnsi="Arial"/>
          <w:sz w:val="17"/>
          <w:szCs w:val="17"/>
          <w:color w:val="000000"/>
        </w:rPr>
        <w:t>increased by $</w:t>
      </w:r>
      <w:r>
        <w:rPr>
          <w:rFonts w:ascii="Arial" w:cs="Arial" w:eastAsia="Arial" w:hAnsi="Arial"/>
          <w:sz w:val="17"/>
          <w:szCs w:val="17"/>
          <w:color w:val="231F20"/>
        </w:rPr>
        <w:t xml:space="preserve">6.2 </w:t>
      </w:r>
      <w:r>
        <w:rPr>
          <w:rFonts w:ascii="Arial" w:cs="Arial" w:eastAsia="Arial" w:hAnsi="Arial"/>
          <w:sz w:val="17"/>
          <w:szCs w:val="17"/>
          <w:color w:val="000000"/>
        </w:rPr>
        <w:t>million, or</w:t>
      </w:r>
      <w:r>
        <w:rPr>
          <w:rFonts w:ascii="Arial" w:cs="Arial" w:eastAsia="Arial" w:hAnsi="Arial"/>
          <w:sz w:val="17"/>
          <w:szCs w:val="17"/>
          <w:color w:val="231F20"/>
        </w:rPr>
        <w:t xml:space="preserve"> 1,154</w:t>
      </w:r>
      <w:r>
        <w:rPr>
          <w:rFonts w:ascii="Arial" w:cs="Arial" w:eastAsia="Arial" w:hAnsi="Arial"/>
          <w:sz w:val="17"/>
          <w:szCs w:val="17"/>
          <w:color w:val="000000"/>
        </w:rPr>
        <w:t>%, during the six months ended June 30, 2021 compared to the six months</w:t>
      </w:r>
      <w:r>
        <w:rPr>
          <w:rFonts w:ascii="Arial" w:cs="Arial" w:eastAsia="Arial" w:hAnsi="Arial"/>
          <w:sz w:val="17"/>
          <w:szCs w:val="17"/>
          <w:color w:val="231F20"/>
        </w:rPr>
        <w:t xml:space="preserve"> </w:t>
      </w:r>
      <w:r>
        <w:rPr>
          <w:rFonts w:ascii="Arial" w:cs="Arial" w:eastAsia="Arial" w:hAnsi="Arial"/>
          <w:sz w:val="17"/>
          <w:szCs w:val="17"/>
          <w:color w:val="000000"/>
        </w:rPr>
        <w:t>ended June 30, 2020. The increase in total other expense (income), net was primarily due to a $</w:t>
      </w:r>
      <w:r>
        <w:rPr>
          <w:rFonts w:ascii="Arial" w:cs="Arial" w:eastAsia="Arial" w:hAnsi="Arial"/>
          <w:sz w:val="17"/>
          <w:szCs w:val="17"/>
          <w:color w:val="231F20"/>
        </w:rPr>
        <w:t>6.1</w:t>
      </w:r>
      <w:r>
        <w:rPr>
          <w:rFonts w:ascii="Arial" w:cs="Arial" w:eastAsia="Arial" w:hAnsi="Arial"/>
          <w:sz w:val="17"/>
          <w:szCs w:val="17"/>
          <w:color w:val="000000"/>
        </w:rPr>
        <w:t xml:space="preserve"> million gain on debt extinguishment as a result of the forgiveness of Company’s PPP Loan and related accrued interest. For additional information regarding forgiveness of the Company’s PPP Loan, see Note 7 </w:t>
      </w:r>
      <w:r>
        <w:rPr>
          <w:rFonts w:ascii="Arial" w:cs="Arial" w:eastAsia="Arial" w:hAnsi="Arial"/>
          <w:sz w:val="17"/>
          <w:szCs w:val="17"/>
          <w:color w:val="231F20"/>
        </w:rPr>
        <w:t xml:space="preserve">—Long-Term Debt and Revolving Credit Facility </w:t>
      </w:r>
      <w:r>
        <w:rPr>
          <w:rFonts w:ascii="Arial" w:cs="Arial" w:eastAsia="Arial" w:hAnsi="Arial"/>
          <w:sz w:val="17"/>
          <w:szCs w:val="17"/>
          <w:color w:val="000000"/>
        </w:rPr>
        <w:t>to our condensed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Operating and Financial Performance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11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231F20"/>
        </w:rPr>
        <w:t>We monitor the key operating and financial performance metrics set forth below to help us evaluate growth trends, establish budgets, measure the effectiveness of our sales and marketing efforts and assess our operational efficiencies. This Quarterly Report includes financial measures defined as non-GAAP financial measures by the SEC. These non-GAAP measures include contribution ex-TAC, Adjusted EBITDA, non-GAAP net income (loss), and non-GAAP earnings (loss) per share, which are discussed immediately following the table below, along with the operational performance measure Active Customers. These measures are not calculated in accordance with GAAP.</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Change (%)</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49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78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47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78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gridSpan w:val="3"/>
          </w:tcPr>
          <w:p>
            <w:pPr>
              <w:jc w:val="center"/>
              <w:ind w:right="72"/>
              <w:spacing w:after="0" w:line="133" w:lineRule="exact"/>
              <w:rPr>
                <w:sz w:val="20"/>
                <w:szCs w:val="20"/>
                <w:color w:val="auto"/>
              </w:rPr>
            </w:pPr>
            <w:r>
              <w:rPr>
                <w:rFonts w:ascii="Arial" w:cs="Arial" w:eastAsia="Arial" w:hAnsi="Arial"/>
                <w:sz w:val="14"/>
                <w:szCs w:val="14"/>
                <w:b w:val="1"/>
                <w:bCs w:val="1"/>
                <w:color w:val="auto"/>
                <w:w w:val="91"/>
              </w:rPr>
              <w:t>(in thousands, except for</w:t>
            </w:r>
          </w:p>
        </w:tc>
        <w:tc>
          <w:tcPr>
            <w:tcW w:w="2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3"/>
          </w:tcPr>
          <w:p>
            <w:pPr>
              <w:jc w:val="center"/>
              <w:ind w:right="52"/>
              <w:spacing w:after="0" w:line="133" w:lineRule="exact"/>
              <w:rPr>
                <w:sz w:val="20"/>
                <w:szCs w:val="20"/>
                <w:color w:val="auto"/>
              </w:rPr>
            </w:pPr>
            <w:r>
              <w:rPr>
                <w:rFonts w:ascii="Arial" w:cs="Arial" w:eastAsia="Arial" w:hAnsi="Arial"/>
                <w:sz w:val="14"/>
                <w:szCs w:val="14"/>
                <w:b w:val="1"/>
                <w:bCs w:val="1"/>
                <w:color w:val="auto"/>
                <w:w w:val="91"/>
              </w:rPr>
              <w:t>(in thousands, except for</w:t>
            </w:r>
          </w:p>
        </w:tc>
        <w:tc>
          <w:tcPr>
            <w:tcW w:w="2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percentages, per share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percentages, per share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data and number of customers)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data and number of customers)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and Financial</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Performance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Metrics</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Contribution ex-TAC</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32,199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20,045</w:t>
            </w: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58,940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43,386</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8,346</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13,228</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Adjusted EBITDA as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percentage of contribution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ex-TAC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Non-GAAP net income (loss) </w:t>
            </w:r>
            <w:r>
              <w:rPr>
                <w:rFonts w:ascii="Arial" w:cs="Arial" w:eastAsia="Arial" w:hAnsi="Arial"/>
                <w:sz w:val="15"/>
                <w:szCs w:val="15"/>
                <w:color w:val="auto"/>
              </w:rPr>
              <w:t>(1)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5,231</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N/M</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7,385</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w w:val="92"/>
              </w:rPr>
              <w:t>Non-GAAP earnings (loss) per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—basic</w:t>
            </w:r>
            <w:r>
              <w:rPr>
                <w:rFonts w:ascii="Arial" w:cs="Arial" w:eastAsia="Arial" w:hAnsi="Arial"/>
                <w:sz w:val="15"/>
                <w:szCs w:val="15"/>
                <w:color w:val="auto"/>
              </w:rPr>
              <w:t>(2)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w w:val="92"/>
              </w:rPr>
              <w:t>Non-GAAP earnings (loss) per share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Number of Active Customers</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Average contribution ex-TAC per</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Active Customer</w:t>
            </w:r>
            <w:r>
              <w:rPr>
                <w:rFonts w:ascii="Arial" w:cs="Arial" w:eastAsia="Arial" w:hAnsi="Arial"/>
                <w:sz w:val="15"/>
                <w:szCs w:val="15"/>
                <w:color w:val="auto"/>
              </w:rPr>
              <w:t>(3)</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firstLine="518"/>
        <w:spacing w:after="0" w:line="277" w:lineRule="auto"/>
        <w:tabs>
          <w:tab w:leader="none" w:pos="1336" w:val="left"/>
        </w:tabs>
        <w:numPr>
          <w:ilvl w:val="0"/>
          <w:numId w:val="6"/>
        </w:numPr>
        <w:rPr>
          <w:rFonts w:ascii="Arial" w:cs="Arial" w:eastAsia="Arial" w:hAnsi="Arial"/>
          <w:sz w:val="15"/>
          <w:szCs w:val="15"/>
          <w:color w:val="231F20"/>
        </w:rPr>
      </w:pPr>
      <w:r>
        <w:rPr>
          <w:rFonts w:ascii="Arial" w:cs="Arial" w:eastAsia="Arial" w:hAnsi="Arial"/>
          <w:sz w:val="18"/>
          <w:szCs w:val="18"/>
          <w:color w:val="231F20"/>
        </w:rPr>
        <w:t>Management believes that the change in non-GAAP net income (loss) for the three months ended June 30, 2021, compared to the same period in the prior year, is not meaningful as the change is comparing a period of net income to a period of net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9" w:name="page30"/>
    <w:bookmarkEnd w:id="29"/>
    <w:p>
      <w:pPr>
        <w:ind w:right="100" w:firstLine="518"/>
        <w:spacing w:after="0" w:line="277" w:lineRule="auto"/>
        <w:tabs>
          <w:tab w:leader="none" w:pos="1336" w:val="left"/>
        </w:tabs>
        <w:numPr>
          <w:ilvl w:val="0"/>
          <w:numId w:val="7"/>
        </w:numPr>
        <w:rPr>
          <w:rFonts w:ascii="Arial" w:cs="Arial" w:eastAsia="Arial" w:hAnsi="Arial"/>
          <w:sz w:val="15"/>
          <w:szCs w:val="15"/>
          <w:color w:val="231F20"/>
        </w:rPr>
      </w:pPr>
      <w:r>
        <w:rPr>
          <w:rFonts w:ascii="Arial" w:cs="Arial" w:eastAsia="Arial" w:hAnsi="Arial"/>
          <w:sz w:val="18"/>
          <w:szCs w:val="18"/>
          <w:color w:val="231F20"/>
        </w:rPr>
        <w:t xml:space="preserve">Non-GAAP earnings (loss) per share </w:t>
      </w:r>
      <w:r>
        <w:rPr>
          <w:rFonts w:ascii="Arial" w:cs="Arial" w:eastAsia="Arial" w:hAnsi="Arial"/>
          <w:sz w:val="18"/>
          <w:szCs w:val="18"/>
          <w:color w:val="000000"/>
        </w:rPr>
        <w:t>was not adjusted for the prior comparative periods presented.</w:t>
      </w:r>
      <w:r>
        <w:rPr>
          <w:rFonts w:ascii="Arial" w:cs="Arial" w:eastAsia="Arial" w:hAnsi="Arial"/>
          <w:sz w:val="18"/>
          <w:szCs w:val="18"/>
          <w:color w:val="231F20"/>
        </w:rPr>
        <w:t xml:space="preserve"> For discussion on why prior periods were not adjusted, see “—Non-GAAP Earnings (loss) per Share.”</w:t>
      </w:r>
    </w:p>
    <w:p>
      <w:pPr>
        <w:spacing w:after="0" w:line="62" w:lineRule="exact"/>
        <w:rPr>
          <w:rFonts w:ascii="Arial" w:cs="Arial" w:eastAsia="Arial" w:hAnsi="Arial"/>
          <w:sz w:val="15"/>
          <w:szCs w:val="15"/>
          <w:color w:val="231F20"/>
        </w:rPr>
      </w:pPr>
    </w:p>
    <w:p>
      <w:pPr>
        <w:ind w:right="40" w:firstLine="518"/>
        <w:spacing w:after="0" w:line="259" w:lineRule="auto"/>
        <w:tabs>
          <w:tab w:leader="none" w:pos="1336" w:val="left"/>
        </w:tabs>
        <w:numPr>
          <w:ilvl w:val="0"/>
          <w:numId w:val="7"/>
        </w:numPr>
        <w:rPr>
          <w:rFonts w:ascii="Arial" w:cs="Arial" w:eastAsia="Arial" w:hAnsi="Arial"/>
          <w:sz w:val="15"/>
          <w:szCs w:val="15"/>
          <w:color w:val="231F20"/>
        </w:rPr>
      </w:pPr>
      <w:r>
        <w:rPr>
          <w:rFonts w:ascii="Arial" w:cs="Arial" w:eastAsia="Arial" w:hAnsi="Arial"/>
          <w:sz w:val="18"/>
          <w:szCs w:val="18"/>
          <w:color w:val="231F20"/>
        </w:rPr>
        <w:t>We define an Active Customer as a customer that had total aggregate contribution ex-TAC of at least $5,000 through our platform during the previous twelve months. We define average contribution ex-TAC per Active Customer as contribution ex-TAC for the trailing twelve month period presented divided by Active Customers. For a detailed discussion of average contribution ex-TAC per Active Customer and Active Customers, see “— Number of Active Customers and Average Contribution ex-TAC per Active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Contribution ex-TAC</w:t>
      </w:r>
    </w:p>
    <w:p>
      <w:pPr>
        <w:spacing w:after="0" w:line="333"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231F20"/>
        </w:rPr>
        <w:t>Contribution ex-TAC, previously referred to as Revenue ex-TAC in our Annual Report on Form 10-K for the year ended December 31, 2020 and our Quarterly Report on Form 10-Q for the quarter ended March 31, 2021, is a non-GAAP financial measure. Gross profit is the most comparable GAAP measurement, which is calculated as revenue less platform operations. In calculating contribution ex-TAC, we add back other platform operations expense to gross profit. Contribution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8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231F20"/>
        </w:rPr>
        <w:t>The following table presents the calculation of gross profit and reconciliation of gross profit to contribution ex-TAC for the three and six months ended June 30, 2021 and 2020:</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Less: Platform operations</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(31,715)</w:t>
            </w:r>
          </w:p>
        </w:tc>
        <w:tc>
          <w:tcPr>
            <w:tcW w:w="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(18,589)</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(56,059)</w:t>
            </w:r>
          </w:p>
        </w:tc>
        <w:tc>
          <w:tcPr>
            <w:tcW w:w="3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(42,192)</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18,696</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34,496</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Add back: Other platform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Contribution ex-TAC</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58,940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25" w:lineRule="exact"/>
        <w:rPr>
          <w:sz w:val="20"/>
          <w:szCs w:val="20"/>
          <w:color w:val="auto"/>
        </w:rPr>
      </w:pPr>
    </w:p>
    <w:p>
      <w:pPr>
        <w:ind w:right="440" w:firstLine="510"/>
        <w:spacing w:after="0" w:line="286" w:lineRule="auto"/>
        <w:rPr>
          <w:sz w:val="20"/>
          <w:szCs w:val="20"/>
          <w:color w:val="auto"/>
        </w:rPr>
      </w:pPr>
      <w:r>
        <w:rPr>
          <w:rFonts w:ascii="Arial" w:cs="Arial" w:eastAsia="Arial" w:hAnsi="Arial"/>
          <w:sz w:val="17"/>
          <w:szCs w:val="17"/>
          <w:color w:val="231F20"/>
        </w:rPr>
        <w:t>Adjusted EBITDA is a non-GAAP financial measure defined by us as net income (loss), the most comparable GAAP measurement, before interest expense, net, income tax expense (benefit), depreciation, amortization, stock-based compensation and certain other items that are not related to our core operations, such as restructuring charges, transaction expenses and the extinguishment of debt.</w:t>
      </w:r>
    </w:p>
    <w:p>
      <w:pPr>
        <w:spacing w:after="0" w:line="16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Adjusted EBITDA and Adjusted EBITDA as a percentage of contribution ex-TAC are key measures used by our management and board of directors to understand and evaluate our core operating performance and trends, to prepare and approve our annual budget and to develop short-and long-term operational plans. In particular, we believe that the exclusion of the amounts eliminated in calculating Adjusted EBITDA can provide a measure for period-to-period comparisons of our business. Adjusted EBITDA as a percentage of our non-GAAP metric, contribution ex-TAC, is used by our management and board of directors to evaluate Adjusted EBITDA relative to our profitability after costs that are directly variable to revenues, which comprise traffic acquisition costs.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right="120" w:firstLine="510"/>
        <w:spacing w:after="0" w:line="263" w:lineRule="auto"/>
        <w:rPr>
          <w:sz w:val="20"/>
          <w:szCs w:val="20"/>
          <w:color w:val="auto"/>
        </w:rPr>
      </w:pPr>
      <w:r>
        <w:rPr>
          <w:rFonts w:ascii="Arial" w:cs="Arial" w:eastAsia="Arial" w:hAnsi="Arial"/>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6" w:lineRule="exact"/>
        <w:rPr>
          <w:sz w:val="20"/>
          <w:szCs w:val="20"/>
          <w:color w:val="auto"/>
        </w:rPr>
      </w:pPr>
    </w:p>
    <w:p>
      <w:pPr>
        <w:ind w:left="1000" w:right="1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 and</w:t>
      </w:r>
    </w:p>
    <w:p>
      <w:pPr>
        <w:spacing w:after="0" w:line="75"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stock-based compensation.</w:t>
      </w:r>
    </w:p>
    <w:p>
      <w:pPr>
        <w:spacing w:after="0" w:line="170" w:lineRule="exact"/>
        <w:rPr>
          <w:sz w:val="20"/>
          <w:szCs w:val="20"/>
          <w:color w:val="auto"/>
        </w:rPr>
      </w:pPr>
    </w:p>
    <w:p>
      <w:pPr>
        <w:jc w:val="both"/>
        <w:ind w:right="660" w:firstLine="510"/>
        <w:spacing w:after="0" w:line="263"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revenue, net income (loss) and cash flows. The following table presents the reconciliation of net income (loss) to Adjusted EBITDA for the three and six months ended June 30, 2021 and 2020.</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(18,095)</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(32,966)</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Add back: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extinguishment of debt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(6,110)</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(6,110)</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13,228</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231F20"/>
        </w:rPr>
        <w:t>The following table presents the reconciliation of net income (loss) as a percentage of gross profit to Adjusted EBITDA as a percentage of contribution ex-TAC for the three and six months ended June 30, 2021 and 2020:</w:t>
      </w:r>
    </w:p>
    <w:p>
      <w:pPr>
        <w:sectPr>
          <w:pgSz w:w="11900" w:h="16838" w:orient="portrait"/>
          <w:cols w:equalWidth="0" w:num="1">
            <w:col w:w="11220"/>
          </w:cols>
          <w:pgMar w:left="320" w:top="557" w:right="359" w:bottom="1440" w:gutter="0" w:footer="0" w:header="0"/>
        </w:sectPr>
      </w:pPr>
    </w:p>
    <w:p>
      <w:pPr>
        <w:spacing w:after="0" w:line="175"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5860"/>
        <w:spacing w:after="0"/>
        <w:tabs>
          <w:tab w:leader="none" w:pos="71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6985</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6" w:lineRule="exact"/>
        <w:rPr>
          <w:sz w:val="20"/>
          <w:szCs w:val="20"/>
          <w:color w:val="auto"/>
        </w:rPr>
      </w:pPr>
    </w:p>
    <w:p>
      <w:pPr>
        <w:jc w:val="center"/>
        <w:ind w:left="5500"/>
        <w:spacing w:after="0"/>
        <w:rPr>
          <w:sz w:val="20"/>
          <w:szCs w:val="20"/>
          <w:color w:val="auto"/>
        </w:rPr>
      </w:pPr>
      <w:r>
        <w:rPr>
          <w:rFonts w:ascii="Arial" w:cs="Arial" w:eastAsia="Arial" w:hAnsi="Arial"/>
          <w:sz w:val="13"/>
          <w:szCs w:val="13"/>
          <w:b w:val="1"/>
          <w:bCs w:val="1"/>
          <w:color w:val="auto"/>
        </w:rPr>
        <w:t>(in thousands, except for</w:t>
      </w:r>
    </w:p>
    <w:p>
      <w:pPr>
        <w:jc w:val="center"/>
        <w:ind w:left="5500"/>
        <w:spacing w:after="0" w:line="237" w:lineRule="auto"/>
        <w:rPr>
          <w:sz w:val="20"/>
          <w:szCs w:val="20"/>
          <w:color w:val="auto"/>
        </w:rPr>
      </w:pPr>
      <w:r>
        <w:rPr>
          <w:rFonts w:ascii="Arial" w:cs="Arial" w:eastAsia="Arial" w:hAnsi="Arial"/>
          <w:sz w:val="14"/>
          <w:szCs w:val="14"/>
          <w:b w:val="1"/>
          <w:bCs w:val="1"/>
          <w:color w:val="auto"/>
        </w:rPr>
        <w:t>percentages)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-3175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(in thousands, except for</w:t>
      </w:r>
    </w:p>
    <w:p>
      <w:pPr>
        <w:jc w:val="center"/>
        <w:ind w:right="1100"/>
        <w:spacing w:after="0" w:line="237" w:lineRule="auto"/>
        <w:rPr>
          <w:sz w:val="20"/>
          <w:szCs w:val="20"/>
          <w:color w:val="auto"/>
        </w:rPr>
      </w:pPr>
      <w:r>
        <w:rPr>
          <w:rFonts w:ascii="Arial" w:cs="Arial" w:eastAsia="Arial" w:hAnsi="Arial"/>
          <w:sz w:val="14"/>
          <w:szCs w:val="14"/>
          <w:b w:val="1"/>
          <w:bCs w:val="1"/>
          <w:color w:val="auto"/>
        </w:rPr>
        <w:t>percentages)</w:t>
      </w:r>
    </w:p>
    <w:p>
      <w:pPr>
        <w:spacing w:after="0" w:line="21" w:lineRule="exact"/>
        <w:rPr>
          <w:sz w:val="20"/>
          <w:szCs w:val="20"/>
          <w:color w:val="auto"/>
        </w:rPr>
      </w:pPr>
    </w:p>
    <w:p>
      <w:pPr>
        <w:sectPr>
          <w:pgSz w:w="11900" w:h="16838" w:orient="portrait"/>
          <w:cols w:equalWidth="0" w:num="2">
            <w:col w:w="7820" w:space="720"/>
            <w:col w:w="2680"/>
          </w:cols>
          <w:pgMar w:left="320" w:top="557" w:right="359" w:bottom="1440" w:gutter="0" w:footer="0" w:header="0"/>
          <w:type w:val="continuous"/>
        </w:sectPr>
      </w:pPr>
    </w:p>
    <w:tbl>
      <w:tblPr>
        <w:tblLayout w:type="fixed"/>
        <w:tblInd w:w="580" w:type="dxa"/>
        <w:tblCellMar>
          <w:top w:w="0" w:type="dxa"/>
          <w:left w:w="0" w:type="dxa"/>
          <w:bottom w:w="0" w:type="dxa"/>
          <w:right w:w="0" w:type="dxa"/>
        </w:tblCellMar>
      </w:tblP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11,836</w:t>
            </w: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(18,095)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(32,966)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as a percentage of gross profit</w:t>
            </w:r>
            <w:r>
              <w:rPr>
                <w:rFonts w:ascii="Arial" w:cs="Arial" w:eastAsia="Arial" w:hAnsi="Arial"/>
                <w:sz w:val="15"/>
                <w:szCs w:val="15"/>
                <w:color w:val="auto"/>
              </w:rPr>
              <w:t>(1)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Contribution ex-TAC</w:t>
            </w:r>
            <w:r>
              <w:rPr>
                <w:rFonts w:ascii="Arial" w:cs="Arial" w:eastAsia="Arial" w:hAnsi="Arial"/>
                <w:sz w:val="15"/>
                <w:szCs w:val="15"/>
                <w:color w:val="auto"/>
              </w:rPr>
              <w:t>(2)</w:t>
            </w: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32,199</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58,940</w:t>
            </w:r>
          </w:p>
        </w:tc>
        <w:tc>
          <w:tcPr>
            <w:tcW w:w="3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w w:val="99"/>
              </w:rPr>
              <w:t>Adjusted EBITDA as a percentage of contribution ex-TAC</w:t>
            </w: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277" w:lineRule="auto"/>
        <w:tabs>
          <w:tab w:leader="none" w:pos="1336" w:val="left"/>
        </w:tabs>
        <w:numPr>
          <w:ilvl w:val="0"/>
          <w:numId w:val="9"/>
        </w:numPr>
        <w:rPr>
          <w:rFonts w:ascii="Arial" w:cs="Arial" w:eastAsia="Arial" w:hAnsi="Arial"/>
          <w:sz w:val="15"/>
          <w:szCs w:val="15"/>
          <w:color w:val="231F20"/>
        </w:rPr>
      </w:pPr>
      <w:r>
        <w:rPr>
          <w:rFonts w:ascii="Arial" w:cs="Arial" w:eastAsia="Arial" w:hAnsi="Arial"/>
          <w:sz w:val="18"/>
          <w:szCs w:val="18"/>
          <w:color w:val="231F20"/>
        </w:rPr>
        <w:t>Management believes that net loss as a percentage of gross profit for the current period presented is not comparable to the prior year period presented due to the impact of stock-based compensation recognized in the current period.</w:t>
      </w:r>
    </w:p>
    <w:p>
      <w:pPr>
        <w:spacing w:after="0" w:line="62" w:lineRule="exact"/>
        <w:rPr>
          <w:rFonts w:ascii="Arial" w:cs="Arial" w:eastAsia="Arial" w:hAnsi="Arial"/>
          <w:sz w:val="15"/>
          <w:szCs w:val="15"/>
          <w:color w:val="231F20"/>
        </w:rPr>
      </w:pPr>
    </w:p>
    <w:p>
      <w:pPr>
        <w:ind w:right="80" w:firstLine="518"/>
        <w:spacing w:after="0" w:line="277" w:lineRule="auto"/>
        <w:tabs>
          <w:tab w:leader="none" w:pos="1336" w:val="left"/>
        </w:tabs>
        <w:numPr>
          <w:ilvl w:val="0"/>
          <w:numId w:val="9"/>
        </w:numPr>
        <w:rPr>
          <w:rFonts w:ascii="Arial" w:cs="Arial" w:eastAsia="Arial" w:hAnsi="Arial"/>
          <w:sz w:val="15"/>
          <w:szCs w:val="15"/>
          <w:color w:val="231F20"/>
        </w:rPr>
      </w:pPr>
      <w:r>
        <w:rPr>
          <w:rFonts w:ascii="Arial" w:cs="Arial" w:eastAsia="Arial" w:hAnsi="Arial"/>
          <w:sz w:val="18"/>
          <w:szCs w:val="18"/>
          <w:color w:val="231F20"/>
        </w:rPr>
        <w:t>For a reconciliation of contribution ex-TAC to the most directly comparable financial measure calculated in accordance with GAAP, see “—Contribution ex-TAC.”</w:t>
      </w:r>
    </w:p>
    <w:p>
      <w:pPr>
        <w:spacing w:after="0" w:line="62" w:lineRule="exact"/>
        <w:rPr>
          <w:rFonts w:ascii="Arial" w:cs="Arial" w:eastAsia="Arial" w:hAnsi="Arial"/>
          <w:sz w:val="15"/>
          <w:szCs w:val="15"/>
          <w:color w:val="231F20"/>
        </w:rPr>
      </w:pPr>
    </w:p>
    <w:p>
      <w:pPr>
        <w:ind w:right="220" w:firstLine="518"/>
        <w:spacing w:after="0" w:line="277" w:lineRule="auto"/>
        <w:tabs>
          <w:tab w:leader="none" w:pos="1336" w:val="left"/>
        </w:tabs>
        <w:numPr>
          <w:ilvl w:val="0"/>
          <w:numId w:val="9"/>
        </w:numPr>
        <w:rPr>
          <w:rFonts w:ascii="Arial" w:cs="Arial" w:eastAsia="Arial" w:hAnsi="Arial"/>
          <w:sz w:val="15"/>
          <w:szCs w:val="15"/>
          <w:color w:val="231F20"/>
        </w:rPr>
      </w:pPr>
      <w:r>
        <w:rPr>
          <w:rFonts w:ascii="Arial" w:cs="Arial" w:eastAsia="Arial" w:hAnsi="Arial"/>
          <w:sz w:val="18"/>
          <w:szCs w:val="18"/>
          <w:color w:val="231F20"/>
        </w:rPr>
        <w:t>For a reconciliation of Adjusted EBITDA to the most directly comparable financial measure calculated in accordance with GAAP, see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Non-GAAP Net Income (Loss)</w:t>
      </w:r>
    </w:p>
    <w:p>
      <w:pPr>
        <w:spacing w:after="0" w:line="225"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231F20"/>
        </w:rPr>
        <w:t>Non-GAAP net income (loss) is a non-GAAP financial measure defined by us as net income (loss), the most comparable GAAP measurement, adjusted to eliminate the impact of stock-based compensation and certain other items that are not related to our core operations, such as restructuring charges, transaction expenses and the extinguishment of debt. Non-GAAP net income (loss) is a key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31" w:name="page32"/>
    <w:bookmarkEnd w:id="31"/>
    <w:p>
      <w:pPr>
        <w:ind w:right="160"/>
        <w:spacing w:after="0" w:line="296" w:lineRule="auto"/>
        <w:rPr>
          <w:sz w:val="20"/>
          <w:szCs w:val="20"/>
          <w:color w:val="auto"/>
        </w:rPr>
      </w:pPr>
      <w:r>
        <w:rPr>
          <w:rFonts w:ascii="Arial" w:cs="Arial" w:eastAsia="Arial" w:hAnsi="Arial"/>
          <w:sz w:val="16"/>
          <w:szCs w:val="16"/>
          <w:color w:val="231F20"/>
        </w:rPr>
        <w:t>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provides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16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presents the reconciliation of net income (loss) to non-GAAP net income for the three and six months ended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2020:</w:t>
      </w:r>
    </w:p>
    <w:p>
      <w:pPr>
        <w:sectPr>
          <w:pgSz w:w="11900" w:h="16838" w:orient="portrait"/>
          <w:cols w:equalWidth="0" w:num="1">
            <w:col w:w="11200"/>
          </w:cols>
          <w:pgMar w:left="320" w:top="557" w:right="379" w:bottom="1440" w:gutter="0" w:footer="0" w:header="0"/>
        </w:sectPr>
      </w:pPr>
    </w:p>
    <w:p>
      <w:pPr>
        <w:spacing w:after="0" w:line="297" w:lineRule="exact"/>
        <w:rPr>
          <w:sz w:val="20"/>
          <w:szCs w:val="20"/>
          <w:color w:val="auto"/>
        </w:rPr>
      </w:pPr>
    </w:p>
    <w:p>
      <w:pPr>
        <w:jc w:val="center"/>
        <w:ind w:left="52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13970</wp:posOffset>
            </wp:positionV>
            <wp:extent cx="16198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87" w:lineRule="exact"/>
        <w:rPr>
          <w:sz w:val="20"/>
          <w:szCs w:val="20"/>
          <w:color w:val="auto"/>
        </w:rPr>
      </w:pPr>
    </w:p>
    <w:p>
      <w:pPr>
        <w:ind w:left="5640"/>
        <w:spacing w:after="0"/>
        <w:tabs>
          <w:tab w:leader="none" w:pos="70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6350</wp:posOffset>
            </wp:positionV>
            <wp:extent cx="16198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08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20955</wp:posOffset>
            </wp:positionV>
            <wp:extent cx="1637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9"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20955</wp:posOffset>
            </wp:positionV>
            <wp:extent cx="1637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8"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7720" w:space="720"/>
            <w:col w:w="2760"/>
          </w:cols>
          <w:pgMar w:left="320" w:top="557" w:right="37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(18,095)</w:t>
            </w:r>
          </w:p>
        </w:tc>
        <w:tc>
          <w:tcPr>
            <w:tcW w:w="5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(32,966)</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8"/>
                <w:szCs w:val="18"/>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46,777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Gain on extinguishment of debt</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(6,110)</w:t>
            </w:r>
          </w:p>
        </w:tc>
        <w:tc>
          <w:tcPr>
            <w:tcW w:w="5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640" w:type="dxa"/>
            <w:vAlign w:val="bottom"/>
          </w:tcPr>
          <w:p>
            <w:pPr>
              <w:ind w:left="140"/>
              <w:spacing w:after="0"/>
              <w:rPr>
                <w:sz w:val="20"/>
                <w:szCs w:val="20"/>
                <w:color w:val="auto"/>
              </w:rPr>
            </w:pPr>
            <w:r>
              <w:rPr>
                <w:rFonts w:ascii="Arial" w:cs="Arial" w:eastAsia="Arial" w:hAnsi="Arial"/>
                <w:sz w:val="18"/>
                <w:szCs w:val="18"/>
                <w:color w:val="auto"/>
              </w:rPr>
              <w:t>Less: Income tax effect related to Viant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Technology Inc.'s share of adjustments</w:t>
            </w:r>
          </w:p>
        </w:tc>
        <w:tc>
          <w:tcPr>
            <w:tcW w:w="3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5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 (loss)</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Non-GAAP Earnings (loss) per Share</w:t>
      </w:r>
    </w:p>
    <w:p>
      <w:pPr>
        <w:spacing w:after="0" w:line="22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Non-GAAP earnings (loss) per share is a non-GAAP financial measure defined by us as earnings (loss) per share, the most comparable GAAP measurement, adjusted to eliminate the impact of stock-based compensation and certain other items that are not related to our core operations, such as restructuring charges, transaction expenses and the extinguishment of debt. Non-GAAP earnings (loss) per share is a key measure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provides information to investors and the market generally in understanding and evaluating our results of operations in the same manner as our management and board of directors.</w:t>
      </w:r>
    </w:p>
    <w:p>
      <w:pPr>
        <w:spacing w:after="0" w:line="16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231F20"/>
        </w:rPr>
        <w:t>Our use of Non-GAAP earnings (loss) per share has limitations as an analytical tool, and you should not consider it in isolation or as a substitute for analysis of our financial results as reported under GAAP. Some of these potential limitations include:</w:t>
      </w:r>
    </w:p>
    <w:p>
      <w:pPr>
        <w:spacing w:after="0" w:line="62" w:lineRule="exact"/>
        <w:rPr>
          <w:sz w:val="20"/>
          <w:szCs w:val="20"/>
          <w:color w:val="auto"/>
        </w:rPr>
      </w:pPr>
    </w:p>
    <w:p>
      <w:pPr>
        <w:ind w:left="1000" w:right="28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231F20"/>
        </w:rPr>
        <w:t>other companies, including companies in our industry that have similar business arrangements, may report non-GAAP earnings (loss) per share or similarly titled measures, but calculate them differently, which reduces their usefulness as comparative measures; and</w:t>
      </w:r>
    </w:p>
    <w:p>
      <w:pPr>
        <w:spacing w:after="0" w:line="15"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although the stock-based compensation related to the 2021 LTIP referred to above is non-cash in nature, non-GAAP earnings (loss) per share does not reflect its impact on net income (loss) attributable to all common shareholders.</w:t>
      </w:r>
    </w:p>
    <w:p>
      <w:pPr>
        <w:spacing w:after="0" w:line="62" w:lineRule="exact"/>
        <w:rPr>
          <w:rFonts w:ascii="Arial" w:cs="Arial" w:eastAsia="Arial" w:hAnsi="Arial"/>
          <w:sz w:val="18"/>
          <w:szCs w:val="18"/>
          <w:color w:val="auto"/>
        </w:rPr>
      </w:pPr>
    </w:p>
    <w:p>
      <w:pPr>
        <w:ind w:left="1000" w:right="14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231F20"/>
        </w:rPr>
        <w:t>although the gain on debt extinguishment related to the forgiveness of our PPP Loan and related accrued interest is non-cash in nature, non-GAAP earnings (loss) per share does not reflect its impact on net income (loss) attributable to all common shareholders.</w:t>
      </w:r>
    </w:p>
    <w:p>
      <w:pPr>
        <w:spacing w:after="0" w:line="146"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earnings (loss) per share.</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Basic non-GAAP earnings (loss) per share is calculated by dividing the non-GAAP net income (loss) attributable to Class A common stockholders by the number of weighted-average shares of Class A common stock outstanding. </w:t>
      </w:r>
      <w:r>
        <w:rPr>
          <w:rFonts w:ascii="Arial" w:cs="Arial" w:eastAsia="Arial" w:hAnsi="Arial"/>
          <w:sz w:val="18"/>
          <w:szCs w:val="18"/>
          <w:color w:val="231F20"/>
        </w:rPr>
        <w:t>Shares of our Class B common stock do not share in the earnings or</w:t>
      </w:r>
      <w:r>
        <w:rPr>
          <w:rFonts w:ascii="Arial" w:cs="Arial" w:eastAsia="Arial" w:hAnsi="Arial"/>
          <w:sz w:val="18"/>
          <w:szCs w:val="18"/>
          <w:color w:val="auto"/>
        </w:rPr>
        <w:t xml:space="preserve"> </w:t>
      </w:r>
      <w:r>
        <w:rPr>
          <w:rFonts w:ascii="Arial" w:cs="Arial" w:eastAsia="Arial" w:hAnsi="Arial"/>
          <w:sz w:val="18"/>
          <w:szCs w:val="18"/>
          <w:color w:val="231F20"/>
        </w:rPr>
        <w:t>losses of the Company and are therefore not participating securities. As such, separate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color w:val="231F20"/>
        </w:rPr>
        <w:t>presentation of basic and diluted non-GAAP earnings (loss) per share of Class B common stock under the two-class method has not been presented.</w:t>
      </w:r>
    </w:p>
    <w:p>
      <w:pPr>
        <w:spacing w:after="0" w:line="12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Diluted non-GAAP earnings (loss) per share adjusts the basic non-GAAP earnings (loss) per share calculation for the potential dilutive impact of common shares such as equity awards using the treasury-stock method. Diluted earnings (loss)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three and six months ended June 30, 2021,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5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31F20"/>
        </w:rPr>
        <w:t>The following table presents the reconciliation of earnings (loss) per share to non-GAAP earnings (loss) per share for the three and six months ended June 30, 2021. Earnings (loss) per share was not adjusted for any other periods presented as there was no stock-based compensation or gain on debt extinguishment in those periods.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Non-GAAP</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Non-GAAP</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w w:val="88"/>
              </w:rPr>
              <w:t>(Loss) per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w w:val="88"/>
              </w:rPr>
              <w:t>(Loss) per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5"/>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112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10"/>
          </w:tcPr>
          <w:p>
            <w:pPr>
              <w:ind w:left="2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5"/>
              <w:spacing w:after="0"/>
              <w:rPr>
                <w:sz w:val="20"/>
                <w:szCs w:val="20"/>
                <w:color w:val="auto"/>
              </w:rPr>
            </w:pPr>
            <w:r>
              <w:rPr>
                <w:rFonts w:ascii="Arial" w:cs="Arial" w:eastAsia="Arial" w:hAnsi="Arial"/>
                <w:sz w:val="18"/>
                <w:szCs w:val="18"/>
                <w:color w:val="auto"/>
              </w:rPr>
              <w:t>(18,095)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(18,095)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(32,966)</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120" w:type="dxa"/>
            <w:vAlign w:val="bottom"/>
          </w:tcPr>
          <w:p>
            <w:pPr>
              <w:spacing w:after="0"/>
              <w:rPr>
                <w:sz w:val="19"/>
                <w:szCs w:val="19"/>
                <w:color w:val="auto"/>
              </w:rPr>
            </w:pPr>
          </w:p>
        </w:tc>
        <w:tc>
          <w:tcPr>
            <w:tcW w:w="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46,777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Gain on extinguishment of debt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(6,110)</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(6,110)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8"/>
                <w:szCs w:val="18"/>
                <w:color w:val="auto"/>
              </w:rPr>
              <w:t>Less: Income tax effect related to Viant Technology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 xml:space="preserve">Inc.'s share of adjustments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 (loss)</w:t>
            </w: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(32,966)</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40,351</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 xml:space="preserve">interests </w:t>
            </w:r>
            <w:r>
              <w:rPr>
                <w:rFonts w:ascii="Arial" w:cs="Arial" w:eastAsia="Arial" w:hAnsi="Arial"/>
                <w:sz w:val="15"/>
                <w:szCs w:val="15"/>
                <w:color w:val="auto"/>
              </w:rPr>
              <w:t>(2)</w:t>
            </w:r>
          </w:p>
        </w:tc>
        <w:tc>
          <w:tcPr>
            <w:tcW w:w="120" w:type="dxa"/>
            <w:vAlign w:val="bottom"/>
          </w:tcPr>
          <w:p>
            <w:pPr>
              <w:spacing w:after="0"/>
              <w:rPr>
                <w:sz w:val="20"/>
                <w:szCs w:val="20"/>
                <w:color w:val="auto"/>
              </w:rPr>
            </w:pPr>
          </w:p>
        </w:tc>
        <w:tc>
          <w:tcPr>
            <w:tcW w:w="920" w:type="dxa"/>
            <w:vAlign w:val="bottom"/>
            <w:gridSpan w:val="2"/>
          </w:tcPr>
          <w:p>
            <w:pPr>
              <w:jc w:val="right"/>
              <w:ind w:right="25"/>
              <w:spacing w:after="0"/>
              <w:rPr>
                <w:sz w:val="20"/>
                <w:szCs w:val="20"/>
                <w:color w:val="auto"/>
              </w:rPr>
            </w:pPr>
            <w:r>
              <w:rPr>
                <w:rFonts w:ascii="Arial" w:cs="Arial" w:eastAsia="Arial" w:hAnsi="Arial"/>
                <w:sz w:val="18"/>
                <w:szCs w:val="18"/>
                <w:color w:val="auto"/>
              </w:rPr>
              <w:t>(14,440)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18,899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(26,206)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32,612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Net income (loss) attributable to Viant Technology, Inc.—basic</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(6,760)</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40"/>
              <w:spacing w:after="0"/>
              <w:rPr>
                <w:sz w:val="20"/>
                <w:szCs w:val="20"/>
                <w:color w:val="auto"/>
              </w:rPr>
            </w:pPr>
            <w:r>
              <w:rPr>
                <w:rFonts w:ascii="Arial" w:cs="Arial" w:eastAsia="Arial" w:hAnsi="Arial"/>
                <w:sz w:val="18"/>
                <w:szCs w:val="18"/>
                <w:color w:val="auto"/>
              </w:rPr>
              <w:t>Add back: Reallocation of net loss attributable to</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noncontrolling interest from the assumed exchange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of RSUs for Class A common stock</w:t>
            </w:r>
          </w:p>
        </w:tc>
        <w:tc>
          <w:tcPr>
            <w:tcW w:w="120" w:type="dxa"/>
            <w:vAlign w:val="bottom"/>
          </w:tcPr>
          <w:p>
            <w:pPr>
              <w:spacing w:after="0"/>
              <w:rPr>
                <w:sz w:val="20"/>
                <w:szCs w:val="20"/>
                <w:color w:val="auto"/>
              </w:rPr>
            </w:pPr>
          </w:p>
        </w:tc>
        <w:tc>
          <w:tcPr>
            <w:tcW w:w="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Income tax effect from the assumed exchange of</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RSUs for Class A common stock</w:t>
            </w:r>
            <w:r>
              <w:rPr>
                <w:rFonts w:ascii="Arial" w:cs="Arial" w:eastAsia="Arial" w:hAnsi="Arial"/>
                <w:sz w:val="15"/>
                <w:szCs w:val="15"/>
                <w:color w:val="auto"/>
              </w:rPr>
              <w:t>(1)</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Net income (loss) attributable to Viant Technology, Inc.—diluted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60" w:type="dxa"/>
            <w:vAlign w:val="bottom"/>
            <w:tcBorders>
              <w:bottom w:val="single" w:sz="8" w:color="CFF0FC"/>
            </w:tcBorders>
          </w:tcPr>
          <w:p>
            <w:pPr>
              <w:jc w:val="right"/>
              <w:ind w:right="25"/>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1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w w:val="94"/>
              </w:rPr>
              <w:t>Weighted-average shares of Class A common stock outstanding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RSUs</w:t>
            </w:r>
          </w:p>
        </w:tc>
        <w:tc>
          <w:tcPr>
            <w:tcW w:w="120" w:type="dxa"/>
            <w:vAlign w:val="bottom"/>
          </w:tcPr>
          <w:p>
            <w:pPr>
              <w:spacing w:after="0"/>
              <w:rPr>
                <w:sz w:val="19"/>
                <w:szCs w:val="19"/>
                <w:color w:val="auto"/>
              </w:rPr>
            </w:pPr>
          </w:p>
        </w:tc>
        <w:tc>
          <w:tcPr>
            <w:tcW w:w="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Weighted-average shares of Class A common stock outstanding</w:t>
            </w: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of Class A common stock—basic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(0.32)</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 (loss) per share of Class A common stock—diluted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w w:val="93"/>
              </w:rPr>
              <w:t>Anti-dilutive shares/units excluded from earnings (loss) per share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of Class A common stock/unit—diluted: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of Class B common stock</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5"/>
              </w:rPr>
              <w:t>Total shares excluded from earnings (loss) per share of Class A</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stock/unit—diluted</w:t>
            </w: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0" w:right="80" w:hanging="493"/>
        <w:spacing w:after="0" w:line="277" w:lineRule="auto"/>
        <w:tabs>
          <w:tab w:leader="none" w:pos="1000" w:val="left"/>
        </w:tabs>
        <w:numPr>
          <w:ilvl w:val="0"/>
          <w:numId w:val="11"/>
        </w:numPr>
        <w:rPr>
          <w:rFonts w:ascii="Arial" w:cs="Arial" w:eastAsia="Arial" w:hAnsi="Arial"/>
          <w:sz w:val="15"/>
          <w:szCs w:val="15"/>
          <w:color w:val="231F20"/>
        </w:rPr>
      </w:pPr>
      <w:r>
        <w:rPr>
          <w:rFonts w:ascii="Arial" w:cs="Arial" w:eastAsia="Arial" w:hAnsi="Arial"/>
          <w:sz w:val="18"/>
          <w:szCs w:val="18"/>
          <w:color w:val="231F20"/>
        </w:rPr>
        <w:t>The estimated income tax effect of the Company’s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5"/>
          <w:szCs w:val="15"/>
          <w:color w:val="231F20"/>
        </w:rPr>
      </w:pPr>
    </w:p>
    <w:p>
      <w:pPr>
        <w:ind w:left="1000" w:right="100" w:hanging="493"/>
        <w:spacing w:after="0" w:line="277" w:lineRule="auto"/>
        <w:tabs>
          <w:tab w:leader="none" w:pos="1000" w:val="left"/>
        </w:tabs>
        <w:numPr>
          <w:ilvl w:val="0"/>
          <w:numId w:val="11"/>
        </w:numPr>
        <w:rPr>
          <w:rFonts w:ascii="Arial" w:cs="Arial" w:eastAsia="Arial" w:hAnsi="Arial"/>
          <w:sz w:val="15"/>
          <w:szCs w:val="15"/>
          <w:color w:val="231F20"/>
        </w:rPr>
      </w:pPr>
      <w:r>
        <w:rPr>
          <w:rFonts w:ascii="Arial" w:cs="Arial" w:eastAsia="Arial" w:hAnsi="Arial"/>
          <w:sz w:val="18"/>
          <w:szCs w:val="18"/>
          <w:color w:val="231F20"/>
        </w:rPr>
        <w:t xml:space="preserve">The adjustment to net income (loss) attributable to noncontrolling interests represents </w:t>
      </w:r>
      <w:r>
        <w:rPr>
          <w:rFonts w:ascii="Arial" w:cs="Arial" w:eastAsia="Arial" w:hAnsi="Arial"/>
          <w:sz w:val="18"/>
          <w:szCs w:val="18"/>
          <w:color w:val="000000"/>
        </w:rPr>
        <w:t>stock-based compensation and gain on extinguishment</w:t>
      </w:r>
      <w:r>
        <w:rPr>
          <w:rFonts w:ascii="Arial" w:cs="Arial" w:eastAsia="Arial" w:hAnsi="Arial"/>
          <w:sz w:val="18"/>
          <w:szCs w:val="18"/>
          <w:color w:val="231F20"/>
        </w:rPr>
        <w:t xml:space="preserve"> </w:t>
      </w:r>
      <w:r>
        <w:rPr>
          <w:rFonts w:ascii="Arial" w:cs="Arial" w:eastAsia="Arial" w:hAnsi="Arial"/>
          <w:sz w:val="18"/>
          <w:szCs w:val="18"/>
          <w:color w:val="000000"/>
        </w:rPr>
        <w:t>of debt attributed to the noncontrolling interests of the Company outstanding during the period.</w:t>
      </w:r>
    </w:p>
    <w:p>
      <w:pPr>
        <w:spacing w:after="0" w:line="170"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Management identified an immaterial calculation error in our basic and diluted non-GAAP earnings (loss) per share for the three months ended March 31, 2021. The correct basic and diluted non-GAAP earnings (loss) per share amounts are $0.02, for the three months ending March 31, 2021, rather than $0.01, the amounts previously reported in our Quarterly Report on Form 10-Q for the three months ended March 31, 2021.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231F20"/>
        </w:rPr>
        <w:t>Number of Active Customers and Average Contribution ex-TAC per Active Customer</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31F20"/>
        </w:rPr>
        <w:t>Number of Active Customers and average contribution ex-TAC per Active Customer are operational metrics. We define an Active Customer as a customer that had total aggregate contribution ex-TAC of at least $5,000 through our platform during the previous twelve months. We define average contribution ex-TAC per Active Customer as contribution ex-TAC for the trailing twelve month period presented divided by Active Customers. For purposes of this definition, a customer that operates under any of our pricing options that equals or exceeds the aforementioned contribution ex-TAC threshold is considered an Active Customer. We believe that the total number of Active Customers and average contribution ex-TAC per Active Customer are important measures of our ability to increase revenue and the effectiveness of our sales force, although we expect these measures to fluctuate based on the seasonality in our business. Customers that generated less than $5,000 in contribution ex-TAC in the trailing twelve month period were not material in the aggregate in any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As of June 30, 2021, we had cash of $252.3 million and working capital, consisting of current assets less current liabilities, of $264.4 million. We believe our existing cash, cash flow from operations, and undrawn availability under our credit facility will be sufficient to meet our working capital requirements for at least the next 12 months.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231F20"/>
        </w:rPr>
        <w:t>The Company is a holding company with no operations of its own and is dependent on distributions from Viant Technology LLC, including payments under the Tax Receivable Agreement, to pay its taxes and other expenses. The Loan Agreement, as defined below, imposes, and any future credit facilities may impose, limitations on the ability of Viant Technology LLC or the Company to pay dividends to third parties.</w:t>
      </w:r>
    </w:p>
    <w:p>
      <w:pPr>
        <w:spacing w:after="0" w:line="27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231F20"/>
        </w:rPr>
        <w:t xml:space="preserve">For additional information regarding our revolving credit facility, see Note 7—Long-Term Debt and Revolving Credit Facility to our condensed consolidated </w:t>
      </w:r>
      <w:r>
        <w:rPr>
          <w:rFonts w:ascii="Arial" w:cs="Arial" w:eastAsia="Arial" w:hAnsi="Arial"/>
          <w:sz w:val="18"/>
          <w:szCs w:val="18"/>
          <w:color w:val="000000"/>
        </w:rPr>
        <w:t>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summarizes our cash flows for the six months ended June 30, 2021 and 2020:</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56"/>
        </w:trPr>
        <w:tc>
          <w:tcPr>
            <w:tcW w:w="53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23,571</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11,543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(3,837)</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flows provided by financing activities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223,087</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242,642</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231F20"/>
        </w:rPr>
        <w:t>Our cash flows from operating activities are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9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231F20"/>
        </w:rPr>
        <w:t>During the six months ended June 30, 2021, cash provided by operating activities of $23.6 million resulted primarily from a net loss of $33.0 million offset by noncash add back adjustments to net loss of $46.8 million for stock-based compensation, $5.1 million for depreciation and amortization, $0.2 million in recovery of doubtful accounts and an increase in net working capital (excluding deferred revenue and other liabilities) of $12.6 million, a decrease in deferred revenue of $1.1 million and a decrease in other liabilities of $0.5 million.</w:t>
      </w:r>
    </w:p>
    <w:p>
      <w:pPr>
        <w:spacing w:after="0" w:line="17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During the six months ended June 30, 2020, cash provided by operating activities of $11.5 million resulted primarily from net income of $0.3 million, noncash add back adjustments to net income of $5.2 million for depreciation and amortization and an increase in net working capital (excluding deferred revenue and other liabilities) of $8.4 million, offset by a decrease in deferred revenue of $1.0 million and a decrease in other liabilities of $1.2 million.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the anticipated growth of our business in future periods, we expect our capital expenditures and our investment activity to continue to increase.</w:t>
      </w:r>
    </w:p>
    <w:p>
      <w:pPr>
        <w:spacing w:after="0" w:line="16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231F20"/>
        </w:rPr>
        <w:t>During the six months ended June 30, 2021 and 2020, cash used in investing activities of $4.0 million and $3.8 million, respectively, resulted primarily from investments in capitalized software development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17"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231F20"/>
        </w:rPr>
        <w:t>Our financing activities consisted primarily of proceeds from issuances of our equity in connection with our IPO, partially offset by payments of offering costs associated with the issuances of equity and payments of member tax distributions. Net cash provided by or used in financing activities has been and will be used to finance our operations, capital expenditures, platform development and rapid growth.</w:t>
      </w:r>
    </w:p>
    <w:p>
      <w:pPr>
        <w:spacing w:after="0" w:line="165"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During the six months ended June 30, 2021, cash provided by financing activities of $223.1 million resulted primarily from $232.5 million of IPO proceeds, net of underwriting discounts, partially offset by payments of $2.6 million in offering costs and $6.8 million in payments of member tax distributions.</w:t>
      </w:r>
    </w:p>
    <w:p>
      <w:pPr>
        <w:spacing w:after="0" w:line="1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231F20"/>
        </w:rPr>
        <w:t>During the six months ended June 30, 2020, cash provided by financing activities of $6.0 million resulted from proceeds through the Company’s PPP Loan.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231F20"/>
        </w:rPr>
        <w:t>We do not have any relationships with other entities or financial partnerships, such as entities often referred to as structured finance or special purpose entities established for the purpose of facilitating off-balance sheet arrangements or other contractually narrow or limited purposes. We did not have any other off-balance sheet arrangements as of June 30, 2021 other than operating leases and the indemnification agreements described in Note 12 to our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231F20"/>
        </w:rPr>
        <w:t>Our principal commitments consist of our debt obligations and non-cancelable leases for our various office facilities. In certain cases, the terms of the lease agreements provide for rental payments on a graduated basis.</w:t>
      </w:r>
    </w:p>
    <w:p>
      <w:pPr>
        <w:spacing w:after="0" w:line="1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231F20"/>
        </w:rPr>
        <w:t>We have made no significant contractual guarantees for the benefit of third parties. However, in the ordinary course of business, we may provide indemnifications of varying scope and terms to customers,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thus, there are no claims that we are aware of that could have a material effect on our condensed consolidated financial statements. Accordingly, no amounts for any obligation have been recorded as of June 30,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2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231F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An accounting policy is deemed to be critical if it requires an accounting estimate to be made on assumptions about matters that are highly uncertain at the time the estimate is made, if different estimates reasonably could have been used, or if changes in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6" w:name="page37"/>
    <w:bookmarkEnd w:id="36"/>
    <w:p>
      <w:pPr>
        <w:ind w:right="40"/>
        <w:spacing w:after="0" w:line="296" w:lineRule="auto"/>
        <w:rPr>
          <w:sz w:val="20"/>
          <w:szCs w:val="20"/>
          <w:color w:val="auto"/>
        </w:rPr>
      </w:pPr>
      <w:r>
        <w:rPr>
          <w:rFonts w:ascii="Arial" w:cs="Arial" w:eastAsia="Arial" w:hAnsi="Arial"/>
          <w:sz w:val="16"/>
          <w:szCs w:val="16"/>
          <w:color w:val="231F20"/>
        </w:rPr>
        <w:t xml:space="preserve">estimate that are reasonably possible could materially impact the financial statements. We believe that the assumptions and estimates associated with the evaluation of </w:t>
      </w:r>
      <w:r>
        <w:rPr>
          <w:rFonts w:ascii="Arial" w:cs="Arial" w:eastAsia="Arial" w:hAnsi="Arial"/>
          <w:sz w:val="16"/>
          <w:szCs w:val="16"/>
          <w:color w:val="000000"/>
        </w:rPr>
        <w:t>revenue recognition criteria, stock-based compensation, income taxes, allowances for doubtful accounts, the useful lives of capitalized</w:t>
      </w:r>
      <w:r>
        <w:rPr>
          <w:rFonts w:ascii="Arial" w:cs="Arial" w:eastAsia="Arial" w:hAnsi="Arial"/>
          <w:sz w:val="16"/>
          <w:szCs w:val="16"/>
          <w:color w:val="231F20"/>
        </w:rPr>
        <w:t xml:space="preserve"> </w:t>
      </w:r>
      <w:r>
        <w:rPr>
          <w:rFonts w:ascii="Arial" w:cs="Arial" w:eastAsia="Arial" w:hAnsi="Arial"/>
          <w:sz w:val="16"/>
          <w:szCs w:val="16"/>
          <w:color w:val="000000"/>
        </w:rPr>
        <w:t xml:space="preserve">software development costs and other property, equipment and software, assumptions used in the impairment analyses of long-lived assets and goodwill, deferred revenue, accrued liabilities and assumptions used in the fair valuation of equity-based payment arrangements </w:t>
      </w:r>
      <w:r>
        <w:rPr>
          <w:rFonts w:ascii="Arial" w:cs="Arial" w:eastAsia="Arial" w:hAnsi="Arial"/>
          <w:sz w:val="16"/>
          <w:szCs w:val="16"/>
          <w:color w:val="231F20"/>
        </w:rPr>
        <w:t>have the greatest potential impact on</w:t>
      </w:r>
      <w:r>
        <w:rPr>
          <w:rFonts w:ascii="Arial" w:cs="Arial" w:eastAsia="Arial" w:hAnsi="Arial"/>
          <w:sz w:val="16"/>
          <w:szCs w:val="16"/>
          <w:color w:val="000000"/>
        </w:rPr>
        <w:t xml:space="preserve"> </w:t>
      </w:r>
      <w:r>
        <w:rPr>
          <w:rFonts w:ascii="Arial" w:cs="Arial" w:eastAsia="Arial" w:hAnsi="Arial"/>
          <w:sz w:val="16"/>
          <w:szCs w:val="16"/>
          <w:color w:val="231F20"/>
        </w:rPr>
        <w:t>our condensed consolidated financial statements. Therefore, we consider these to be our critical accounting policies and estimates.</w:t>
      </w:r>
    </w:p>
    <w:p>
      <w:pPr>
        <w:spacing w:after="0" w:line="16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w:t>
      </w:r>
    </w:p>
    <w:p>
      <w:pPr>
        <w:spacing w:after="0" w:line="1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For additional information regarding stock-based compensation, income taxes and tax receivable agreement, see Note 2—Basis of Presentation and Summary of Significant Accounting Policies 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231F20"/>
        </w:rPr>
        <w:t xml:space="preserve">For information regarding recently issued accounting pronouncements, see </w:t>
      </w:r>
      <w:r>
        <w:rPr>
          <w:rFonts w:ascii="Arial" w:cs="Arial" w:eastAsia="Arial" w:hAnsi="Arial"/>
          <w:sz w:val="18"/>
          <w:szCs w:val="18"/>
          <w:color w:val="000000"/>
        </w:rPr>
        <w:t>Note 2—Basis of Presentation and Summary of Significant Accounting</w:t>
      </w:r>
      <w:r>
        <w:rPr>
          <w:rFonts w:ascii="Arial" w:cs="Arial" w:eastAsia="Arial" w:hAnsi="Arial"/>
          <w:sz w:val="18"/>
          <w:szCs w:val="18"/>
          <w:color w:val="231F20"/>
        </w:rPr>
        <w:t xml:space="preserve"> </w:t>
      </w:r>
      <w:r>
        <w:rPr>
          <w:rFonts w:ascii="Arial" w:cs="Arial" w:eastAsia="Arial" w:hAnsi="Arial"/>
          <w:sz w:val="18"/>
          <w:szCs w:val="18"/>
          <w:color w:val="000000"/>
        </w:rPr>
        <w:t xml:space="preserve">Policies </w:t>
      </w:r>
      <w:r>
        <w:rPr>
          <w:rFonts w:ascii="Arial" w:cs="Arial" w:eastAsia="Arial" w:hAnsi="Arial"/>
          <w:sz w:val="18"/>
          <w:szCs w:val="18"/>
          <w:color w:val="231F20"/>
        </w:rPr>
        <w:t>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60" w:firstLine="510"/>
        <w:spacing w:after="0" w:line="342" w:lineRule="auto"/>
        <w:rPr>
          <w:sz w:val="20"/>
          <w:szCs w:val="20"/>
          <w:color w:val="auto"/>
        </w:rPr>
      </w:pPr>
      <w:r>
        <w:rPr>
          <w:rFonts w:ascii="Arial" w:cs="Arial" w:eastAsia="Arial" w:hAnsi="Arial"/>
          <w:sz w:val="16"/>
          <w:szCs w:val="16"/>
          <w:color w:val="auto"/>
        </w:rPr>
        <w:t>See “Item 7A: Quantitative and Qualitative Disclosures About Market Risk” of our Annual Report on Form 10-K for the fiscal year ended December 31, 2020. During the six months ended June 30, 2021, there have been no material changes in our exposure to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quarter ended June 30, 2021. Based on such evaluation, our CEO and CFO have concluded that as of June 30,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13a-15(d) and 15d-15(d) under the Exchange Act) during the quarter ended June 30, 2021 that has materially affected, or is reasonably likely to materially affect, our internal control over financial reporting.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currently a party to any litigation the outcome of which, we believe, if determined adversely to us, would individually or taken together have a material adverse effect on our business, operating results, cash flows, or financial condition. Defending any such proceeding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2020, except for changes to the risk factors below:</w:t>
      </w:r>
    </w:p>
    <w:p>
      <w:pPr>
        <w:spacing w:after="0" w:line="6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of an industry shift away from cookie-based consumer tracking as such shift may not occur as rapidly as we expect or may not be realized at all.</w:t>
      </w:r>
    </w:p>
    <w:p>
      <w:pPr>
        <w:spacing w:after="0" w:line="6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expect to benefit as compared to others in our industry from marketers reducing their reliance on vendors and software platforms that utilize third-party cookies for tracking. However, we cannot assure you that the shift away from cookie-based consumer tracking will happen as rapidly as we expect or that such shift will occur at all. For example, in June 2021, Google announced that its previously announced timeline of blocking third-party cookies by 2022 would be delayed until 2023.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w:t>
      </w:r>
    </w:p>
    <w:p>
      <w:pPr>
        <w:spacing w:after="0" w:line="5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b w:val="1"/>
          <w:bCs w:val="1"/>
          <w:i w:val="1"/>
          <w:iCs w:val="1"/>
          <w:color w:val="auto"/>
        </w:rPr>
        <w:t>Our business or ability to operate our platform could be impacted by changes in the technology industry by established technology companies or government regulation. Such developments, including the restriction of “third-party cookies,” could cause instability in the advertising technology industry.</w:t>
      </w:r>
    </w:p>
    <w:p>
      <w:pPr>
        <w:spacing w:after="0" w:line="76"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73"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For example, browser providers have recently enacted changes restricting the use of third-party cookies in their browsers, which may cause instability in the digital advertising market. Execution of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In January 2020, Google publicly stated it intends for Chrome to block third-party cookies at some point in the following 24 months. Google has also introduced ad blocking software in its Chrome web browser that will block certain ads based on quality standards established under a multi-stakeholder coalition. Additionally, the Safari browser currently blocks third-party cookies by default and has recently added 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providers may frequently delay or change their previously announced operations or policies. For example, in June 2021, Google announced that it would delay its timeline of blocking third-party cookies by 2022 until 2023.</w:t>
      </w:r>
    </w:p>
    <w:p>
      <w:pPr>
        <w:spacing w:after="0" w:line="76"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60"/>
        <w:spacing w:after="0" w:line="263" w:lineRule="auto"/>
        <w:rPr>
          <w:sz w:val="20"/>
          <w:szCs w:val="20"/>
          <w:color w:val="auto"/>
        </w:rPr>
      </w:pPr>
      <w:r>
        <w:rPr>
          <w:rFonts w:ascii="Arial" w:cs="Arial" w:eastAsia="Arial" w:hAnsi="Arial"/>
          <w:sz w:val="18"/>
          <w:szCs w:val="18"/>
          <w:color w:val="auto"/>
        </w:rPr>
        <w:t>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However, the potential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Safari and Firefox. It is not clear if other Internet browsers will follow.</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Limitations on our or our customers’ ability to collect and use data for advertising, whether imposed by established technology companies 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legislation, or otherwise, may impact the performance of our platform.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February 12, 2021, we completed our IPO, pursuant to which we issued and sold an aggregate of 11,500,000 shares of common stock (inclusive of 1,500,000 shares pursuant to the underwriters’ option to purchase additional shares) at the IPO price of $25.00 per share. The aggregate gross proceeds to the Company from our IPO were $250.0 million and the net proceeds were $232.5 million after deducting underwriting discounts and commissions of $17.5 million. The offer and sale of the shares of common stock in the IPO were registered pursuant to registration statements on Form S-1 (File Nos. 333-252117 and 333-252907), which the SEC declared effective on February 9, 2021. No offering expenses were paid directly or indirectly to any of our directors or officers (or their associates) or persons owning 10% or more of any class of our equity securities or to any other affiliates. The underwriters for our IPO were BofA Securities, Inc., UBS Securities LLC, Canaccord Genuity LLC, JMP Securities LLC, Needham &amp; Company, LLC and Raymond James &amp; Associates, Inc.</w:t>
      </w:r>
    </w:p>
    <w:p>
      <w:pPr>
        <w:spacing w:after="0" w:line="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There has been no material change in the intended use of proceeds from our IPO as described in our final prospectus filed with the SEC pursuant to Rule 424(b)(4) on February 10,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520" w:type="dxa"/>
            <w:vAlign w:val="bottom"/>
            <w:gridSpan w:val="13"/>
          </w:tcPr>
          <w:p>
            <w:pPr>
              <w:ind w:left="4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tc>
        <w:tc>
          <w:tcPr>
            <w:tcW w:w="0" w:type="dxa"/>
            <w:vAlign w:val="bottom"/>
          </w:tcPr>
          <w:p>
            <w:pPr>
              <w:spacing w:after="0"/>
              <w:rPr>
                <w:sz w:val="1"/>
                <w:szCs w:val="1"/>
                <w:color w:val="auto"/>
              </w:rPr>
            </w:pPr>
          </w:p>
        </w:tc>
      </w:tr>
      <w:tr>
        <w:trPr>
          <w:trHeight w:val="355"/>
        </w:trPr>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8"/>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tcBorders>
              <w:bottom w:val="single" w:sz="8" w:color="0000EE"/>
            </w:tcBorders>
            <w:gridSpan w:val="7"/>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Certificate of Incorporation (incorporated herein by reference to Exhibit 3.1 to the Company’s Annual Report on</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Form 10-K filed with the SEC on March 23, 2021)</w:t>
              </w:r>
            </w:hyperlink>
          </w:p>
        </w:tc>
        <w:tc>
          <w:tcPr>
            <w:tcW w:w="6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3"/>
              </w:rPr>
            </w:pPr>
            <w:hyperlink r:id="rId78">
              <w:r>
                <w:rPr>
                  <w:rFonts w:ascii="Arial" w:cs="Arial" w:eastAsia="Arial" w:hAnsi="Arial"/>
                  <w:sz w:val="18"/>
                  <w:szCs w:val="18"/>
                  <w:color w:val="0000EE"/>
                  <w:w w:val="93"/>
                </w:rPr>
                <w:t>Amended and Restated Bylaws (incorporated herein by reference to Exhibit 3.2 to the Company’s Annual Report on Form 10-K filed with</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the SEC on March 23, 2021)</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Adopted Pursuant to Section 302 of the Sarbanes-Oxley Act of 2002.</w:t>
              </w:r>
            </w:hyperlink>
          </w:p>
        </w:tc>
        <w:tc>
          <w:tcPr>
            <w:tcW w:w="5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Act of 2002.</w:t>
              </w:r>
            </w:hyperlink>
          </w:p>
        </w:tc>
        <w:tc>
          <w:tcPr>
            <w:tcW w:w="9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Act of 2002.</w:t>
              </w:r>
            </w:hyperlink>
          </w:p>
        </w:tc>
        <w:tc>
          <w:tcPr>
            <w:tcW w:w="9080" w:type="dxa"/>
            <w:vAlign w:val="bottom"/>
            <w:tcBorders>
              <w:top w:val="single" w:sz="8" w:color="0000EE"/>
            </w:tcBorders>
            <w:gridSpan w:val="8"/>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Viant Technology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August 13,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18"/>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Tim Vanderhook</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Chairman</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August 13,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18"/>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6"/>
              </w:rPr>
              <w:t>Larry Madden</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53"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5" w:lineRule="exact"/>
        <w:rPr>
          <w:sz w:val="20"/>
          <w:szCs w:val="20"/>
          <w:color w:val="auto"/>
        </w:rPr>
      </w:pPr>
    </w:p>
    <w:p>
      <w:pPr>
        <w:ind w:left="1060" w:hanging="18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80" w:firstLine="872"/>
        <w:spacing w:after="0" w:line="263"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80" w:firstLine="872"/>
        <w:spacing w:after="0" w:line="342" w:lineRule="auto"/>
        <w:tabs>
          <w:tab w:leader="none" w:pos="10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72"/>
        <w:spacing w:after="0" w:line="277"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72"/>
        <w:spacing w:after="0" w:line="263"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40" w:firstLine="872"/>
        <w:spacing w:after="0" w:line="342" w:lineRule="auto"/>
        <w:tabs>
          <w:tab w:leader="none" w:pos="111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872"/>
        <w:spacing w:after="0" w:line="263"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right="60" w:firstLine="872"/>
        <w:spacing w:after="0" w:line="308" w:lineRule="auto"/>
        <w:tabs>
          <w:tab w:leader="none" w:pos="10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700" w:firstLine="872"/>
        <w:spacing w:after="0" w:line="308" w:lineRule="auto"/>
        <w:tabs>
          <w:tab w:leader="none" w:pos="11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872"/>
        <w:spacing w:after="0" w:line="277" w:lineRule="auto"/>
        <w:tabs>
          <w:tab w:leader="none" w:pos="1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 Vanderhook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240"/>
          </w:cols>
          <w:pgMar w:left="320" w:top="121"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225" w:lineRule="exact"/>
        <w:rPr>
          <w:sz w:val="20"/>
          <w:szCs w:val="20"/>
          <w:color w:val="auto"/>
        </w:rPr>
      </w:pPr>
    </w:p>
    <w:p>
      <w:pPr>
        <w:ind w:left="1060" w:hanging="188"/>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80" w:firstLine="872"/>
        <w:spacing w:after="0" w:line="263"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80" w:firstLine="872"/>
        <w:spacing w:after="0" w:line="342" w:lineRule="auto"/>
        <w:tabs>
          <w:tab w:leader="none" w:pos="10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72"/>
        <w:spacing w:after="0" w:line="277"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72"/>
        <w:spacing w:after="0" w:line="263"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40" w:firstLine="872"/>
        <w:spacing w:after="0" w:line="342" w:lineRule="auto"/>
        <w:tabs>
          <w:tab w:leader="none" w:pos="11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872"/>
        <w:spacing w:after="0" w:line="263"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right="60" w:firstLine="872"/>
        <w:spacing w:after="0" w:line="308" w:lineRule="auto"/>
        <w:tabs>
          <w:tab w:leader="none" w:pos="10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700" w:firstLine="872"/>
        <w:spacing w:after="0" w:line="308" w:lineRule="auto"/>
        <w:tabs>
          <w:tab w:leader="none" w:pos="110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872"/>
        <w:spacing w:after="0" w:line="277"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Madden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June 30, 2021, as filed with the Securities and Exchange Commission on the date hereof (the “Report”), I, Tim Vanderhook, Chief Executive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13, 2021</w:t>
            </w:r>
          </w:p>
        </w:tc>
        <w:tc>
          <w:tcPr>
            <w:tcW w:w="2360" w:type="dxa"/>
            <w:vAlign w:val="bottom"/>
          </w:tcPr>
          <w:p>
            <w:pPr>
              <w:ind w:left="20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22"/>
        </w:trPr>
        <w:tc>
          <w:tcPr>
            <w:tcW w:w="3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Tim Vanderhook</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r>
    </w:tbl>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June 30, 2021, as filed with the Securities and Exchange Commission on the date hereof (the “Report”), I, Larry Madden, Chief Financial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13, 2021</w:t>
            </w:r>
          </w:p>
        </w:tc>
        <w:tc>
          <w:tcPr>
            <w:tcW w:w="2360" w:type="dxa"/>
            <w:vAlign w:val="bottom"/>
          </w:tcPr>
          <w:p>
            <w:pPr>
              <w:ind w:left="20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2"/>
        </w:trPr>
        <w:tc>
          <w:tcPr>
            <w:tcW w:w="3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Larry Madden</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04"/>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7" Type="http://schemas.openxmlformats.org/officeDocument/2006/relationships/hyperlink" Target="http://www.sec.gov/Archives/edgar/data/1828791/000156459021014855/dsp-ex31_279.htm" TargetMode="External"/><Relationship Id="rId78"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2021-08-13T12:34:17Z</dcterms:created>
  <dcterms:modified xsi:type="dcterms:W3CDTF">2021-08-13T12:34:17Z</dcterms:modified>
</cp:coreProperties>
</file>