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703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7034530"/>
                    </a:xfrm>
                    <a:prstGeom prst="rect">
                      <a:avLst/>
                    </a:prstGeom>
                    <a:noFill/>
                  </pic:spPr>
                </pic:pic>
              </a:graphicData>
            </a:graphic>
          </wp:anchor>
        </w:drawing>
      </w:r>
    </w:p>
    <w:p>
      <w:pPr>
        <w:spacing w:after="0" w:line="1244" w:lineRule="exact"/>
        <w:rPr>
          <w:sz w:val="24"/>
          <w:szCs w:val="24"/>
          <w:color w:val="auto"/>
        </w:rPr>
      </w:pPr>
    </w:p>
    <w:p>
      <w:pPr>
        <w:sectPr>
          <w:pgSz w:w="11900" w:h="16884"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Vanderhook Christopher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VIANT TECHNOLOGY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2722 MICHELSON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Viant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DSP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19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11" w:lineRule="exact"/>
        <w:rPr>
          <w:sz w:val="24"/>
          <w:szCs w:val="24"/>
          <w:color w:val="auto"/>
        </w:rPr>
      </w:pPr>
    </w:p>
    <w:p>
      <w:pPr>
        <w:sectPr>
          <w:pgSz w:w="11900" w:h="16884" w:orient="portrait"/>
          <w:cols w:equalWidth="0" w:num="3">
            <w:col w:w="3180" w:space="720"/>
            <w:col w:w="3103" w:space="720"/>
            <w:col w:w="3357"/>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92612</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84"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6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vMerge w:val="restart"/>
          </w:tcPr>
          <w:p>
            <w:pPr>
              <w:jc w:val="center"/>
              <w:ind w:left="54"/>
              <w:spacing w:after="0"/>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05/19/2026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0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vMerge w:val="restart"/>
          </w:tcPr>
          <w:p>
            <w:pPr>
              <w:jc w:val="center"/>
              <w:ind w:left="54"/>
              <w:spacing w:after="0"/>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(3)</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05/19/2026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9,094,775</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10.8872</w:t>
            </w:r>
            <w:r>
              <w:rPr>
                <w:rFonts w:ascii="Times New Roman" w:cs="Times New Roman" w:eastAsia="Times New Roman" w:hAnsi="Times New Roman"/>
                <w:sz w:val="21"/>
                <w:szCs w:val="21"/>
                <w:color w:val="008000"/>
                <w:w w:val="93"/>
                <w:vertAlign w:val="superscript"/>
              </w:rPr>
              <w:t>(5)</w:t>
            </w: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05/19/2026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2"/>
            <w:vMerge w:val="continue"/>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10.5956</w:t>
            </w:r>
            <w:r>
              <w:rPr>
                <w:rFonts w:ascii="Times New Roman" w:cs="Times New Roman" w:eastAsia="Times New Roman" w:hAnsi="Times New Roman"/>
                <w:sz w:val="21"/>
                <w:szCs w:val="21"/>
                <w:color w:val="008000"/>
                <w:w w:val="93"/>
                <w:vertAlign w:val="superscript"/>
              </w:rPr>
              <w:t>(6)</w:t>
            </w: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05/20/2026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2"/>
            <w:vMerge w:val="continue"/>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2,500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10.7885</w:t>
            </w:r>
            <w:r>
              <w:rPr>
                <w:rFonts w:ascii="Times New Roman" w:cs="Times New Roman" w:eastAsia="Times New Roman" w:hAnsi="Times New Roman"/>
                <w:sz w:val="21"/>
                <w:szCs w:val="21"/>
                <w:color w:val="008000"/>
                <w:w w:val="93"/>
                <w:vertAlign w:val="superscript"/>
              </w:rPr>
              <w:t>(7)</w:t>
            </w: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05/21/2026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jc w:val="center"/>
              <w:ind w:right="459"/>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12,500</w:t>
            </w:r>
          </w:p>
        </w:tc>
        <w:tc>
          <w:tcPr>
            <w:tcW w:w="18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Capital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05/19/2026</w:t>
            </w:r>
          </w:p>
        </w:tc>
        <w:tc>
          <w:tcPr>
            <w:tcW w:w="1140" w:type="dxa"/>
            <w:vAlign w:val="bottom"/>
          </w:tcPr>
          <w:p>
            <w:pPr>
              <w:spacing w:after="0"/>
              <w:rPr>
                <w:sz w:val="4"/>
                <w:szCs w:val="4"/>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4"/>
                <w:szCs w:val="4"/>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12,500</w:t>
            </w: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9,094,775</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vMerge w:val="restart"/>
          </w:tcPr>
          <w:p>
            <w:pPr>
              <w:ind w:left="60"/>
              <w:spacing w:after="0" w:line="105" w:lineRule="exact"/>
              <w:rPr>
                <w:sz w:val="20"/>
                <w:szCs w:val="20"/>
                <w:color w:val="auto"/>
              </w:rPr>
            </w:pPr>
            <w:r>
              <w:rPr>
                <w:rFonts w:ascii="Times New Roman" w:cs="Times New Roman" w:eastAsia="Times New Roman" w:hAnsi="Times New Roman"/>
                <w:sz w:val="12"/>
                <w:szCs w:val="12"/>
                <w:color w:val="0000FF"/>
              </w:rPr>
              <w:t>Units</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5" w:lineRule="exact"/>
              <w:rPr>
                <w:sz w:val="20"/>
                <w:szCs w:val="20"/>
                <w:color w:val="auto"/>
              </w:rPr>
            </w:pPr>
            <w:r>
              <w:rPr>
                <w:rFonts w:ascii="Times New Roman" w:cs="Times New Roman" w:eastAsia="Times New Roman" w:hAnsi="Times New Roman"/>
                <w:sz w:val="8"/>
                <w:szCs w:val="8"/>
                <w:color w:val="0000FF"/>
              </w:rPr>
              <w:t>V LLC</w:t>
            </w:r>
            <w:r>
              <w:rPr>
                <w:rFonts w:ascii="Times New Roman" w:cs="Times New Roman" w:eastAsia="Times New Roman" w:hAnsi="Times New Roman"/>
                <w:sz w:val="12"/>
                <w:szCs w:val="12"/>
                <w:color w:val="008000"/>
                <w:vertAlign w:val="superscript"/>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Units of Viant Technology LLC ("Class B Units") are exchangeable, at the holder's option, on a one-for-one basis into shares of Class A common stock of the Issuer. Upon exchange of a Class B Unit, the corresponding share of Class B common stock will be automatically cancelled.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a one-third interest in Capital V LLC and may therefore be deemed to have an indirect pecuniary interest in one-third of Capital V LLC's total holdings.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cancellation for no consideration of a number of shares of Class B common stock of the Issuer in connection with the redemption by Capital V LLC of an equal number of Class B Units for Class A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adopted by Capital V LLC on March 18, 2025, as amended on September 17, 2025.</w:t>
      </w:r>
    </w:p>
    <w:p>
      <w:pPr>
        <w:spacing w:after="0" w:line="44" w:lineRule="exact"/>
        <w:rPr>
          <w:rFonts w:ascii="Times New Roman" w:cs="Times New Roman" w:eastAsia="Times New Roman" w:hAnsi="Times New Roman"/>
          <w:sz w:val="13"/>
          <w:szCs w:val="13"/>
          <w:color w:val="008000"/>
        </w:rPr>
      </w:pPr>
    </w:p>
    <w:p>
      <w:pPr>
        <w:ind w:left="40" w:right="4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based on the Reporting Person's pro rata portion of a total of 15,000 shares of Class A Common Stock sold on behalf of Capital V LLC. These shares were sold in multiple transactions at prices ranging from $10.565 to $11.20.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4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based on the Reporting Person's pro rata portion of a total of 15,000 shares of Class A Common Stock sold on behalf of Capital V LLC. These shares were sold in multiple transactions at prices ranging from $10.31 to $10.96.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480" w:firstLine="2"/>
        <w:spacing w:after="0" w:line="297"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based on the Reporting Person's pro rata portion of a total of 7,500 shares of Class A Common Stock sold on behalf of Capital V LLC. These shares were sold in multiple transactions at prices ranging from $10.53 to $11.04. The Reporting Person undertakes to provide the Issuer, any security holder of the Issuer, or the staff of the Securities and</w:t>
      </w:r>
    </w:p>
    <w:p>
      <w:pPr>
        <w:sectPr>
          <w:pgSz w:w="11900" w:h="16884"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Exchange Commission, upon request, full information regarding the number of shares sold at each separate price within the range set forth in this footnote.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David Sincich,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320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Fact for Christopher</w:t>
      </w:r>
      <w:r>
        <w:rPr>
          <w:sz w:val="20"/>
          <w:szCs w:val="20"/>
          <w:color w:val="auto"/>
        </w:rPr>
        <w:tab/>
      </w:r>
      <w:r>
        <w:rPr>
          <w:rFonts w:ascii="Times New Roman" w:cs="Times New Roman" w:eastAsia="Times New Roman" w:hAnsi="Times New Roman"/>
          <w:sz w:val="16"/>
          <w:szCs w:val="16"/>
          <w:color w:val="0000FF"/>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864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6423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-15875</wp:posOffset>
            </wp:positionV>
            <wp:extent cx="485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514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14985" cy="8255"/>
                    </a:xfrm>
                    <a:prstGeom prst="rect">
                      <a:avLst/>
                    </a:prstGeom>
                    <a:noFill/>
                  </pic:spPr>
                </pic:pic>
              </a:graphicData>
            </a:graphic>
          </wp:anchor>
        </w:drawing>
      </w:r>
    </w:p>
    <w:p>
      <w:pPr>
        <w:spacing w:after="0" w:line="3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43104" TargetMode="External"/><Relationship Id="rId14" Type="http://schemas.openxmlformats.org/officeDocument/2006/relationships/hyperlink" Target="http://www.sec.gov/cgi-bin/browse-edgar?action=getcompany&amp;CIK=0001828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2026-05-21T20:36:05Z</dcterms:created>
  <dcterms:modified xsi:type="dcterms:W3CDTF">2026-05-21T20:36:05Z</dcterms:modified>
</cp:coreProperties>
</file>