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283"/>
        <w:ind w:left="0" w:right="0" w:firstLine="54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ind w:left="0" w:right="0" w:firstLine="54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spacing w:lineRule="auto" w:line="288" w:before="0" w:after="0"/>
        <w:ind w:left="0" w:right="0" w:firstLine="54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from_______to_______</w:t>
      </w:r>
    </w:p>
    <w:p>
      <w:pPr>
        <w:pStyle w:val="TextBody"/>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Commission File Number: 001-40015</w:t>
      </w:r>
    </w:p>
    <w:p>
      <w:pPr>
        <w:pStyle w:val="TextBody"/>
        <w:spacing w:lineRule="auto" w:line="288" w:before="0" w:after="0"/>
        <w:ind w:left="0" w:right="0" w:firstLine="540"/>
        <w:jc w:val="center"/>
        <w:rPr>
          <w:rFonts w:ascii="Times New Roman;sans-serif" w:hAnsi="Times New Roman;sans-serif"/>
          <w:b w:val="false"/>
          <w:color w:val="000000"/>
          <w:sz w:val="6"/>
        </w:rPr>
      </w:pPr>
      <w:r>
        <w:rPr>
          <w:rFonts w:ascii="Times New Roman;sans-serif" w:hAnsi="Times New Roman;sans-serif"/>
          <w:b w:val="false"/>
          <w:color w:val="000000"/>
          <w:sz w:val="6"/>
        </w:rPr>
        <w:t>______________________________________________________________________________________________________________________________________________________</w:t>
      </w:r>
    </w:p>
    <w:p>
      <w:pPr>
        <w:pStyle w:val="TextBody"/>
        <w:spacing w:before="120" w:after="283"/>
        <w:ind w:left="0" w:right="0" w:firstLine="540"/>
        <w:jc w:val="center"/>
        <w:rPr/>
      </w:pPr>
      <w:r>
        <w:rPr/>
        <w:drawing>
          <wp:inline distT="0" distB="63500" distL="0" distR="0">
            <wp:extent cx="20669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361950"/>
                    </a:xfrm>
                    <a:prstGeom prst="rect">
                      <a:avLst/>
                    </a:prstGeom>
                  </pic:spPr>
                </pic:pic>
              </a:graphicData>
            </a:graphic>
          </wp:inline>
        </w:drawing>
      </w:r>
    </w:p>
    <w:p>
      <w:pPr>
        <w:pStyle w:val="TextBody"/>
        <w:spacing w:lineRule="auto" w:line="288" w:before="60" w:after="283"/>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ind w:left="0" w:right="0" w:firstLine="540"/>
        <w:jc w:val="center"/>
        <w:rPr>
          <w:rFonts w:ascii="Times New Roman;sans-serif" w:hAnsi="Times New Roman;sans-serif"/>
          <w:b w:val="false"/>
          <w:color w:val="000000"/>
          <w:sz w:val="6"/>
        </w:rPr>
      </w:pPr>
      <w:r>
        <w:rPr>
          <w:rFonts w:ascii="Times New Roman;sans-serif" w:hAnsi="Times New Roman;sans-serif"/>
          <w:b w:val="false"/>
          <w:color w:val="000000"/>
          <w:sz w:val="6"/>
        </w:rPr>
        <w:t>______________________________________________________________________________________________________________________________________________________</w:t>
      </w:r>
    </w:p>
    <w:tbl>
      <w:tblPr>
        <w:tblW w:w="4556" w:type="dxa"/>
        <w:jc w:val="left"/>
        <w:tblInd w:w="0" w:type="dxa"/>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85-3447553</w:t>
            </w:r>
          </w:p>
        </w:tc>
      </w:tr>
      <w:tr>
        <w:trPr/>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4556"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2722 Michelson Drive, Suite 100</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 92612</w:t>
            </w:r>
          </w:p>
        </w:tc>
      </w:tr>
      <w:tr>
        <w:trPr/>
        <w:tc>
          <w:tcPr>
            <w:tcW w:w="45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and zip code)</w:t>
            </w:r>
          </w:p>
        </w:tc>
      </w:tr>
    </w:tbl>
    <w:p>
      <w:pPr>
        <w:pStyle w:val="TextBody"/>
        <w:spacing w:lineRule="auto" w:line="288" w:before="6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(949) 861-8888</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0"/>
        <w:ind w:left="0" w:right="0" w:firstLine="540"/>
        <w:jc w:val="center"/>
        <w:rPr>
          <w:rFonts w:ascii="Times New Roman;sans-serif" w:hAnsi="Times New Roman;sans-serif"/>
          <w:b w:val="false"/>
          <w:color w:val="000000"/>
          <w:sz w:val="6"/>
        </w:rPr>
      </w:pPr>
      <w:r>
        <w:rPr>
          <w:rFonts w:ascii="Times New Roman;sans-serif" w:hAnsi="Times New Roman;sans-serif"/>
          <w:b w:val="false"/>
          <w:color w:val="000000"/>
          <w:sz w:val="6"/>
        </w:rPr>
        <w:t>______________________________________________________________________________________________________________________________________________________</w:t>
      </w:r>
    </w:p>
    <w:p>
      <w:pPr>
        <w:pStyle w:val="TextBody"/>
        <w:spacing w:lineRule="auto" w:line="288" w:before="120" w:after="283"/>
        <w:ind w:left="0" w:right="0" w:firstLine="540"/>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9426" w:type="dxa"/>
        <w:jc w:val="left"/>
        <w:tblInd w:w="0" w:type="dxa"/>
        <w:tblCellMar>
          <w:top w:w="28" w:type="dxa"/>
          <w:left w:w="28" w:type="dxa"/>
          <w:bottom w:w="28" w:type="dxa"/>
          <w:right w:w="28" w:type="dxa"/>
        </w:tblCellMar>
      </w:tblPr>
      <w:tblGrid>
        <w:gridCol w:w="1350"/>
        <w:gridCol w:w="1188"/>
        <w:gridCol w:w="1196"/>
        <w:gridCol w:w="109"/>
        <w:gridCol w:w="109"/>
        <w:gridCol w:w="109"/>
        <w:gridCol w:w="519"/>
        <w:gridCol w:w="519"/>
        <w:gridCol w:w="521"/>
        <w:gridCol w:w="109"/>
        <w:gridCol w:w="109"/>
        <w:gridCol w:w="109"/>
        <w:gridCol w:w="1019"/>
        <w:gridCol w:w="1019"/>
        <w:gridCol w:w="1441"/>
      </w:tblGrid>
      <w:tr>
        <w:trPr/>
        <w:tc>
          <w:tcPr>
            <w:tcW w:w="1350"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DSP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Nasdaq Stock Market LLC </w:t>
            </w:r>
          </w:p>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lineRule="auto" w:line="288" w:before="60" w:after="283"/>
        <w:ind w:left="0" w:right="0" w:firstLine="540"/>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60" w:after="283"/>
        <w:ind w:left="0" w:right="0" w:firstLine="540"/>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spacing w:lineRule="auto" w:line="288" w:before="60" w:after="283"/>
        <w:ind w:left="0" w:right="0" w:firstLine="54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firstLine="54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lineRule="auto" w:line="288" w:before="60" w:after="283"/>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w:t>
      </w:r>
    </w:p>
    <w:p>
      <w:pPr>
        <w:pStyle w:val="TextBody"/>
        <w:spacing w:lineRule="auto" w:line="288" w:before="60" w:after="283"/>
        <w:ind w:left="0" w:right="0" w:firstLine="720"/>
        <w:rPr/>
      </w:pPr>
      <w:r>
        <w:rPr>
          <w:rFonts w:ascii="Times New Roman;sans-serif" w:hAnsi="Times New Roman;sans-serif"/>
          <w:b w:val="false"/>
          <w:color w:val="000000"/>
          <w:sz w:val="18"/>
        </w:rPr>
        <w:t xml:space="preserve">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spacing w:lineRule="auto" w:line="288" w:before="60" w:after="283"/>
        <w:ind w:left="0" w:right="0" w:firstLine="540"/>
        <w:rPr>
          <w:rFonts w:ascii="Times New Roman;sans-serif" w:hAnsi="Times New Roman;sans-serif"/>
          <w:b w:val="false"/>
          <w:color w:val="000000"/>
          <w:sz w:val="18"/>
        </w:rPr>
      </w:pPr>
      <w:r>
        <w:rPr>
          <w:rFonts w:ascii="Times New Roman;sans-serif" w:hAnsi="Times New Roman;sans-serif"/>
          <w:b w:val="false"/>
          <w:color w:val="000000"/>
          <w:sz w:val="18"/>
        </w:rPr>
        <w:t>As of May 4, 2023, there were 15,064,581 shares and 47,082,260 shares of the registrant’s Class A and Class B common stock, respectively, $0.001 par value per share,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283"/>
                              <w:ind w:left="0" w:right="0" w:firstLine="5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ind w:left="0" w:right="0" w:firstLine="540"/>
                        <w:jc w:val="center"/>
                        <w:rPr/>
                      </w:pPr>
                      <w:r>
                        <w:rPr/>
                      </w:r>
                    </w:p>
                  </w:txbxContent>
                </v:textbox>
              </v:rect>
            </w:pict>
          </mc:Fallback>
        </mc:AlternateContent>
      </w:r>
    </w:p>
    <w:p>
      <w:pPr>
        <w:pStyle w:val="TextBody"/>
        <w:spacing w:before="240" w:after="283"/>
        <w:ind w:left="0" w:right="0" w:firstLine="540"/>
        <w:jc w:val="center"/>
        <w:rPr/>
      </w:pPr>
      <w:r>
        <w:rPr/>
      </w:r>
    </w:p>
    <w:p>
      <w:pPr>
        <w:pStyle w:val="TextBody"/>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51" w:type="dxa"/>
        <w:jc w:val="left"/>
        <w:tblInd w:w="0" w:type="dxa"/>
        <w:tblCellMar>
          <w:top w:w="28" w:type="dxa"/>
          <w:left w:w="28" w:type="dxa"/>
          <w:bottom w:w="28" w:type="dxa"/>
          <w:right w:w="28" w:type="dxa"/>
        </w:tblCellMar>
      </w:tblPr>
      <w:tblGrid>
        <w:gridCol w:w="353"/>
        <w:gridCol w:w="309"/>
        <w:gridCol w:w="314"/>
        <w:gridCol w:w="2453"/>
        <w:gridCol w:w="2453"/>
        <w:gridCol w:w="2458"/>
        <w:gridCol w:w="149"/>
        <w:gridCol w:w="149"/>
        <w:gridCol w:w="213"/>
      </w:tblGrid>
      <w:tr>
        <w:trPr/>
        <w:tc>
          <w:tcPr>
            <w:tcW w:w="35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0">
              <w:r>
                <w:rPr>
                  <w:rStyle w:val="InternetLink"/>
                  <w:rFonts w:ascii="Times New Roman;sans-serif" w:hAnsi="Times New Roman;sans-serif"/>
                  <w:b/>
                  <w:strike w:val="false"/>
                  <w:dstrike w:val="false"/>
                  <w:color w:val="000000"/>
                  <w:sz w:val="20"/>
                  <w:u w:val="none"/>
                  <w:effect w:val="none"/>
                </w:rPr>
                <w:t>PART I.</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0">
              <w:r>
                <w:rPr>
                  <w:rStyle w:val="InternetLink"/>
                  <w:rFonts w:ascii="Times New Roman;sans-serif" w:hAnsi="Times New Roman;sans-serif"/>
                  <w:b w:val="false"/>
                  <w:color w:val="0000FF"/>
                  <w:sz w:val="20"/>
                  <w:u w:val="single"/>
                </w:rPr>
                <w:t>FINANCIAL INFORMATION</w:t>
              </w:r>
            </w:hyperlink>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3">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3">
              <w:r>
                <w:rPr>
                  <w:rStyle w:val="InternetLink"/>
                  <w:rFonts w:ascii="Times New Roman;sans-serif" w:hAnsi="Times New Roman;sans-serif"/>
                  <w:b w:val="false"/>
                  <w:color w:val="0000FF"/>
                  <w:sz w:val="20"/>
                  <w:u w:val="single"/>
                </w:rPr>
                <w:t>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3">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    </w:t>
            </w:r>
            <w:hyperlink w:anchor="i19abe95347704b2c956d211747afeac1_16">
              <w:r>
                <w:rPr>
                  <w:rStyle w:val="InternetLink"/>
                  <w:rFonts w:ascii="Times New Roman;sans-serif" w:hAnsi="Times New Roman;sans-serif"/>
                  <w:b w:val="false"/>
                  <w:color w:val="0000FF"/>
                  <w:sz w:val="20"/>
                  <w:u w:val="single"/>
                </w:rPr>
                <w:t>Condensed Consolidated Statements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6">
              <w:r>
                <w:rPr>
                  <w:rStyle w:val="InternetLink"/>
                  <w:rFonts w:ascii="Times New Roman;sans-serif" w:hAnsi="Times New Roman;sans-serif"/>
                  <w:b w:val="false"/>
                  <w:strike w:val="false"/>
                  <w:dstrike w:val="false"/>
                  <w:color w:val="000000"/>
                  <w:sz w:val="20"/>
                  <w:u w:val="none"/>
                  <w:effect w:val="none"/>
                </w:rPr>
                <w:t>3</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    </w:t>
            </w:r>
            <w:hyperlink w:anchor="i19abe95347704b2c956d211747afeac1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9">
              <w:r>
                <w:rPr>
                  <w:rStyle w:val="InternetLink"/>
                  <w:rFonts w:ascii="Times New Roman;sans-serif" w:hAnsi="Times New Roman;sans-serif"/>
                  <w:b w:val="false"/>
                  <w:strike w:val="false"/>
                  <w:dstrike w:val="false"/>
                  <w:color w:val="000000"/>
                  <w:sz w:val="20"/>
                  <w:u w:val="none"/>
                  <w:effect w:val="none"/>
                </w:rPr>
                <w:t>4</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C.    </w:t>
            </w:r>
            <w:hyperlink w:anchor="i19abe95347704b2c956d211747afeac1_22">
              <w:r>
                <w:rPr>
                  <w:rStyle w:val="InternetLink"/>
                  <w:rFonts w:ascii="Times New Roman;sans-serif" w:hAnsi="Times New Roman;sans-serif"/>
                  <w:b w:val="false"/>
                  <w:color w:val="0000FF"/>
                  <w:sz w:val="20"/>
                  <w:u w:val="single"/>
                </w:rPr>
                <w:t>Condensed Consolidated Statements of Equity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22">
              <w:r>
                <w:rPr>
                  <w:rStyle w:val="InternetLink"/>
                  <w:rFonts w:ascii="Times New Roman;sans-serif" w:hAnsi="Times New Roman;sans-serif"/>
                  <w:b w:val="false"/>
                  <w:strike w:val="false"/>
                  <w:dstrike w:val="false"/>
                  <w:color w:val="000000"/>
                  <w:sz w:val="20"/>
                  <w:u w:val="none"/>
                  <w:effect w:val="none"/>
                </w:rPr>
                <w:t>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    </w:t>
            </w:r>
            <w:hyperlink w:anchor="i19abe95347704b2c956d211747afeac1_25">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25">
              <w:r>
                <w:rPr>
                  <w:rStyle w:val="InternetLink"/>
                  <w:rFonts w:ascii="Times New Roman;sans-serif" w:hAnsi="Times New Roman;sans-serif"/>
                  <w:b w:val="false"/>
                  <w:strike w:val="false"/>
                  <w:dstrike w:val="false"/>
                  <w:color w:val="000000"/>
                  <w:sz w:val="20"/>
                  <w:u w:val="none"/>
                  <w:effect w:val="none"/>
                </w:rPr>
                <w:t>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    </w:t>
            </w:r>
            <w:hyperlink w:anchor="i19abe95347704b2c956d211747afeac1_28">
              <w:r>
                <w:rPr>
                  <w:rStyle w:val="InternetLink"/>
                  <w:rFonts w:ascii="Times New Roman;sans-serif" w:hAnsi="Times New Roman;sans-serif"/>
                  <w:b w:val="false"/>
                  <w:color w:val="0000FF"/>
                  <w:sz w:val="20"/>
                  <w:u w:val="single"/>
                </w:rPr>
                <w:t>Notes to the Condensed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28">
              <w:r>
                <w:rPr>
                  <w:rStyle w:val="InternetLink"/>
                  <w:rFonts w:ascii="Times New Roman;sans-serif" w:hAnsi="Times New Roman;sans-serif"/>
                  <w:b w:val="false"/>
                  <w:strike w:val="false"/>
                  <w:dstrike w:val="false"/>
                  <w:color w:val="000000"/>
                  <w:sz w:val="20"/>
                  <w:u w:val="none"/>
                  <w:effect w:val="none"/>
                </w:rPr>
                <w:t>7</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73">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73">
              <w:r>
                <w:rPr>
                  <w:rStyle w:val="InternetLink"/>
                  <w:rFonts w:ascii="Times New Roman;sans-serif" w:hAnsi="Times New Roman;sans-serif"/>
                  <w:b w:val="false"/>
                  <w:strike w:val="false"/>
                  <w:dstrike w:val="false"/>
                  <w:color w:val="000000"/>
                  <w:sz w:val="20"/>
                  <w:u w:val="none"/>
                  <w:effect w:val="none"/>
                </w:rPr>
                <w:t>18</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03">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03">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03">
              <w:r>
                <w:rPr>
                  <w:rStyle w:val="InternetLink"/>
                  <w:rFonts w:ascii="Times New Roman;sans-serif" w:hAnsi="Times New Roman;sans-serif"/>
                  <w:b w:val="false"/>
                  <w:strike w:val="false"/>
                  <w:dstrike w:val="false"/>
                  <w:color w:val="000000"/>
                  <w:sz w:val="20"/>
                  <w:u w:val="none"/>
                  <w:effect w:val="none"/>
                </w:rPr>
                <w:t>34</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06">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06">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06">
              <w:r>
                <w:rPr>
                  <w:rStyle w:val="InternetLink"/>
                  <w:rFonts w:ascii="Times New Roman;sans-serif" w:hAnsi="Times New Roman;sans-serif"/>
                  <w:b w:val="false"/>
                  <w:strike w:val="false"/>
                  <w:dstrike w:val="false"/>
                  <w:color w:val="000000"/>
                  <w:sz w:val="20"/>
                  <w:u w:val="none"/>
                  <w:effect w:val="none"/>
                </w:rPr>
                <w:t>35</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09">
              <w:r>
                <w:rPr>
                  <w:rStyle w:val="InternetLink"/>
                  <w:rFonts w:ascii="Times New Roman;sans-serif" w:hAnsi="Times New Roman;sans-serif"/>
                  <w:b/>
                  <w:strike w:val="false"/>
                  <w:dstrike w:val="false"/>
                  <w:color w:val="000000"/>
                  <w:sz w:val="20"/>
                  <w:u w:val="none"/>
                  <w:effect w:val="none"/>
                </w:rPr>
                <w:t>PART II.</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09">
              <w:r>
                <w:rPr>
                  <w:rStyle w:val="InternetLink"/>
                  <w:rFonts w:ascii="Times New Roman;sans-serif" w:hAnsi="Times New Roman;sans-serif"/>
                  <w:b w:val="false"/>
                  <w:color w:val="0000FF"/>
                  <w:sz w:val="20"/>
                  <w:u w:val="single"/>
                </w:rPr>
                <w:t>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09">
              <w:r>
                <w:rPr>
                  <w:rStyle w:val="InternetLink"/>
                  <w:rFonts w:ascii="Times New Roman;sans-serif" w:hAnsi="Times New Roman;sans-serif"/>
                  <w:b w:val="false"/>
                  <w:strike w:val="false"/>
                  <w:dstrike w:val="false"/>
                  <w:color w:val="000000"/>
                  <w:sz w:val="20"/>
                  <w:u w:val="none"/>
                  <w:effect w:val="none"/>
                </w:rPr>
                <w:t>36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12">
              <w:r>
                <w:rPr>
                  <w:rStyle w:val="InternetLink"/>
                  <w:rFonts w:ascii="Times New Roman;sans-serif" w:hAnsi="Times New Roman;sans-serif"/>
                  <w:b w:val="false"/>
                  <w:strike w:val="false"/>
                  <w:dstrike w:val="false"/>
                  <w:color w:val="000000"/>
                  <w:sz w:val="20"/>
                  <w:u w:val="none"/>
                  <w:effect w:val="none"/>
                </w:rPr>
                <w:t>Item 1.</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12">
              <w:r>
                <w:rPr>
                  <w:rStyle w:val="InternetLink"/>
                  <w:rFonts w:ascii="Times New Roman;sans-serif" w:hAnsi="Times New Roman;sans-serif"/>
                  <w:b w:val="false"/>
                  <w:color w:val="0000FF"/>
                  <w:sz w:val="20"/>
                  <w:u w:val="single"/>
                </w:rPr>
                <w:t>Legal Proceedings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12">
              <w:r>
                <w:rPr>
                  <w:rStyle w:val="InternetLink"/>
                  <w:rFonts w:ascii="Times New Roman;sans-serif" w:hAnsi="Times New Roman;sans-serif"/>
                  <w:b w:val="false"/>
                  <w:strike w:val="false"/>
                  <w:dstrike w:val="false"/>
                  <w:color w:val="000000"/>
                  <w:sz w:val="20"/>
                  <w:u w:val="none"/>
                  <w:effect w:val="none"/>
                </w:rPr>
                <w:t>36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15">
              <w:r>
                <w:rPr>
                  <w:rStyle w:val="InternetLink"/>
                  <w:rFonts w:ascii="Times New Roman;sans-serif" w:hAnsi="Times New Roman;sans-serif"/>
                  <w:b w:val="false"/>
                  <w:strike w:val="false"/>
                  <w:dstrike w:val="false"/>
                  <w:color w:val="000000"/>
                  <w:sz w:val="20"/>
                  <w:u w:val="none"/>
                  <w:effect w:val="none"/>
                </w:rPr>
                <w:t>Item 1A.</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15">
              <w:r>
                <w:rPr>
                  <w:rStyle w:val="InternetLink"/>
                  <w:rFonts w:ascii="Times New Roman;sans-serif" w:hAnsi="Times New Roman;sans-serif"/>
                  <w:b w:val="false"/>
                  <w:color w:val="0000FF"/>
                  <w:sz w:val="20"/>
                  <w:u w:val="single"/>
                </w:rPr>
                <w:t>Risk Factors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15">
              <w:r>
                <w:rPr>
                  <w:rStyle w:val="InternetLink"/>
                  <w:rFonts w:ascii="Times New Roman;sans-serif" w:hAnsi="Times New Roman;sans-serif"/>
                  <w:b w:val="false"/>
                  <w:strike w:val="false"/>
                  <w:dstrike w:val="false"/>
                  <w:color w:val="000000"/>
                  <w:sz w:val="20"/>
                  <w:u w:val="none"/>
                  <w:effect w:val="none"/>
                </w:rPr>
                <w:t>36</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18">
              <w:r>
                <w:rPr>
                  <w:rStyle w:val="InternetLink"/>
                  <w:rFonts w:ascii="Times New Roman;sans-serif" w:hAnsi="Times New Roman;sans-serif"/>
                  <w:b w:val="false"/>
                  <w:strike w:val="false"/>
                  <w:dstrike w:val="false"/>
                  <w:color w:val="000000"/>
                  <w:sz w:val="20"/>
                  <w:u w:val="none"/>
                  <w:effect w:val="none"/>
                </w:rPr>
                <w:t>Item 2.</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18">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18">
              <w:r>
                <w:rPr>
                  <w:rStyle w:val="InternetLink"/>
                  <w:rFonts w:ascii="Times New Roman;sans-serif" w:hAnsi="Times New Roman;sans-serif"/>
                  <w:b w:val="false"/>
                  <w:strike w:val="false"/>
                  <w:dstrike w:val="false"/>
                  <w:color w:val="000000"/>
                  <w:sz w:val="20"/>
                  <w:u w:val="none"/>
                  <w:effect w:val="none"/>
                </w:rPr>
                <w:t>60</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21">
              <w:r>
                <w:rPr>
                  <w:rStyle w:val="InternetLink"/>
                  <w:rFonts w:ascii="Times New Roman;sans-serif" w:hAnsi="Times New Roman;sans-serif"/>
                  <w:b w:val="false"/>
                  <w:strike w:val="false"/>
                  <w:dstrike w:val="false"/>
                  <w:color w:val="000000"/>
                  <w:sz w:val="20"/>
                  <w:u w:val="none"/>
                  <w:effect w:val="none"/>
                </w:rPr>
                <w:t>Item 3.</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21">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21">
              <w:r>
                <w:rPr>
                  <w:rStyle w:val="InternetLink"/>
                  <w:rFonts w:ascii="Times New Roman;sans-serif" w:hAnsi="Times New Roman;sans-serif"/>
                  <w:b w:val="false"/>
                  <w:strike w:val="false"/>
                  <w:dstrike w:val="false"/>
                  <w:color w:val="000000"/>
                  <w:sz w:val="20"/>
                  <w:u w:val="none"/>
                  <w:effect w:val="none"/>
                </w:rPr>
                <w:t>60</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24">
              <w:r>
                <w:rPr>
                  <w:rStyle w:val="InternetLink"/>
                  <w:rFonts w:ascii="Times New Roman;sans-serif" w:hAnsi="Times New Roman;sans-serif"/>
                  <w:b w:val="false"/>
                  <w:strike w:val="false"/>
                  <w:dstrike w:val="false"/>
                  <w:color w:val="000000"/>
                  <w:sz w:val="20"/>
                  <w:u w:val="none"/>
                  <w:effect w:val="none"/>
                </w:rPr>
                <w:t>Item 4.</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24">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24">
              <w:r>
                <w:rPr>
                  <w:rStyle w:val="InternetLink"/>
                  <w:rFonts w:ascii="Times New Roman;sans-serif" w:hAnsi="Times New Roman;sans-serif"/>
                  <w:b w:val="false"/>
                  <w:strike w:val="false"/>
                  <w:dstrike w:val="false"/>
                  <w:color w:val="000000"/>
                  <w:sz w:val="20"/>
                  <w:u w:val="none"/>
                  <w:effect w:val="none"/>
                </w:rPr>
                <w:t>60</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27">
              <w:r>
                <w:rPr>
                  <w:rStyle w:val="InternetLink"/>
                  <w:rFonts w:ascii="Times New Roman;sans-serif" w:hAnsi="Times New Roman;sans-serif"/>
                  <w:b w:val="false"/>
                  <w:strike w:val="false"/>
                  <w:dstrike w:val="false"/>
                  <w:color w:val="000000"/>
                  <w:sz w:val="20"/>
                  <w:u w:val="none"/>
                  <w:effect w:val="none"/>
                </w:rPr>
                <w:t>Item 5.</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27">
              <w:r>
                <w:rPr>
                  <w:rStyle w:val="InternetLink"/>
                  <w:rFonts w:ascii="Times New Roman;sans-serif" w:hAnsi="Times New Roman;sans-serif"/>
                  <w:b w:val="false"/>
                  <w:color w:val="0000FF"/>
                  <w:sz w:val="20"/>
                  <w:u w:val="single"/>
                </w:rPr>
                <w:t>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27">
              <w:r>
                <w:rPr>
                  <w:rStyle w:val="InternetLink"/>
                  <w:rFonts w:ascii="Times New Roman;sans-serif" w:hAnsi="Times New Roman;sans-serif"/>
                  <w:b w:val="false"/>
                  <w:strike w:val="false"/>
                  <w:dstrike w:val="false"/>
                  <w:color w:val="000000"/>
                  <w:sz w:val="20"/>
                  <w:u w:val="none"/>
                  <w:effect w:val="none"/>
                </w:rPr>
                <w:t>60</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30">
              <w:r>
                <w:rPr>
                  <w:rStyle w:val="InternetLink"/>
                  <w:rFonts w:ascii="Times New Roman;sans-serif" w:hAnsi="Times New Roman;sans-serif"/>
                  <w:b w:val="false"/>
                  <w:strike w:val="false"/>
                  <w:dstrike w:val="false"/>
                  <w:color w:val="000000"/>
                  <w:sz w:val="20"/>
                  <w:u w:val="none"/>
                  <w:effect w:val="none"/>
                </w:rPr>
                <w:t>Item 6.</w:t>
              </w:r>
            </w:hyperlink>
          </w:p>
        </w:tc>
        <w:tc>
          <w:tcPr>
            <w:tcW w:w="7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30">
              <w:r>
                <w:rPr>
                  <w:rStyle w:val="InternetLink"/>
                  <w:rFonts w:ascii="Times New Roman;sans-serif" w:hAnsi="Times New Roman;sans-serif"/>
                  <w:b w:val="false"/>
                  <w:color w:val="0000FF"/>
                  <w:sz w:val="20"/>
                  <w:u w:val="single"/>
                </w:rPr>
                <w:t>Exhibits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30">
              <w:r>
                <w:rPr>
                  <w:rStyle w:val="InternetLink"/>
                  <w:rFonts w:ascii="Times New Roman;sans-serif" w:hAnsi="Times New Roman;sans-serif"/>
                  <w:b w:val="false"/>
                  <w:strike w:val="false"/>
                  <w:dstrike w:val="false"/>
                  <w:color w:val="000000"/>
                  <w:sz w:val="20"/>
                  <w:u w:val="none"/>
                  <w:effect w:val="none"/>
                </w:rPr>
                <w:t>61</w:t>
              </w:r>
            </w:hyperlink>
          </w:p>
        </w:tc>
      </w:tr>
      <w:tr>
        <w:trPr/>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133">
              <w:r>
                <w:rPr>
                  <w:rStyle w:val="InternetLink"/>
                  <w:rFonts w:ascii="Times New Roman;sans-serif" w:hAnsi="Times New Roman;sans-serif"/>
                  <w:b w:val="false"/>
                  <w:color w:val="0000FF"/>
                  <w:sz w:val="20"/>
                  <w:u w:val="single"/>
                </w:rPr>
                <w:t>Signatures</w:t>
              </w:r>
            </w:hyperlink>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133">
              <w:r>
                <w:rPr>
                  <w:rStyle w:val="InternetLink"/>
                  <w:rFonts w:ascii="Times New Roman;sans-serif" w:hAnsi="Times New Roman;sans-serif"/>
                  <w:b w:val="false"/>
                  <w:strike w:val="false"/>
                  <w:dstrike w:val="false"/>
                  <w:color w:val="000000"/>
                  <w:sz w:val="20"/>
                  <w:u w:val="none"/>
                  <w:effect w:val="none"/>
                </w:rPr>
                <w:t>62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240" w:after="283"/>
        <w:ind w:left="0" w:right="0" w:firstLine="540"/>
        <w:jc w:val="center"/>
        <w:rPr/>
      </w:pPr>
      <w:r>
        <w:rPr/>
      </w:r>
    </w:p>
    <w:p>
      <w:pPr>
        <w:pStyle w:val="TextBody"/>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54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 share data)</w:t>
      </w:r>
    </w:p>
    <w:tbl>
      <w:tblPr>
        <w:tblW w:w="7779" w:type="dxa"/>
        <w:jc w:val="center"/>
        <w:tblInd w:w="0" w:type="dxa"/>
        <w:tblCellMar>
          <w:top w:w="28" w:type="dxa"/>
          <w:left w:w="28" w:type="dxa"/>
          <w:bottom w:w="28" w:type="dxa"/>
          <w:right w:w="28" w:type="dxa"/>
        </w:tblCellMar>
      </w:tblPr>
      <w:tblGrid>
        <w:gridCol w:w="1922"/>
        <w:gridCol w:w="1695"/>
        <w:gridCol w:w="1708"/>
        <w:gridCol w:w="211"/>
        <w:gridCol w:w="721"/>
        <w:gridCol w:w="109"/>
        <w:gridCol w:w="109"/>
        <w:gridCol w:w="109"/>
        <w:gridCol w:w="109"/>
        <w:gridCol w:w="211"/>
        <w:gridCol w:w="721"/>
        <w:gridCol w:w="154"/>
      </w:tblGrid>
      <w:tr>
        <w:trPr/>
        <w:tc>
          <w:tcPr>
            <w:tcW w:w="1922"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w:t>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w:t>
            </w:r>
          </w:p>
        </w:tc>
      </w:tr>
    </w:tbl>
    <w:p>
      <w:pPr>
        <w:pStyle w:val="TextBody"/>
        <w:spacing w:lineRule="auto" w:line="288" w:before="240" w:after="283"/>
        <w:ind w:left="0" w:right="0" w:firstLine="5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 share data)</w:t>
      </w:r>
    </w:p>
    <w:tbl>
      <w:tblPr>
        <w:tblW w:w="8581" w:type="dxa"/>
        <w:jc w:val="center"/>
        <w:tblInd w:w="0" w:type="dxa"/>
        <w:tblCellMar>
          <w:top w:w="28" w:type="dxa"/>
          <w:left w:w="28" w:type="dxa"/>
          <w:bottom w:w="28" w:type="dxa"/>
          <w:right w:w="28" w:type="dxa"/>
        </w:tblCellMar>
      </w:tblPr>
      <w:tblGrid>
        <w:gridCol w:w="1926"/>
        <w:gridCol w:w="1696"/>
        <w:gridCol w:w="1717"/>
        <w:gridCol w:w="211"/>
        <w:gridCol w:w="826"/>
        <w:gridCol w:w="109"/>
        <w:gridCol w:w="109"/>
        <w:gridCol w:w="109"/>
        <w:gridCol w:w="109"/>
        <w:gridCol w:w="313"/>
        <w:gridCol w:w="1228"/>
        <w:gridCol w:w="228"/>
      </w:tblGrid>
      <w:tr>
        <w:trPr/>
        <w:tc>
          <w:tcPr>
            <w:tcW w:w="1926"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7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101,658 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314,862 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26,441 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377,883 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37,063 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deferred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24,998 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13)</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10,000,000</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 none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$0.001 par value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450,000,000</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 15,444,078 and 14,783,886</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 15,064,581 and 14,643,798</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$0.001 par value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150,000,000</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 47,082,260 and 47,082,260</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95,922 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(36,261)</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379,497 and 140,088 shares held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attributable to Viant Technology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206,520 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377,883 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p>
      <w:pPr>
        <w:pStyle w:val="TextBody"/>
        <w:spacing w:before="240" w:after="283"/>
        <w:ind w:left="0" w:right="0" w:firstLine="540"/>
        <w:jc w:val="center"/>
        <w:rPr/>
      </w:pPr>
      <w:r>
        <w:rPr/>
      </w:r>
    </w:p>
    <w:tbl>
      <w:tblPr>
        <w:tblW w:w="12524" w:type="dxa"/>
        <w:jc w:val="center"/>
        <w:tblInd w:w="0" w:type="dxa"/>
        <w:tblCellMar>
          <w:top w:w="28" w:type="dxa"/>
          <w:left w:w="28" w:type="dxa"/>
          <w:bottom w:w="28" w:type="dxa"/>
          <w:right w:w="28" w:type="dxa"/>
        </w:tblCellMar>
      </w:tblPr>
      <w:tblGrid>
        <w:gridCol w:w="619"/>
        <w:gridCol w:w="268"/>
        <w:gridCol w:w="269"/>
        <w:gridCol w:w="199"/>
        <w:gridCol w:w="199"/>
        <w:gridCol w:w="203"/>
        <w:gridCol w:w="109"/>
        <w:gridCol w:w="109"/>
        <w:gridCol w:w="109"/>
        <w:gridCol w:w="212"/>
        <w:gridCol w:w="359"/>
        <w:gridCol w:w="120"/>
        <w:gridCol w:w="109"/>
        <w:gridCol w:w="109"/>
        <w:gridCol w:w="109"/>
        <w:gridCol w:w="199"/>
        <w:gridCol w:w="199"/>
        <w:gridCol w:w="203"/>
        <w:gridCol w:w="109"/>
        <w:gridCol w:w="109"/>
        <w:gridCol w:w="109"/>
        <w:gridCol w:w="212"/>
        <w:gridCol w:w="359"/>
        <w:gridCol w:w="120"/>
        <w:gridCol w:w="109"/>
        <w:gridCol w:w="109"/>
        <w:gridCol w:w="109"/>
        <w:gridCol w:w="196"/>
        <w:gridCol w:w="736"/>
        <w:gridCol w:w="109"/>
        <w:gridCol w:w="109"/>
        <w:gridCol w:w="109"/>
        <w:gridCol w:w="109"/>
        <w:gridCol w:w="213"/>
        <w:gridCol w:w="719"/>
        <w:gridCol w:w="119"/>
        <w:gridCol w:w="109"/>
        <w:gridCol w:w="109"/>
        <w:gridCol w:w="109"/>
        <w:gridCol w:w="195"/>
        <w:gridCol w:w="195"/>
        <w:gridCol w:w="196"/>
        <w:gridCol w:w="109"/>
        <w:gridCol w:w="109"/>
        <w:gridCol w:w="109"/>
        <w:gridCol w:w="196"/>
        <w:gridCol w:w="571"/>
        <w:gridCol w:w="109"/>
        <w:gridCol w:w="109"/>
        <w:gridCol w:w="109"/>
        <w:gridCol w:w="109"/>
        <w:gridCol w:w="226"/>
        <w:gridCol w:w="849"/>
        <w:gridCol w:w="126"/>
        <w:gridCol w:w="109"/>
        <w:gridCol w:w="109"/>
        <w:gridCol w:w="109"/>
        <w:gridCol w:w="196"/>
        <w:gridCol w:w="736"/>
        <w:gridCol w:w="154"/>
      </w:tblGrid>
      <w:tr>
        <w:trPr/>
        <w:tc>
          <w:tcPr>
            <w:tcW w:w="61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impact of accounting adoption</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January 1, 2023</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in connection with equity-based compensation plans</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treasury shares in connection with the taxes paid related to net share settlement of equity awards</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Reissuance of treasury stock in connection with equity-based compensation plans</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equity to noncontrolling interests</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member tax distributions</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(6,896)</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(39,425)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202,001 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262,013 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ind w:left="0" w:right="0" w:firstLine="540"/>
        <w:jc w:val="center"/>
        <w:rPr/>
      </w:pPr>
      <w:r>
        <w:rPr/>
      </w:r>
    </w:p>
    <w:tbl>
      <w:tblPr>
        <w:tblW w:w="12434" w:type="dxa"/>
        <w:jc w:val="center"/>
        <w:tblInd w:w="0" w:type="dxa"/>
        <w:tblCellMar>
          <w:top w:w="28" w:type="dxa"/>
          <w:left w:w="28" w:type="dxa"/>
          <w:bottom w:w="28" w:type="dxa"/>
          <w:right w:w="28" w:type="dxa"/>
        </w:tblCellMar>
      </w:tblPr>
      <w:tblGrid>
        <w:gridCol w:w="619"/>
        <w:gridCol w:w="268"/>
        <w:gridCol w:w="269"/>
        <w:gridCol w:w="199"/>
        <w:gridCol w:w="199"/>
        <w:gridCol w:w="203"/>
        <w:gridCol w:w="109"/>
        <w:gridCol w:w="109"/>
        <w:gridCol w:w="109"/>
        <w:gridCol w:w="212"/>
        <w:gridCol w:w="359"/>
        <w:gridCol w:w="120"/>
        <w:gridCol w:w="109"/>
        <w:gridCol w:w="109"/>
        <w:gridCol w:w="109"/>
        <w:gridCol w:w="199"/>
        <w:gridCol w:w="199"/>
        <w:gridCol w:w="203"/>
        <w:gridCol w:w="109"/>
        <w:gridCol w:w="109"/>
        <w:gridCol w:w="109"/>
        <w:gridCol w:w="212"/>
        <w:gridCol w:w="359"/>
        <w:gridCol w:w="120"/>
        <w:gridCol w:w="109"/>
        <w:gridCol w:w="109"/>
        <w:gridCol w:w="109"/>
        <w:gridCol w:w="196"/>
        <w:gridCol w:w="646"/>
        <w:gridCol w:w="109"/>
        <w:gridCol w:w="109"/>
        <w:gridCol w:w="109"/>
        <w:gridCol w:w="109"/>
        <w:gridCol w:w="213"/>
        <w:gridCol w:w="719"/>
        <w:gridCol w:w="119"/>
        <w:gridCol w:w="109"/>
        <w:gridCol w:w="109"/>
        <w:gridCol w:w="109"/>
        <w:gridCol w:w="195"/>
        <w:gridCol w:w="195"/>
        <w:gridCol w:w="196"/>
        <w:gridCol w:w="109"/>
        <w:gridCol w:w="109"/>
        <w:gridCol w:w="109"/>
        <w:gridCol w:w="196"/>
        <w:gridCol w:w="571"/>
        <w:gridCol w:w="109"/>
        <w:gridCol w:w="109"/>
        <w:gridCol w:w="109"/>
        <w:gridCol w:w="109"/>
        <w:gridCol w:w="226"/>
        <w:gridCol w:w="849"/>
        <w:gridCol w:w="126"/>
        <w:gridCol w:w="109"/>
        <w:gridCol w:w="109"/>
        <w:gridCol w:w="109"/>
        <w:gridCol w:w="196"/>
        <w:gridCol w:w="736"/>
        <w:gridCol w:w="154"/>
      </w:tblGrid>
      <w:tr>
        <w:trPr/>
        <w:tc>
          <w:tcPr>
            <w:tcW w:w="61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 of Class B common stock for Class A common stock</w:t>
            </w:r>
          </w:p>
        </w:tc>
        <w:tc>
          <w:tcPr>
            <w:tcW w:w="601"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in connection with equity-based compensation plans</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Reissuance of treasury stock in connection with equity-based compensation plans</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equity to noncontrolling interests</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member tax distributions</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(10,371)</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(25,979)</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216,317 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pStyle w:val="TextBody"/>
        <w:spacing w:before="240" w:after="283"/>
        <w:ind w:left="0" w:right="0" w:firstLine="5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p>
      <w:pPr>
        <w:pStyle w:val="TextBody"/>
        <w:spacing w:before="240" w:after="283"/>
        <w:ind w:left="0" w:right="0" w:firstLine="540"/>
        <w:jc w:val="center"/>
        <w:rPr/>
      </w:pPr>
      <w:r>
        <w:rPr/>
      </w:r>
    </w:p>
    <w:tbl>
      <w:tblPr>
        <w:tblW w:w="9849" w:type="dxa"/>
        <w:jc w:val="center"/>
        <w:tblInd w:w="0" w:type="dxa"/>
        <w:tblCellMar>
          <w:top w:w="28" w:type="dxa"/>
          <w:left w:w="28" w:type="dxa"/>
          <w:bottom w:w="28" w:type="dxa"/>
          <w:right w:w="28" w:type="dxa"/>
        </w:tblCellMar>
      </w:tblPr>
      <w:tblGrid>
        <w:gridCol w:w="2598"/>
        <w:gridCol w:w="2286"/>
        <w:gridCol w:w="2301"/>
        <w:gridCol w:w="211"/>
        <w:gridCol w:w="826"/>
        <w:gridCol w:w="109"/>
        <w:gridCol w:w="109"/>
        <w:gridCol w:w="109"/>
        <w:gridCol w:w="109"/>
        <w:gridCol w:w="211"/>
        <w:gridCol w:w="826"/>
        <w:gridCol w:w="154"/>
      </w:tblGrid>
      <w:tr>
        <w:trPr/>
        <w:tc>
          <w:tcPr>
            <w:tcW w:w="2598" w:type="dxa"/>
            <w:tcBorders/>
            <w:shd w:fill="auto" w:val="clear"/>
            <w:vAlign w:val="center"/>
          </w:tcPr>
          <w:p>
            <w:pPr>
              <w:pStyle w:val="TableContents"/>
              <w:spacing w:before="0" w:after="283"/>
              <w:rPr>
                <w:sz w:val="4"/>
                <w:szCs w:val="4"/>
              </w:rPr>
            </w:pPr>
            <w:r>
              <w:rPr>
                <w:sz w:val="4"/>
                <w:szCs w:val="4"/>
              </w:rPr>
            </w:r>
          </w:p>
        </w:tc>
        <w:tc>
          <w:tcPr>
            <w:tcW w:w="2286" w:type="dxa"/>
            <w:tcBorders/>
            <w:shd w:fill="auto" w:val="clear"/>
            <w:vAlign w:val="center"/>
          </w:tcPr>
          <w:p>
            <w:pPr>
              <w:pStyle w:val="TableContents"/>
              <w:spacing w:before="0" w:after="283"/>
              <w:rPr>
                <w:sz w:val="4"/>
                <w:szCs w:val="4"/>
              </w:rPr>
            </w:pPr>
            <w:r>
              <w:rPr>
                <w:sz w:val="4"/>
                <w:szCs w:val="4"/>
              </w:rPr>
            </w:r>
          </w:p>
        </w:tc>
        <w:tc>
          <w:tcPr>
            <w:tcW w:w="23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7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(recovery of) doubtful accounts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member tax distributions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in capitalized software development costs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assets financed by accounts payable and accrued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member tax distributions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tbl>
      <w:tblPr>
        <w:tblW w:w="7141" w:type="dxa"/>
        <w:jc w:val="left"/>
        <w:tblInd w:w="0" w:type="dxa"/>
        <w:tblCellMar>
          <w:top w:w="28" w:type="dxa"/>
          <w:left w:w="28" w:type="dxa"/>
          <w:bottom w:w="28" w:type="dxa"/>
          <w:right w:w="28" w:type="dxa"/>
        </w:tblCellMar>
      </w:tblPr>
      <w:tblGrid>
        <w:gridCol w:w="277"/>
        <w:gridCol w:w="242"/>
        <w:gridCol w:w="246"/>
        <w:gridCol w:w="1933"/>
        <w:gridCol w:w="1933"/>
        <w:gridCol w:w="1939"/>
        <w:gridCol w:w="167"/>
        <w:gridCol w:w="167"/>
        <w:gridCol w:w="237"/>
      </w:tblGrid>
      <w:tr>
        <w:trPr/>
        <w:tc>
          <w:tcPr>
            <w:tcW w:w="27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31">
              <w:r>
                <w:rPr>
                  <w:rStyle w:val="InternetLink"/>
                  <w:rFonts w:ascii="Times New Roman;sans-serif" w:hAnsi="Times New Roman;sans-serif"/>
                  <w:b w:val="false"/>
                  <w:strike w:val="false"/>
                  <w:dstrike w:val="false"/>
                  <w:color w:val="000000"/>
                  <w:sz w:val="20"/>
                  <w:u w:val="none"/>
                  <w:effect w:val="none"/>
                </w:rPr>
                <w:t>Note 1</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31">
              <w:r>
                <w:rPr>
                  <w:rStyle w:val="InternetLink"/>
                  <w:rFonts w:ascii="Times New Roman;sans-serif" w:hAnsi="Times New Roman;sans-serif"/>
                  <w:b w:val="false"/>
                  <w:color w:val="0000FF"/>
                  <w:sz w:val="20"/>
                  <w:u w:val="single"/>
                </w:rPr>
                <w:t>Nature of Operations</w:t>
              </w:r>
            </w:hyperlink>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19abe95347704b2c956d211747afeac1_31">
              <w:r>
                <w:rPr>
                  <w:rStyle w:val="InternetLink"/>
                  <w:rFonts w:ascii="Times New Roman;sans-serif" w:hAnsi="Times New Roman;sans-serif"/>
                  <w:b w:val="false"/>
                  <w:strike w:val="false"/>
                  <w:dstrike w:val="false"/>
                  <w:color w:val="000000"/>
                  <w:sz w:val="20"/>
                  <w:u w:val="none"/>
                  <w:effect w:val="none"/>
                </w:rPr>
                <w:t>7</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34">
              <w:r>
                <w:rPr>
                  <w:rStyle w:val="InternetLink"/>
                  <w:rFonts w:ascii="Times New Roman;sans-serif" w:hAnsi="Times New Roman;sans-serif"/>
                  <w:b w:val="false"/>
                  <w:strike w:val="false"/>
                  <w:dstrike w:val="false"/>
                  <w:color w:val="000000"/>
                  <w:sz w:val="20"/>
                  <w:u w:val="none"/>
                  <w:effect w:val="none"/>
                </w:rPr>
                <w:t>Note 2</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34">
              <w:r>
                <w:rPr>
                  <w:rStyle w:val="InternetLink"/>
                </w:rPr>
                <w:t xml:space="preserve">Basis of Presentation </w:t>
              </w:r>
            </w:hyperlink>
            <w:hyperlink w:anchor="i19abe95347704b2c956d211747afeac1_34">
              <w:r>
                <w:rPr>
                  <w:rStyle w:val="InternetLink"/>
                </w:rPr>
                <w:t>and Summary of Significant Accounting Policies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34">
              <w:r>
                <w:rPr>
                  <w:rStyle w:val="InternetLink"/>
                  <w:rFonts w:ascii="Times New Roman;sans-serif" w:hAnsi="Times New Roman;sans-serif"/>
                  <w:b w:val="false"/>
                  <w:strike w:val="false"/>
                  <w:dstrike w:val="false"/>
                  <w:color w:val="000000"/>
                  <w:sz w:val="20"/>
                  <w:u w:val="none"/>
                  <w:effect w:val="none"/>
                </w:rPr>
                <w:t>8</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40">
              <w:r>
                <w:rPr>
                  <w:rStyle w:val="InternetLink"/>
                  <w:rFonts w:ascii="Times New Roman;sans-serif" w:hAnsi="Times New Roman;sans-serif"/>
                  <w:b w:val="false"/>
                  <w:strike w:val="false"/>
                  <w:dstrike w:val="false"/>
                  <w:color w:val="000000"/>
                  <w:sz w:val="20"/>
                  <w:u w:val="none"/>
                  <w:effect w:val="none"/>
                </w:rPr>
                <w:t>Note 3</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40">
              <w:r>
                <w:rPr>
                  <w:rStyle w:val="InternetLink"/>
                  <w:rFonts w:ascii="Times New Roman;sans-serif" w:hAnsi="Times New Roman;sans-serif"/>
                  <w:b w:val="false"/>
                  <w:color w:val="0000FF"/>
                  <w:sz w:val="20"/>
                  <w:u w:val="single"/>
                </w:rPr>
                <w:t>Revenue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40">
              <w:r>
                <w:rPr>
                  <w:rStyle w:val="InternetLink"/>
                  <w:rFonts w:ascii="Times New Roman;sans-serif" w:hAnsi="Times New Roman;sans-serif"/>
                  <w:b w:val="false"/>
                  <w:strike w:val="false"/>
                  <w:dstrike w:val="false"/>
                  <w:color w:val="000000"/>
                  <w:sz w:val="20"/>
                  <w:u w:val="none"/>
                  <w:effect w:val="none"/>
                </w:rPr>
                <w:t>10</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43">
              <w:r>
                <w:rPr>
                  <w:rStyle w:val="InternetLink"/>
                  <w:rFonts w:ascii="Times New Roman;sans-serif" w:hAnsi="Times New Roman;sans-serif"/>
                  <w:b w:val="false"/>
                  <w:strike w:val="false"/>
                  <w:dstrike w:val="false"/>
                  <w:color w:val="000000"/>
                  <w:sz w:val="20"/>
                  <w:u w:val="none"/>
                  <w:effect w:val="none"/>
                </w:rPr>
                <w:t>Note 4</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43">
              <w:r>
                <w:rPr>
                  <w:rStyle w:val="InternetLink"/>
                  <w:rFonts w:ascii="Times New Roman;sans-serif" w:hAnsi="Times New Roman;sans-serif"/>
                  <w:b w:val="false"/>
                  <w:color w:val="0000FF"/>
                  <w:sz w:val="20"/>
                  <w:u w:val="single"/>
                </w:rPr>
                <w:t>Property, Equipment, and Software, Net</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43">
              <w:r>
                <w:rPr>
                  <w:rStyle w:val="InternetLink"/>
                  <w:rFonts w:ascii="Times New Roman;sans-serif" w:hAnsi="Times New Roman;sans-serif"/>
                  <w:b w:val="false"/>
                  <w:strike w:val="false"/>
                  <w:dstrike w:val="false"/>
                  <w:color w:val="000000"/>
                  <w:sz w:val="20"/>
                  <w:u w:val="none"/>
                  <w:effect w:val="none"/>
                </w:rPr>
                <w:t>10</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46">
              <w:r>
                <w:rPr>
                  <w:rStyle w:val="InternetLink"/>
                  <w:rFonts w:ascii="Times New Roman;sans-serif" w:hAnsi="Times New Roman;sans-serif"/>
                  <w:b w:val="false"/>
                  <w:strike w:val="false"/>
                  <w:dstrike w:val="false"/>
                  <w:color w:val="000000"/>
                  <w:sz w:val="20"/>
                  <w:u w:val="none"/>
                  <w:effect w:val="none"/>
                </w:rPr>
                <w:t>Note 5</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46">
              <w:r>
                <w:rPr>
                  <w:rStyle w:val="InternetLink"/>
                  <w:rFonts w:ascii="Times New Roman;sans-serif" w:hAnsi="Times New Roman;sans-serif"/>
                  <w:b w:val="false"/>
                  <w:color w:val="0000FF"/>
                  <w:sz w:val="20"/>
                  <w:u w:val="single"/>
                </w:rPr>
                <w:t>Leases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46">
              <w:r>
                <w:rPr>
                  <w:rStyle w:val="InternetLink"/>
                  <w:rFonts w:ascii="Times New Roman;sans-serif" w:hAnsi="Times New Roman;sans-serif"/>
                  <w:b w:val="false"/>
                  <w:strike w:val="false"/>
                  <w:dstrike w:val="false"/>
                  <w:color w:val="000000"/>
                  <w:sz w:val="20"/>
                  <w:u w:val="none"/>
                  <w:effect w:val="none"/>
                </w:rPr>
                <w:t>11</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49">
              <w:r>
                <w:rPr>
                  <w:rStyle w:val="InternetLink"/>
                  <w:rFonts w:ascii="Times New Roman;sans-serif" w:hAnsi="Times New Roman;sans-serif"/>
                  <w:b w:val="false"/>
                  <w:strike w:val="false"/>
                  <w:dstrike w:val="false"/>
                  <w:color w:val="000000"/>
                  <w:sz w:val="20"/>
                  <w:u w:val="none"/>
                  <w:effect w:val="none"/>
                </w:rPr>
                <w:t>Note 6</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49">
              <w:r>
                <w:rPr>
                  <w:rStyle w:val="InternetLink"/>
                  <w:rFonts w:ascii="Times New Roman;sans-serif" w:hAnsi="Times New Roman;sans-serif"/>
                  <w:b w:val="false"/>
                  <w:color w:val="0000FF"/>
                  <w:sz w:val="20"/>
                  <w:u w:val="single"/>
                </w:rPr>
                <w:t>Intangible Assets, Net</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49">
              <w:r>
                <w:rPr>
                  <w:rStyle w:val="InternetLink"/>
                  <w:rFonts w:ascii="Times New Roman;sans-serif" w:hAnsi="Times New Roman;sans-serif"/>
                  <w:b w:val="false"/>
                  <w:strike w:val="false"/>
                  <w:dstrike w:val="false"/>
                  <w:color w:val="000000"/>
                  <w:sz w:val="20"/>
                  <w:u w:val="none"/>
                  <w:effect w:val="none"/>
                </w:rPr>
                <w:t>11</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52">
              <w:r>
                <w:rPr>
                  <w:rStyle w:val="InternetLink"/>
                  <w:rFonts w:ascii="Times New Roman;sans-serif" w:hAnsi="Times New Roman;sans-serif"/>
                  <w:b w:val="false"/>
                  <w:strike w:val="false"/>
                  <w:dstrike w:val="false"/>
                  <w:color w:val="000000"/>
                  <w:sz w:val="20"/>
                  <w:u w:val="none"/>
                  <w:effect w:val="none"/>
                </w:rPr>
                <w:t>Note 7</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52">
              <w:r>
                <w:rPr>
                  <w:rStyle w:val="InternetLink"/>
                  <w:rFonts w:ascii="Times New Roman;sans-serif" w:hAnsi="Times New Roman;sans-serif"/>
                  <w:b w:val="false"/>
                  <w:color w:val="0000FF"/>
                  <w:sz w:val="20"/>
                  <w:u w:val="single"/>
                </w:rPr>
                <w:t>Accrued Liabilities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52">
              <w:r>
                <w:rPr>
                  <w:rStyle w:val="InternetLink"/>
                  <w:rFonts w:ascii="Times New Roman;sans-serif" w:hAnsi="Times New Roman;sans-serif"/>
                  <w:b w:val="false"/>
                  <w:strike w:val="false"/>
                  <w:dstrike w:val="false"/>
                  <w:color w:val="000000"/>
                  <w:sz w:val="20"/>
                  <w:u w:val="none"/>
                  <w:effect w:val="none"/>
                </w:rPr>
                <w:t>12</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55">
              <w:r>
                <w:rPr>
                  <w:rStyle w:val="InternetLink"/>
                  <w:rFonts w:ascii="Times New Roman;sans-serif" w:hAnsi="Times New Roman;sans-serif"/>
                  <w:b w:val="false"/>
                  <w:strike w:val="false"/>
                  <w:dstrike w:val="false"/>
                  <w:color w:val="000000"/>
                  <w:sz w:val="20"/>
                  <w:u w:val="none"/>
                  <w:effect w:val="none"/>
                </w:rPr>
                <w:t>Note 8</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55">
              <w:r>
                <w:rPr>
                  <w:rStyle w:val="InternetLink"/>
                  <w:rFonts w:ascii="Times New Roman;sans-serif" w:hAnsi="Times New Roman;sans-serif"/>
                  <w:b w:val="false"/>
                  <w:color w:val="0000FF"/>
                  <w:sz w:val="20"/>
                  <w:u w:val="single"/>
                </w:rPr>
                <w:t>Revolving Credit Facility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55">
              <w:r>
                <w:rPr>
                  <w:rStyle w:val="InternetLink"/>
                  <w:rFonts w:ascii="Times New Roman;sans-serif" w:hAnsi="Times New Roman;sans-serif"/>
                  <w:b w:val="false"/>
                  <w:strike w:val="false"/>
                  <w:dstrike w:val="false"/>
                  <w:color w:val="000000"/>
                  <w:sz w:val="20"/>
                  <w:u w:val="none"/>
                  <w:effect w:val="none"/>
                </w:rPr>
                <w:t>13</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58">
              <w:r>
                <w:rPr>
                  <w:rStyle w:val="InternetLink"/>
                  <w:rFonts w:ascii="Times New Roman;sans-serif" w:hAnsi="Times New Roman;sans-serif"/>
                  <w:b w:val="false"/>
                  <w:strike w:val="false"/>
                  <w:dstrike w:val="false"/>
                  <w:color w:val="000000"/>
                  <w:sz w:val="20"/>
                  <w:u w:val="none"/>
                  <w:effect w:val="none"/>
                </w:rPr>
                <w:t>Note 9</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58">
              <w:r>
                <w:rPr>
                  <w:rStyle w:val="InternetLink"/>
                  <w:rFonts w:ascii="Times New Roman;sans-serif" w:hAnsi="Times New Roman;sans-serif"/>
                  <w:b w:val="false"/>
                  <w:color w:val="0000FF"/>
                  <w:sz w:val="20"/>
                  <w:u w:val="single"/>
                </w:rPr>
                <w:t>Stock-Based Compensation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58">
              <w:r>
                <w:rPr>
                  <w:rStyle w:val="InternetLink"/>
                  <w:rFonts w:ascii="Times New Roman;sans-serif" w:hAnsi="Times New Roman;sans-serif"/>
                  <w:b w:val="false"/>
                  <w:strike w:val="false"/>
                  <w:dstrike w:val="false"/>
                  <w:color w:val="000000"/>
                  <w:sz w:val="20"/>
                  <w:u w:val="none"/>
                  <w:effect w:val="none"/>
                </w:rPr>
                <w:t>13</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61">
              <w:r>
                <w:rPr>
                  <w:rStyle w:val="InternetLink"/>
                  <w:rFonts w:ascii="Times New Roman;sans-serif" w:hAnsi="Times New Roman;sans-serif"/>
                  <w:b w:val="false"/>
                  <w:strike w:val="false"/>
                  <w:dstrike w:val="false"/>
                  <w:color w:val="000000"/>
                  <w:sz w:val="20"/>
                  <w:u w:val="none"/>
                  <w:effect w:val="none"/>
                </w:rPr>
                <w:t>Note 10</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61">
              <w:r>
                <w:rPr>
                  <w:rStyle w:val="InternetLink"/>
                  <w:rFonts w:ascii="Times New Roman;sans-serif" w:hAnsi="Times New Roman;sans-serif"/>
                  <w:b w:val="false"/>
                  <w:color w:val="0000FF"/>
                  <w:sz w:val="20"/>
                  <w:u w:val="single"/>
                </w:rPr>
                <w:t>Income Taxes and Tax Receivable Agreement</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61">
              <w:r>
                <w:rPr>
                  <w:rStyle w:val="InternetLink"/>
                  <w:rFonts w:ascii="Times New Roman;sans-serif" w:hAnsi="Times New Roman;sans-serif"/>
                  <w:b w:val="false"/>
                  <w:strike w:val="false"/>
                  <w:dstrike w:val="false"/>
                  <w:color w:val="000000"/>
                  <w:sz w:val="20"/>
                  <w:u w:val="none"/>
                  <w:effect w:val="none"/>
                </w:rPr>
                <w:t>15</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64">
              <w:r>
                <w:rPr>
                  <w:rStyle w:val="InternetLink"/>
                  <w:rFonts w:ascii="Times New Roman;sans-serif" w:hAnsi="Times New Roman;sans-serif"/>
                  <w:b w:val="false"/>
                  <w:strike w:val="false"/>
                  <w:dstrike w:val="false"/>
                  <w:color w:val="000000"/>
                  <w:sz w:val="20"/>
                  <w:u w:val="none"/>
                  <w:effect w:val="none"/>
                </w:rPr>
                <w:t>Note 11</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64">
              <w:r>
                <w:rPr>
                  <w:rStyle w:val="InternetLink"/>
                  <w:rFonts w:ascii="Times New Roman;sans-serif" w:hAnsi="Times New Roman;sans-serif"/>
                  <w:b w:val="false"/>
                  <w:color w:val="0000FF"/>
                  <w:sz w:val="20"/>
                  <w:u w:val="single"/>
                </w:rPr>
                <w:t>Loss Per Share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64">
              <w:r>
                <w:rPr>
                  <w:rStyle w:val="InternetLink"/>
                  <w:rFonts w:ascii="Times New Roman;sans-serif" w:hAnsi="Times New Roman;sans-serif"/>
                  <w:b w:val="false"/>
                  <w:strike w:val="false"/>
                  <w:dstrike w:val="false"/>
                  <w:color w:val="000000"/>
                  <w:sz w:val="20"/>
                  <w:u w:val="none"/>
                  <w:effect w:val="none"/>
                </w:rPr>
                <w:t>15</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67">
              <w:r>
                <w:rPr>
                  <w:rStyle w:val="InternetLink"/>
                  <w:rFonts w:ascii="Times New Roman;sans-serif" w:hAnsi="Times New Roman;sans-serif"/>
                  <w:b w:val="false"/>
                  <w:strike w:val="false"/>
                  <w:dstrike w:val="false"/>
                  <w:color w:val="000000"/>
                  <w:sz w:val="20"/>
                  <w:u w:val="none"/>
                  <w:effect w:val="none"/>
                </w:rPr>
                <w:t>Note 12</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67">
              <w:r>
                <w:rPr>
                  <w:rStyle w:val="InternetLink"/>
                  <w:rFonts w:ascii="Times New Roman;sans-serif" w:hAnsi="Times New Roman;sans-serif"/>
                  <w:b w:val="false"/>
                  <w:color w:val="0000FF"/>
                  <w:sz w:val="20"/>
                  <w:u w:val="single"/>
                </w:rPr>
                <w:t>Noncontrolling Interests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67">
              <w:r>
                <w:rPr>
                  <w:rStyle w:val="InternetLink"/>
                  <w:rFonts w:ascii="Times New Roman;sans-serif" w:hAnsi="Times New Roman;sans-serif"/>
                  <w:b w:val="false"/>
                  <w:strike w:val="false"/>
                  <w:dstrike w:val="false"/>
                  <w:color w:val="000000"/>
                  <w:sz w:val="20"/>
                  <w:u w:val="none"/>
                  <w:effect w:val="none"/>
                </w:rPr>
                <w:t>16</w:t>
              </w:r>
            </w:hyperlink>
          </w:p>
        </w:tc>
      </w:tr>
      <w:tr>
        <w:trPr/>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70">
              <w:r>
                <w:rPr>
                  <w:rStyle w:val="InternetLink"/>
                  <w:rFonts w:ascii="Times New Roman;sans-serif" w:hAnsi="Times New Roman;sans-serif"/>
                  <w:b w:val="false"/>
                  <w:strike w:val="false"/>
                  <w:dstrike w:val="false"/>
                  <w:color w:val="000000"/>
                  <w:sz w:val="20"/>
                  <w:u w:val="none"/>
                  <w:effect w:val="none"/>
                </w:rPr>
                <w:t>Note 13</w:t>
              </w:r>
            </w:hyperlink>
          </w:p>
        </w:tc>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9abe95347704b2c956d211747afeac1_70">
              <w:r>
                <w:rPr>
                  <w:rStyle w:val="InternetLink"/>
                  <w:rFonts w:ascii="Times New Roman;sans-serif" w:hAnsi="Times New Roman;sans-serif"/>
                  <w:b w:val="false"/>
                  <w:color w:val="0000FF"/>
                  <w:sz w:val="20"/>
                  <w:u w:val="single"/>
                </w:rPr>
                <w:t>Commitments and Contingencies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9abe95347704b2c956d211747afeac1_70">
              <w:r>
                <w:rPr>
                  <w:rStyle w:val="InternetLink"/>
                  <w:rFonts w:ascii="Times New Roman;sans-serif" w:hAnsi="Times New Roman;sans-serif"/>
                  <w:b w:val="false"/>
                  <w:strike w:val="false"/>
                  <w:dstrike w:val="false"/>
                  <w:color w:val="000000"/>
                  <w:sz w:val="20"/>
                  <w:u w:val="none"/>
                  <w:effect w:val="none"/>
                </w:rPr>
                <w:t>17</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4"/>
        </w:rPr>
        <w:t xml:space="preserve">1. </w:t>
      </w:r>
      <w:r>
        <w:rPr>
          <w:rFonts w:ascii="Times New Roman;sans-serif" w:hAnsi="Times New Roman;sans-serif"/>
          <w:b/>
          <w:i/>
          <w:color w:val="000000"/>
          <w:sz w:val="24"/>
        </w:rPr>
        <w:t>Nature of Operations</w:t>
      </w:r>
    </w:p>
    <w:p>
      <w:pPr>
        <w:pStyle w:val="TextBody"/>
        <w:spacing w:lineRule="auto" w:line="288" w:before="120" w:after="283"/>
        <w:ind w:left="0" w:right="0" w:firstLine="540"/>
        <w:rPr/>
      </w:pPr>
      <w:r>
        <w:rPr>
          <w:rFonts w:ascii="Times New Roman;sans-serif" w:hAnsi="Times New Roman;sans-serif"/>
          <w:b w:val="false"/>
          <w:color w:val="231F20"/>
          <w:sz w:val="20"/>
        </w:rPr>
        <w:t>Viant Technology Inc. (the “Company,” “we,” “us,” “our” or “Viant”) was incorporated in the State of Delaware on October 9, 2020</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231F20"/>
          <w:sz w:val="20"/>
        </w:rPr>
        <w:t>The Company operates a demand side platform, Adelphic, that is used by marketers and their advertising agencies to centralize the planning, buying and measurement of their advertising across most channels, including desktop, mobile, connected TV, linear TV, in-game, streaming audio and digital billboards.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On February 9, 2021, the Securities and Exchange Commission (“SEC”) declared effective the Company’s Form S-1 related to the initial public offering (“IPO”) of its Class A common stock. The closing date of the IPO was February 12, 2021, and in connection with the closing and the corporate reorganization (the “Reorganization Transactions”), the following actions were taken:</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The Company amended and restated its certificate of incorporation, under which the Company is authorized to issue up to 450,000,000 shares of Class A common stock, up to 150,000,000 shares of Class B common stock, and up to 10,000,000 shares of preferred stock;</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highlight w:val="white"/>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Viant Technology LLC Agreement classified the interests acquired by the Company as Class A units, reclassified the interests held by the continuing members of Viant Technology LLC as Class B units, and permits the continuing members of Viant Technology LLC to exchange Class B units for shares of Class A common stock of Viant Technology Inc. on a one-for-one basis or, at the election of Viant Technology Inc., for cash at the current fair value on the date of the exchange. Immediately following such reclassification, the continuing members held 48,935,559 Class B units.</w:t>
      </w:r>
      <w:r>
        <w:rPr>
          <w:color w:val="000000"/>
          <w:highlight w:val="white"/>
        </w:rPr>
        <w:t xml:space="preserve"> </w:t>
      </w:r>
      <w:r>
        <w:rPr>
          <w:rFonts w:ascii="Times New Roman;sans-serif" w:hAnsi="Times New Roman;sans-serif"/>
          <w:b w:val="false"/>
          <w:color w:val="000000"/>
          <w:sz w:val="20"/>
          <w:highlight w:val="white"/>
        </w:rPr>
        <w:t>For each membership unit of Viant Technology LLC that was reclassified as a Class B unit, the Company issued one corresponding share of our Class B common stock to the continuing members, or 48,935,559 shares of Class B common stock in total;</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highlight w:val="white"/>
        </w:rPr>
        <w:t>The Company issued and sold 10,000,000 shares of its Class A common stock to the underwriters at an IPO price of $25.00 per share, for gross proceeds of $250.0 million before deducting underwriting discounts and commissions of $17.5 million;</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 xml:space="preserve">The Company used the net proceeds of $232.5 million </w:t>
      </w:r>
      <w:r>
        <w:rPr>
          <w:rFonts w:ascii="Times New Roman;sans-serif" w:hAnsi="Times New Roman;sans-serif"/>
          <w:b w:val="false"/>
          <w:color w:val="000000"/>
          <w:sz w:val="20"/>
          <w:highlight w:val="white"/>
        </w:rPr>
        <w:t>to acquire 10,000,000 newly issued Class A units of Viant Technology LLC at a per-unit price equal to the per-share price paid by the underwriters for shares of our Class A common stock;</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The underwriters exercised their option to purchase 1,500,000 additional shares of Class A common stock from the selling stockholders in the IPO. The Company did not receive any proceeds from the sale of shares by the selling stockholders. Pursuant to such exercise, the selling stockholders exchanged the corresponding number of Class B units for the shares of Class A common stock, the corresponding number of shares of Class B common stock were automatically retired, and 1,500,000 Class A units were issued to the Company;</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 xml:space="preserve">The Class B stockholders and Class A stockholders initially had 80.5% and 19.5%, respectively, of the combined voting power of the Company’s common stock. The Class A common stock outstanding represents 100% of the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The Company entered into a Registration Rights Agreement with the Class B stockholders to provide for certain rights and restrictions after the IPO; and</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Viant Technology LLC’s 2020 Equity Based Incentive Compensation Plan (the “Phantom Unit Plan”) was terminated and replaced with the Company’s 2021 Long Term Incentive Plan (the “LTIP”).</w:t>
      </w:r>
    </w:p>
    <w:p>
      <w:pPr>
        <w:pStyle w:val="TextBody"/>
        <w:spacing w:lineRule="auto" w:line="288" w:before="24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Immediately following the closing of the IPO, Viant Technology LLC became the predecessor of the Company for financial reporting purposes. Viant Technology Inc.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condensed consolidated financial statements of the Company recognize the assets and liabilities received in the Reorganization Transactions at their historical carrying amounts, as reflected in the historical consolidated financial statements of Viant Technology LLC. The Company consolidates Viant Technology LLC in its condensed consolidated financial statements and records a noncontrolling interest related to the Class B units held by the Class B stockholders on its condensed consolidated balance sheets and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4"/>
        </w:rPr>
        <w:t xml:space="preserve">2. </w:t>
      </w:r>
      <w:r>
        <w:rPr>
          <w:rFonts w:ascii="Times New Roman;sans-serif" w:hAnsi="Times New Roman;sans-serif"/>
          <w:b/>
          <w:i/>
          <w:color w:val="000000"/>
          <w:sz w:val="24"/>
        </w:rPr>
        <w:t>Basis of Presentation and Summary of Significant Accounting Policies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spacing w:lineRule="auto" w:line="288" w:before="120" w:after="283"/>
        <w:ind w:left="0" w:right="0" w:firstLine="540"/>
        <w:rPr/>
      </w:pPr>
      <w:r>
        <w:rPr>
          <w:rFonts w:ascii="Times New Roman;sans-serif" w:hAnsi="Times New Roman;sans-serif"/>
          <w:b w:val="false"/>
          <w:color w:val="231F20"/>
          <w:sz w:val="20"/>
        </w:rPr>
        <w:t>The</w:t>
      </w:r>
      <w:r>
        <w:rPr>
          <w:color w:val="000000"/>
        </w:rPr>
        <w:t xml:space="preserve"> </w:t>
      </w:r>
      <w:r>
        <w:rPr>
          <w:rFonts w:ascii="Times New Roman;sans-serif" w:hAnsi="Times New Roman;sans-serif"/>
          <w:b w:val="false"/>
          <w:color w:val="000000"/>
          <w:sz w:val="20"/>
        </w:rPr>
        <w:t xml:space="preserve">accompanying unaudited condensed consolidated financial statements are prepared in accordance with accounting principles generally accepted in the United States of America (“GAAP”) for interim financial information which are unaudited and include the operations of the Company, Viant Technology LLC and its wholly owned subsidiaries. Viant Technology LLC is considered a variable interest entity.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 </w:t>
      </w:r>
    </w:p>
    <w:p>
      <w:pPr>
        <w:pStyle w:val="TextBody"/>
        <w:spacing w:lineRule="auto" w:line="288" w:before="120" w:after="283"/>
        <w:ind w:left="0" w:right="0" w:firstLine="540"/>
        <w:rPr/>
      </w:pPr>
      <w:r>
        <w:rPr>
          <w:rFonts w:ascii="Times New Roman;sans-serif" w:hAnsi="Times New Roman;sans-serif"/>
          <w:b w:val="false"/>
          <w:color w:val="231F20"/>
          <w:sz w:val="20"/>
        </w:rPr>
        <w:t>Management</w:t>
      </w:r>
      <w:r>
        <w:rPr>
          <w:color w:val="000000"/>
        </w:rPr>
        <w:t xml:space="preserve"> </w:t>
      </w:r>
      <w:r>
        <w:rPr>
          <w:rFonts w:ascii="Times New Roman;sans-serif" w:hAnsi="Times New Roman;sans-serif"/>
          <w:b w:val="false"/>
          <w:color w:val="000000"/>
          <w:sz w:val="20"/>
        </w:rPr>
        <w:t>believes that the accompanying condensed consolidated financial statements reflect the adjustments necessary for the fair statement of its condensed consolidated balance sheets, statements of operations, and cash flows included in this report. The condensed consolidated balance sheet as of December 31, 2022 was derived from the audited annual financial statements but does not contain all of the footnote disclosures from the annual financial statements. 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statements of operations for the three months ended March 31, 2023 are not necessarily indicative of the results to be expected for the year ending December 31, 2023 (“fiscal 2023”), or for any other future annual or interim period.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significant accounting policies as described in our Annual Report on Form 10-K for the year ended December 31, 2022.</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20" w:after="283"/>
        <w:ind w:left="0" w:right="0" w:firstLine="540"/>
        <w:rPr/>
      </w:pPr>
      <w:r>
        <w:rPr>
          <w:rFonts w:ascii="Times New Roman;sans-serif" w:hAnsi="Times New Roman;sans-serif"/>
          <w:b w:val="false"/>
          <w:color w:val="231F20"/>
          <w:sz w:val="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Times New Roman;sans-serif" w:hAnsi="Times New Roman;sans-serif"/>
          <w:b w:val="false"/>
          <w:color w:val="000000"/>
          <w:sz w:val="20"/>
        </w:rPr>
        <w:t>On an ongoing basis, management evaluates its estimates, primarily those related to revenue recognition, stock-based 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impact of widespread macroeconomic and geopolitical uncertainties, including the continuing impact of COVID-19, bank failures, labor shortages, inflation and monetary supply shifts, rising interest rates, tightening of credit markets, recession risks, and potential disruptions from the Russia-Ukraine conflict, on our business continues to evolve. As a result, many of our estimates and assumptions consider macroeconomic and geopolitical factors in the market, which require increased judgment and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carry a higher degree of variability and volatility. As events continue to evolve and additional information becomes available on the potential impact on our business of global economic and business events, our estimates may change materially in future periods.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net loss is equal to comprehensive loss.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Accounts Receivable, Net of Allowances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allowance for doubtful accounts for the three months ended March 31, 2023:</w:t>
      </w:r>
    </w:p>
    <w:tbl>
      <w:tblPr>
        <w:tblW w:w="4905" w:type="dxa"/>
        <w:jc w:val="center"/>
        <w:tblInd w:w="0" w:type="dxa"/>
        <w:tblCellMar>
          <w:top w:w="28" w:type="dxa"/>
          <w:left w:w="28" w:type="dxa"/>
          <w:bottom w:w="28" w:type="dxa"/>
          <w:right w:w="28" w:type="dxa"/>
        </w:tblCellMar>
      </w:tblPr>
      <w:tblGrid>
        <w:gridCol w:w="1315"/>
        <w:gridCol w:w="1154"/>
        <w:gridCol w:w="1161"/>
        <w:gridCol w:w="274"/>
        <w:gridCol w:w="801"/>
        <w:gridCol w:w="200"/>
      </w:tblGrid>
      <w:tr>
        <w:trPr/>
        <w:tc>
          <w:tcPr>
            <w:tcW w:w="1315"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impact of accounting adoption</w:t>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Concentration of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risk consist principally of cash and accounts receivable. The Company maintains its cash with financial institutions and its cash levels exceed the Federal Deposit Insurance Corporation’s federally insured limits. Accounts receivable include amounts due from customers with principal operations primarily in the United States.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one individual customer accounted for 10.3% of consolidated accounts receivable. As of December 31, 2022, no individual customers accounted for 10.0% or greater of consolidated accounts receivable.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two individual suppliers accounted for 15.7% and 10.6% of consolidated accounts payable and accrued liabilities. As of December 31, 2022, one supplier accounted for 24.6% of consolidated accounts payable and accrued liabilities.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one advertising agency holding company accounted for 11.5% of the Company's total revenue. For the three months ended March 31, 2022, no advertising agency holding company accounted for 10.0% or more of the Company's total revenue. For the three months ended March 31, 2023 and 2022, there were no individual customers that accounted for 10.0% or more of the Company’s total revenues.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JOBS Act Election as an Emerging Growth Company</w:t>
      </w:r>
    </w:p>
    <w:p>
      <w:pPr>
        <w:pStyle w:val="TextBody"/>
        <w:spacing w:lineRule="auto" w:line="288" w:before="120" w:after="283"/>
        <w:ind w:left="0" w:right="0" w:firstLine="540"/>
        <w:rPr/>
      </w:pPr>
      <w:r>
        <w:rPr>
          <w:rFonts w:ascii="Times New Roman;sans-serif" w:hAnsi="Times New Roman;sans-serif"/>
          <w:b w:val="false"/>
          <w:color w:val="000000"/>
          <w:sz w:val="20"/>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sans-serif" w:hAnsi="Times New Roman;sans-serif"/>
          <w:b w:val="false"/>
          <w:color w:val="231F20"/>
          <w:sz w:val="20"/>
        </w:rPr>
        <w:t>Company</w:t>
      </w:r>
      <w:r>
        <w:rPr>
          <w:color w:val="000000"/>
        </w:rPr>
        <w:t xml:space="preserve"> </w:t>
      </w:r>
      <w:r>
        <w:rPr>
          <w:rFonts w:ascii="Times New Roman;sans-serif" w:hAnsi="Times New Roman;sans-serif"/>
          <w:b w:val="false"/>
          <w:color w:val="000000"/>
          <w:sz w:val="20"/>
        </w:rPr>
        <w:t>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sales, has less than $700 million in market value of its shares of common stock held by non-affiliates and issues less than $1 billion of non-convertible debt over a three-year period. The Company may take advantage of this extended transition period until the first to occur of the date that it (i) is no longer an “emerging growth company” or (ii) affirmatively and irrevocably opts out of this extended transition period.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Instruments—Credit Losses</w:t>
      </w:r>
    </w:p>
    <w:p>
      <w:pPr>
        <w:pStyle w:val="TextBody"/>
        <w:spacing w:lineRule="auto" w:line="288" w:before="120" w:after="283"/>
        <w:ind w:left="0" w:right="0" w:firstLine="540"/>
        <w:rPr/>
      </w:pPr>
      <w:r>
        <w:rPr>
          <w:rFonts w:ascii="Times New Roman;sans-serif" w:hAnsi="Times New Roman;sans-serif"/>
          <w:b w:val="false"/>
          <w:color w:val="000000"/>
          <w:sz w:val="20"/>
        </w:rPr>
        <w:t>In June 2016, the Financial Accounting Standards Board issued Accounting Standards Update ("ASU") No. 2016-13,</w:t>
      </w:r>
      <w:r>
        <w:rPr>
          <w:color w:val="000000"/>
        </w:rPr>
        <w:t xml:space="preserve"> </w:t>
      </w:r>
      <w:r>
        <w:rPr>
          <w:rFonts w:ascii="Times New Roman;sans-serif" w:hAnsi="Times New Roman;sans-serif"/>
          <w:b w:val="false"/>
          <w:i/>
          <w:color w:val="000000"/>
          <w:sz w:val="20"/>
        </w:rPr>
        <w:t>Financial Instruments—Credit Losses (Topic 326)</w:t>
      </w:r>
      <w:r>
        <w:rPr>
          <w:rFonts w:ascii="Times New Roman;sans-serif" w:hAnsi="Times New Roman;sans-serif"/>
          <w:b w:val="false"/>
          <w:color w:val="000000"/>
          <w:sz w:val="20"/>
        </w:rPr>
        <w:t xml:space="preserve">. ASU 2016-13 revises the impairment model to utilize an expected loss methodology in place of the currently used incurred loss methodology, which results in more timely recognition of losses on financial instruments. We adopted this standard at the beginning of fiscal 2023. As a result, we revised the impairment model to utilize an expected loss methodology in place of an incurred loss methodology related to our allowance for credit losses on our trade accounts receivable. We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231F20"/>
          <w:sz w:val="24"/>
        </w:rPr>
        <w:t xml:space="preserve">3. </w:t>
      </w:r>
      <w:r>
        <w:rPr>
          <w:rFonts w:ascii="Times New Roman;sans-serif" w:hAnsi="Times New Roman;sans-serif"/>
          <w:b/>
          <w:i/>
          <w:color w:val="231F20"/>
          <w:sz w:val="24"/>
        </w:rPr>
        <w:t>Revenue</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The disaggregation of revenue was as follows:</w:t>
      </w:r>
    </w:p>
    <w:tbl>
      <w:tblPr>
        <w:tblW w:w="4344" w:type="dxa"/>
        <w:jc w:val="center"/>
        <w:tblInd w:w="0" w:type="dxa"/>
        <w:tblCellMar>
          <w:top w:w="28" w:type="dxa"/>
          <w:left w:w="28" w:type="dxa"/>
          <w:bottom w:w="28" w:type="dxa"/>
          <w:right w:w="28" w:type="dxa"/>
        </w:tblCellMar>
      </w:tblPr>
      <w:tblGrid>
        <w:gridCol w:w="684"/>
        <w:gridCol w:w="601"/>
        <w:gridCol w:w="605"/>
        <w:gridCol w:w="211"/>
        <w:gridCol w:w="721"/>
        <w:gridCol w:w="109"/>
        <w:gridCol w:w="109"/>
        <w:gridCol w:w="109"/>
        <w:gridCol w:w="109"/>
        <w:gridCol w:w="211"/>
        <w:gridCol w:w="721"/>
        <w:gridCol w:w="154"/>
      </w:tblGrid>
      <w:tr>
        <w:trPr/>
        <w:tc>
          <w:tcPr>
            <w:tcW w:w="68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Over-time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Revenue for unsatisfied performance obligations expected to be recognized in the future for contracts with an original expected duration of greater than one year was $1.1 million as of March 31, 2023 and $0.1 million as of December 31, 2022. These amounts do not include contracts with an original expected duration of less than one year, which is the majority of the Company’s contracts.</w:t>
      </w:r>
    </w:p>
    <w:p>
      <w:pPr>
        <w:pStyle w:val="TextBody"/>
        <w:spacing w:lineRule="auto" w:line="288" w:before="120" w:after="283"/>
        <w:ind w:left="0" w:right="0" w:firstLine="540"/>
        <w:rPr/>
      </w:pPr>
      <w:r>
        <w:rPr>
          <w:rFonts w:ascii="Times New Roman;sans-serif" w:hAnsi="Times New Roman;sans-serif"/>
          <w:b w:val="false"/>
          <w:color w:val="231F20"/>
          <w:sz w:val="20"/>
        </w:rPr>
        <w:t xml:space="preserve">Remaining deferred revenue that is anticipated to be recognized during the succeeding twelve month period is recorded in the current portion of </w:t>
      </w:r>
      <w:r>
        <w:rPr>
          <w:rFonts w:ascii="Times New Roman;sans-serif" w:hAnsi="Times New Roman;sans-serif"/>
          <w:b w:val="false"/>
          <w:color w:val="000000"/>
          <w:sz w:val="20"/>
        </w:rPr>
        <w:t>deferred</w:t>
      </w:r>
      <w:r>
        <w:rPr>
          <w:color w:val="231F20"/>
        </w:rPr>
        <w:t xml:space="preserve"> </w:t>
      </w:r>
      <w:r>
        <w:rPr>
          <w:rFonts w:ascii="Times New Roman;sans-serif" w:hAnsi="Times New Roman;sans-serif"/>
          <w:b w:val="false"/>
          <w:color w:val="231F20"/>
          <w:sz w:val="20"/>
        </w:rPr>
        <w:t>revenue within the condensed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231F20"/>
          <w:sz w:val="24"/>
        </w:rPr>
        <w:t xml:space="preserve">4. </w:t>
      </w:r>
      <w:r>
        <w:rPr>
          <w:rFonts w:ascii="Times New Roman;sans-serif" w:hAnsi="Times New Roman;sans-serif"/>
          <w:b/>
          <w:i/>
          <w:color w:val="231F20"/>
          <w:sz w:val="24"/>
        </w:rPr>
        <w:t>Property, Equipment, and Software, Net</w:t>
      </w:r>
    </w:p>
    <w:p>
      <w:pPr>
        <w:pStyle w:val="TextBody"/>
        <w:spacing w:lineRule="auto" w:line="288" w:before="120" w:after="283"/>
        <w:ind w:left="0" w:right="0" w:firstLine="540"/>
        <w:rPr/>
      </w:pPr>
      <w:r>
        <w:rPr>
          <w:rFonts w:ascii="Times New Roman;sans-serif" w:hAnsi="Times New Roman;sans-serif"/>
          <w:b w:val="false"/>
          <w:color w:val="231F20"/>
          <w:sz w:val="20"/>
        </w:rPr>
        <w:t xml:space="preserve">Major </w:t>
      </w:r>
      <w:r>
        <w:rPr>
          <w:rFonts w:ascii="Times New Roman;sans-serif" w:hAnsi="Times New Roman;sans-serif"/>
          <w:b w:val="false"/>
          <w:color w:val="000000"/>
          <w:sz w:val="20"/>
        </w:rPr>
        <w:t>classes</w:t>
      </w:r>
      <w:r>
        <w:rPr>
          <w:color w:val="231F20"/>
        </w:rPr>
        <w:t xml:space="preserve"> </w:t>
      </w:r>
      <w:r>
        <w:rPr>
          <w:rFonts w:ascii="Times New Roman;sans-serif" w:hAnsi="Times New Roman;sans-serif"/>
          <w:b w:val="false"/>
          <w:color w:val="231F20"/>
          <w:sz w:val="20"/>
        </w:rPr>
        <w:t>of property, equipment, and software were as follows:</w:t>
      </w:r>
    </w:p>
    <w:tbl>
      <w:tblPr>
        <w:tblW w:w="6797" w:type="dxa"/>
        <w:jc w:val="center"/>
        <w:tblInd w:w="0" w:type="dxa"/>
        <w:tblCellMar>
          <w:top w:w="28" w:type="dxa"/>
          <w:left w:w="28" w:type="dxa"/>
          <w:bottom w:w="28" w:type="dxa"/>
          <w:right w:w="28" w:type="dxa"/>
        </w:tblCellMar>
      </w:tblPr>
      <w:tblGrid>
        <w:gridCol w:w="1327"/>
        <w:gridCol w:w="1163"/>
        <w:gridCol w:w="1169"/>
        <w:gridCol w:w="211"/>
        <w:gridCol w:w="721"/>
        <w:gridCol w:w="109"/>
        <w:gridCol w:w="109"/>
        <w:gridCol w:w="109"/>
        <w:gridCol w:w="109"/>
        <w:gridCol w:w="344"/>
        <w:gridCol w:w="1175"/>
        <w:gridCol w:w="251"/>
      </w:tblGrid>
      <w:tr>
        <w:trPr/>
        <w:tc>
          <w:tcPr>
            <w:tcW w:w="1327"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(54,827)</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Depreciation recorded in the condensed consolidated statements of operations was as follows:</w:t>
      </w:r>
    </w:p>
    <w:tbl>
      <w:tblPr>
        <w:tblW w:w="4808" w:type="dxa"/>
        <w:jc w:val="center"/>
        <w:tblInd w:w="0" w:type="dxa"/>
        <w:tblCellMar>
          <w:top w:w="28" w:type="dxa"/>
          <w:left w:w="28" w:type="dxa"/>
          <w:bottom w:w="28" w:type="dxa"/>
          <w:right w:w="28" w:type="dxa"/>
        </w:tblCellMar>
      </w:tblPr>
      <w:tblGrid>
        <w:gridCol w:w="927"/>
        <w:gridCol w:w="817"/>
        <w:gridCol w:w="820"/>
        <w:gridCol w:w="211"/>
        <w:gridCol w:w="616"/>
        <w:gridCol w:w="109"/>
        <w:gridCol w:w="109"/>
        <w:gridCol w:w="109"/>
        <w:gridCol w:w="109"/>
        <w:gridCol w:w="211"/>
        <w:gridCol w:w="616"/>
        <w:gridCol w:w="154"/>
      </w:tblGrid>
      <w:tr>
        <w:trPr/>
        <w:tc>
          <w:tcPr>
            <w:tcW w:w="92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total interest cost incurred was $0.1 million and $0.2 million, respectively. Interest costs capitalized during the three months ended March 31, 2023 and 2022 were de minimis.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p>
      <w:pPr>
        <w:pStyle w:val="TextBody"/>
        <w:spacing w:lineRule="auto" w:line="288" w:before="360" w:after="283"/>
        <w:rPr/>
      </w:pPr>
      <w:r>
        <w:rPr>
          <w:rFonts w:ascii="Times New Roman;sans-serif" w:hAnsi="Times New Roman;sans-serif"/>
          <w:b/>
          <w:color w:val="000000"/>
          <w:sz w:val="24"/>
        </w:rPr>
        <w:t xml:space="preserve">5. </w:t>
      </w:r>
      <w:r>
        <w:rPr>
          <w:rFonts w:ascii="Times New Roman;sans-serif" w:hAnsi="Times New Roman;sans-serif"/>
          <w:b/>
          <w:i/>
          <w:color w:val="000000"/>
          <w:sz w:val="24"/>
        </w:rPr>
        <w:t>Leases</w:t>
      </w:r>
    </w:p>
    <w:p>
      <w:pPr>
        <w:pStyle w:val="TextBody"/>
        <w:spacing w:lineRule="auto" w:line="288" w:before="12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Lessee Arrangements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its office space, which have remaining lease terms of up to eight years. The Company does not have finance leases. </w:t>
      </w:r>
    </w:p>
    <w:p>
      <w:pPr>
        <w:pStyle w:val="TextBody"/>
        <w:spacing w:lineRule="auto" w:line="288" w:before="120" w:after="283"/>
        <w:ind w:left="0" w:right="0" w:firstLine="540"/>
        <w:rPr/>
      </w:pPr>
      <w:r>
        <w:rPr>
          <w:rFonts w:ascii="Times New Roman;sans-serif" w:hAnsi="Times New Roman;sans-serif"/>
          <w:b w:val="false"/>
          <w:color w:val="000000"/>
          <w:sz w:val="20"/>
        </w:rPr>
        <w:t xml:space="preserve">Some of our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 </w:t>
      </w:r>
      <w:r>
        <w:rPr>
          <w:rFonts w:ascii="Times New Roman;sans-serif" w:hAnsi="Times New Roman;sans-serif"/>
          <w:b w:val="false"/>
          <w:color w:val="000000"/>
          <w:sz w:val="20"/>
          <w:highlight w:val="white"/>
        </w:rPr>
        <w:t xml:space="preserve">The Company did not enter into any leases during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months ended March 31, 2023.</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our operating leases had a weighted-average remaining lease term of approximately seven years and a weighted-average incremental borrowing rate of 3.5%.</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operating lease liabilities was $1.0 million and $0.6 million for the three months ended March 31, 2023 and 2022, respectively.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lease expense were as follows (in thousands): </w:t>
      </w:r>
    </w:p>
    <w:tbl>
      <w:tblPr>
        <w:tblW w:w="4629" w:type="dxa"/>
        <w:jc w:val="center"/>
        <w:tblInd w:w="0" w:type="dxa"/>
        <w:tblCellMar>
          <w:top w:w="28" w:type="dxa"/>
          <w:left w:w="28" w:type="dxa"/>
          <w:bottom w:w="28" w:type="dxa"/>
          <w:right w:w="28" w:type="dxa"/>
        </w:tblCellMar>
      </w:tblPr>
      <w:tblGrid>
        <w:gridCol w:w="651"/>
        <w:gridCol w:w="572"/>
        <w:gridCol w:w="576"/>
        <w:gridCol w:w="266"/>
        <w:gridCol w:w="778"/>
        <w:gridCol w:w="137"/>
        <w:gridCol w:w="137"/>
        <w:gridCol w:w="137"/>
        <w:gridCol w:w="137"/>
        <w:gridCol w:w="266"/>
        <w:gridCol w:w="778"/>
        <w:gridCol w:w="194"/>
      </w:tblGrid>
      <w:tr>
        <w:trPr/>
        <w:tc>
          <w:tcPr>
            <w:tcW w:w="65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as of March 31, 2023 were as follows:</w:t>
      </w:r>
    </w:p>
    <w:tbl>
      <w:tblPr>
        <w:tblW w:w="4595" w:type="dxa"/>
        <w:jc w:val="center"/>
        <w:tblInd w:w="0" w:type="dxa"/>
        <w:tblCellMar>
          <w:top w:w="28" w:type="dxa"/>
          <w:left w:w="28" w:type="dxa"/>
          <w:bottom w:w="28" w:type="dxa"/>
          <w:right w:w="28" w:type="dxa"/>
        </w:tblCellMar>
      </w:tblPr>
      <w:tblGrid>
        <w:gridCol w:w="1270"/>
        <w:gridCol w:w="1113"/>
        <w:gridCol w:w="1126"/>
        <w:gridCol w:w="211"/>
        <w:gridCol w:w="721"/>
        <w:gridCol w:w="154"/>
      </w:tblGrid>
      <w:tr>
        <w:trPr/>
        <w:tc>
          <w:tcPr>
            <w:tcW w:w="127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March 31,</w:t>
            </w:r>
          </w:p>
        </w:tc>
      </w:tr>
      <w:tr>
        <w:trPr/>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future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231F20"/>
          <w:sz w:val="24"/>
        </w:rPr>
        <w:t xml:space="preserve">6. </w:t>
      </w:r>
      <w:r>
        <w:rPr>
          <w:rFonts w:ascii="Times New Roman;sans-serif" w:hAnsi="Times New Roman;sans-serif"/>
          <w:b/>
          <w:i/>
          <w:color w:val="231F20"/>
          <w:sz w:val="24"/>
        </w:rPr>
        <w:t>Intangible Assets, Net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balances of intangible assets and accumulated amortization are as follows: </w:t>
      </w:r>
    </w:p>
    <w:tbl>
      <w:tblPr>
        <w:tblW w:w="10205" w:type="dxa"/>
        <w:jc w:val="center"/>
        <w:tblInd w:w="0" w:type="dxa"/>
        <w:tblCellMar>
          <w:top w:w="28" w:type="dxa"/>
          <w:left w:w="28" w:type="dxa"/>
          <w:bottom w:w="28" w:type="dxa"/>
          <w:right w:w="28" w:type="dxa"/>
        </w:tblCellMar>
      </w:tblPr>
      <w:tblGrid>
        <w:gridCol w:w="698"/>
        <w:gridCol w:w="594"/>
        <w:gridCol w:w="598"/>
        <w:gridCol w:w="992"/>
        <w:gridCol w:w="992"/>
        <w:gridCol w:w="993"/>
        <w:gridCol w:w="109"/>
        <w:gridCol w:w="109"/>
        <w:gridCol w:w="109"/>
        <w:gridCol w:w="282"/>
        <w:gridCol w:w="826"/>
        <w:gridCol w:w="145"/>
        <w:gridCol w:w="109"/>
        <w:gridCol w:w="109"/>
        <w:gridCol w:w="109"/>
        <w:gridCol w:w="283"/>
        <w:gridCol w:w="850"/>
        <w:gridCol w:w="148"/>
        <w:gridCol w:w="109"/>
        <w:gridCol w:w="109"/>
        <w:gridCol w:w="109"/>
        <w:gridCol w:w="461"/>
        <w:gridCol w:w="1018"/>
        <w:gridCol w:w="344"/>
      </w:tblGrid>
      <w:tr>
        <w:trPr/>
        <w:tc>
          <w:tcPr>
            <w:tcW w:w="698"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Remaining Weighted-Average Useful</w:t>
              <w:br/>
              <w:t>Life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Amortization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9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9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Trademarks/tradenames</w:t>
            </w:r>
          </w:p>
        </w:tc>
        <w:tc>
          <w:tcPr>
            <w:tcW w:w="29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(8,120)</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p>
      <w:pPr>
        <w:pStyle w:val="TextBody"/>
        <w:spacing w:before="120" w:after="283"/>
        <w:ind w:left="0" w:right="0" w:firstLine="540"/>
        <w:jc w:val="center"/>
        <w:rPr/>
      </w:pPr>
      <w:r>
        <w:rPr/>
      </w:r>
    </w:p>
    <w:tbl>
      <w:tblPr>
        <w:tblW w:w="10205" w:type="dxa"/>
        <w:jc w:val="center"/>
        <w:tblInd w:w="0" w:type="dxa"/>
        <w:tblCellMar>
          <w:top w:w="28" w:type="dxa"/>
          <w:left w:w="28" w:type="dxa"/>
          <w:bottom w:w="28" w:type="dxa"/>
          <w:right w:w="28" w:type="dxa"/>
        </w:tblCellMar>
      </w:tblPr>
      <w:tblGrid>
        <w:gridCol w:w="702"/>
        <w:gridCol w:w="599"/>
        <w:gridCol w:w="603"/>
        <w:gridCol w:w="979"/>
        <w:gridCol w:w="979"/>
        <w:gridCol w:w="982"/>
        <w:gridCol w:w="109"/>
        <w:gridCol w:w="109"/>
        <w:gridCol w:w="109"/>
        <w:gridCol w:w="283"/>
        <w:gridCol w:w="830"/>
        <w:gridCol w:w="146"/>
        <w:gridCol w:w="109"/>
        <w:gridCol w:w="109"/>
        <w:gridCol w:w="109"/>
        <w:gridCol w:w="283"/>
        <w:gridCol w:w="850"/>
        <w:gridCol w:w="148"/>
        <w:gridCol w:w="109"/>
        <w:gridCol w:w="109"/>
        <w:gridCol w:w="109"/>
        <w:gridCol w:w="465"/>
        <w:gridCol w:w="1027"/>
        <w:gridCol w:w="348"/>
      </w:tblGrid>
      <w:tr>
        <w:trPr/>
        <w:tc>
          <w:tcPr>
            <w:tcW w:w="702"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Remaining Weighted- Average Useful</w:t>
              <w:br/>
              <w:t>Life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 xml:space="preserve">Amortization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 Amount</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Trademarks/tradenames</w:t>
            </w:r>
          </w:p>
        </w:tc>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recorded in the condensed consolidated statements of operations was as follows: </w:t>
      </w:r>
    </w:p>
    <w:tbl>
      <w:tblPr>
        <w:tblW w:w="4508" w:type="dxa"/>
        <w:jc w:val="center"/>
        <w:tblInd w:w="0" w:type="dxa"/>
        <w:tblCellMar>
          <w:top w:w="28" w:type="dxa"/>
          <w:left w:w="28" w:type="dxa"/>
          <w:bottom w:w="28" w:type="dxa"/>
          <w:right w:w="28" w:type="dxa"/>
        </w:tblCellMar>
      </w:tblPr>
      <w:tblGrid>
        <w:gridCol w:w="927"/>
        <w:gridCol w:w="817"/>
        <w:gridCol w:w="820"/>
        <w:gridCol w:w="211"/>
        <w:gridCol w:w="466"/>
        <w:gridCol w:w="109"/>
        <w:gridCol w:w="109"/>
        <w:gridCol w:w="109"/>
        <w:gridCol w:w="109"/>
        <w:gridCol w:w="211"/>
        <w:gridCol w:w="466"/>
        <w:gridCol w:w="154"/>
      </w:tblGrid>
      <w:tr>
        <w:trPr/>
        <w:tc>
          <w:tcPr>
            <w:tcW w:w="92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33"/>
        <w:rPr/>
      </w:pPr>
      <w:r>
        <w:rPr>
          <w:rFonts w:ascii="Times New Roman;sans-serif" w:hAnsi="Times New Roman;sans-serif"/>
          <w:b w:val="false"/>
          <w:color w:val="231F20"/>
          <w:sz w:val="20"/>
        </w:rPr>
        <w:t xml:space="preserve">Estimated future </w:t>
      </w:r>
      <w:r>
        <w:rPr>
          <w:rFonts w:ascii="Times New Roman;sans-serif" w:hAnsi="Times New Roman;sans-serif"/>
          <w:b w:val="false"/>
          <w:color w:val="000000"/>
          <w:sz w:val="20"/>
        </w:rPr>
        <w:t>amortization</w:t>
      </w:r>
      <w:r>
        <w:rPr>
          <w:color w:val="231F20"/>
        </w:rPr>
        <w:t xml:space="preserve"> </w:t>
      </w:r>
      <w:r>
        <w:rPr>
          <w:rFonts w:ascii="Times New Roman;sans-serif" w:hAnsi="Times New Roman;sans-serif"/>
          <w:b w:val="false"/>
          <w:color w:val="231F20"/>
          <w:sz w:val="20"/>
        </w:rPr>
        <w:t>of intangible assets is as follows:</w:t>
      </w:r>
    </w:p>
    <w:tbl>
      <w:tblPr>
        <w:tblW w:w="3165" w:type="dxa"/>
        <w:jc w:val="center"/>
        <w:tblInd w:w="0" w:type="dxa"/>
        <w:tblCellMar>
          <w:top w:w="28" w:type="dxa"/>
          <w:left w:w="28" w:type="dxa"/>
          <w:bottom w:w="28" w:type="dxa"/>
          <w:right w:w="28" w:type="dxa"/>
        </w:tblCellMar>
      </w:tblPr>
      <w:tblGrid>
        <w:gridCol w:w="608"/>
        <w:gridCol w:w="533"/>
        <w:gridCol w:w="539"/>
        <w:gridCol w:w="377"/>
        <w:gridCol w:w="833"/>
        <w:gridCol w:w="275"/>
      </w:tblGrid>
      <w:tr>
        <w:trPr/>
        <w:tc>
          <w:tcPr>
            <w:tcW w:w="60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231F20"/>
          <w:sz w:val="24"/>
        </w:rPr>
        <w:t xml:space="preserve">7. </w:t>
      </w:r>
      <w:r>
        <w:rPr>
          <w:rFonts w:ascii="Times New Roman;sans-serif" w:hAnsi="Times New Roman;sans-serif"/>
          <w:b/>
          <w:i/>
          <w:color w:val="231F20"/>
          <w:sz w:val="24"/>
        </w:rPr>
        <w:t>Accrued Liabilities</w:t>
      </w:r>
    </w:p>
    <w:p>
      <w:pPr>
        <w:pStyle w:val="TextBody"/>
        <w:spacing w:lineRule="auto" w:line="288" w:before="120" w:after="283"/>
        <w:ind w:left="0" w:right="0" w:firstLine="540"/>
        <w:rPr/>
      </w:pPr>
      <w:r>
        <w:rPr>
          <w:rFonts w:ascii="Times New Roman;sans-serif" w:hAnsi="Times New Roman;sans-serif"/>
          <w:b w:val="false"/>
          <w:color w:val="231F20"/>
          <w:sz w:val="20"/>
        </w:rPr>
        <w:t>The Company’s accrued liabilities consisted of the following:</w:t>
      </w:r>
      <w:r>
        <w:rPr>
          <w:color w:val="000000"/>
        </w:rPr>
        <w:t xml:space="preserve"> </w:t>
      </w:r>
    </w:p>
    <w:tbl>
      <w:tblPr>
        <w:tblW w:w="5867" w:type="dxa"/>
        <w:jc w:val="center"/>
        <w:tblInd w:w="0" w:type="dxa"/>
        <w:tblCellMar>
          <w:top w:w="28" w:type="dxa"/>
          <w:left w:w="28" w:type="dxa"/>
          <w:bottom w:w="28" w:type="dxa"/>
          <w:right w:w="28" w:type="dxa"/>
        </w:tblCellMar>
      </w:tblPr>
      <w:tblGrid>
        <w:gridCol w:w="988"/>
        <w:gridCol w:w="869"/>
        <w:gridCol w:w="872"/>
        <w:gridCol w:w="211"/>
        <w:gridCol w:w="721"/>
        <w:gridCol w:w="109"/>
        <w:gridCol w:w="109"/>
        <w:gridCol w:w="109"/>
        <w:gridCol w:w="109"/>
        <w:gridCol w:w="344"/>
        <w:gridCol w:w="1175"/>
        <w:gridCol w:w="251"/>
      </w:tblGrid>
      <w:tr>
        <w:trPr/>
        <w:tc>
          <w:tcPr>
            <w:tcW w:w="98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 xml:space="preserve">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traffic acquisition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had a balance of $0.2 million and $0.2 million as of March 31, 2023 and December 31, 2022, respectively, payable to related parties for expenses they incurred on our behalf, which was recorded within accrued liabilities on the condensed consolidated balance sheets. The related expense incurred by the Company was $0.2 million for the three months ended March 31, 2023 and de minimis for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p>
      <w:pPr>
        <w:pStyle w:val="TextBody"/>
        <w:spacing w:lineRule="auto" w:line="288" w:before="360" w:after="283"/>
        <w:rPr/>
      </w:pPr>
      <w:r>
        <w:rPr>
          <w:rFonts w:ascii="Times New Roman;sans-serif" w:hAnsi="Times New Roman;sans-serif"/>
          <w:b/>
          <w:color w:val="231F20"/>
          <w:sz w:val="24"/>
        </w:rPr>
        <w:t xml:space="preserve">8. </w:t>
      </w:r>
      <w:r>
        <w:rPr>
          <w:rFonts w:ascii="Times New Roman;sans-serif" w:hAnsi="Times New Roman;sans-serif"/>
          <w:b/>
          <w:i/>
          <w:color w:val="231F20"/>
          <w:sz w:val="24"/>
        </w:rPr>
        <w:t>Revolving Credit Facility</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spacing w:lineRule="auto" w:line="288" w:before="120" w:after="283"/>
        <w:ind w:left="0" w:right="0" w:firstLine="540"/>
        <w:rPr/>
      </w:pPr>
      <w:r>
        <w:rPr>
          <w:rFonts w:ascii="Times New Roman;sans-serif" w:hAnsi="Times New Roman;sans-serif"/>
          <w:b w:val="false"/>
          <w:color w:val="231F20"/>
          <w:sz w:val="20"/>
        </w:rPr>
        <w:t>On October 31, 2019, we entere</w:t>
      </w:r>
      <w:r>
        <w:rPr>
          <w:rFonts w:ascii="Times New Roman;sans-serif" w:hAnsi="Times New Roman;sans-serif"/>
          <w:b w:val="false"/>
          <w:color w:val="000000"/>
          <w:sz w:val="20"/>
        </w:rPr>
        <w:t>d into an asset-based revolving credit and security agreement (the “Loan Agreement”) with PNC Bank, National Association (“PNC Bank”). The Loan Agreement prov</w:t>
      </w:r>
      <w:r>
        <w:rPr>
          <w:rFonts w:ascii="Times New Roman;sans-serif" w:hAnsi="Times New Roman;sans-serif"/>
          <w:b w:val="false"/>
          <w:color w:val="231F20"/>
          <w:sz w:val="20"/>
        </w:rPr>
        <w:t>ides a senior secured revolving credit facility of up to $40.0 million with a maturity date of October 31, 2024. The Loan Agreement is collateralized by security interests in substantially all of our assets.</w:t>
      </w:r>
    </w:p>
    <w:p>
      <w:pPr>
        <w:pStyle w:val="TextBody"/>
        <w:spacing w:lineRule="auto" w:line="288" w:before="120" w:after="283"/>
        <w:ind w:left="0" w:right="0" w:firstLine="540"/>
        <w:rPr/>
      </w:pPr>
      <w:r>
        <w:rPr>
          <w:rFonts w:ascii="Times New Roman;sans-serif" w:hAnsi="Times New Roman;sans-serif"/>
          <w:b w:val="false"/>
          <w:color w:val="231F20"/>
          <w:sz w:val="20"/>
        </w:rPr>
        <w:t>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Company did not have an outstanding balance during the three months ended March 31, 2023. The applicable margin is between 0.75% to 1.25% for Domestic Rate Loans and between 1.75% and 2.25% for LIBOR Rate Loans based on maintaining certain undrawn availability ratios. The applicable margin as of March 31, 2023 was equal to 0.75% for Domestic Rate Loans and 1.75% for LIBOR Rate Loans. The facility fee for undrawn amounts under the Loan Agreement is 0.375% per annum. We will be required to pay customary letter of credit fees, as necessary. Refer to Note 5</w:t>
      </w:r>
      <w:r>
        <w:rPr>
          <w:color w:val="000000"/>
        </w:rPr>
        <w:t>—</w:t>
      </w:r>
      <w:r>
        <w:rPr>
          <w:rFonts w:ascii="Times New Roman;sans-serif" w:hAnsi="Times New Roman;sans-serif"/>
          <w:b w:val="false"/>
          <w:color w:val="231F20"/>
          <w:sz w:val="20"/>
        </w:rPr>
        <w:t>Leases for additional information.</w:t>
      </w:r>
    </w:p>
    <w:p>
      <w:pPr>
        <w:pStyle w:val="TextBody"/>
        <w:spacing w:lineRule="auto" w:line="288" w:before="120" w:after="283"/>
        <w:ind w:left="0" w:right="0" w:firstLine="540"/>
        <w:rPr/>
      </w:pPr>
      <w:r>
        <w:rPr>
          <w:rFonts w:ascii="Times New Roman;sans-serif" w:hAnsi="Times New Roman;sans-serif"/>
          <w:b w:val="false"/>
          <w:color w:val="231F20"/>
          <w:sz w:val="20"/>
        </w:rPr>
        <w:t xml:space="preserve">The </w:t>
      </w:r>
      <w:r>
        <w:rPr>
          <w:rFonts w:ascii="Times New Roman;sans-serif" w:hAnsi="Times New Roman;sans-serif"/>
          <w:b w:val="false"/>
          <w:color w:val="000000"/>
          <w:sz w:val="20"/>
        </w:rPr>
        <w:t>Loan</w:t>
      </w:r>
      <w:r>
        <w:rPr>
          <w:color w:val="231F20"/>
        </w:rPr>
        <w:t xml:space="preserve"> </w:t>
      </w:r>
      <w:r>
        <w:rPr>
          <w:rFonts w:ascii="Times New Roman;sans-serif" w:hAnsi="Times New Roman;sans-serif"/>
          <w:b w:val="false"/>
          <w:color w:val="231F20"/>
          <w:sz w:val="20"/>
        </w:rPr>
        <w:t xml:space="preserve">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Times New Roman;sans-serif" w:hAnsi="Times New Roman;sans-serif"/>
          <w:b w:val="false"/>
          <w:color w:val="000000"/>
          <w:sz w:val="20"/>
        </w:rPr>
        <w:t>The Loan Agreement also requires that we maintain compliance with a minimum Fixed Charge Coverage Ratio (as defined in the Loan Agreement) of 1.40 to 1.00 at any time undrawn availability under the Loan Agreement is less than 25%.</w:t>
      </w:r>
      <w:r>
        <w:rPr>
          <w:color w:val="231F20"/>
        </w:rPr>
        <w:t xml:space="preserve"> </w:t>
      </w:r>
      <w:r>
        <w:rPr>
          <w:rFonts w:ascii="Times New Roman;sans-serif" w:hAnsi="Times New Roman;sans-serif"/>
          <w:b w:val="false"/>
          <w:color w:val="231F20"/>
          <w:sz w:val="20"/>
        </w:rPr>
        <w:t>As of March 31, 2023, we were in compliance with all covenants.</w:t>
      </w:r>
    </w:p>
    <w:p>
      <w:pPr>
        <w:pStyle w:val="TextBody"/>
        <w:spacing w:lineRule="auto" w:line="288" w:before="120" w:after="283"/>
        <w:ind w:left="0" w:right="0" w:firstLine="540"/>
        <w:rPr/>
      </w:pPr>
      <w:r>
        <w:rPr>
          <w:rFonts w:ascii="Times New Roman;sans-serif" w:hAnsi="Times New Roman;sans-serif"/>
          <w:b w:val="false"/>
          <w:color w:val="000000"/>
          <w:sz w:val="20"/>
        </w:rPr>
        <w:t xml:space="preserve">On April 4, 2023, we entered into an amendment to the Loan Agreement with PNC Bank (the "Amended Loan Agreement") that provides for an increase in the revolving credit facility, extends the maturity date, and changes the rates at which advances under the Amended Loan Agreement will bear interest. </w:t>
      </w:r>
      <w:r>
        <w:rPr>
          <w:rFonts w:ascii="Times New Roman;sans-serif" w:hAnsi="Times New Roman;sans-serif"/>
          <w:b w:val="false"/>
          <w:color w:val="231F20"/>
          <w:sz w:val="20"/>
        </w:rPr>
        <w:t>Refer to Note 14</w:t>
      </w:r>
      <w:r>
        <w:rPr>
          <w:color w:val="000000"/>
        </w:rPr>
        <w:t>—</w:t>
      </w:r>
      <w:r>
        <w:rPr>
          <w:rFonts w:ascii="Times New Roman;sans-serif" w:hAnsi="Times New Roman;sans-serif"/>
          <w:b w:val="false"/>
          <w:color w:val="231F20"/>
          <w:sz w:val="20"/>
        </w:rPr>
        <w:t>Subsequent Events,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231F20"/>
          <w:sz w:val="24"/>
        </w:rPr>
        <w:t xml:space="preserve">9. </w:t>
      </w:r>
      <w:r>
        <w:rPr>
          <w:rFonts w:ascii="Times New Roman;sans-serif" w:hAnsi="Times New Roman;sans-serif"/>
          <w:b/>
          <w:i/>
          <w:color w:val="231F20"/>
          <w:sz w:val="24"/>
        </w:rPr>
        <w:t>Stock-Based Compensation</w:t>
      </w:r>
    </w:p>
    <w:p>
      <w:pPr>
        <w:pStyle w:val="TextBody"/>
        <w:spacing w:lineRule="auto" w:line="288" w:before="120" w:after="283"/>
        <w:ind w:left="0" w:right="0" w:firstLine="540"/>
        <w:rPr/>
      </w:pPr>
      <w:r>
        <w:rPr>
          <w:rFonts w:ascii="Times New Roman;sans-serif" w:hAnsi="Times New Roman;sans-serif"/>
          <w:b w:val="false"/>
          <w:color w:val="231F20"/>
          <w:sz w:val="20"/>
        </w:rPr>
        <w:t xml:space="preserve">In connection with the IPO, which occurred on February 12, 2021, the Phantom Unit Plan was replaced by the LTIP. On February 12, 2021, 6.2 million restricted stock units (“RSUs”) were granted under the LTIP. The Company is authorized to grant RSUs, incentive stock options, nonqualified stock options, stock appreciation rights, restricted stock awards, and performance stock awards under its LTIP. As of </w:t>
      </w:r>
      <w:r>
        <w:rPr>
          <w:rFonts w:ascii="Times New Roman;sans-serif" w:hAnsi="Times New Roman;sans-serif"/>
          <w:b w:val="false"/>
          <w:color w:val="000000"/>
          <w:sz w:val="20"/>
        </w:rPr>
        <w:t>March 31, 2023</w:t>
      </w:r>
      <w:r>
        <w:rPr>
          <w:rFonts w:ascii="Times New Roman;sans-serif" w:hAnsi="Times New Roman;sans-serif"/>
          <w:b w:val="false"/>
          <w:color w:val="231F20"/>
          <w:sz w:val="20"/>
        </w:rPr>
        <w:t xml:space="preserve">, the Company had only granted RSUs and nonqualified stock options under the LTIP. Under the LTIP, 4.5 million shares of Class A common stock remained available for grant as of </w:t>
      </w:r>
      <w:r>
        <w:rPr>
          <w:rFonts w:ascii="Times New Roman;sans-serif" w:hAnsi="Times New Roman;sans-serif"/>
          <w:b w:val="false"/>
          <w:color w:val="000000"/>
          <w:sz w:val="20"/>
        </w:rPr>
        <w:t>March 31, 2023</w:t>
      </w:r>
      <w:r>
        <w:rPr>
          <w:rFonts w:ascii="Times New Roman;sans-serif" w:hAnsi="Times New Roman;sans-serif"/>
          <w:b w:val="false"/>
          <w:color w:val="231F20"/>
          <w:sz w:val="20"/>
        </w:rPr>
        <w:t>.</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Stock-based compensation recorded in the condensed consolidated statements of operations was as follows:</w:t>
      </w:r>
    </w:p>
    <w:tbl>
      <w:tblPr>
        <w:tblW w:w="4808" w:type="dxa"/>
        <w:jc w:val="center"/>
        <w:tblInd w:w="0" w:type="dxa"/>
        <w:tblCellMar>
          <w:top w:w="28" w:type="dxa"/>
          <w:left w:w="28" w:type="dxa"/>
          <w:bottom w:w="28" w:type="dxa"/>
          <w:right w:w="28" w:type="dxa"/>
        </w:tblCellMar>
      </w:tblPr>
      <w:tblGrid>
        <w:gridCol w:w="927"/>
        <w:gridCol w:w="817"/>
        <w:gridCol w:w="820"/>
        <w:gridCol w:w="211"/>
        <w:gridCol w:w="616"/>
        <w:gridCol w:w="109"/>
        <w:gridCol w:w="109"/>
        <w:gridCol w:w="109"/>
        <w:gridCol w:w="109"/>
        <w:gridCol w:w="211"/>
        <w:gridCol w:w="616"/>
        <w:gridCol w:w="154"/>
      </w:tblGrid>
      <w:tr>
        <w:trPr/>
        <w:tc>
          <w:tcPr>
            <w:tcW w:w="92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RSUs</w:t>
      </w:r>
    </w:p>
    <w:p>
      <w:pPr>
        <w:pStyle w:val="TextBody"/>
        <w:spacing w:lineRule="auto" w:line="288" w:before="120" w:after="283"/>
        <w:ind w:left="0" w:right="0" w:firstLine="540"/>
        <w:rPr/>
      </w:pPr>
      <w:r>
        <w:rPr>
          <w:rFonts w:ascii="Times New Roman;sans-serif" w:hAnsi="Times New Roman;sans-serif"/>
          <w:b w:val="false"/>
          <w:color w:val="231F20"/>
          <w:sz w:val="20"/>
        </w:rPr>
        <w:t>The following summarizes RSU activity:</w:t>
      </w:r>
      <w:r>
        <w:rPr>
          <w:color w:val="000000"/>
        </w:rPr>
        <w:t xml:space="preserve"> </w:t>
      </w:r>
    </w:p>
    <w:tbl>
      <w:tblPr>
        <w:tblW w:w="7630" w:type="dxa"/>
        <w:jc w:val="center"/>
        <w:tblInd w:w="0" w:type="dxa"/>
        <w:tblCellMar>
          <w:top w:w="28" w:type="dxa"/>
          <w:left w:w="28" w:type="dxa"/>
          <w:bottom w:w="28" w:type="dxa"/>
          <w:right w:w="28" w:type="dxa"/>
        </w:tblCellMar>
      </w:tblPr>
      <w:tblGrid>
        <w:gridCol w:w="1315"/>
        <w:gridCol w:w="1156"/>
        <w:gridCol w:w="1159"/>
        <w:gridCol w:w="539"/>
        <w:gridCol w:w="539"/>
        <w:gridCol w:w="541"/>
        <w:gridCol w:w="109"/>
        <w:gridCol w:w="109"/>
        <w:gridCol w:w="109"/>
        <w:gridCol w:w="441"/>
        <w:gridCol w:w="1290"/>
        <w:gridCol w:w="323"/>
      </w:tblGrid>
      <w:tr>
        <w:trPr/>
        <w:tc>
          <w:tcPr>
            <w:tcW w:w="1315"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 Date Fair Value</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 as of December 31, 2022</w:t>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6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6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16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 as of March 31, 2023</w:t>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3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unrecognized stock-based compensation relating to RSUs of approximately $39.1 million, which is expected to be recognized over a weighted-average period of 2.2 years.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Nonqualified Stock Options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nonqualified stock option activity:</w:t>
      </w:r>
    </w:p>
    <w:tbl>
      <w:tblPr>
        <w:tblW w:w="10205" w:type="dxa"/>
        <w:jc w:val="center"/>
        <w:tblInd w:w="0" w:type="dxa"/>
        <w:tblCellMar>
          <w:top w:w="28" w:type="dxa"/>
          <w:left w:w="28" w:type="dxa"/>
          <w:bottom w:w="28" w:type="dxa"/>
          <w:right w:w="28" w:type="dxa"/>
        </w:tblCellMar>
      </w:tblPr>
      <w:tblGrid>
        <w:gridCol w:w="807"/>
        <w:gridCol w:w="708"/>
        <w:gridCol w:w="712"/>
        <w:gridCol w:w="452"/>
        <w:gridCol w:w="452"/>
        <w:gridCol w:w="453"/>
        <w:gridCol w:w="109"/>
        <w:gridCol w:w="109"/>
        <w:gridCol w:w="109"/>
        <w:gridCol w:w="430"/>
        <w:gridCol w:w="1042"/>
        <w:gridCol w:w="224"/>
        <w:gridCol w:w="109"/>
        <w:gridCol w:w="109"/>
        <w:gridCol w:w="109"/>
        <w:gridCol w:w="732"/>
        <w:gridCol w:w="732"/>
        <w:gridCol w:w="733"/>
        <w:gridCol w:w="109"/>
        <w:gridCol w:w="109"/>
        <w:gridCol w:w="109"/>
        <w:gridCol w:w="475"/>
        <w:gridCol w:w="916"/>
        <w:gridCol w:w="356"/>
      </w:tblGrid>
      <w:tr>
        <w:trPr/>
        <w:tc>
          <w:tcPr>
            <w:tcW w:w="807"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2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br/>
              <w:t xml:space="preserve">(in thousands)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Remaining Contractual 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br/>
              <w:t>(in thousands)</w:t>
            </w:r>
          </w:p>
        </w:tc>
      </w:tr>
      <w:tr>
        <w:trPr/>
        <w:tc>
          <w:tcPr>
            <w:tcW w:w="2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3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13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3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2023</w:t>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w:t>
            </w:r>
          </w:p>
        </w:tc>
        <w:tc>
          <w:tcPr>
            <w:tcW w:w="13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the nonqualified stock options granted during the three months ended March 31, 2023 was $2.99. The Company had unrecognized stock-based compensation relating to unvested nonqualified stock options of approximately $16.0 million, which is expected to be recognized over a weighted-average period of 2.6 years, as of March 31, 2023.</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the assumptions used in the Black-Scholes model to determine the fair value of nonqualified stock options for the three months ended March 31, 2023 and 2022.</w:t>
      </w:r>
    </w:p>
    <w:tbl>
      <w:tblPr>
        <w:tblW w:w="4094" w:type="dxa"/>
        <w:jc w:val="center"/>
        <w:tblInd w:w="0" w:type="dxa"/>
        <w:tblCellMar>
          <w:top w:w="28" w:type="dxa"/>
          <w:left w:w="28" w:type="dxa"/>
          <w:bottom w:w="28" w:type="dxa"/>
          <w:right w:w="28" w:type="dxa"/>
        </w:tblCellMar>
      </w:tblPr>
      <w:tblGrid>
        <w:gridCol w:w="771"/>
        <w:gridCol w:w="676"/>
        <w:gridCol w:w="682"/>
        <w:gridCol w:w="210"/>
        <w:gridCol w:w="210"/>
        <w:gridCol w:w="210"/>
        <w:gridCol w:w="208"/>
        <w:gridCol w:w="208"/>
        <w:gridCol w:w="208"/>
        <w:gridCol w:w="208"/>
        <w:gridCol w:w="208"/>
        <w:gridCol w:w="295"/>
      </w:tblGrid>
      <w:tr>
        <w:trPr/>
        <w:tc>
          <w:tcPr>
            <w:tcW w:w="77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81.5%</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6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6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bl>
    <w:p>
      <w:pPr>
        <w:pStyle w:val="TextBody"/>
        <w:spacing w:lineRule="auto" w:line="288" w:before="120" w:after="283"/>
        <w:ind w:left="0" w:right="0" w:firstLine="540"/>
        <w:rPr/>
      </w:pPr>
      <w:r>
        <w:rPr>
          <w:rFonts w:ascii="Times New Roman;sans-serif" w:hAnsi="Times New Roman;sans-serif"/>
          <w:b w:val="false"/>
          <w:i/>
          <w:color w:val="231F20"/>
          <w:sz w:val="20"/>
        </w:rPr>
        <w:t>Risk-Free Interest Rate.</w:t>
      </w:r>
      <w:r>
        <w:rPr>
          <w:color w:val="231F20"/>
        </w:rPr>
        <w:t xml:space="preserve"> </w:t>
      </w:r>
      <w:r>
        <w:rPr>
          <w:rFonts w:ascii="Times New Roman;sans-serif" w:hAnsi="Times New Roman;sans-serif"/>
          <w:b w:val="false"/>
          <w:color w:val="231F20"/>
          <w:sz w:val="20"/>
        </w:rPr>
        <w:t>The Company bases the risk-free interest rate assumption for equity awards on the rates for U.S. Treasury securities with maturities similar to those of the expected term of the award being valued.</w:t>
      </w:r>
    </w:p>
    <w:p>
      <w:pPr>
        <w:pStyle w:val="TextBody"/>
        <w:spacing w:lineRule="auto" w:line="288" w:before="120" w:after="283"/>
        <w:ind w:left="0" w:right="0" w:firstLine="540"/>
        <w:rPr/>
      </w:pPr>
      <w:r>
        <w:rPr>
          <w:rFonts w:ascii="Times New Roman;sans-serif" w:hAnsi="Times New Roman;sans-serif"/>
          <w:b w:val="false"/>
          <w:i/>
          <w:color w:val="231F20"/>
          <w:sz w:val="20"/>
        </w:rPr>
        <w:t>Expected Volatility.</w:t>
      </w:r>
      <w:r>
        <w:rPr>
          <w:color w:val="231F20"/>
        </w:rPr>
        <w:t xml:space="preserve"> </w:t>
      </w:r>
      <w:r>
        <w:rPr>
          <w:rFonts w:ascii="Times New Roman;sans-serif" w:hAnsi="Times New Roman;sans-serif"/>
          <w:b w:val="false"/>
          <w:color w:val="231F20"/>
          <w:sz w:val="20"/>
        </w:rPr>
        <w:t>Due to the limited trading history of the Company’s Class A common stock, the expected volatility assumption is based on volatilities of a peer group of similar companies whose share prices are publicly available. The Company will continue to apply this process until a sufficient amount of historical information regarding the volatility of the Company’s own stock price becomes available.</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p>
      <w:pPr>
        <w:pStyle w:val="TextBody"/>
        <w:spacing w:lineRule="auto" w:line="288" w:before="120" w:after="283"/>
        <w:ind w:left="0" w:right="0" w:firstLine="540"/>
        <w:rPr/>
      </w:pPr>
      <w:r>
        <w:rPr>
          <w:rFonts w:ascii="Times New Roman;sans-serif" w:hAnsi="Times New Roman;sans-serif"/>
          <w:b w:val="false"/>
          <w:i/>
          <w:color w:val="231F20"/>
          <w:sz w:val="20"/>
        </w:rPr>
        <w:t>Expected Term.</w:t>
      </w:r>
      <w:r>
        <w:rPr>
          <w:color w:val="231F20"/>
        </w:rPr>
        <w:t xml:space="preserve"> </w:t>
      </w:r>
      <w:r>
        <w:rPr>
          <w:rFonts w:ascii="Times New Roman;sans-serif" w:hAnsi="Times New Roman;sans-serif"/>
          <w:b w:val="false"/>
          <w:color w:val="231F20"/>
          <w:sz w:val="20"/>
        </w:rPr>
        <w:t>Given the insufficient historical data relating to nonqualified stock option exercises, the expected term assumption is based on expected terms of a peer group of similar companies whose expected terms are publicly available. The Company will continue to apply this process until a sufficient amount of historical information regarding the Company’s nonqualified stock option exercises becomes available.</w:t>
      </w:r>
    </w:p>
    <w:p>
      <w:pPr>
        <w:pStyle w:val="TextBody"/>
        <w:spacing w:lineRule="auto" w:line="288" w:before="120" w:after="283"/>
        <w:ind w:left="0" w:right="0" w:firstLine="540"/>
        <w:rPr/>
      </w:pPr>
      <w:r>
        <w:rPr>
          <w:rFonts w:ascii="Times New Roman;sans-serif" w:hAnsi="Times New Roman;sans-serif"/>
          <w:b w:val="false"/>
          <w:i/>
          <w:color w:val="231F20"/>
          <w:sz w:val="20"/>
        </w:rPr>
        <w:t>Expected Dividend Yield.</w:t>
      </w:r>
      <w:r>
        <w:rPr>
          <w:color w:val="231F20"/>
        </w:rPr>
        <w:t xml:space="preserve"> </w:t>
      </w:r>
      <w:r>
        <w:rPr>
          <w:rFonts w:ascii="Times New Roman;sans-serif" w:hAnsi="Times New Roman;sans-serif"/>
          <w:b w:val="false"/>
          <w:color w:val="231F20"/>
          <w:sz w:val="20"/>
        </w:rPr>
        <w:t>The Company’s expected dividend yield assumption is zero as it has never paid dividends and has no present intention to do so in the future.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Issuance of Shares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Upon vesting of shares under the LTIP, we will issue treasury stock. If treasury stock is not available, Class A common stock will be issued.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231F20"/>
          <w:sz w:val="24"/>
        </w:rPr>
        <w:t xml:space="preserve">10. </w:t>
      </w:r>
      <w:r>
        <w:rPr>
          <w:rFonts w:ascii="Times New Roman;sans-serif" w:hAnsi="Times New Roman;sans-serif"/>
          <w:b/>
          <w:i/>
          <w:color w:val="231F20"/>
          <w:sz w:val="24"/>
        </w:rPr>
        <w:t>Income Taxes and Tax Receivable Agreement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The Company did not recognize an income tax benefit (expense) on its share of pre-tax book income (loss), exclusive of the noncontrolling interest of 75.8% due to the full valuation allowance against its deferred tax assets, resulting in an effective tax rate of 0.0% for each of the three months ended March 31, 2023 and 2022.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management determined based on applicable accounting standards and the weight of all available evidence, it was not more likely than not (“MLTN”) that the Company will generate sufficient taxable income to realize our deferred tax assets including the difference in our tax basis in excess of the financial reporting value for our investment in Viant Technology LLC. Consequently, we have established a full valuation allowance against our deferred tax assets as of March 31, 2023. In the event that management subsequently determines that it is MLTN that we will realize our deferred tax assets in the future over the recorded amount, a decrease to the valuation allowance will be made, which will reduce the provision for income taxes.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concluded based on applicable accounting standards and the weight of all available evidence, that it was MLTN that its deferred tax assets subject to the Tax Receivable Agreement entered into with Viant Technology LLC, continuing members of Viant Technology LLC and the TRA Representative (as defined in the TRA) on February 9, 2021 (“TRA”) would not be realized as of March 31, 2023. Therefore, the Company has not recorded a liability related to the remaining tax savings it may realize from utilization of such deferred tax assets after concluding it was not probable that such TRA liability would be paid based on its estimates of future taxable income. As of the March 31, 2023, the total unrecorded TRA liability is approximately $10.3 million. If utilization of the deferred tax assets subject to the TRA becomes MLTN in the future, the Company will record a liability related to the TRA, to the extent probable at that time, which will be recognized as an expense within its condensed consolidated statements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4"/>
        </w:rPr>
        <w:t>1</w:t>
      </w:r>
      <w:r>
        <w:rPr>
          <w:rFonts w:ascii="Times New Roman;sans-serif" w:hAnsi="Times New Roman;sans-serif"/>
          <w:b/>
          <w:color w:val="231F20"/>
          <w:sz w:val="24"/>
        </w:rPr>
        <w:t xml:space="preserve">1. </w:t>
      </w:r>
      <w:r>
        <w:rPr>
          <w:rFonts w:ascii="Times New Roman;sans-serif" w:hAnsi="Times New Roman;sans-serif"/>
          <w:b/>
          <w:i/>
          <w:color w:val="231F20"/>
          <w:sz w:val="24"/>
        </w:rPr>
        <w:t>Loss Per Share</w:t>
      </w:r>
    </w:p>
    <w:p>
      <w:pPr>
        <w:pStyle w:val="TextBody"/>
        <w:spacing w:lineRule="auto" w:line="288" w:before="120" w:after="283"/>
        <w:ind w:left="0" w:right="0" w:firstLine="540"/>
        <w:rPr/>
      </w:pP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March 31, 2023</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2022</w:t>
      </w:r>
      <w:r>
        <w:rPr>
          <w:rFonts w:ascii="Times New Roman;sans-serif" w:hAnsi="Times New Roman;sans-serif"/>
          <w:b w:val="false"/>
          <w:color w:val="231F20"/>
          <w:sz w:val="20"/>
        </w:rPr>
        <w:t xml:space="preserve">, basic net loss per share has been calculated by dividing net loss attributable to Class A common stockholders by the weighted-average number of shares of Class A common stock outstanding for the same period. </w:t>
      </w:r>
      <w:r>
        <w:rPr>
          <w:rFonts w:ascii="Times New Roman;sans-serif" w:hAnsi="Times New Roman;sans-serif"/>
          <w:b w:val="false"/>
          <w:color w:val="000000"/>
          <w:sz w:val="20"/>
        </w:rPr>
        <w:t>Shares</w:t>
      </w:r>
      <w:r>
        <w:rPr>
          <w:color w:val="231F20"/>
        </w:rPr>
        <w:t xml:space="preserve"> </w:t>
      </w:r>
      <w:r>
        <w:rPr>
          <w:rFonts w:ascii="Times New Roman;sans-serif" w:hAnsi="Times New Roman;sans-serif"/>
          <w:b w:val="false"/>
          <w:color w:val="231F20"/>
          <w:sz w:val="20"/>
        </w:rPr>
        <w:t>of Class A 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p>
      <w:pPr>
        <w:pStyle w:val="TextBody"/>
        <w:spacing w:lineRule="auto" w:line="288" w:before="120" w:after="283"/>
        <w:ind w:left="0" w:right="0" w:firstLine="720"/>
        <w:rPr/>
      </w:pPr>
      <w:r>
        <w:rPr>
          <w:rFonts w:ascii="Times New Roman;sans-serif" w:hAnsi="Times New Roman;sans-serif"/>
          <w:b w:val="false"/>
          <w:color w:val="231F20"/>
          <w:sz w:val="20"/>
        </w:rPr>
        <w:t xml:space="preserve">The </w:t>
      </w:r>
      <w:r>
        <w:rPr>
          <w:rFonts w:ascii="Times New Roman;sans-serif" w:hAnsi="Times New Roman;sans-serif"/>
          <w:b w:val="false"/>
          <w:color w:val="000000"/>
          <w:sz w:val="20"/>
        </w:rPr>
        <w:t>following</w:t>
      </w:r>
      <w:r>
        <w:rPr>
          <w:color w:val="231F20"/>
        </w:rPr>
        <w:t xml:space="preserve"> </w:t>
      </w:r>
      <w:r>
        <w:rPr>
          <w:rFonts w:ascii="Times New Roman;sans-serif" w:hAnsi="Times New Roman;sans-serif"/>
          <w:b w:val="false"/>
          <w:color w:val="231F20"/>
          <w:sz w:val="20"/>
        </w:rPr>
        <w:t xml:space="preserve">table presents the calculation of basic and diluted net loss per share 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March 31, 2023</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2022</w:t>
      </w:r>
      <w:r>
        <w:rPr>
          <w:rFonts w:ascii="Times New Roman;sans-serif" w:hAnsi="Times New Roman;sans-serif"/>
          <w:b w:val="false"/>
          <w:color w:val="231F20"/>
          <w:sz w:val="20"/>
        </w:rPr>
        <w:t>:</w:t>
      </w:r>
    </w:p>
    <w:tbl>
      <w:tblPr>
        <w:tblW w:w="9503" w:type="dxa"/>
        <w:jc w:val="center"/>
        <w:tblInd w:w="0" w:type="dxa"/>
        <w:tblCellMar>
          <w:top w:w="28" w:type="dxa"/>
          <w:left w:w="28" w:type="dxa"/>
          <w:bottom w:w="28" w:type="dxa"/>
          <w:right w:w="28" w:type="dxa"/>
        </w:tblCellMar>
      </w:tblPr>
      <w:tblGrid>
        <w:gridCol w:w="2536"/>
        <w:gridCol w:w="2223"/>
        <w:gridCol w:w="2245"/>
        <w:gridCol w:w="211"/>
        <w:gridCol w:w="691"/>
        <w:gridCol w:w="109"/>
        <w:gridCol w:w="109"/>
        <w:gridCol w:w="109"/>
        <w:gridCol w:w="109"/>
        <w:gridCol w:w="211"/>
        <w:gridCol w:w="796"/>
        <w:gridCol w:w="154"/>
      </w:tblGrid>
      <w:tr>
        <w:trPr/>
        <w:tc>
          <w:tcPr>
            <w:tcW w:w="2536" w:type="dxa"/>
            <w:tcBorders/>
            <w:shd w:fill="auto" w:val="clear"/>
            <w:vAlign w:val="center"/>
          </w:tcPr>
          <w:p>
            <w:pPr>
              <w:pStyle w:val="TableContents"/>
              <w:spacing w:before="0" w:after="283"/>
              <w:rPr>
                <w:sz w:val="4"/>
                <w:szCs w:val="4"/>
              </w:rPr>
            </w:pPr>
            <w:r>
              <w:rPr>
                <w:sz w:val="4"/>
                <w:szCs w:val="4"/>
              </w:rPr>
            </w:r>
          </w:p>
        </w:tc>
        <w:tc>
          <w:tcPr>
            <w:tcW w:w="2223"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7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outstanding—basic and diluted</w:t>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w:t>
            </w:r>
          </w:p>
        </w:tc>
      </w:tr>
      <w:tr>
        <w:trPr/>
        <w:tc>
          <w:tcPr>
            <w:tcW w:w="70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loss per share of Class A common stock—diluted:</w:t>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w:t>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10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w:t>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w:t>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loss per share of Class A common stock—diluted</w:t>
            </w:r>
          </w:p>
        </w:tc>
        <w:tc>
          <w:tcPr>
            <w:tcW w:w="10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231F20"/>
          <w:sz w:val="24"/>
        </w:rPr>
        <w:t xml:space="preserve">12. </w:t>
      </w:r>
      <w:r>
        <w:rPr>
          <w:rFonts w:ascii="Times New Roman;sans-serif" w:hAnsi="Times New Roman;sans-serif"/>
          <w:b/>
          <w:i/>
          <w:color w:val="231F20"/>
          <w:sz w:val="24"/>
        </w:rPr>
        <w:t>Noncontrolling Interests</w:t>
      </w:r>
    </w:p>
    <w:p>
      <w:pPr>
        <w:pStyle w:val="TextBody"/>
        <w:spacing w:lineRule="auto" w:line="288" w:before="120" w:after="283"/>
        <w:ind w:left="0" w:right="0" w:firstLine="540"/>
        <w:rPr/>
      </w:pPr>
      <w:r>
        <w:rPr>
          <w:rFonts w:ascii="Times New Roman;sans-serif" w:hAnsi="Times New Roman;sans-serif"/>
          <w:b w:val="false"/>
          <w:color w:val="231F20"/>
          <w:sz w:val="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w:t>
      </w:r>
      <w:r>
        <w:rPr>
          <w:rFonts w:ascii="Times New Roman;sans-serif" w:hAnsi="Times New Roman;sans-serif"/>
          <w:b w:val="false"/>
          <w:color w:val="000000"/>
          <w:sz w:val="20"/>
        </w:rPr>
        <w:t xml:space="preserve">The Viant 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sans-serif" w:hAnsi="Times New Roman;sans-serif"/>
          <w:b w:val="false"/>
          <w:color w:val="231F20"/>
          <w:sz w:val="20"/>
        </w:rPr>
        <w:t>Changes in 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pStyle w:val="TextBody"/>
        <w:spacing w:lineRule="auto" w:line="288" w:before="120" w:after="283"/>
        <w:ind w:left="0" w:right="0" w:firstLine="540"/>
        <w:rPr/>
      </w:pPr>
      <w:r>
        <w:rPr>
          <w:rFonts w:ascii="Times New Roman;sans-serif" w:hAnsi="Times New Roman;sans-serif"/>
          <w:b w:val="false"/>
          <w:color w:val="000000"/>
          <w:sz w:val="20"/>
        </w:rPr>
        <w:t>The following table summarizes the ownership of Viant Technology LLC:</w:t>
      </w:r>
      <w:r>
        <w:rPr>
          <w:color w:val="000000"/>
        </w:rPr>
        <w:t xml:space="preserve"> </w:t>
      </w:r>
    </w:p>
    <w:tbl>
      <w:tblPr>
        <w:tblW w:w="10076" w:type="dxa"/>
        <w:jc w:val="center"/>
        <w:tblInd w:w="0" w:type="dxa"/>
        <w:tblCellMar>
          <w:top w:w="28" w:type="dxa"/>
          <w:left w:w="28" w:type="dxa"/>
          <w:bottom w:w="28" w:type="dxa"/>
          <w:right w:w="28" w:type="dxa"/>
        </w:tblCellMar>
      </w:tblPr>
      <w:tblGrid>
        <w:gridCol w:w="758"/>
        <w:gridCol w:w="667"/>
        <w:gridCol w:w="674"/>
        <w:gridCol w:w="389"/>
        <w:gridCol w:w="389"/>
        <w:gridCol w:w="391"/>
        <w:gridCol w:w="181"/>
        <w:gridCol w:w="181"/>
        <w:gridCol w:w="181"/>
        <w:gridCol w:w="457"/>
        <w:gridCol w:w="457"/>
        <w:gridCol w:w="1140"/>
        <w:gridCol w:w="109"/>
        <w:gridCol w:w="109"/>
        <w:gridCol w:w="109"/>
        <w:gridCol w:w="389"/>
        <w:gridCol w:w="389"/>
        <w:gridCol w:w="391"/>
        <w:gridCol w:w="205"/>
        <w:gridCol w:w="205"/>
        <w:gridCol w:w="205"/>
        <w:gridCol w:w="427"/>
        <w:gridCol w:w="427"/>
        <w:gridCol w:w="1246"/>
      </w:tblGrid>
      <w:tr>
        <w:trPr/>
        <w:tc>
          <w:tcPr>
            <w:tcW w:w="758"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Owner</w:t>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 Owned</w:t>
            </w:r>
          </w:p>
        </w:tc>
        <w:tc>
          <w:tcPr>
            <w:tcW w:w="5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Ownership Percentage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 Owned</w:t>
            </w:r>
          </w:p>
        </w:tc>
        <w:tc>
          <w:tcPr>
            <w:tcW w:w="6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Ownership Percentage </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w:t>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15,064,581</w:t>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14,643,798</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47,082,260</w:t>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1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47,082,260</w:t>
            </w:r>
          </w:p>
        </w:tc>
        <w:tc>
          <w:tcPr>
            <w:tcW w:w="6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2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62,146,841</w:t>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61,726,058</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There were no exchanges of Class B units of Viant Technology LLC for shares of the Company’s Class A common stock during the three months ended March 31, 2023.</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 share data)</w:t>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0" w:after="0"/>
        <w:ind w:left="0" w:right="0" w:firstLine="540"/>
        <w:jc w:val="center"/>
        <w:rPr/>
      </w:pPr>
      <w:r>
        <w:rPr/>
      </w:r>
    </w:p>
    <w:p>
      <w:pPr>
        <w:pStyle w:val="TextBody"/>
        <w:spacing w:before="120" w:after="283"/>
        <w:ind w:left="0" w:right="0" w:firstLine="540"/>
        <w:jc w:val="center"/>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changes in the Company’s ownership interest in Viant Technology LLC on the Company’s equity for the periods indicated:</w:t>
      </w:r>
    </w:p>
    <w:tbl>
      <w:tblPr>
        <w:tblW w:w="10205" w:type="dxa"/>
        <w:jc w:val="center"/>
        <w:tblInd w:w="0" w:type="dxa"/>
        <w:tblCellMar>
          <w:top w:w="28" w:type="dxa"/>
          <w:left w:w="28" w:type="dxa"/>
          <w:bottom w:w="28" w:type="dxa"/>
          <w:right w:w="28" w:type="dxa"/>
        </w:tblCellMar>
      </w:tblPr>
      <w:tblGrid>
        <w:gridCol w:w="3027"/>
        <w:gridCol w:w="2426"/>
        <w:gridCol w:w="2394"/>
        <w:gridCol w:w="211"/>
        <w:gridCol w:w="671"/>
        <w:gridCol w:w="109"/>
        <w:gridCol w:w="109"/>
        <w:gridCol w:w="109"/>
        <w:gridCol w:w="109"/>
        <w:gridCol w:w="211"/>
        <w:gridCol w:w="671"/>
        <w:gridCol w:w="158"/>
      </w:tblGrid>
      <w:tr>
        <w:trPr/>
        <w:tc>
          <w:tcPr>
            <w:tcW w:w="3027" w:type="dxa"/>
            <w:tcBorders/>
            <w:shd w:fill="auto" w:val="clear"/>
            <w:vAlign w:val="center"/>
          </w:tcPr>
          <w:p>
            <w:pPr>
              <w:pStyle w:val="TableContents"/>
              <w:spacing w:before="0" w:after="283"/>
              <w:rPr>
                <w:sz w:val="4"/>
                <w:szCs w:val="4"/>
              </w:rPr>
            </w:pPr>
            <w:r>
              <w:rPr>
                <w:sz w:val="4"/>
                <w:szCs w:val="4"/>
              </w:rPr>
            </w:r>
          </w:p>
        </w:tc>
        <w:tc>
          <w:tcPr>
            <w:tcW w:w="2426" w:type="dxa"/>
            <w:tcBorders/>
            <w:shd w:fill="auto" w:val="clear"/>
            <w:vAlign w:val="center"/>
          </w:tcPr>
          <w:p>
            <w:pPr>
              <w:pStyle w:val="TableContents"/>
              <w:spacing w:before="0" w:after="283"/>
              <w:rPr>
                <w:sz w:val="4"/>
                <w:szCs w:val="4"/>
              </w:rPr>
            </w:pPr>
            <w:r>
              <w:rPr>
                <w:sz w:val="4"/>
                <w:szCs w:val="4"/>
              </w:rPr>
            </w:r>
          </w:p>
        </w:tc>
        <w:tc>
          <w:tcPr>
            <w:tcW w:w="23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78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 noncontrolling interests:</w:t>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the additional-paid-in-capital of Viant Technology Inc. resulting from ownership changes in Viant Technology LLC</w:t>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loss attributable to Viant Technology Inc. and transfers to noncontrolling interests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4"/>
        </w:rPr>
        <w:t xml:space="preserve">13. </w:t>
      </w:r>
      <w:r>
        <w:rPr>
          <w:rFonts w:ascii="Times New Roman;sans-serif" w:hAnsi="Times New Roman;sans-serif"/>
          <w:b/>
          <w:i/>
          <w:color w:val="000000"/>
          <w:sz w:val="24"/>
        </w:rPr>
        <w:t>Commitments and Contingencies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non-cancelable operating lease commitments for office space that have been recorded as operating lease liabilities. Refer to Note 5—Leases for additional information regarding lease commitments.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Hosting Commitments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had non-cancelable contractual agreements related to the hosting of our data storage processing, storage, and other computing services. As of March 31, 2023, we estimate these obligations to be approximately $8.8 million for the remainder of 2023, $6.1 million in 2024, $5.0 million in 2025, and $0.8 million in 2026.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Guarantees and Indemnities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231F20"/>
          <w:sz w:val="24"/>
        </w:rPr>
        <w:t xml:space="preserve">14. </w:t>
      </w:r>
      <w:r>
        <w:rPr>
          <w:rFonts w:ascii="Times New Roman;sans-serif" w:hAnsi="Times New Roman;sans-serif"/>
          <w:b/>
          <w:i/>
          <w:color w:val="231F20"/>
          <w:sz w:val="24"/>
        </w:rPr>
        <w:t>Subsequent Events</w:t>
      </w:r>
    </w:p>
    <w:p>
      <w:pPr>
        <w:pStyle w:val="TextBody"/>
        <w:spacing w:lineRule="auto" w:line="288" w:before="120" w:after="283"/>
        <w:ind w:left="0" w:right="0" w:firstLine="540"/>
        <w:rPr/>
      </w:pPr>
      <w:r>
        <w:rPr>
          <w:rFonts w:ascii="Times New Roman;sans-serif" w:hAnsi="Times New Roman;sans-serif"/>
          <w:b w:val="false"/>
          <w:color w:val="000000"/>
          <w:sz w:val="20"/>
        </w:rPr>
        <w:t xml:space="preserve">On April 4, 2023, we entered into the Amended Loan Agreement. The Amended Loan Agreement provides for an increase in the revolving credit facility to $75.0 million, extends the maturity date to April 4, 2028, and changes the rates at which advances will bear interest. Advances under the Amended Loan Agreement will bear interest at term SOFR plus 2.00% to 2.25% based on the average undrawn availability. </w:t>
      </w:r>
      <w:r>
        <w:rPr>
          <w:rFonts w:ascii="Times New Roman;sans-serif" w:hAnsi="Times New Roman;sans-serif"/>
          <w:b w:val="false"/>
          <w:color w:val="231F20"/>
          <w:sz w:val="20"/>
        </w:rPr>
        <w:t>The Company has no outstanding balances</w:t>
      </w:r>
      <w:r>
        <w:rPr>
          <w:color w:val="000000"/>
        </w:rPr>
        <w:t xml:space="preserve"> </w:t>
      </w:r>
      <w:r>
        <w:rPr>
          <w:rFonts w:ascii="Times New Roman;sans-serif" w:hAnsi="Times New Roman;sans-serif"/>
          <w:b w:val="false"/>
          <w:color w:val="000000"/>
          <w:sz w:val="20"/>
        </w:rPr>
        <w:t>under the Amended Loan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283"/>
        <w:ind w:left="0" w:right="0" w:firstLine="540"/>
        <w:rPr/>
      </w:pPr>
      <w:r>
        <w:rPr>
          <w:rFonts w:ascii="Times New Roman;sans-serif" w:hAnsi="Times New Roman;sans-serif"/>
          <w:b w:val="false"/>
          <w:i/>
          <w:color w:val="231F20"/>
          <w:sz w:val="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w:t>
      </w:r>
      <w:r>
        <w:rPr>
          <w:rFonts w:ascii="Times New Roman;sans-serif" w:hAnsi="Times New Roman;sans-serif"/>
          <w:b w:val="false"/>
          <w:i/>
          <w:color w:val="000000"/>
          <w:sz w:val="20"/>
        </w:rPr>
        <w:t xml:space="preserve">terly Report on Form 10-Q ("Quarterly Report") and our audited consolidated financial statements and notes thereto and the related Management’s Discussion and Analysis of Financial Condition and Results of Operations included in our Annual Report on Form 10-K for the year ended December 31, 2022, which was filed with the Securities and Exchange Commission (“SEC”) on March 2, 2023.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the heading </w:t>
      </w:r>
      <w:r>
        <w:rPr>
          <w:color w:val="000000"/>
        </w:rPr>
        <w:t>“</w:t>
      </w:r>
      <w:r>
        <w:rPr>
          <w:rFonts w:ascii="Times New Roman;sans-serif" w:hAnsi="Times New Roman;sans-serif"/>
          <w:b w:val="false"/>
          <w:color w:val="000000"/>
          <w:sz w:val="20"/>
        </w:rPr>
        <w:t>Forward-Looking Statements</w:t>
      </w:r>
      <w:r>
        <w:rPr>
          <w:color w:val="000000"/>
        </w:rPr>
        <w:t xml:space="preserve">” </w:t>
      </w:r>
      <w:r>
        <w:rPr>
          <w:rFonts w:ascii="Times New Roman;sans-serif" w:hAnsi="Times New Roman;sans-serif"/>
          <w:b w:val="false"/>
          <w:i/>
          <w:color w:val="000000"/>
          <w:sz w:val="20"/>
        </w:rPr>
        <w:t>and “</w:t>
      </w:r>
      <w:r>
        <w:rPr>
          <w:rFonts w:ascii="Times New Roman;sans-serif" w:hAnsi="Times New Roman;sans-serif"/>
          <w:b w:val="false"/>
          <w:color w:val="000000"/>
          <w:sz w:val="20"/>
        </w:rPr>
        <w:t>Risk Factors</w:t>
      </w:r>
      <w:r>
        <w:rPr>
          <w:color w:val="000000"/>
        </w:rPr>
        <w:t xml:space="preserve">” </w:t>
      </w:r>
      <w:r>
        <w:rPr>
          <w:rFonts w:ascii="Times New Roman;sans-serif" w:hAnsi="Times New Roman;sans-serif"/>
          <w:b w:val="false"/>
          <w:i/>
          <w:color w:val="000000"/>
          <w:sz w:val="20"/>
        </w:rPr>
        <w:t>and discussed elsewhere in this Quarterly Report. Additionally, our historical results are not necessarily indicative of the results that may be expected for any period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231F20"/>
          <w:sz w:val="20"/>
        </w:rPr>
      </w:pPr>
      <w:r>
        <w:rPr>
          <w:rFonts w:ascii="Times New Roman;sans-serif" w:hAnsi="Times New Roman;sans-serif"/>
          <w:b/>
          <w:color w:val="231F20"/>
          <w:sz w:val="20"/>
        </w:rPr>
        <w:t>Forward-Looking Statements</w:t>
      </w:r>
    </w:p>
    <w:p>
      <w:pPr>
        <w:pStyle w:val="TextBody"/>
        <w:spacing w:lineRule="auto" w:line="288" w:before="12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Quarterly Report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and may include statements concerning, among other things, our business strategy (including anticipated trends and developments in, and management plans for, our business and the markets in which we operate), financial results, the sufficiency of our cash and cash equivalents and cash provided by sales of our products and services to meet our liquidity needs, the impact of macroeconomic and geopolitical events, including the ongoing COVID-19 pandemic, bank failures, labor shortages, inflation and monetary supply shifts, rising interest rates, tightening of credit markets, recession risks, and potential disruptions from the Russia-Ukraine conflict, on our business, operations, and the markets and communities in which we, our clients, and partners operate, results of operations, revenues, operating expenses, capital expenditures, sales and marketing initiatives and competition. </w:t>
      </w:r>
    </w:p>
    <w:p>
      <w:pPr>
        <w:pStyle w:val="TextBody"/>
        <w:spacing w:lineRule="auto" w:line="288" w:before="12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In some cases, you can identify forward-looking statements by words such as “may,” “will,” “should,”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Quarterly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product strategy; our efforts to enhance the security and privacy of our platform; the potential impacts of macroeconomic and geopolitical events, the business of our customers, suppliers and channel partners, and the economy;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pStyle w:val="TextBody"/>
        <w:spacing w:lineRule="auto" w:line="288" w:before="12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Such statements are not guarantees of future performance and involve a number of assumptions, risks and uncertainties that could cause actual results to differ materially from expected results. As a result, you should not put undue reliance on any forward-looking statement. These forward-looking statements are included throughout this Quarterly Report. Factors that could cause our actual results to differ materially from those expressed or implied in such forward-looking statements include, but are not limited to, the risk factors discussed in the “Risk Factors” section of this Quarterly Report.</w:t>
      </w:r>
    </w:p>
    <w:p>
      <w:pPr>
        <w:pStyle w:val="TextBody"/>
        <w:spacing w:lineRule="auto" w:line="288" w:before="12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may be required by applicable securities laws. You should read this Quarterly Report, and the documents that we reference in this Quarterly Report and have filed with the SEC, with the understanding that our actual future results, performance, and events and circumstances may be materially different from what we expect.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Overview</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We are an advertising technology company. Our cloud-based demand side platform ("DSP"), Adelphic,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Adelphic is used by marketers and their advertising agencies to centralize the planning, buying and measurement of their digital advertising across most channels. Through our omni-channel platform, a marketer can easily buy ads on desktop, mobile, connected TV, linear TV, in-game, streaming audio and digital billboards.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Adelphic is an easy-to-use self-service platform that provides our customers with transparency and control over their advertising campaigns. Our platform offers customers unique visibility across a variety of inventory, allowing them to create customized audience segments and leverage our people-based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("ROAS") across channels and we believe this can be a feature that helps us grow our customer base as more customers recognize its benefits.</w:t>
      </w:r>
    </w:p>
    <w:p>
      <w:pPr>
        <w:pStyle w:val="TextBody"/>
        <w:spacing w:lineRule="auto" w:line="288" w:before="120" w:after="283"/>
        <w:ind w:left="0" w:right="0" w:firstLine="540"/>
        <w:rPr/>
      </w:pPr>
      <w:r>
        <w:rPr>
          <w:rFonts w:ascii="Times New Roman;sans-serif" w:hAnsi="Times New Roman;sans-serif"/>
          <w:b w:val="false"/>
          <w:color w:val="231F20"/>
          <w:sz w:val="20"/>
        </w:rPr>
        <w:t xml:space="preserve">We generate revenue by charging </w:t>
      </w:r>
      <w:r>
        <w:rPr>
          <w:rFonts w:ascii="Times New Roman;sans-serif" w:hAnsi="Times New Roman;sans-serif"/>
          <w:b w:val="false"/>
          <w:color w:val="000000"/>
          <w:sz w:val="20"/>
          <w:highlight w:val="white"/>
        </w:rPr>
        <w:t xml:space="preserve">platform fees and service fees pursuant to agreements that enable a wide variety of marketers and their agencies to select the mix of pricing and service options that suits their unique business and </w:t>
      </w:r>
      <w:r>
        <w:rPr>
          <w:rFonts w:ascii="Times New Roman;sans-serif" w:hAnsi="Times New Roman;sans-serif"/>
          <w:b w:val="false"/>
          <w:color w:val="231F20"/>
          <w:sz w:val="20"/>
        </w:rPr>
        <w:t>advertising budget</w:t>
      </w:r>
      <w:r>
        <w:rPr>
          <w:rFonts w:ascii="Times New Roman;sans-serif" w:hAnsi="Times New Roman;sans-serif"/>
          <w:b w:val="false"/>
          <w:color w:val="000000"/>
          <w:sz w:val="20"/>
          <w:highlight w:val="white"/>
        </w:rPr>
        <w:t>.</w:t>
      </w:r>
    </w:p>
    <w:p>
      <w:pPr>
        <w:pStyle w:val="TextBody"/>
        <w:spacing w:lineRule="auto" w:line="288" w:before="120" w:after="283"/>
        <w:ind w:left="0" w:right="0" w:firstLine="540"/>
        <w:rPr/>
      </w:pPr>
      <w:r>
        <w:rPr>
          <w:rFonts w:ascii="Times New Roman;sans-serif" w:hAnsi="Times New Roman;sans-serif"/>
          <w:b w:val="false"/>
          <w:color w:val="231F20"/>
          <w:sz w:val="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sans-serif" w:hAnsi="Times New Roman;sans-serif"/>
          <w:b w:val="false"/>
          <w:color w:val="000000"/>
          <w:sz w:val="20"/>
          <w:highlight w:val="white"/>
        </w:rPr>
        <w:t>percentage of spend. Customers who prefer to use our fixed CPM pricing option enter into insertion order (“IO”) arrangements with us,</w:t>
      </w:r>
      <w:r>
        <w:rPr>
          <w:color w:val="231F20"/>
        </w:rPr>
        <w:t xml:space="preserve"> </w:t>
      </w:r>
      <w:r>
        <w:rPr>
          <w:rFonts w:ascii="Times New Roman;sans-serif" w:hAnsi="Times New Roman;sans-serif"/>
          <w:b w:val="false"/>
          <w:color w:val="231F20"/>
          <w:sz w:val="20"/>
        </w:rPr>
        <w:t xml:space="preserve">and we generate revenue by charging these customers a platform fee at a price for every 1,000 impressions an ad receives. We also offer different service options to our customers accessing our platform under an MSA or an IO to enable them to use our services to aid them in data management, media execution and advanced reporting. When customers utilize our services, we generate revenue by charging a service fee separate from the platform fee consisting of (1) a fee that represents a percentage of spend; (2) a flat monthly fee covering services in connection with data management and advanced reporting; or (3) a fixed CPM that is inclusive of media, other direct costs and services. </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We believe that offering a mix of pricing and service options provides greater flexibility and access to our platform for marketers and their advertising agencies seeking to plan, buy, and measure programmatic campaigns. As our customer base has grown, the number of percentage of spend customers has continued to increase relative to our fixed price customers, which tend to be less resilient during challenging macroeconomic periods.</w:t>
      </w:r>
    </w:p>
    <w:p>
      <w:pPr>
        <w:pStyle w:val="TextBody"/>
        <w:spacing w:lineRule="auto" w:line="288" w:before="120" w:after="283"/>
        <w:ind w:left="0" w:right="0" w:firstLine="720"/>
        <w:rPr/>
      </w:pPr>
      <w:r>
        <w:rPr>
          <w:rFonts w:ascii="Times New Roman;sans-serif" w:hAnsi="Times New Roman;sans-serif"/>
          <w:b w:val="false"/>
          <w:color w:val="231F20"/>
          <w:sz w:val="20"/>
        </w:rPr>
        <w:t xml:space="preserve">Our financial results for the three months ended </w:t>
      </w:r>
      <w:r>
        <w:rPr>
          <w:rFonts w:ascii="Times New Roman;sans-serif" w:hAnsi="Times New Roman;sans-serif"/>
          <w:b w:val="false"/>
          <w:color w:val="000000"/>
          <w:sz w:val="20"/>
        </w:rPr>
        <w:t>March 31, 2023</w:t>
      </w:r>
      <w:r>
        <w:rPr>
          <w:color w:val="231F20"/>
        </w:rPr>
        <w:t xml:space="preserve"> </w:t>
      </w:r>
      <w:r>
        <w:rPr>
          <w:rFonts w:ascii="Times New Roman;sans-serif" w:hAnsi="Times New Roman;sans-serif"/>
          <w:b w:val="false"/>
          <w:color w:val="231F20"/>
          <w:sz w:val="20"/>
        </w:rPr>
        <w:t>and 2022, respectively, include:</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Revenue of $41.7 million and $42.6 million, representing a decrease of 2.1%;</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Gross profit of $18.4 million and $16.4 million, representing an increase of 11.9%;</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Contribution ex-TAC</w:t>
      </w:r>
      <w:r>
        <w:rPr>
          <w:rFonts w:ascii="Times New Roman;sans-serif" w:hAnsi="Times New Roman;sans-serif"/>
          <w:b w:val="false"/>
          <w:color w:val="231F20"/>
          <w:sz w:val="13"/>
        </w:rPr>
        <w:t>1</w:t>
      </w:r>
      <w:r>
        <w:rPr>
          <w:color w:val="231F20"/>
        </w:rPr>
        <w:t xml:space="preserve"> </w:t>
      </w:r>
      <w:r>
        <w:rPr>
          <w:rFonts w:ascii="Times New Roman;sans-serif" w:hAnsi="Times New Roman;sans-serif"/>
          <w:b w:val="false"/>
          <w:color w:val="231F20"/>
          <w:sz w:val="20"/>
        </w:rPr>
        <w:t>of $28.0 million and $27.5 million, representing an increase of 1.6%;</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 xml:space="preserve">Net loss of $9.4 million and $13.6 million, representing an improvement of 30.9%; </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Non-GAAP net loss</w:t>
      </w:r>
      <w:r>
        <w:rPr>
          <w:rFonts w:ascii="Times New Roman;sans-serif" w:hAnsi="Times New Roman;sans-serif"/>
          <w:b w:val="false"/>
          <w:color w:val="231F20"/>
          <w:sz w:val="13"/>
        </w:rPr>
        <w:t>1</w:t>
      </w:r>
      <w:r>
        <w:rPr>
          <w:color w:val="231F20"/>
        </w:rPr>
        <w:t xml:space="preserve"> </w:t>
      </w:r>
      <w:r>
        <w:rPr>
          <w:rFonts w:ascii="Times New Roman;sans-serif" w:hAnsi="Times New Roman;sans-serif"/>
          <w:b w:val="false"/>
          <w:color w:val="231F20"/>
          <w:sz w:val="20"/>
        </w:rPr>
        <w:t>of $1.8 million and $6.8 million, representing an improvement of 73.2%; and</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Adjusted EBITDA</w:t>
      </w:r>
      <w:r>
        <w:rPr>
          <w:rFonts w:ascii="Times New Roman;sans-serif" w:hAnsi="Times New Roman;sans-serif"/>
          <w:b w:val="false"/>
          <w:color w:val="231F20"/>
          <w:sz w:val="13"/>
        </w:rPr>
        <w:t>1</w:t>
      </w:r>
      <w:r>
        <w:rPr>
          <w:color w:val="231F20"/>
        </w:rPr>
        <w:t xml:space="preserve"> </w:t>
      </w:r>
      <w:r>
        <w:rPr>
          <w:rFonts w:ascii="Times New Roman;sans-serif" w:hAnsi="Times New Roman;sans-serif"/>
          <w:b w:val="false"/>
          <w:color w:val="231F20"/>
          <w:sz w:val="20"/>
        </w:rPr>
        <w:t>of $(0.4) million and $(3.9) million, representing an increase of 90.0%.</w:t>
      </w:r>
    </w:p>
    <w:p>
      <w:pPr>
        <w:pStyle w:val="TextBody"/>
        <w:spacing w:lineRule="auto" w:line="288" w:before="240" w:after="283"/>
        <w:ind w:left="0" w:right="0" w:hanging="360"/>
        <w:rPr/>
      </w:pPr>
      <w:r>
        <w:rPr>
          <w:rFonts w:ascii="Times New Roman;sans-serif" w:hAnsi="Times New Roman;sans-serif"/>
          <w:b w:val="false"/>
          <w:color w:val="231F20"/>
          <w:sz w:val="20"/>
        </w:rPr>
        <w:t xml:space="preserve">(1)Contribution ex-TAC, non-GAAP net loss and adjusted EBITDA are non-GAAP financial measures. For a detailed discussion of our key operating and financial performance measures and a reconciliation of contribution ex-TAC, non-GAAP net loss and adjusted EBITDA to the most directly comparable financial measures calculated in accordance with generally accepted </w:t>
      </w:r>
      <w:r>
        <w:rPr>
          <w:rFonts w:ascii="Times New Roman;sans-serif" w:hAnsi="Times New Roman;sans-serif"/>
          <w:b w:val="false"/>
          <w:color w:val="000000"/>
          <w:sz w:val="20"/>
        </w:rPr>
        <w:t>accounting principles in the United States of America</w:t>
      </w:r>
      <w:r>
        <w:rPr>
          <w:color w:val="231F20"/>
        </w:rPr>
        <w:t xml:space="preserve"> </w:t>
      </w:r>
      <w:r>
        <w:rPr>
          <w:rFonts w:ascii="Times New Roman;sans-serif" w:hAnsi="Times New Roman;sans-serif"/>
          <w:b w:val="false"/>
          <w:color w:val="231F20"/>
          <w:sz w:val="20"/>
        </w:rPr>
        <w:t>(“GAAP”), see “—Key Operating and Financial Performance Measures—Use of Non-GAAP Financial Measures.”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Factors Affecting Our Performance</w:t>
      </w:r>
    </w:p>
    <w:p>
      <w:pPr>
        <w:pStyle w:val="TextBody"/>
        <w:spacing w:lineRule="auto" w:line="288" w:before="120" w:after="283"/>
        <w:rPr>
          <w:rFonts w:ascii="Times New Roman;sans-serif" w:hAnsi="Times New Roman;sans-serif"/>
          <w:b/>
          <w:i/>
          <w:color w:val="231F20"/>
          <w:sz w:val="20"/>
        </w:rPr>
      </w:pPr>
      <w:r>
        <w:rPr>
          <w:rFonts w:ascii="Times New Roman;sans-serif" w:hAnsi="Times New Roman;sans-serif"/>
          <w:b/>
          <w:i/>
          <w:color w:val="231F20"/>
          <w:sz w:val="20"/>
        </w:rPr>
        <w:t>Attract, Retain and Grow our Customer Base</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 xml:space="preserve">Our future growth depends upon our ability to retain our existing customers and increase their usage of our platform as well as add new customers. We believe many advertisers are in the early stages of moving a greater percentage of their advertising budgets to programmatic channels. By providing solutions for the planning, buying and measuring of their media spend across most channels, we believe we are well positioned to capture more of our customers’ programmatic budgets. We also continue to add functionality to our platform to encourage our customers to increase their usage. For instance, we continue to leverage artificial intelligence (AI) and machine learning in our platform to help our customers improve the efficiency and effectiveness of their advertising campaigns. Further, we intend to continue to grow our sales and marketing efforts to increase awareness of our DSP, Adelphic, and highlight the advantages of our people-based framework as cookie-based options become increasingly limited. </w:t>
      </w:r>
    </w:p>
    <w:p>
      <w:pPr>
        <w:pStyle w:val="TextBody"/>
        <w:spacing w:lineRule="auto" w:line="288" w:before="120" w:after="283"/>
        <w:ind w:left="0" w:right="0" w:firstLine="540"/>
        <w:rPr/>
      </w:pPr>
      <w:r>
        <w:rPr>
          <w:rFonts w:ascii="Times New Roman;sans-serif" w:hAnsi="Times New Roman;sans-serif"/>
          <w:b w:val="false"/>
          <w:color w:val="231F20"/>
          <w:sz w:val="20"/>
        </w:rPr>
        <w:t>Despite a number of significant macroeconomic headwinds and challenges, our active customers for the twelve months ended March 31, 2023 remained steady at 327, compared to the twelve months ended March 31, 2022. 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we charge customers. While we experienced customers reducing advertising budgets during the second half of 2022 due to macroeconomic conditions, we saw stabilizing trends during the first quarter of 2023, although our year-over-year comparisons were challenging due to the significant growth in the first quarter of 2022.</w:t>
      </w:r>
      <w:r>
        <w:rPr>
          <w:color w:val="231F20"/>
        </w:rPr>
        <w:t xml:space="preserve"> </w:t>
      </w:r>
      <w:r>
        <w:rPr>
          <w:rFonts w:ascii="Times New Roman;sans-serif" w:hAnsi="Times New Roman;sans-serif"/>
          <w:b w:val="false"/>
          <w:color w:val="231F20"/>
          <w:sz w:val="20"/>
        </w:rPr>
        <w:t xml:space="preserve">Despite a modest decline in revenue for the first quarter of 2023 compared to the first quarter of 2022, contribution ex-TAC grew by 2% compared to the first quarter of 2022 and advertiser spend per active customer grew 6% compared to the three months ended March 31, 2022. </w:t>
      </w:r>
      <w:r>
        <w:rPr>
          <w:rFonts w:ascii="Times New Roman;sans-serif" w:hAnsi="Times New Roman;sans-serif"/>
          <w:b w:val="false"/>
          <w:color w:val="000000"/>
          <w:sz w:val="20"/>
        </w:rPr>
        <w:t>We believe growing customer adoption of our newer products drove incremental revenue and contribution ex-TAC during the first quarter.</w:t>
      </w:r>
      <w:r>
        <w:rPr>
          <w:color w:val="231F20"/>
        </w:rPr>
        <w:t xml:space="preserve"> </w:t>
      </w:r>
      <w:r>
        <w:rPr>
          <w:rFonts w:ascii="Times New Roman;sans-serif" w:hAnsi="Times New Roman;sans-serif"/>
          <w:b w:val="false"/>
          <w:color w:val="231F20"/>
          <w:sz w:val="20"/>
        </w:rPr>
        <w:t xml:space="preserve">Also, </w:t>
      </w:r>
      <w:r>
        <w:rPr>
          <w:rFonts w:ascii="Times New Roman;sans-serif" w:hAnsi="Times New Roman;sans-serif"/>
          <w:b w:val="false"/>
          <w:color w:val="000000"/>
          <w:sz w:val="20"/>
        </w:rPr>
        <w:t>as our mix shift towards percentage of spend becomes less impactful and as fixed price becomes a smaller percentage of total advertiser spend, we expect contribution ex-TAC to grow faster than revenue.</w:t>
      </w:r>
      <w:r>
        <w:rPr>
          <w:color w:val="000000"/>
        </w:rPr>
        <w:t xml:space="preserve"> </w:t>
      </w:r>
      <w:r>
        <w:rPr>
          <w:rFonts w:ascii="Times New Roman;sans-serif" w:hAnsi="Times New Roman;sans-serif"/>
          <w:b w:val="false"/>
          <w:color w:val="000000"/>
          <w:sz w:val="20"/>
        </w:rPr>
        <w:t xml:space="preserve">Notwithstanding stabilizing trends in the first quarter of 2023, </w:t>
      </w:r>
      <w:r>
        <w:rPr>
          <w:rFonts w:ascii="Times New Roman;sans-serif" w:hAnsi="Times New Roman;sans-serif"/>
          <w:b w:val="false"/>
          <w:color w:val="231F20"/>
          <w:sz w:val="20"/>
        </w:rPr>
        <w:t>we expect the deceleration in advertising spend that began in the second half of 2022 will continue into future periods if challenging macroeconomic and geopolitical conditions, as more fully discussed below, continue or worsen. For a detailed discussion of our key operating measures including the definition of active customers, see “—Key Operating and Financial Performance Measures—Use of Non-GAAP Financial Measures.”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Investment in Growth</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We believe that the advertising market is in the early stages of a shift toward programmatic advertising. We plan to invest for long-term growth. We anticipate that our operating expenses will continue to increase in the foreseeable future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Impact of Macroeconomic and Geopolitical Conditions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Macroeconomic conditions and geopolitical events, including the COVID-19 pandemic, bank failures, inflation and monetary supply shifts, rising interest rates, tightening of credit markets, recession risks, labor shortages, shortages of goods and services, supply chain disruptions, and potential disruptions from the Russia-Ukraine conflict, continue to impact our business and the business of our customers, while also disrupting sales channels and advertising and marketing activities. While our number of active customers for the twelve months ended March 31, 2023 remained consistent over the past twelve months, we have observed decreases in revenue that we attribute to marketers in certain industry verticals decreasing or pausing their advertising spend due to the impacts of these macroeconomic conditions. We continue to actively monitor the impact of these macroeconomic factors on our results of operations, financial condition and cash flows, and on our clients, partners, industry and employees, and have slowed the pace of further investments in sales and marketing as a result of these factors. The extent of the impact of these factors on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we initiated a cost reduction plan aimed at reducing our operating expenses and sharpening our focus on key growth priorities in light of these macroeconomic conditions. This included a reduction of our employee headcount by approximately 13% and total restructuring charges included in our consolidated statements of operations for the year ended December 31, 2022 of $1.4 million, consisting primarily of cash severance payments, employee benefits, and related costs.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See “Risk Factors—The effects of macroeconomic conditions and geopolitical events, such as economic recessions and the COVID-19 pandemic and other adverse market events have had, and could in the future have, an adverse impact on our business,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operating results and financial condition” for further discussion of the potential impacts of macroeconomic and geopolitical events on our business, financial condition and results of operations.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Growth of the Digital Advertising Market</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Seasonality</w:t>
      </w:r>
    </w:p>
    <w:p>
      <w:pPr>
        <w:pStyle w:val="TextBody"/>
        <w:spacing w:lineRule="auto" w:line="288" w:before="120" w:after="283"/>
        <w:ind w:left="0" w:right="0" w:firstLine="540"/>
        <w:rPr/>
      </w:pPr>
      <w:r>
        <w:rPr>
          <w:rFonts w:ascii="Times New Roman;sans-serif" w:hAnsi="Times New Roman;sans-serif"/>
          <w:b w:val="false"/>
          <w:color w:val="231F20"/>
          <w:sz w:val="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Times New Roman;sans-serif" w:hAnsi="Times New Roman;sans-serif"/>
          <w:b w:val="false"/>
          <w:color w:val="000000"/>
          <w:sz w:val="20"/>
        </w:rPr>
        <w:t>.</w:t>
      </w:r>
      <w:r>
        <w:rPr>
          <w:color w:val="231F20"/>
        </w:rPr>
        <w:t xml:space="preserve"> </w:t>
      </w:r>
      <w:r>
        <w:rPr>
          <w:rFonts w:ascii="Times New Roman;sans-serif" w:hAnsi="Times New Roman;sans-serif"/>
          <w:b w:val="false"/>
          <w:color w:val="231F20"/>
          <w:sz w:val="20"/>
        </w:rPr>
        <w:t>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The following tables present our condensed consolidated statements of operations, our condensed consolidated statements of operations as a percentage of revenue, and the impact of stock-based compensation, depreciation and amortization on each operating expense line item for the three months ended March 31, 2023 and 2022:</w:t>
      </w:r>
    </w:p>
    <w:tbl>
      <w:tblPr>
        <w:tblW w:w="6878" w:type="dxa"/>
        <w:jc w:val="center"/>
        <w:tblInd w:w="0" w:type="dxa"/>
        <w:tblCellMar>
          <w:top w:w="28" w:type="dxa"/>
          <w:left w:w="28" w:type="dxa"/>
          <w:bottom w:w="28" w:type="dxa"/>
          <w:right w:w="28" w:type="dxa"/>
        </w:tblCellMar>
      </w:tblPr>
      <w:tblGrid>
        <w:gridCol w:w="1603"/>
        <w:gridCol w:w="1409"/>
        <w:gridCol w:w="1412"/>
        <w:gridCol w:w="211"/>
        <w:gridCol w:w="721"/>
        <w:gridCol w:w="109"/>
        <w:gridCol w:w="109"/>
        <w:gridCol w:w="109"/>
        <w:gridCol w:w="109"/>
        <w:gridCol w:w="211"/>
        <w:gridCol w:w="721"/>
        <w:gridCol w:w="154"/>
      </w:tblGrid>
      <w:tr>
        <w:trPr/>
        <w:tc>
          <w:tcPr>
            <w:tcW w:w="1603"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tbl>
      <w:tblPr>
        <w:tblW w:w="6684" w:type="dxa"/>
        <w:jc w:val="center"/>
        <w:tblInd w:w="0" w:type="dxa"/>
        <w:tblCellMar>
          <w:top w:w="28" w:type="dxa"/>
          <w:left w:w="28" w:type="dxa"/>
          <w:bottom w:w="28" w:type="dxa"/>
          <w:right w:w="28" w:type="dxa"/>
        </w:tblCellMar>
      </w:tblPr>
      <w:tblGrid>
        <w:gridCol w:w="1603"/>
        <w:gridCol w:w="1409"/>
        <w:gridCol w:w="1412"/>
        <w:gridCol w:w="266"/>
        <w:gridCol w:w="200"/>
        <w:gridCol w:w="394"/>
        <w:gridCol w:w="158"/>
        <w:gridCol w:w="158"/>
        <w:gridCol w:w="158"/>
        <w:gridCol w:w="266"/>
        <w:gridCol w:w="200"/>
        <w:gridCol w:w="460"/>
      </w:tblGrid>
      <w:tr>
        <w:trPr/>
        <w:tc>
          <w:tcPr>
            <w:tcW w:w="1603"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p>
        </w:tc>
        <w:tc>
          <w:tcPr>
            <w:tcW w:w="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hanging="360"/>
        <w:rPr/>
      </w:pPr>
      <w:r>
        <w:rPr>
          <w:rFonts w:ascii="Times New Roman;sans-serif" w:hAnsi="Times New Roman;sans-serif"/>
          <w:b w:val="false"/>
          <w:color w:val="231F20"/>
          <w:sz w:val="20"/>
        </w:rPr>
        <w:t>*Percentages may not sum due to rounding</w:t>
      </w:r>
      <w:r>
        <w:rPr>
          <w:color w:val="000000"/>
        </w:rPr>
        <w:t xml:space="preserve"> </w:t>
      </w:r>
    </w:p>
    <w:p>
      <w:pPr>
        <w:pStyle w:val="TextBody"/>
        <w:spacing w:lineRule="auto" w:line="288" w:before="240" w:after="283"/>
        <w:ind w:left="0" w:right="0" w:hanging="360"/>
        <w:rPr/>
      </w:pPr>
      <w:r>
        <w:rPr>
          <w:rFonts w:ascii="Times New Roman;sans-serif" w:hAnsi="Times New Roman;sans-serif"/>
          <w:b w:val="false"/>
          <w:color w:val="231F20"/>
          <w:sz w:val="20"/>
        </w:rPr>
        <w:t>(1)</w:t>
      </w:r>
      <w:r>
        <w:rPr>
          <w:rFonts w:ascii="Times New Roman;sans-serif" w:hAnsi="Times New Roman;sans-serif"/>
          <w:b w:val="false"/>
          <w:color w:val="000000"/>
          <w:sz w:val="20"/>
        </w:rPr>
        <w:t>Stock-based compensation, depreciation, and amortization included in operating expenses are as follows:</w:t>
      </w:r>
    </w:p>
    <w:tbl>
      <w:tblPr>
        <w:tblW w:w="4989" w:type="dxa"/>
        <w:jc w:val="center"/>
        <w:tblInd w:w="0" w:type="dxa"/>
        <w:tblCellMar>
          <w:top w:w="28" w:type="dxa"/>
          <w:left w:w="28" w:type="dxa"/>
          <w:bottom w:w="28" w:type="dxa"/>
          <w:right w:w="28" w:type="dxa"/>
        </w:tblCellMar>
      </w:tblPr>
      <w:tblGrid>
        <w:gridCol w:w="996"/>
        <w:gridCol w:w="873"/>
        <w:gridCol w:w="876"/>
        <w:gridCol w:w="211"/>
        <w:gridCol w:w="616"/>
        <w:gridCol w:w="109"/>
        <w:gridCol w:w="109"/>
        <w:gridCol w:w="109"/>
        <w:gridCol w:w="109"/>
        <w:gridCol w:w="211"/>
        <w:gridCol w:w="616"/>
        <w:gridCol w:w="154"/>
      </w:tblGrid>
      <w:tr>
        <w:trPr/>
        <w:tc>
          <w:tcPr>
            <w:tcW w:w="996"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4809" w:type="dxa"/>
        <w:jc w:val="center"/>
        <w:tblInd w:w="0" w:type="dxa"/>
        <w:tblCellMar>
          <w:top w:w="28" w:type="dxa"/>
          <w:left w:w="28" w:type="dxa"/>
          <w:bottom w:w="28" w:type="dxa"/>
          <w:right w:w="28" w:type="dxa"/>
        </w:tblCellMar>
      </w:tblPr>
      <w:tblGrid>
        <w:gridCol w:w="927"/>
        <w:gridCol w:w="816"/>
        <w:gridCol w:w="822"/>
        <w:gridCol w:w="211"/>
        <w:gridCol w:w="616"/>
        <w:gridCol w:w="109"/>
        <w:gridCol w:w="109"/>
        <w:gridCol w:w="109"/>
        <w:gridCol w:w="109"/>
        <w:gridCol w:w="211"/>
        <w:gridCol w:w="616"/>
        <w:gridCol w:w="154"/>
      </w:tblGrid>
      <w:tr>
        <w:trPr/>
        <w:tc>
          <w:tcPr>
            <w:tcW w:w="927"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tbl>
      <w:tblPr>
        <w:tblW w:w="4527" w:type="dxa"/>
        <w:jc w:val="center"/>
        <w:tblInd w:w="0" w:type="dxa"/>
        <w:tblCellMar>
          <w:top w:w="28" w:type="dxa"/>
          <w:left w:w="28" w:type="dxa"/>
          <w:bottom w:w="28" w:type="dxa"/>
          <w:right w:w="28" w:type="dxa"/>
        </w:tblCellMar>
      </w:tblPr>
      <w:tblGrid>
        <w:gridCol w:w="928"/>
        <w:gridCol w:w="816"/>
        <w:gridCol w:w="820"/>
        <w:gridCol w:w="213"/>
        <w:gridCol w:w="471"/>
        <w:gridCol w:w="110"/>
        <w:gridCol w:w="110"/>
        <w:gridCol w:w="110"/>
        <w:gridCol w:w="110"/>
        <w:gridCol w:w="213"/>
        <w:gridCol w:w="471"/>
        <w:gridCol w:w="155"/>
      </w:tblGrid>
      <w:tr>
        <w:trPr/>
        <w:tc>
          <w:tcPr>
            <w:tcW w:w="92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Amortization:</w:t>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Comparison of the Three Months Ended March 31, 2023 and 2022</w:t>
      </w:r>
    </w:p>
    <w:p>
      <w:pPr>
        <w:pStyle w:val="TextBody"/>
        <w:spacing w:lineRule="auto" w:line="288" w:before="120" w:after="283"/>
        <w:rPr>
          <w:rFonts w:ascii="Times New Roman;sans-serif" w:hAnsi="Times New Roman;sans-serif"/>
          <w:b/>
          <w:i/>
          <w:color w:val="231F20"/>
          <w:sz w:val="20"/>
        </w:rPr>
      </w:pPr>
      <w:r>
        <w:rPr>
          <w:rFonts w:ascii="Times New Roman;sans-serif" w:hAnsi="Times New Roman;sans-serif"/>
          <w:b/>
          <w:i/>
          <w:color w:val="231F20"/>
          <w:sz w:val="20"/>
        </w:rPr>
        <w:t>Revenue</w:t>
      </w:r>
    </w:p>
    <w:tbl>
      <w:tblPr>
        <w:tblW w:w="5411" w:type="dxa"/>
        <w:jc w:val="center"/>
        <w:tblInd w:w="0" w:type="dxa"/>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721"/>
        <w:gridCol w:w="109"/>
        <w:gridCol w:w="109"/>
        <w:gridCol w:w="109"/>
        <w:gridCol w:w="109"/>
        <w:gridCol w:w="211"/>
        <w:gridCol w:w="541"/>
        <w:gridCol w:w="109"/>
        <w:gridCol w:w="109"/>
        <w:gridCol w:w="109"/>
        <w:gridCol w:w="109"/>
        <w:gridCol w:w="164"/>
        <w:gridCol w:w="166"/>
        <w:gridCol w:w="316"/>
      </w:tblGrid>
      <w:tr>
        <w:trPr/>
        <w:tc>
          <w:tcPr>
            <w:tcW w:w="30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Revenue decreased by $0.9 million, or 2%, during the three months ended March 31, 2023 compared to the three months ended March 31, 2022. This decrease in revenue was primarily due to certain marketers in the business and financial services, consumer products, and retail industry verticals being impacted by the ongoing adverse effects of labor shortages, inflation and monetary supply shifts, rising interest rates, the tightening of credit markets, and other adverse macroeconomic and geopolitical developments potentially indicative of an economic slowdown or recession. This resulted in revenue decreasing across these industry verticals by a combined 27% from the prior-year period. This decrease was partially offset by a 22% increase in revenue from the prior-year period from marketers in industry verticals other than business and financial services, consumer products, and retail. Additionally, approximately 93% of our revenue for the three months ended March 31, 2023 came from customers that had been customers in the three months ended March 31, 2022.</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120" w:after="283"/>
        <w:rPr>
          <w:rFonts w:ascii="Times New Roman;sans-serif" w:hAnsi="Times New Roman;sans-serif"/>
          <w:b w:val="false"/>
          <w:i/>
          <w:color w:val="231F20"/>
          <w:sz w:val="20"/>
        </w:rPr>
      </w:pPr>
      <w:r>
        <w:rPr>
          <w:rFonts w:ascii="Times New Roman;sans-serif" w:hAnsi="Times New Roman;sans-serif"/>
          <w:b w:val="false"/>
          <w:i/>
          <w:color w:val="231F20"/>
          <w:sz w:val="20"/>
        </w:rPr>
        <w:t>Platform Operations</w:t>
      </w:r>
    </w:p>
    <w:tbl>
      <w:tblPr>
        <w:tblW w:w="7353" w:type="dxa"/>
        <w:jc w:val="center"/>
        <w:tblInd w:w="0" w:type="dxa"/>
        <w:tblCellMar>
          <w:top w:w="28" w:type="dxa"/>
          <w:left w:w="28" w:type="dxa"/>
          <w:bottom w:w="28" w:type="dxa"/>
          <w:right w:w="28" w:type="dxa"/>
        </w:tblCellMar>
      </w:tblPr>
      <w:tblGrid>
        <w:gridCol w:w="798"/>
        <w:gridCol w:w="702"/>
        <w:gridCol w:w="704"/>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6"/>
        <w:gridCol w:w="219"/>
        <w:gridCol w:w="316"/>
      </w:tblGrid>
      <w:tr>
        <w:trPr/>
        <w:tc>
          <w:tcPr>
            <w:tcW w:w="7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Traffic acquisition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platform operations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 xml:space="preserve">Platform operations expense decreased by $2.9 million, or 11%, during the three months ended March 31, 2023 compared to the three months ended March 31, 2022. This decrease was primarily driven by a $1.4 million decrease in traffic acquisition costs ("TAC"), a variable function of revenue related to our fixed CPM pricing option and certain arrangements related to our percentage of spend pricing option. TAC are amounts incurred and payable to suppliers for the cost of advertising media, third-party data and other add-on features. The decrease in other platform operations expense for the first quarter of 2023 was due to a $0.7 million decrease in cloud costs due to continued efforts to increase cloud infrastructure efficiencies, a $0.6 million decrease in third-party costs in support of our Adelphic platform, a $0.4 million decrease in personnel costs and a $0.2 million decrease in stock-based compensation driven by decreased headcount, partially offset by a $0.6 million increase in depreciation related to our continued investment in developed technology.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Sales and Marketing</w:t>
      </w:r>
    </w:p>
    <w:tbl>
      <w:tblPr>
        <w:tblW w:w="7054" w:type="dxa"/>
        <w:jc w:val="center"/>
        <w:tblInd w:w="0" w:type="dxa"/>
        <w:tblCellMar>
          <w:top w:w="28" w:type="dxa"/>
          <w:left w:w="28" w:type="dxa"/>
          <w:bottom w:w="28" w:type="dxa"/>
          <w:right w:w="28" w:type="dxa"/>
        </w:tblCellMar>
      </w:tblPr>
      <w:tblGrid>
        <w:gridCol w:w="688"/>
        <w:gridCol w:w="606"/>
        <w:gridCol w:w="610"/>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18"/>
        <w:gridCol w:w="218"/>
        <w:gridCol w:w="316"/>
      </w:tblGrid>
      <w:tr>
        <w:trPr/>
        <w:tc>
          <w:tcPr>
            <w:tcW w:w="688"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pPr>
      <w:r>
        <w:rPr>
          <w:rFonts w:ascii="Times New Roman;sans-serif" w:hAnsi="Times New Roman;sans-serif"/>
          <w:b w:val="false"/>
          <w:color w:val="231F20"/>
          <w:sz w:val="20"/>
        </w:rPr>
        <w:t xml:space="preserve">Sales and marketing expense decreased by $1.6 million, or 12%, during the three months ended March 31, 2023 compared to the three months ended March 31, 2022. This decrease was primarily due to a $2.0 million decrease in personnel costs due to a decrease in sales and marketing headcount and </w:t>
      </w:r>
      <w:r>
        <w:rPr>
          <w:rFonts w:ascii="Times New Roman;sans-serif" w:hAnsi="Times New Roman;sans-serif"/>
          <w:b w:val="false"/>
          <w:color w:val="221F1F"/>
          <w:sz w:val="20"/>
        </w:rPr>
        <w:t>a $0.6 million</w:t>
      </w:r>
      <w:r>
        <w:rPr>
          <w:color w:val="231F20"/>
        </w:rPr>
        <w:t xml:space="preserve"> </w:t>
      </w:r>
      <w:r>
        <w:rPr>
          <w:rFonts w:ascii="Times New Roman;sans-serif" w:hAnsi="Times New Roman;sans-serif"/>
          <w:b w:val="false"/>
          <w:color w:val="231F20"/>
          <w:sz w:val="20"/>
        </w:rPr>
        <w:t>decrease in advertising expense, partially offset by a $0.5 million increase in travel and entertainment expenses and a $0.3 million increase in stock-based compensation.</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Technology and Development</w:t>
      </w:r>
    </w:p>
    <w:tbl>
      <w:tblPr>
        <w:tblW w:w="7204" w:type="dxa"/>
        <w:jc w:val="center"/>
        <w:tblInd w:w="0" w:type="dxa"/>
        <w:tblCellMar>
          <w:top w:w="28" w:type="dxa"/>
          <w:left w:w="28" w:type="dxa"/>
          <w:bottom w:w="28" w:type="dxa"/>
          <w:right w:w="28" w:type="dxa"/>
        </w:tblCellMar>
      </w:tblPr>
      <w:tblGrid>
        <w:gridCol w:w="930"/>
        <w:gridCol w:w="815"/>
        <w:gridCol w:w="819"/>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180"/>
        <w:gridCol w:w="181"/>
        <w:gridCol w:w="316"/>
      </w:tblGrid>
      <w:tr>
        <w:trPr/>
        <w:tc>
          <w:tcPr>
            <w:tcW w:w="93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Technology and development expense increased by $0.9 million, or 18%, during the three months ended March 31, 2023 compared to the three months ended March 31, 2022. This increase was primarily attributable to a $0.6 million increase in personnel costs and $0.2 million increase in stock-based compensation driven by increased technology and development headcount and a $0.2 million increase in cloud infrastructure costs, which was partially offset by a $0.2 million decrease in depreciation.</w:t>
      </w:r>
    </w:p>
    <w:p>
      <w:pPr>
        <w:pStyle w:val="TextBody"/>
        <w:spacing w:lineRule="auto" w:line="288" w:before="240" w:after="120"/>
        <w:rPr>
          <w:rFonts w:ascii="Times New Roman;sans-serif" w:hAnsi="Times New Roman;sans-serif"/>
          <w:b w:val="false"/>
          <w:i/>
          <w:color w:val="231F20"/>
          <w:sz w:val="20"/>
        </w:rPr>
      </w:pPr>
      <w:r>
        <w:rPr>
          <w:rFonts w:ascii="Times New Roman;sans-serif" w:hAnsi="Times New Roman;sans-serif"/>
          <w:b w:val="false"/>
          <w:i/>
          <w:color w:val="231F20"/>
          <w:sz w:val="20"/>
        </w:rPr>
        <w:t>General and Administrative</w:t>
      </w:r>
    </w:p>
    <w:tbl>
      <w:tblPr>
        <w:tblW w:w="7054" w:type="dxa"/>
        <w:jc w:val="center"/>
        <w:tblInd w:w="0" w:type="dxa"/>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466"/>
        <w:gridCol w:w="109"/>
        <w:gridCol w:w="109"/>
        <w:gridCol w:w="109"/>
        <w:gridCol w:w="109"/>
        <w:gridCol w:w="128"/>
        <w:gridCol w:w="128"/>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pPr>
      <w:r>
        <w:rPr>
          <w:rFonts w:ascii="Times New Roman;sans-serif" w:hAnsi="Times New Roman;sans-serif"/>
          <w:b w:val="false"/>
          <w:color w:val="231F20"/>
          <w:sz w:val="20"/>
        </w:rPr>
        <w:t>General and administrative expense increased by $0.3 million, or 3%, during the three months ended March 31, 2023 compared to the three months ended March 31, 2022. This increase was primarily attributable to</w:t>
      </w:r>
      <w:r>
        <w:rPr>
          <w:color w:val="000000"/>
        </w:rPr>
        <w:t xml:space="preserve"> </w:t>
      </w:r>
      <w:r>
        <w:rPr>
          <w:rFonts w:ascii="Times New Roman;sans-serif" w:hAnsi="Times New Roman;sans-serif"/>
          <w:b w:val="false"/>
          <w:color w:val="231F20"/>
          <w:sz w:val="20"/>
        </w:rPr>
        <w:t>a $0.8 million increase in stock-based compensation, a $0.3 million increase in travel and entertainment expenses, and a $0.1 million increase in software license and subscription costs, partially offset by a $0.4 million decrease in recruiting expenses, a $0.3 million decrease in business insurance and tax, accounting, legal, and consulting expenses associated with general corporate and compliance matters, and a $0.2 million decrease in personnel costs driven by decreased headcount.</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Total Other Expense (Income), Net</w:t>
      </w:r>
    </w:p>
    <w:tbl>
      <w:tblPr>
        <w:tblW w:w="7414" w:type="dxa"/>
        <w:jc w:val="center"/>
        <w:tblInd w:w="0" w:type="dxa"/>
        <w:tblCellMar>
          <w:top w:w="28" w:type="dxa"/>
          <w:left w:w="28" w:type="dxa"/>
          <w:bottom w:w="28" w:type="dxa"/>
          <w:right w:w="28" w:type="dxa"/>
        </w:tblCellMar>
      </w:tblPr>
      <w:tblGrid>
        <w:gridCol w:w="1025"/>
        <w:gridCol w:w="903"/>
        <w:gridCol w:w="907"/>
        <w:gridCol w:w="211"/>
        <w:gridCol w:w="691"/>
        <w:gridCol w:w="271"/>
        <w:gridCol w:w="109"/>
        <w:gridCol w:w="109"/>
        <w:gridCol w:w="109"/>
        <w:gridCol w:w="211"/>
        <w:gridCol w:w="466"/>
        <w:gridCol w:w="271"/>
        <w:gridCol w:w="109"/>
        <w:gridCol w:w="109"/>
        <w:gridCol w:w="109"/>
        <w:gridCol w:w="211"/>
        <w:gridCol w:w="691"/>
        <w:gridCol w:w="109"/>
        <w:gridCol w:w="109"/>
        <w:gridCol w:w="109"/>
        <w:gridCol w:w="109"/>
        <w:gridCol w:w="136"/>
        <w:gridCol w:w="136"/>
        <w:gridCol w:w="194"/>
      </w:tblGrid>
      <w:tr>
        <w:trPr/>
        <w:tc>
          <w:tcPr>
            <w:tcW w:w="1025"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Total other income for the three months ended March 31, 2023 was $1.7 million compared to total other expense of $0.2 million for the same period in 2022. The change from the prior year was primarily due to higher interest income and a lower interest expense as a result of paying off the full outstanding balance under our revolving credit facility with PNC Bank, National Association (“PNC Bank”) in May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Key Operating and Financial Performance Measures</w:t>
      </w:r>
    </w:p>
    <w:p>
      <w:pPr>
        <w:pStyle w:val="TextBody"/>
        <w:spacing w:lineRule="auto" w:line="288" w:before="120" w:after="283"/>
        <w:rPr>
          <w:rFonts w:ascii="Times New Roman;sans-serif" w:hAnsi="Times New Roman;sans-serif"/>
          <w:b/>
          <w:i/>
          <w:color w:val="231F20"/>
          <w:sz w:val="20"/>
        </w:rPr>
      </w:pPr>
      <w:r>
        <w:rPr>
          <w:rFonts w:ascii="Times New Roman;sans-serif" w:hAnsi="Times New Roman;sans-serif"/>
          <w:b/>
          <w:i/>
          <w:color w:val="231F20"/>
          <w:sz w:val="20"/>
        </w:rPr>
        <w:t>Use of Non-GAAP Financial Measures</w:t>
      </w:r>
    </w:p>
    <w:p>
      <w:pPr>
        <w:pStyle w:val="TextBody"/>
        <w:spacing w:lineRule="auto" w:line="288" w:before="120" w:after="283"/>
        <w:ind w:left="0" w:right="0" w:firstLine="540"/>
        <w:rPr/>
      </w:pPr>
      <w:r>
        <w:rPr>
          <w:rFonts w:ascii="Times New Roman;sans-serif" w:hAnsi="Times New Roman;sans-serif"/>
          <w:b w:val="false"/>
          <w:color w:val="231F20"/>
          <w:sz w:val="20"/>
        </w:rPr>
        <w:t xml:space="preserve">We monitor certain non-GAAP financial measures to help us evaluate growth trends, establish budgets, measure the effectiveness of our sales and marketing efforts and assess our operational efficiencies. </w:t>
      </w:r>
      <w:r>
        <w:rPr>
          <w:rFonts w:ascii="Times New Roman;sans-serif" w:hAnsi="Times New Roman;sans-serif"/>
          <w:b w:val="false"/>
          <w:color w:val="000000"/>
          <w:sz w:val="20"/>
        </w:rPr>
        <w:t xml:space="preserve">We believe these measures enhance an overall understanding of our performance and investors’ 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sans-serif" w:hAnsi="Times New Roman;sans-serif"/>
          <w:b w:val="false"/>
          <w:color w:val="231F20"/>
          <w:sz w:val="20"/>
        </w:rPr>
        <w:t>These non-GAAP financial measures include contribution ex-TAC, average contribution ex-TAC per active customer, non-GAAP operating expenses, adjusted EBITDA, adjusted EBITDA as a percentage of contribution ex-TAC, non-GAAP net income (loss), and non-GAAP earnings (loss) per share of Class A common stock—basic and diluted, each of which are discussed immediately following the table below, along with the operational performance measure of active customers.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tbl>
      <w:tblPr>
        <w:tblW w:w="9135" w:type="dxa"/>
        <w:jc w:val="center"/>
        <w:tblInd w:w="0" w:type="dxa"/>
        <w:tblCellMar>
          <w:top w:w="28" w:type="dxa"/>
          <w:left w:w="28" w:type="dxa"/>
          <w:bottom w:w="28" w:type="dxa"/>
          <w:right w:w="28" w:type="dxa"/>
        </w:tblCellMar>
      </w:tblPr>
      <w:tblGrid>
        <w:gridCol w:w="1756"/>
        <w:gridCol w:w="1543"/>
        <w:gridCol w:w="1546"/>
        <w:gridCol w:w="211"/>
        <w:gridCol w:w="721"/>
        <w:gridCol w:w="271"/>
        <w:gridCol w:w="109"/>
        <w:gridCol w:w="109"/>
        <w:gridCol w:w="109"/>
        <w:gridCol w:w="211"/>
        <w:gridCol w:w="796"/>
        <w:gridCol w:w="271"/>
        <w:gridCol w:w="109"/>
        <w:gridCol w:w="109"/>
        <w:gridCol w:w="109"/>
        <w:gridCol w:w="235"/>
        <w:gridCol w:w="235"/>
        <w:gridCol w:w="685"/>
      </w:tblGrid>
      <w:tr>
        <w:trPr/>
        <w:tc>
          <w:tcPr>
            <w:tcW w:w="1756"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and Financial Performance Measures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as a percentage of gross profit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as a percentage of contribution ex-TAC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(loss) per share—basic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(loss) per share—diluted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Average gross profit per active customer</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Average contribution ex-TAC per active customer</w:t>
            </w:r>
            <w:r>
              <w:rPr>
                <w:rFonts w:ascii="Times New Roman;sans-serif" w:hAnsi="Times New Roman;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hanging="360"/>
        <w:rPr>
          <w:rFonts w:ascii="Times New Roman;sans-serif" w:hAnsi="Times New Roman;sans-serif"/>
          <w:b w:val="false"/>
          <w:color w:val="231F20"/>
          <w:sz w:val="20"/>
        </w:rPr>
      </w:pPr>
      <w:r>
        <w:rPr>
          <w:rFonts w:ascii="Times New Roman;sans-serif" w:hAnsi="Times New Roman;sans-serif"/>
          <w:b w:val="false"/>
          <w:color w:val="231F20"/>
          <w:sz w:val="20"/>
        </w:rPr>
        <w:t>(1)We define average gross profit per active customer as gross profit for the trailing 12-month period divided by active customers.</w:t>
      </w:r>
    </w:p>
    <w:p>
      <w:pPr>
        <w:pStyle w:val="TextBody"/>
        <w:spacing w:lineRule="auto" w:line="288" w:before="120" w:after="283"/>
        <w:ind w:left="0" w:right="0" w:hanging="360"/>
        <w:rPr>
          <w:rFonts w:ascii="Times New Roman;sans-serif" w:hAnsi="Times New Roman;sans-serif"/>
          <w:b w:val="false"/>
          <w:color w:val="231F20"/>
          <w:sz w:val="20"/>
        </w:rPr>
      </w:pPr>
      <w:r>
        <w:rPr>
          <w:rFonts w:ascii="Times New Roman;sans-serif" w:hAnsi="Times New Roman;sans-serif"/>
          <w:b w:val="false"/>
          <w:color w:val="231F20"/>
          <w:sz w:val="20"/>
        </w:rPr>
        <w:t>(2)We define average contribution ex-TAC per active customer as contribution ex-TAC for the trailing 12-month period divided by active customers.</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Contribution ex-TAC</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120" w:after="283"/>
        <w:ind w:left="0" w:right="0" w:firstLine="540"/>
        <w:rPr/>
      </w:pPr>
      <w:r>
        <w:rPr>
          <w:rFonts w:ascii="Times New Roman;sans-serif" w:hAnsi="Times New Roman;sans-serif"/>
          <w:b w:val="false"/>
          <w:color w:val="231F2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these and other limitations, you should consider our non-GAAP financial measures only as supplemental to other GAAP-based financial performance measures, including revenue, gross profit, net income (loss) and cash flows. For a reconciliation of contribution ex-TAC to the most directly comparable financial measure calculated in accordance with GAAP, see “</w:t>
      </w:r>
      <w:r>
        <w:rPr>
          <w:color w:val="231F20"/>
        </w:rPr>
        <w:t>—</w:t>
      </w:r>
      <w:r>
        <w:rPr>
          <w:rFonts w:ascii="Times New Roman;sans-serif" w:hAnsi="Times New Roman;sans-serif"/>
          <w:b w:val="false"/>
          <w:i/>
          <w:color w:val="231F20"/>
          <w:sz w:val="20"/>
        </w:rPr>
        <w:t>Average contribution ex-TAC per active customer</w:t>
      </w:r>
      <w:r>
        <w:rPr>
          <w:rFonts w:ascii="Times New Roman;sans-serif" w:hAnsi="Times New Roman;sans-serif"/>
          <w:b w:val="false"/>
          <w:color w:val="231F20"/>
          <w:sz w:val="20"/>
        </w:rPr>
        <w:t>.”</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Active customers</w:t>
      </w:r>
    </w:p>
    <w:p>
      <w:pPr>
        <w:pStyle w:val="TextBody"/>
        <w:spacing w:lineRule="auto" w:line="288" w:before="120" w:after="283"/>
        <w:ind w:left="0" w:right="0" w:firstLine="540"/>
        <w:rPr/>
      </w:pPr>
      <w:r>
        <w:rPr>
          <w:rFonts w:ascii="Times New Roman;sans-serif" w:hAnsi="Times New Roman;sans-serif"/>
          <w:b w:val="false"/>
          <w:color w:val="231F20"/>
          <w:sz w:val="20"/>
        </w:rPr>
        <w:t>We define an active customer as a customer that had total aggregate contribution ex-TAC of at least $5,000 through our platform during the previous twelve months. For purposes of this definition, a customer that operates under any of our pricing options that equals or exceeds the aforementioned contribution ex-TAC threshold is considered an active customer. Active customers is a key measure used by our management and board of directors to understand and evaluate our operating performance and trends, develop short- and long-term operational plans and make strategic decisions regarding future enhancements to our platform. We believe active customers is a useful metric for investors because it allows investors to evaluate the Company’s operational performance in the same manner as our management and board of directors. Active customers is an operational metric calculated using contribution ex-TAC, a non-GAAP financial measure. For a reconciliation of contribution ex-TAC to the most directly comparable financial measure calculated in accordance with GAAP, see “</w:t>
      </w:r>
      <w:r>
        <w:rPr>
          <w:color w:val="231F20"/>
        </w:rPr>
        <w:t>—</w:t>
      </w:r>
      <w:r>
        <w:rPr>
          <w:rFonts w:ascii="Times New Roman;sans-serif" w:hAnsi="Times New Roman;sans-serif"/>
          <w:b w:val="false"/>
          <w:i/>
          <w:color w:val="231F20"/>
          <w:sz w:val="20"/>
        </w:rPr>
        <w:t>Average contribution ex-TAC per active customer</w:t>
      </w:r>
      <w:r>
        <w:rPr>
          <w:rFonts w:ascii="Times New Roman;sans-serif" w:hAnsi="Times New Roman;sans-serif"/>
          <w:b w:val="false"/>
          <w:color w:val="231F20"/>
          <w:sz w:val="20"/>
        </w:rPr>
        <w:t>.”</w:t>
      </w:r>
      <w:r>
        <w:rPr>
          <w:color w:val="000000"/>
        </w:rPr>
        <w:t xml:space="preserve"> </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Average contribution ex-TAC per active customer</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We define average contribution ex-TAC per active customer as contribution ex-TAC for the trailing 12-month period presented divided by active customers. Average gross profit per active customer is the most comparable GAAP measure, which we define as gross profit for the trailing 12-month period presented divided by active customers. We believe that the total number of active customers and average contribution ex-TAC per active customer are measures of our ability to increase revenue and profitability and the effectiveness of our sales force, although we expect these measures to fluctuate based on the seasonality in our business. Customers that generated less than $5,000 in contribution ex-TAC in the trailing 12-month period were not material in the aggregate in any period.</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the calculation of gross profit, the reconciliation of gross profit to contribution ex-TAC, average gross profit per active customer, and average contribution ex-TAC per active customer for the three months ended March 31, 2023 and 2022:</w:t>
      </w:r>
    </w:p>
    <w:tbl>
      <w:tblPr>
        <w:tblW w:w="6624" w:type="dxa"/>
        <w:jc w:val="center"/>
        <w:tblInd w:w="0" w:type="dxa"/>
        <w:tblCellMar>
          <w:top w:w="28" w:type="dxa"/>
          <w:left w:w="28" w:type="dxa"/>
          <w:bottom w:w="28" w:type="dxa"/>
          <w:right w:w="28" w:type="dxa"/>
        </w:tblCellMar>
      </w:tblPr>
      <w:tblGrid>
        <w:gridCol w:w="1504"/>
        <w:gridCol w:w="1329"/>
        <w:gridCol w:w="1337"/>
        <w:gridCol w:w="211"/>
        <w:gridCol w:w="721"/>
        <w:gridCol w:w="109"/>
        <w:gridCol w:w="109"/>
        <w:gridCol w:w="109"/>
        <w:gridCol w:w="109"/>
        <w:gridCol w:w="211"/>
        <w:gridCol w:w="721"/>
        <w:gridCol w:w="154"/>
      </w:tblGrid>
      <w:tr>
        <w:trPr/>
        <w:tc>
          <w:tcPr>
            <w:tcW w:w="1504"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Platform operations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Other platform operations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gross profit per active customer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contribution ex-TAC per active customer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i/>
          <w:color w:val="231F20"/>
          <w:sz w:val="20"/>
        </w:rPr>
      </w:pPr>
      <w:r>
        <w:rPr>
          <w:rFonts w:ascii="Times New Roman;sans-serif" w:hAnsi="Times New Roman;sans-serif"/>
          <w:b w:val="false"/>
          <w:i/>
          <w:color w:val="231F20"/>
          <w:sz w:val="20"/>
        </w:rPr>
        <w:t>Non-GAAP Operating Expenses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charges, and transaction expenses. Non-GAAP operating expenses is a key component in calculating adjusted EBITDA, which is one of the measures we use to provide our quarterly and annual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depreciation, amortization, stock-based compensation, TAC and certain other items not related to our core operations provides another measure for period-to-period comparisons of our business, provides additional insight into our core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controllable costs, and is a useful metric for investors because it allows them to evaluate our operational performance in the same manner as our management and board of directors.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these and other limitations, you should consider our non-GAAP financial measures only as supplemental to other GAAP-based financial performance measures, including revenue, gross profit, net income (loss) and cash flows.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total operating expenses to non-GAAP operating expenses for the three months ended March 31, 2023 and 2022:</w:t>
      </w:r>
    </w:p>
    <w:tbl>
      <w:tblPr>
        <w:tblW w:w="5094" w:type="dxa"/>
        <w:jc w:val="center"/>
        <w:tblInd w:w="0" w:type="dxa"/>
        <w:tblCellMar>
          <w:top w:w="28" w:type="dxa"/>
          <w:left w:w="28" w:type="dxa"/>
          <w:bottom w:w="28" w:type="dxa"/>
          <w:right w:w="28" w:type="dxa"/>
        </w:tblCellMar>
      </w:tblPr>
      <w:tblGrid>
        <w:gridCol w:w="957"/>
        <w:gridCol w:w="839"/>
        <w:gridCol w:w="844"/>
        <w:gridCol w:w="211"/>
        <w:gridCol w:w="721"/>
        <w:gridCol w:w="109"/>
        <w:gridCol w:w="109"/>
        <w:gridCol w:w="109"/>
        <w:gridCol w:w="109"/>
        <w:gridCol w:w="211"/>
        <w:gridCol w:w="721"/>
        <w:gridCol w:w="154"/>
      </w:tblGrid>
      <w:tr>
        <w:trPr/>
        <w:tc>
          <w:tcPr>
            <w:tcW w:w="95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Traffic acquisition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Restructuring</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Times New Roman;sans-serif" w:hAnsi="Times New Roman;sans-serif"/>
          <w:b w:val="false"/>
          <w:color w:val="231F20"/>
          <w:sz w:val="20"/>
        </w:rPr>
      </w:pPr>
      <w:r>
        <w:rPr>
          <w:rFonts w:ascii="Times New Roman;sans-serif" w:hAnsi="Times New Roman;sans-serif"/>
          <w:b w:val="false"/>
          <w:color w:val="231F20"/>
          <w:sz w:val="20"/>
        </w:rPr>
        <w:t>(1)Restructuring includes adjustments to severance charges initially recognized during the prior year.</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Adjusted EBITDA and adjusted EBITDA as a percentage of contribution ex-TAC</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charges, transaction expenses and the extinguishment of debt. Net income (loss) is the most comparable GAAP financial measure. Adjusted EBITDA as a percentage of contribution ex-TAC is a non-GAAP financial measure we calculate by dividing adjusted EBITDA by contribution ex-TAC for the period or periods presented.</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 xml:space="preserve">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adjusted EBITDA does not reflect changes in, or cash requirements for, our working capital needs or the potentially dilutive impact of stock-based compensation.</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 xml:space="preserve">Because of these and other limitations, you should consider our non-GAAP financial measures only as supplemental to other GAAP-based financial performance measures, including revenue, net loss and cash flows. </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loss to adjusted EBITDA for the three months ended March 31, 2023 and 2022:</w:t>
      </w:r>
    </w:p>
    <w:tbl>
      <w:tblPr>
        <w:tblW w:w="5094" w:type="dxa"/>
        <w:jc w:val="center"/>
        <w:tblInd w:w="0" w:type="dxa"/>
        <w:tblCellMar>
          <w:top w:w="28" w:type="dxa"/>
          <w:left w:w="28" w:type="dxa"/>
          <w:bottom w:w="28" w:type="dxa"/>
          <w:right w:w="28" w:type="dxa"/>
        </w:tblCellMar>
      </w:tblPr>
      <w:tblGrid>
        <w:gridCol w:w="941"/>
        <w:gridCol w:w="822"/>
        <w:gridCol w:w="832"/>
        <w:gridCol w:w="211"/>
        <w:gridCol w:w="691"/>
        <w:gridCol w:w="109"/>
        <w:gridCol w:w="109"/>
        <w:gridCol w:w="109"/>
        <w:gridCol w:w="109"/>
        <w:gridCol w:w="211"/>
        <w:gridCol w:w="796"/>
        <w:gridCol w:w="154"/>
      </w:tblGrid>
      <w:tr>
        <w:trPr/>
        <w:tc>
          <w:tcPr>
            <w:tcW w:w="941"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w:t>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Restructuring</w:t>
            </w:r>
            <w:r>
              <w:rPr>
                <w:rFonts w:ascii="Times New Roman;sans-serif" w:hAnsi="Times New Roman;sans-serif"/>
                <w:b w:val="false"/>
                <w:color w:val="000000"/>
                <w:sz w:val="13"/>
              </w:rPr>
              <w:t>(1)</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Times New Roman;sans-serif" w:hAnsi="Times New Roman;sans-serif"/>
          <w:b w:val="false"/>
          <w:color w:val="231F20"/>
          <w:sz w:val="20"/>
        </w:rPr>
      </w:pPr>
      <w:r>
        <w:rPr>
          <w:rFonts w:ascii="Times New Roman;sans-serif" w:hAnsi="Times New Roman;sans-serif"/>
          <w:b w:val="false"/>
          <w:color w:val="231F20"/>
          <w:sz w:val="20"/>
        </w:rPr>
        <w:t>(1)Restructuring includes adjustments to severance charges initially recognized during the prior year.</w:t>
      </w:r>
    </w:p>
    <w:p>
      <w:pPr>
        <w:pStyle w:val="TextBody"/>
        <w:spacing w:lineRule="auto" w:line="288" w:before="240" w:after="283"/>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the calculation of net loss as a percentage of gross profit and the calculation of adjusted EBITDA as a percentage of contribution ex-TAC for the three months ended March 31, 2023 and 2022:</w:t>
      </w:r>
    </w:p>
    <w:tbl>
      <w:tblPr>
        <w:tblW w:w="7698" w:type="dxa"/>
        <w:jc w:val="center"/>
        <w:tblInd w:w="0" w:type="dxa"/>
        <w:tblCellMar>
          <w:top w:w="28" w:type="dxa"/>
          <w:left w:w="28" w:type="dxa"/>
          <w:bottom w:w="28" w:type="dxa"/>
          <w:right w:w="28" w:type="dxa"/>
        </w:tblCellMar>
      </w:tblPr>
      <w:tblGrid>
        <w:gridCol w:w="1757"/>
        <w:gridCol w:w="1535"/>
        <w:gridCol w:w="1553"/>
        <w:gridCol w:w="211"/>
        <w:gridCol w:w="721"/>
        <w:gridCol w:w="271"/>
        <w:gridCol w:w="109"/>
        <w:gridCol w:w="109"/>
        <w:gridCol w:w="109"/>
        <w:gridCol w:w="211"/>
        <w:gridCol w:w="796"/>
        <w:gridCol w:w="316"/>
      </w:tblGrid>
      <w:tr>
        <w:trPr/>
        <w:tc>
          <w:tcPr>
            <w:tcW w:w="1757"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4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as a percentage of gross profit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Contribution ex-TAC</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27,544 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as a percentage of contribution ex-TAC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hanging="360"/>
        <w:rPr/>
      </w:pPr>
      <w:r>
        <w:rPr>
          <w:rFonts w:ascii="Times New Roman;sans-serif" w:hAnsi="Times New Roman;sans-serif"/>
          <w:b w:val="false"/>
          <w:color w:val="231F20"/>
          <w:sz w:val="20"/>
        </w:rPr>
        <w:t>(1)For a reconciliation of contribution ex-TAC to the most directly comparable financial measure calculated in accordance with GAAP, see “</w:t>
      </w:r>
      <w:r>
        <w:rPr>
          <w:color w:val="231F20"/>
        </w:rPr>
        <w:t>—</w:t>
      </w:r>
      <w:r>
        <w:rPr>
          <w:rFonts w:ascii="Times New Roman;sans-serif" w:hAnsi="Times New Roman;sans-serif"/>
          <w:b w:val="false"/>
          <w:i/>
          <w:color w:val="231F20"/>
          <w:sz w:val="20"/>
        </w:rPr>
        <w:t>Average contribution ex-TAC per active customer</w:t>
      </w:r>
      <w:r>
        <w:rPr>
          <w:rFonts w:ascii="Times New Roman;sans-serif" w:hAnsi="Times New Roman;sans-serif"/>
          <w:b w:val="false"/>
          <w:color w:val="231F20"/>
          <w:sz w:val="20"/>
        </w:rPr>
        <w:t>.”</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Non-GAAP net income (loss)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Non-GAAP net income (loss) is a non-GAAP financial measure defined by us as net loss adjusted to eliminate the impact of stock-based compensation and certain other items that are not related to our core operations, such as restructuring charges, transaction expenses and the extinguishment of debt.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 xml:space="preserve">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these and other limitations, you should consider our non-GAAP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120" w:after="283"/>
        <w:rPr>
          <w:rFonts w:ascii="Times New Roman;sans-serif" w:hAnsi="Times New Roman;sans-serif"/>
          <w:b w:val="false"/>
          <w:color w:val="231F20"/>
          <w:sz w:val="20"/>
        </w:rPr>
      </w:pPr>
      <w:r>
        <w:rPr>
          <w:rFonts w:ascii="Times New Roman;sans-serif" w:hAnsi="Times New Roman;sans-serif"/>
          <w:b w:val="false"/>
          <w:color w:val="231F20"/>
          <w:sz w:val="20"/>
        </w:rPr>
        <w:t>financial measures only as supplemental to other GAAP-based financial performance measures, including revenue, gross profit, net loss and cash flows.</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following table presents a reconciliation of net loss to non-GAAP net loss for the </w:t>
      </w:r>
      <w:r>
        <w:rPr>
          <w:rFonts w:ascii="Times New Roman;sans-serif" w:hAnsi="Times New Roman;sans-serif"/>
          <w:b w:val="false"/>
          <w:color w:val="231F20"/>
          <w:sz w:val="20"/>
        </w:rPr>
        <w:t>three months ended March 31, 2023 and 2022:</w:t>
      </w:r>
    </w:p>
    <w:tbl>
      <w:tblPr>
        <w:tblW w:w="9158" w:type="dxa"/>
        <w:jc w:val="center"/>
        <w:tblInd w:w="0" w:type="dxa"/>
        <w:tblCellMar>
          <w:top w:w="28" w:type="dxa"/>
          <w:left w:w="28" w:type="dxa"/>
          <w:bottom w:w="28" w:type="dxa"/>
          <w:right w:w="28" w:type="dxa"/>
        </w:tblCellMar>
      </w:tblPr>
      <w:tblGrid>
        <w:gridCol w:w="2408"/>
        <w:gridCol w:w="2107"/>
        <w:gridCol w:w="2144"/>
        <w:gridCol w:w="211"/>
        <w:gridCol w:w="691"/>
        <w:gridCol w:w="109"/>
        <w:gridCol w:w="109"/>
        <w:gridCol w:w="109"/>
        <w:gridCol w:w="109"/>
        <w:gridCol w:w="211"/>
        <w:gridCol w:w="796"/>
        <w:gridCol w:w="154"/>
      </w:tblGrid>
      <w:tr>
        <w:trPr/>
        <w:tc>
          <w:tcPr>
            <w:tcW w:w="2408"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Add back: Restructuring</w:t>
            </w:r>
            <w:r>
              <w:rPr>
                <w:rFonts w:ascii="Times New Roman;sans-serif" w:hAnsi="Times New Roman;sans-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Less: Income tax effect related to Viant Technology Inc.’s share of adjustments</w:t>
            </w:r>
            <w:r>
              <w:rPr>
                <w:rFonts w:ascii="Times New Roman;sans-serif" w:hAnsi="Times New Roman;sans-serif"/>
                <w:b w:val="false"/>
                <w:color w:val="000000"/>
                <w:sz w:val="13"/>
              </w:rPr>
              <w:t>(2)</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Times New Roman;sans-serif" w:hAnsi="Times New Roman;sans-serif"/>
          <w:b w:val="false"/>
          <w:color w:val="231F20"/>
          <w:sz w:val="20"/>
        </w:rPr>
      </w:pPr>
      <w:r>
        <w:rPr>
          <w:rFonts w:ascii="Times New Roman;sans-serif" w:hAnsi="Times New Roman;sans-serif"/>
          <w:b w:val="false"/>
          <w:color w:val="231F20"/>
          <w:sz w:val="20"/>
        </w:rPr>
        <w:t>(1)Restructuring includes adjustments to severance charges initially recognized during the prior year.</w:t>
      </w:r>
    </w:p>
    <w:p>
      <w:pPr>
        <w:pStyle w:val="TextBody"/>
        <w:spacing w:lineRule="auto" w:line="288" w:before="120" w:after="283"/>
        <w:ind w:left="0" w:right="0" w:hanging="360"/>
        <w:rPr>
          <w:rFonts w:ascii="Times New Roman;sans-serif" w:hAnsi="Times New Roman;sans-serif"/>
          <w:b w:val="false"/>
          <w:color w:val="231F20"/>
          <w:sz w:val="20"/>
        </w:rPr>
      </w:pPr>
      <w:r>
        <w:rPr>
          <w:rFonts w:ascii="Times New Roman;sans-serif" w:hAnsi="Times New Roman;sans-serif"/>
          <w:b w:val="false"/>
          <w:color w:val="231F20"/>
          <w:sz w:val="20"/>
        </w:rPr>
        <w:t>(2)The estimated income tax effect of our share of non-GAAP reconciling items for the three months ended March 31, 2023 and 2022 are calculated using assumed blended tax rates of 28% and 24%, respectively, which represent our expected corporate tax rate, excluding discrete and non-recurring tax items.</w:t>
      </w:r>
    </w:p>
    <w:p>
      <w:pPr>
        <w:pStyle w:val="TextBody"/>
        <w:spacing w:lineRule="auto" w:line="288" w:before="240" w:after="283"/>
        <w:rPr/>
      </w:pPr>
      <w:r>
        <w:rPr>
          <w:rFonts w:ascii="Times New Roman;sans-serif" w:hAnsi="Times New Roman;sans-serif"/>
          <w:b w:val="false"/>
          <w:i/>
          <w:color w:val="231F20"/>
          <w:sz w:val="20"/>
        </w:rPr>
        <w:t>Non-GAAP earnings (loss) per share of Class A common stock</w:t>
      </w:r>
      <w:r>
        <w:rPr>
          <w:color w:val="000000"/>
        </w:rPr>
        <w:t>—</w:t>
      </w:r>
      <w:r>
        <w:rPr>
          <w:rFonts w:ascii="Times New Roman;sans-serif" w:hAnsi="Times New Roman;sans-serif"/>
          <w:b w:val="false"/>
          <w:i/>
          <w:color w:val="000000"/>
          <w:sz w:val="20"/>
        </w:rPr>
        <w:t>basic and diluted</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charges, transaction expenses and the extinguishment of debt.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in understanding and evaluating our results of operations in the same manner as our management and board of directors.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Our use of non-GAAP earnings (loss) per share of Class A common stock—basic and diluted has limitations as an analytical tool, and you should not consider it in isolation or as a substitute for analysis of our financial results as reported under GAAP. Some of these potential limitations include:</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and</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although the stock-based compensation related to the LTIP referred to above is non-cash in nature, non-GAAP earnings (loss) per share of Class A common stock—basic and diluted does not reflect its impact on net income (loss) attributable to all common stockholders.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 xml:space="preserve">Because of these and other limitations, you should consider our non-GAAP measures only as supplemental to other GAAP-based financial performance measures, including earnings (loss) per share of Class A common stock—basic and diluted. </w:t>
      </w:r>
    </w:p>
    <w:p>
      <w:pPr>
        <w:pStyle w:val="TextBody"/>
        <w:spacing w:lineRule="auto" w:line="288" w:before="120" w:after="283"/>
        <w:ind w:left="0" w:right="0" w:firstLine="540"/>
        <w:rPr/>
      </w:pPr>
      <w:r>
        <w:rPr>
          <w:rFonts w:ascii="Times New Roman;sans-serif" w:hAnsi="Times New Roman;sans-serif"/>
          <w:b w:val="false"/>
          <w:color w:val="000000"/>
          <w:sz w:val="20"/>
        </w:rPr>
        <w:t>Basic non-GAAP earnings (loss) per share of Class A common stock is calculated by dividing the non-GAAP net income (loss) attributable to Class A common stockholders by the number of weighted-average shares of Class A common stock outstanding.</w:t>
      </w:r>
      <w:r>
        <w:rPr>
          <w:color w:val="231F20"/>
        </w:rPr>
        <w:t xml:space="preserve"> </w:t>
      </w:r>
      <w:r>
        <w:rPr>
          <w:rFonts w:ascii="Times New Roman;sans-serif" w:hAnsi="Times New Roman;sans-serif"/>
          <w:b w:val="false"/>
          <w:color w:val="231F20"/>
          <w:sz w:val="20"/>
        </w:rPr>
        <w:t>Shares of our Class B common stock do not share in our earnings or losses and are therefore not participating securities. As such, separate presentation of basic and diluted non-GAAP earnings (loss) of Class B common stock under the two-class method has not been presented.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non-GAAP earnings (loss) per share of Class A common stock adjusts the basic non-GAAP earnings (loss) per share for the potential dilutive impact of common shares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three months ended March 31, 2023, Class B common stock and nonqualified stock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options amounts have been excluded from the computation of diluted earnings (loss) per share of Class A common stock because the effect would have been anti-dilutive under the if-converted and treasury stock method, respectively.</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The following tables present the reconciliation of earnings (loss) per share of Class A common stock—basic and diluted to non-GAAP earnings (loss) per share of Class A common stock—basic and diluted for the three months ended March 31, 2023 and 2022:</w:t>
      </w:r>
    </w:p>
    <w:tbl>
      <w:tblPr>
        <w:tblW w:w="10205" w:type="dxa"/>
        <w:jc w:val="center"/>
        <w:tblInd w:w="0" w:type="dxa"/>
        <w:tblCellMar>
          <w:top w:w="28" w:type="dxa"/>
          <w:left w:w="28" w:type="dxa"/>
          <w:bottom w:w="28" w:type="dxa"/>
          <w:right w:w="28" w:type="dxa"/>
        </w:tblCellMar>
      </w:tblPr>
      <w:tblGrid>
        <w:gridCol w:w="1083"/>
        <w:gridCol w:w="674"/>
        <w:gridCol w:w="682"/>
        <w:gridCol w:w="211"/>
        <w:gridCol w:w="636"/>
        <w:gridCol w:w="109"/>
        <w:gridCol w:w="109"/>
        <w:gridCol w:w="109"/>
        <w:gridCol w:w="109"/>
        <w:gridCol w:w="226"/>
        <w:gridCol w:w="662"/>
        <w:gridCol w:w="118"/>
        <w:gridCol w:w="109"/>
        <w:gridCol w:w="109"/>
        <w:gridCol w:w="109"/>
        <w:gridCol w:w="215"/>
        <w:gridCol w:w="652"/>
        <w:gridCol w:w="111"/>
        <w:gridCol w:w="109"/>
        <w:gridCol w:w="109"/>
        <w:gridCol w:w="109"/>
        <w:gridCol w:w="211"/>
        <w:gridCol w:w="741"/>
        <w:gridCol w:w="109"/>
        <w:gridCol w:w="109"/>
        <w:gridCol w:w="109"/>
        <w:gridCol w:w="109"/>
        <w:gridCol w:w="226"/>
        <w:gridCol w:w="662"/>
        <w:gridCol w:w="118"/>
        <w:gridCol w:w="109"/>
        <w:gridCol w:w="109"/>
        <w:gridCol w:w="109"/>
        <w:gridCol w:w="213"/>
        <w:gridCol w:w="750"/>
        <w:gridCol w:w="161"/>
      </w:tblGrid>
      <w:tr>
        <w:trPr/>
        <w:tc>
          <w:tcPr>
            <w:tcW w:w="1083"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 2022</w:t>
            </w:r>
          </w:p>
        </w:tc>
      </w:tr>
      <w:tr>
        <w:trPr/>
        <w:tc>
          <w:tcPr>
            <w:tcW w:w="2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9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Add back: Restructuring</w:t>
            </w:r>
            <w:r>
              <w:rPr>
                <w:rFonts w:ascii="Times New Roman;sans-serif" w:hAnsi="Times New Roman;sans-serif"/>
                <w:b w:val="false"/>
                <w:color w:val="000000"/>
                <w:sz w:val="13"/>
              </w:rPr>
              <w:t>(1)</w:t>
            </w:r>
          </w:p>
        </w:tc>
        <w:tc>
          <w:tcPr>
            <w:tcW w:w="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Income tax benefit (expense) related to Viant Technology Inc.'s share of adjustments</w:t>
            </w:r>
            <w:r>
              <w:rPr>
                <w:rFonts w:ascii="Times New Roman;sans-serif" w:hAnsi="Times New Roman;sans-serif"/>
                <w:b w:val="false"/>
                <w:color w:val="000000"/>
                <w:sz w:val="13"/>
              </w:rPr>
              <w:t>(2)</w:t>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loss</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Less: Net loss attributable to noncontrolling interests</w:t>
            </w:r>
            <w:r>
              <w:rPr>
                <w:rFonts w:ascii="Times New Roman;sans-serif" w:hAnsi="Times New Roman;sans-serif"/>
                <w:b w:val="false"/>
                <w:color w:val="000000"/>
                <w:sz w:val="13"/>
              </w:rPr>
              <w:t>(3)</w:t>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Inc.—basic</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Reallocation of net loss attributable to noncontrolling interest from the assumed exchange of RSUs for Class A common stock</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from the assumed exchange of RSUs for Class A common stock</w:t>
            </w:r>
          </w:p>
        </w:tc>
        <w:tc>
          <w:tcPr>
            <w:tcW w:w="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Viant Technology Inc.—diluted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—basic</w:t>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9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—diluted</w:t>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earnings (loss) per share of Class A common stock—diluted:</w:t>
            </w:r>
          </w:p>
        </w:tc>
        <w:tc>
          <w:tcPr>
            <w:tcW w:w="9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earnings (loss) per share of Class A common stock—diluted</w:t>
            </w:r>
          </w:p>
        </w:tc>
        <w:tc>
          <w:tcPr>
            <w:tcW w:w="8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rPr>
          <w:rFonts w:ascii="Times New Roman;sans-serif" w:hAnsi="Times New Roman;sans-serif"/>
          <w:b w:val="false"/>
          <w:color w:val="231F20"/>
          <w:sz w:val="20"/>
        </w:rPr>
      </w:pPr>
      <w:r>
        <w:rPr>
          <w:rFonts w:ascii="Times New Roman;sans-serif" w:hAnsi="Times New Roman;sans-serif"/>
          <w:b w:val="false"/>
          <w:color w:val="231F20"/>
          <w:sz w:val="20"/>
        </w:rPr>
        <w:t>(1)Restructuring includes adjustments to severance charges initially recognized during the prior year.</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120" w:after="283"/>
        <w:ind w:left="0" w:right="0" w:hanging="360"/>
        <w:rPr>
          <w:rFonts w:ascii="Times New Roman;sans-serif" w:hAnsi="Times New Roman;sans-serif"/>
          <w:b w:val="false"/>
          <w:color w:val="231F20"/>
          <w:sz w:val="20"/>
        </w:rPr>
      </w:pPr>
      <w:r>
        <w:rPr>
          <w:rFonts w:ascii="Times New Roman;sans-serif" w:hAnsi="Times New Roman;sans-serif"/>
          <w:b w:val="false"/>
          <w:color w:val="231F20"/>
          <w:sz w:val="20"/>
        </w:rPr>
        <w:t>(2)The estimated income tax effect of our share of non-GAAP reconciling items for the three months ended March 31, 2023 and 2022 are calculated using assumed blended tax rates of 28% and 24%, respectively, which represent our expected corporate tax rates, excluding discrete and non-recurring tax items.</w:t>
      </w:r>
    </w:p>
    <w:p>
      <w:pPr>
        <w:pStyle w:val="TextBody"/>
        <w:spacing w:lineRule="auto" w:line="288" w:before="180" w:after="283"/>
        <w:ind w:left="0" w:right="0" w:hanging="360"/>
        <w:rPr>
          <w:rFonts w:ascii="Times New Roman;sans-serif" w:hAnsi="Times New Roman;sans-serif"/>
          <w:b w:val="false"/>
          <w:color w:val="231F20"/>
          <w:sz w:val="20"/>
        </w:rPr>
      </w:pPr>
      <w:r>
        <w:rPr>
          <w:rFonts w:ascii="Times New Roman;sans-serif" w:hAnsi="Times New Roman;sans-serif"/>
          <w:b w:val="false"/>
          <w:color w:val="231F20"/>
          <w:sz w:val="20"/>
        </w:rPr>
        <w:t>(3)The adjustment to net income (loss) attributable to noncontrolling interests represents stock-based compensation attributed to the noncontrolling interest of our company outstanding during the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Liquidity and Capital Resources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and cash equivalents of $201.7 million and working capital, consisting of current assets less current liabilities, of $223.3 million, compared to cash and cash equivalents of $206.6 million and working capital of $227.7 million as of December 31, 2022.</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primary sources of cash are revenues derived from the programmatic purchase of advertising on our platform and our existing cash and cash equivalents, although we have, and may in the future, address our liquidity needs by utilizing our borrowing capacity under our asset-based revolving credit and security agreement (the “Loan Agreement”) we have with PNC Bank, obtaining debt financing from other sources, or raising additional funds by issuing equity.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are capital expenditures to develop our technology in support of enhancing our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 We intend to continue investing in critical areas of our business in 2023 to further accelerate demand for our product and growth across the platform.</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our material cash requirements from non-cancelable contractual obligations with an original duration of over one year included future minimum payments under our non-cancelable operating leases, which we estimate will be approximately $3.7 million for the remainder of 2023, $4.4 million in 2024, $4.3 million in 2025, $4.3 million in 2026, and $4.2 million in 2027, and non-cancelable contractual agreements related to the hosting of our data storage processing, storage, and other computing services, which we estimate will be approximately $8.8 million for the remainder of 2023, $6.1 million in 2024, $5.0 million in 2025, and $0.8 million in 2026.</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February 9, 2021, in connection with our IPO, we entered into a tax receivable agreement (the “Tax Receivable Agreement”) with Viant Technology LLC, continuing members of Viant Technology LLC (our “pre-IPO owners”) and the TRA Representative (as defined in the Tax Receivable Agreement), as described under Note 10 to our unaudited condensed consolidated financial statements included elsewhere in this Quarterly Report. As of March 31, 2023, we concluded that it was more likely than not that our deferred tax assets subject to the Tax Receivable Agreement would not be realized. Therefore, we currently do not expect to make payments under our Tax Receivable Agreement based on our estimates of future taxable income. As of March 31, 2023, the total unrecorded liability for our Tax Receivable Agreement is approximately $10.3 million.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from the Loan Agreement with PNC Bank will be sufficient to meet our cash requirements over the next 12 months. We believe we will meet longer-term expected future cash requirements and obligations beyond the next 12 months through a combination of existing cash and cash equivalents, cash flow from operations, the undrawn availability under our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Quarterly Report.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did not have any other off-balance sheet arrangements as of March 31, 2023 other than the minimum payments under the operating leases, hosting arrangements, and the indemnification agreements described in Note 13—Commitments and Contingencies to our unaudited condensed consolidated financial statements included elsewhere in this Quarterly Report.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with no operations of our own and are dependent on distributions from Viant Technology LLC to pay our taxes and satisfy any current or future cash requirements. Our Loan Agreement with PNC Bank imposes, and any future credit facilities may impose, limitations on our ability and the ability of Viant Technology LLC to pay dividends to third parties.</w:t>
      </w:r>
    </w:p>
    <w:p>
      <w:pPr>
        <w:pStyle w:val="TextBody"/>
        <w:spacing w:lineRule="auto" w:line="288" w:before="240" w:after="283"/>
        <w:rPr>
          <w:rFonts w:ascii="Times New Roman;sans-serif" w:hAnsi="Times New Roman;sans-serif"/>
          <w:b/>
          <w:i/>
          <w:color w:val="231F20"/>
          <w:sz w:val="20"/>
        </w:rPr>
      </w:pPr>
      <w:r>
        <w:rPr>
          <w:rFonts w:ascii="Times New Roman;sans-serif" w:hAnsi="Times New Roman;sans-serif"/>
          <w:b/>
          <w:i/>
          <w:color w:val="231F20"/>
          <w:sz w:val="20"/>
        </w:rPr>
        <w:t>Revolving Credit Facility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Loan Agreement with PNC Bank provided us with access to a $40.0 million senior secured revolving credit facility through October 31, 2024 and is collateralized by security interests in substantially all of our assets. As of March 31, 2023 and December 31, 2022, there was no outstanding balance and up to $39.6 million of undrawn availability under the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120" w:after="283"/>
        <w:rPr/>
      </w:pPr>
      <w:r>
        <w:rPr>
          <w:rFonts w:ascii="Times New Roman;sans-serif" w:hAnsi="Times New Roman;sans-serif"/>
          <w:b w:val="false"/>
          <w:color w:val="000000"/>
          <w:sz w:val="20"/>
        </w:rPr>
        <w:t xml:space="preserve">Loan Agreement. On April 4, 2023, we entered into an amendment to the Loan Agreement with PNC Bank that provides for an increase in the revolving credit facility, extends the maturity date, and changes the rates at which advances under the loan agreement will bear interest. </w:t>
      </w:r>
      <w:r>
        <w:rPr>
          <w:rFonts w:ascii="Times New Roman;sans-serif" w:hAnsi="Times New Roman;sans-serif"/>
          <w:b w:val="false"/>
          <w:color w:val="231F20"/>
          <w:sz w:val="20"/>
        </w:rPr>
        <w:t>Refer to Note 14</w:t>
      </w:r>
      <w:r>
        <w:rPr>
          <w:color w:val="000000"/>
        </w:rPr>
        <w:t>—</w:t>
      </w:r>
      <w:r>
        <w:rPr>
          <w:rFonts w:ascii="Times New Roman;sans-serif" w:hAnsi="Times New Roman;sans-serif"/>
          <w:b w:val="false"/>
          <w:color w:val="231F20"/>
          <w:sz w:val="20"/>
        </w:rPr>
        <w:t xml:space="preserve">Subsequent Events </w:t>
      </w:r>
      <w:r>
        <w:rPr>
          <w:rFonts w:ascii="Times New Roman;sans-serif" w:hAnsi="Times New Roman;sans-serif"/>
          <w:b w:val="false"/>
          <w:color w:val="000000"/>
          <w:sz w:val="20"/>
        </w:rPr>
        <w:t>to our unaudited condensed consolidated financial statements included elsewhere in this Quarterly Report for</w:t>
      </w:r>
      <w:r>
        <w:rPr>
          <w:color w:val="231F20"/>
        </w:rPr>
        <w:t xml:space="preserve"> </w:t>
      </w:r>
      <w:r>
        <w:rPr>
          <w:rFonts w:ascii="Times New Roman;sans-serif" w:hAnsi="Times New Roman;sans-serif"/>
          <w:b w:val="false"/>
          <w:color w:val="231F20"/>
          <w:sz w:val="20"/>
        </w:rPr>
        <w:t>additional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Loan Agreement contains customary conditions to borrowings, events of default and covenants, and also contains a financial covenant requiring us not to exceed a maximum leverage ratio at any time our undrawn availability under the Loan Agreement is less than 25%. As of March 31, 2023, we were in compliance with this covenant, and we do not believe this covenant or any other provision in the Loan Agreement will materially impact our liquidity or otherwise restrict our ability to execute on our business plan during or beyond the next 12 months.</w:t>
      </w:r>
    </w:p>
    <w:p>
      <w:pPr>
        <w:pStyle w:val="TextBody"/>
        <w:spacing w:lineRule="auto" w:line="288" w:before="120" w:after="283"/>
        <w:ind w:left="0" w:right="0" w:firstLine="540"/>
        <w:rPr/>
      </w:pPr>
      <w:r>
        <w:rPr>
          <w:rFonts w:ascii="Times New Roman;sans-serif" w:hAnsi="Times New Roman;sans-serif"/>
          <w:b w:val="false"/>
          <w:color w:val="000000"/>
          <w:sz w:val="20"/>
        </w:rPr>
        <w:t>For further discussion of our Loan Agreement with PNC Bank, refer to Note 8—Revolving Credit Facility to our unaudited condensed consolidated financial statements included elsewhere in this Quarterly Report</w:t>
      </w:r>
      <w:r>
        <w:rPr>
          <w:rFonts w:ascii="Times New Roman;sans-serif" w:hAnsi="Times New Roman;sans-serif"/>
          <w:b w:val="false"/>
          <w:color w:val="231F2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three months ended March 31, 2023 and 2022:</w:t>
      </w:r>
    </w:p>
    <w:tbl>
      <w:tblPr>
        <w:tblW w:w="6833" w:type="dxa"/>
        <w:jc w:val="center"/>
        <w:tblInd w:w="0" w:type="dxa"/>
        <w:tblCellMar>
          <w:top w:w="28" w:type="dxa"/>
          <w:left w:w="28" w:type="dxa"/>
          <w:bottom w:w="28" w:type="dxa"/>
          <w:right w:w="28" w:type="dxa"/>
        </w:tblCellMar>
      </w:tblPr>
      <w:tblGrid>
        <w:gridCol w:w="1598"/>
        <w:gridCol w:w="1403"/>
        <w:gridCol w:w="1408"/>
        <w:gridCol w:w="211"/>
        <w:gridCol w:w="691"/>
        <w:gridCol w:w="109"/>
        <w:gridCol w:w="109"/>
        <w:gridCol w:w="109"/>
        <w:gridCol w:w="109"/>
        <w:gridCol w:w="211"/>
        <w:gridCol w:w="721"/>
        <w:gridCol w:w="154"/>
      </w:tblGrid>
      <w:tr>
        <w:trPr/>
        <w:tc>
          <w:tcPr>
            <w:tcW w:w="1598"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4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 Data</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in) 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i/>
          <w:color w:val="231F20"/>
          <w:sz w:val="20"/>
        </w:rPr>
      </w:pPr>
      <w:r>
        <w:rPr>
          <w:rFonts w:ascii="Times New Roman;sans-serif" w:hAnsi="Times New Roman;sans-serif"/>
          <w:b w:val="false"/>
          <w:i/>
          <w:color w:val="231F20"/>
          <w:sz w:val="20"/>
        </w:rPr>
        <w:t>Cash Flows Provided by (Used in) Operating Activities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cash flows used in operating activities for the three months ended March 31, 2023 was $0.6 million, a net decrease of $12.1 million, or 105%, from cash flows provided by operating activities for the three months ended March 31, 2022 of $11.6 million. Cash flows used in operating activities for the three months ended March 31, 2023 resulted primarily from:</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a decrease of $9.4 million from net loss;</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an increase of $12.0 million due to non-cash add back adjustments to net loss primarily comprised of $7.5 million for stock-based compensation, $3.4 million for depreciation and amortization, and $1.0 million of amortization of operating lease assets;</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an increase of $2.4 million from changes in working capital (excluding deferred revenue, other liabilities, and operating lease liabilities), including a net increase of $23.8 million in accounts receivable, prepaid assets and other assets primarily related to lower sales and timing of customer collections due to seasonal fluctuations, partially offset by a decrease of $26.2 million in accounts payable, accrued liabilities and accrued compensation primarily related to timing of payments;</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an increase in deferred revenue of $0.9 million;</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 xml:space="preserve">a decrease in operating lease liabilities of </w:t>
      </w:r>
      <w:r>
        <w:rPr>
          <w:rFonts w:ascii="Times New Roman;sans-serif" w:hAnsi="Times New Roman;sans-serif"/>
          <w:b w:val="false"/>
          <w:color w:val="231F20"/>
          <w:sz w:val="20"/>
        </w:rPr>
        <w:t>$0.7</w:t>
      </w:r>
      <w:r>
        <w:rPr>
          <w:color w:val="000000"/>
        </w:rPr>
        <w:t xml:space="preserve"> </w:t>
      </w:r>
      <w:r>
        <w:rPr>
          <w:rFonts w:ascii="Times New Roman;sans-serif" w:hAnsi="Times New Roman;sans-serif"/>
          <w:b w:val="false"/>
          <w:color w:val="000000"/>
          <w:sz w:val="20"/>
        </w:rPr>
        <w:t>million;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 decrease in other liabilities of $1.0 million.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cash provided by operating activities of $11.6 million resulted primarily from a net loss of $13.6 million offset by non-cash add back adjustments to net loss of $6.4 million for stock-based compensation, $3.2 million for depreciation and amortization, $0.1 million in recovery of doubtful accounts, $0.7 million of amortization of operating lease assets, and an increase in net working capital (excluding deferred revenue and other liabilities) of $22.9 million, offset by a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tabular dollars in thousands, except for percentages and per share data)</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decrease in deferred revenue of $6.5 million, a decrease in other liabilities of $1.1 million, and a decrease in operating lease liabilities of $0.5 million .</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Cash Flows Used in Investing Activities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primary investing activities have consisted of capital expenditures to develop our technology in support of enhancing our platform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our platform development cycles. As a result of capitalization of stock-based compensation in future periods and the growth of our business, we expect our capital expenditures and our investment activity to continue to increase.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cash flows used in investing activities for the three months ended March 31, 2023 was $2.7 million, a net increase of $0.6 million, or 27%, from cash flows used in investing activities for three months ended March 31, 2022 of $2.1 million. The change in cash flows for the three months ended March 31, 2023 were primarily due to:</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$2.4 million of investments in capitalized software to develop our technology in support of enhancing our platform; and</w:t>
      </w:r>
    </w:p>
    <w:p>
      <w:pPr>
        <w:pStyle w:val="TextBody"/>
        <w:spacing w:lineRule="auto" w:line="288" w:before="120" w:after="283"/>
        <w:ind w:left="0" w:right="0" w:hanging="720"/>
        <w:rPr/>
      </w:pPr>
      <w:r>
        <w:rPr>
          <w:color w:val="000000"/>
        </w:rPr>
        <w:t>•</w:t>
      </w:r>
      <w:r>
        <w:rPr>
          <w:rFonts w:ascii="Times New Roman;sans-serif" w:hAnsi="Times New Roman;sans-serif"/>
          <w:b w:val="false"/>
          <w:color w:val="231F20"/>
          <w:sz w:val="20"/>
        </w:rPr>
        <w:t>$0.3 million of purchases of property and equipment.</w:t>
      </w:r>
    </w:p>
    <w:p>
      <w:pPr>
        <w:pStyle w:val="TextBody"/>
        <w:spacing w:lineRule="auto" w:line="288" w:before="120" w:after="283"/>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During the three months ended March 31, 2022, cash used in investing activities of $2.1 million resulted primarily from investments in capitalized software development costs.</w:t>
      </w:r>
    </w:p>
    <w:p>
      <w:pPr>
        <w:pStyle w:val="TextBody"/>
        <w:spacing w:lineRule="auto" w:line="288" w:before="240" w:after="283"/>
        <w:rPr>
          <w:rFonts w:ascii="Times New Roman;sans-serif" w:hAnsi="Times New Roman;sans-serif"/>
          <w:b w:val="false"/>
          <w:i/>
          <w:color w:val="231F20"/>
          <w:sz w:val="20"/>
        </w:rPr>
      </w:pPr>
      <w:r>
        <w:rPr>
          <w:rFonts w:ascii="Times New Roman;sans-serif" w:hAnsi="Times New Roman;sans-serif"/>
          <w:b w:val="false"/>
          <w:i/>
          <w:color w:val="231F20"/>
          <w:sz w:val="20"/>
        </w:rPr>
        <w:t>Cash Flows Used In Financing Activities</w:t>
      </w:r>
    </w:p>
    <w:p>
      <w:pPr>
        <w:pStyle w:val="TextBody"/>
        <w:spacing w:lineRule="auto" w:line="288" w:before="120" w:after="283"/>
        <w:ind w:left="0" w:right="0" w:firstLine="720"/>
        <w:rPr>
          <w:rFonts w:ascii="Times New Roman;sans-serif" w:hAnsi="Times New Roman;sans-serif"/>
          <w:b w:val="false"/>
          <w:color w:val="231F20"/>
          <w:sz w:val="20"/>
        </w:rPr>
      </w:pPr>
      <w:r>
        <w:rPr>
          <w:rFonts w:ascii="Times New Roman;sans-serif" w:hAnsi="Times New Roman;sans-serif"/>
          <w:b w:val="false"/>
          <w:color w:val="231F20"/>
          <w:sz w:val="20"/>
        </w:rPr>
        <w:t>Our financing activities have consisted primarily of proceeds from borrowings and repayments of our debt, issuances of our equity and payments of member distributions. Net cash provided by or used in financing activities has been and will be used to finance our operations, capital expenditures, platform development and our growth.</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cash flows used in financing activities for the three months ended March 31, 2023 was $1.6 million, which primarily consisted of taxes paid related to the net share settlement of equity awards. Cash flows used in financing activities for the three months ended March 31, 2022 was de minimis.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internal use software, and the assumptions used in the calculation of our expected loss rate used to determine our credit loss reserve have the greatest potential impact on our condensed consolidated financial statements. Therefore, we consider these to be our critical accounting policies and estimates.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Since the date of our Annual Report on Form 10-K for the year ended December 31, 2022, there have been no material changes in our critical accounting policies and estimates disclosed in Part II, Item 7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231F20"/>
          <w:sz w:val="20"/>
        </w:rPr>
      </w:pPr>
      <w:r>
        <w:rPr>
          <w:rFonts w:ascii="Times New Roman;sans-serif" w:hAnsi="Times New Roman;sans-serif"/>
          <w:b/>
          <w:color w:val="231F20"/>
          <w:sz w:val="20"/>
        </w:rPr>
        <w:t>Recently Issued Accounting Pronouncements</w:t>
      </w:r>
    </w:p>
    <w:p>
      <w:pPr>
        <w:pStyle w:val="TextBody"/>
        <w:spacing w:lineRule="auto" w:line="288" w:before="120" w:after="283"/>
        <w:ind w:left="0" w:right="0" w:firstLine="540"/>
        <w:rPr/>
      </w:pPr>
      <w:r>
        <w:rPr>
          <w:rFonts w:ascii="Times New Roman;sans-serif" w:hAnsi="Times New Roman;sans-serif"/>
          <w:b w:val="false"/>
          <w:color w:val="231F20"/>
          <w:sz w:val="20"/>
        </w:rPr>
        <w:t xml:space="preserve">For information regarding recently issued accounting pronouncements, see </w:t>
      </w:r>
      <w:r>
        <w:rPr>
          <w:rFonts w:ascii="Times New Roman;sans-serif" w:hAnsi="Times New Roman;sans-serif"/>
          <w:b w:val="false"/>
          <w:color w:val="000000"/>
          <w:sz w:val="20"/>
        </w:rPr>
        <w:t>Note 2—Basis of Presentation and Summary of Significant Accounting Policies</w:t>
      </w:r>
      <w:r>
        <w:rPr>
          <w:color w:val="231F20"/>
        </w:rPr>
        <w:t xml:space="preserve"> </w:t>
      </w:r>
      <w:r>
        <w:rPr>
          <w:rFonts w:ascii="Times New Roman;sans-serif" w:hAnsi="Times New Roman;sans-serif"/>
          <w:b w:val="false"/>
          <w:color w:val="231F20"/>
          <w:sz w:val="20"/>
        </w:rPr>
        <w:t>to our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120" w:after="283"/>
        <w:ind w:left="0" w:right="0" w:firstLine="54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have been no material changes in our exposure to market risk. For a discussion of our exposure to market risk, see Part II, Item 7A “Quantitative and Qualitative Disclosures About Market Risk” of our Annual Report on Form 10-K for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120" w:after="283"/>
        <w:ind w:left="0" w:right="0" w:firstLine="54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during the period covered by this Quarterly Report that has materially affected, or is reasonably likely to materially affect, our internal control over financial reporting.</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Limitations on the Effectiveness of Disclosure Controls and Procedures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120" w:after="283"/>
        <w:ind w:left="0" w:right="0" w:firstLine="540"/>
        <w:rPr/>
      </w:pPr>
      <w:r>
        <w:rPr/>
      </w:r>
    </w:p>
    <w:p>
      <w:pPr>
        <w:pStyle w:val="TextBody"/>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120" w:after="283"/>
        <w:ind w:left="0" w:right="0" w:firstLine="540"/>
        <w:rPr/>
      </w:pPr>
      <w:r>
        <w:rPr>
          <w:rFonts w:ascii="Times New Roman;sans-serif" w:hAnsi="Times New Roman;sans-serif"/>
          <w:b w:val="false"/>
          <w:i/>
          <w:color w:val="000000"/>
          <w:sz w:val="20"/>
        </w:rPr>
        <w:t>Investing in our Class A common stock involves a high degree of risk. You should carefully consider the following risks and uncertainties described below, together with all other information contained in this Quarterly Report and in our other public filings, including our unaudited condensed consolidated financial statements and the related notes included elsewhere in this Quarterly Report.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w:t>
      </w:r>
      <w:r>
        <w:rPr>
          <w:color w:val="000000"/>
        </w:rPr>
        <w:t xml:space="preserve"> </w:t>
      </w:r>
      <w:r>
        <w:rPr>
          <w:rFonts w:ascii="Times New Roman;sans-serif" w:hAnsi="Times New Roman;sans-serif"/>
          <w:b w:val="false"/>
          <w:i/>
          <w:color w:val="000000"/>
          <w:sz w:val="20"/>
        </w:rPr>
        <w:t>of your investment.</w:t>
      </w:r>
    </w:p>
    <w:p>
      <w:pPr>
        <w:pStyle w:val="TextBody"/>
        <w:spacing w:lineRule="auto" w:line="288" w:before="24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spacing w:lineRule="auto" w:line="288" w:before="120" w:after="283"/>
        <w:ind w:left="0" w:right="0" w:firstLine="540"/>
        <w:rPr/>
      </w:pPr>
      <w:r>
        <w:rPr>
          <w:rFonts w:ascii="Times New Roman;sans-serif" w:hAnsi="Times New Roman;sans-serif"/>
          <w:b w:val="false"/>
          <w:color w:val="000000"/>
          <w:sz w:val="20"/>
        </w:rPr>
        <w:t>Our business is subject to numerous risks and uncertainties, including those described in the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of this Quarterly Report. You should carefully consider these risks and uncertainties when investing in our Class A common stock. Some of the principal risks and uncertainties include the following:</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Our success and revenue growth are dependent on adding new customers, effectively educating and training our existing customers on how to make full use of our platform and increasing usage of our platform by our customers;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We may not realize the expected benefits of an industry shift away from cookie-based consumer tracking as such shift may not occur as rapidly as we expect or may not be realized at all;</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If we fail to innovate and make the right investment decisions in our offerings and platform, we may not attract and retain customers and our revenue and results of operations may decline;</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market for programmatic advertising is evolving. If this market develops slower or differently than we expect, our business, operating results and financial condition would be adversely affected;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We receive a significant amount of revenue from a select number of advertising agency holding companies, owning various advertising agencies, and the loss of advertising agencies as customers could harm our business, operating results and financial condition;</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effects of macroeconomic conditions and geopolitical events, such as economic recessions and the COVID-19 pandemic and other adverse market events, have had, and could in the future have, an adverse impact on our business, operating results and financial condition;</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If our access to advertising inventory is diminished or fails to grow, our revenue could decline and our growth could be impeded;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If our access to people-based data is diminished, the effectiveness of our platform would be decreased, which could harm our operating results and financial condition;</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 xml:space="preserve">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customers or sales, revenue declines, increase the cost of data, reduce the availability of data, reduce our ability to utilize or disclose data, adversely affect the demand for our products and services, or other adverse business consequences; </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120" w:after="283"/>
        <w:ind w:left="0" w:right="0" w:firstLine="540"/>
        <w:rPr/>
      </w:pPr>
      <w:r>
        <w:rPr/>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 significant inadvertent disclosure or breach of our information technology systems or data, or of the security of our or our customers’, suppliers’, or other third parties’ upon which we rely could be detrimental to our business, reputation and results of operations;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Our proprietary rights may be difficult to enforce, which could enable others to copy or use aspects of our technology without compensating us, thereby eroding our competitive advantages and harming our business;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 xml:space="preserve">The market price of our Class A common stock has been and may continue to be volatile or may decline regardless of our operating performance; and </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We are a “controlled company” within the meaning of the listing standards of the Nasdaq Global Select Market and, as a result, qualify for, and rely on, exemptions from certain corporate governance requirements.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success and revenue growth are dependent on adding new customers, effectively educating and training our existing customers on how to make full use of our platform and increasing usage of our platform by our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success is dependent on regularly adding new customers and our ability to increase our customers’ usage of our platform, continuously enhance and improve our offerings and platform, build our brand, scale our technology capabilities, add functionality to and improve the performance of Adelphic, and address technological and industry advancements, including the use of artificial intelligence.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ROAS. Accordingly, we must continually work to win new customers and retain existing customers, increase their usage of our platform and capture a larger share of their advertising spend. For those customers utilizing our self-service capabilities, we may not be successful at educating and training customers, particularly our newer customers, on how to use our platform, in particular our advanced reporting tools,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may not realize the expected benefits of an industry shift away from cookie-based consumer tracking as such shift may not occur as rapidly as we expect or may not be realized at all.</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expect to benefit as compared to others in our industry from marketers reducing their reliance on vendors and advertising technology platforms that utilize third-party cookies for tracking. However, the shift away from cookie-based consumer tracking may not happen as rapidly as we expect and such shift may not occur at all. For example, in July 2022, Google announced that its previously announced timeline of blocking third-party cookies by 2022 would be delayed until the second half of 2024. Additionally, even if the shift away from cookie-based consumer tracking does occur,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fail to innovate and make the right investment decisions in our offerings and platform, we may not attract and retain customers and our revenue and results of operations may decline.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our offerings could become technologically or commercially obsolete over time, in which case our revenue and operating results would suffer. If new or existing competitors have more attractive offerings, we may lose customers or customers may decrease their use of our platform. New customer demands, superior competitive offerings or new industry standards could require us to make unanticipated and costly changes to our platform or business model.</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120" w:after="283"/>
        <w:ind w:left="0" w:right="0" w:firstLine="540"/>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fail to enhance our current products and services or fail to develop new products to adapt to our rapidly changing industry or to evolving customer needs, demand for our platform could decrease and our business, operating results and financial condition may be adversely affected.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market for programmatic advertising is evolving. If this market develops slower or differently than we expect, our business, operating results and financial condition would be adversely affected.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particular, the market for programmatic advertising across most advertising channels, including connected TV, linear TV, in-game, streaming audio and digital billboard channels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connected TV offering may not continue. Furthermore, if our channel mix changes due to a shift in customer demand, such as customers shifting their usage more quickly or more extensively than expected to channels in which we have relatively less functionality, features or inventory, such as linear TV, then demand for our platform could decrease, and our business, financial condition and results of operations could be adversely affected.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receive a significant amount of revenue from a select number of advertising agency holding companies, owning various advertising agencies, and the loss of advertising agencies as customers could harm our business, operating results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 significant amount of our revenue comes from advertising agencies. We had 327 active customers for the twelve months ended March 31, 2023, consisting primarily of advertising agencies. Many of these agencies are owned by advertising agency holding companies, where decision making is generally highly decentralized such that purchasing decisions are made, and relationships with marketers are located, at the agency, local branch or division level. If all of our individual customer contractual relationships were aggregated at the holding company level, one advertising agency holding company would represent 11.5% of our revenue for the three months ended March 31, 2023. Due to the highly decentralized operations and decision-making at the agencies owned by each of these advertising agency holding companies, we consider the individual agencies rather than the holding company to be our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we risk losing business from the marketers represented by that agency.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If a significant number of marketers and their agencies begin to utilize competing platforms for the administration of their advertising campaigns, our business, financial condition and results of operations could be adversely affected.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120" w:after="283"/>
        <w:ind w:left="0" w:right="0" w:firstLine="54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effects of macroeconomic conditions and geopolitical events, such as economic recessions and the COVID-19 pandemic and other adverse market events, have had, and could in the future have, an adverse impact on our business, operating results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operations have been and could in the future be adversely affected by macroeconomic conditions and geopolitical events, such as bank failures, rising interest rates, inflationary pressures, labor shortages, shortages of goods and services, supply chain constraints, the COVID-19 pandemic, and the ongoing Russia-Ukraine conflict. A recession, depression, or other economic slowdown resulting from macroeconomic conditions and geopolitical events could materially and adversely affect our business and that of our customers or potential customers and our results could fluctuate unpredictably.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bank failures, inflation and monetary supply shifts, labor shortages, supply shortages, tightening of credit markets, the COVID-19 pandemic and the ongoing Russia-Ukraine conflict,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may be adversely impacted if the business or financial condition of our customers and marketers is negatively affected by macroeconomic conditions and geopolitical events. During the first quarter of 2023, we observed decreases in revenue that we attribute to marketers in certain industry verticals, particularly those in the business and financial services, consumer products, retail, and jobs and employment, decreasing or pausing their advertising spend due to the impacts of recent macroeconomic conditions.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 </w:t>
      </w:r>
    </w:p>
    <w:p>
      <w:pPr>
        <w:pStyle w:val="TextBody"/>
        <w:spacing w:lineRule="auto" w:line="288" w:before="240" w:after="283"/>
        <w:rPr/>
      </w:pPr>
      <w:r>
        <w:rPr>
          <w:rFonts w:ascii="Times New Roman;sans-serif" w:hAnsi="Times New Roman;sans-serif"/>
          <w:b/>
          <w:i/>
          <w:color w:val="000000"/>
          <w:sz w:val="20"/>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w:t>
      </w:r>
      <w:r>
        <w:rPr>
          <w:color w:val="000000"/>
        </w:rPr>
        <w:t xml:space="preserve"> </w:t>
      </w:r>
      <w:r>
        <w:rPr>
          <w:rFonts w:ascii="Times New Roman;sans-serif" w:hAnsi="Times New Roman;sans-serif"/>
          <w:b/>
          <w:i/>
          <w:color w:val="000000"/>
          <w:sz w:val="20"/>
        </w:rPr>
        <w:t>or maintain our current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3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120" w:after="283"/>
        <w:ind w:left="0" w:right="0" w:firstLine="54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are subject to payment-related risks and if our customers do not pay, or dispute their invoices, our business, operating results and financial condition may be adversely affected.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Due to this potential imbalance in our collections and payments, we may rely on our credit facility to partially or completely fund our working capital requirements. As we continue to grow, our business may not generate sufficient cash flow from operations and future borrowings may not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our access to advertising inventory is diminished or fails to grow, our revenue could decline and our growth could be impeded.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success depends on consistently adding valued inventory in a cost-effective manner. If we are unable to maintain a consistent supply of inventory for any reason, customer retention and loyalty, and our operating results and financial condition could be harmed.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our access to people-based data is diminished, the effectiveness of our platform would be decreased, which could harm our operating results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Much of the data that we use is obtained through integrations with third-party data suppliers. We are dependent upon our ability to obtain necessary data licenses on commercially reasonable terms. We could suffer material adverse consequences if we were unable to obtain data through our integrations with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data integration agreements with us or customers cease uploading their data to our platform. Additionally, we could terminate relationships with our data suppliers if they fail to adhere to our data quality and privacy standards.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Laws in the United States (including the California Consumer Privacy Act of 2018 ("CCPA"), as amended by the California Privacy Rights Act of 2020 ("CPRA")) and other jurisdictions such as Europe (including GDPR, ePrivacy Directive) and increased regulatory activity has focused on third-party data suppliers. These laws pose additional and material compliance risks to such suppliers, and they may not be able to comply with such laws, which would limit our ability to obtain data that is necessary to operate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120" w:after="283"/>
        <w:ind w:left="0" w:right="0" w:firstLine="54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core business. For example, some data suppliers are required to register as data brokers under California and Vermont privacy laws, file reports with regulators and expose themselves to increased scrutiny. In addition, we may face compliance risks and limitations on our ability to use certain data provided by our third-party suppliers if those suppliers have not complied with applicable privacy laws, provided appropriate notice to data subjects, obtained necessary consents, or established a legal basis for the transfer and processing of the data by 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Google has announced that it will introduce similar changes that will provide users with the ability to opt-out of tracking across devices using the Android operating system. Individuals may increasingly resist the collection, use, and sharing of personal data to deliver targeted advertising. Individuals are increasingly becoming aware of options related to consent, “do not track” mechanisms, and “ad-blocking” software, any of which could materially impact our and our data supplier’s ability to collect, use and disclose personal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“—Risks Related to Data Privacy” for additional discussion of the laws and regulations governing the collection of data to which we are or may become subject and about the risks to our business associated with such laws and regulations.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were to lose access to significant amounts of the data that enables our people-based framework,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do not effectively grow and train our sales and support teams, we may be unable to add new customers or increase usage of our platform by our existing customers and our business will be adversely affected.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pStyle w:val="TextBody"/>
        <w:spacing w:lineRule="auto" w:line="268" w:before="240" w:after="283"/>
        <w:rPr>
          <w:rFonts w:ascii="Times New Roman;sans-serif" w:hAnsi="Times New Roman;sans-serif"/>
          <w:b/>
          <w:i/>
          <w:color w:val="000000"/>
          <w:sz w:val="20"/>
        </w:rPr>
      </w:pPr>
      <w:r>
        <w:rPr>
          <w:rFonts w:ascii="Times New Roman;sans-serif" w:hAnsi="Times New Roman;sans-serif"/>
          <w:b/>
          <w:i/>
          <w:color w:val="000000"/>
          <w:sz w:val="20"/>
        </w:rPr>
        <w:t>Our initiatives to reduce our operating expenses and the associated workforce reduction announced on December 9, 2022 could disrupt our business, may not result in our anticipated savings, and could result in total costs and expenses that are greater than expected.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recent adverse economic trends, such as inflationary pressures, rising interest rates, and other macroeconomic and geopolitical events, we have initiated a cost reduction initiative aimed at reducing our operating expenses and sharpening our focus on key growth priorities in light of the current macroeconomic environment. As part of that initiative, we announced a reduction in force involving approximately 13.0% of our then-current workforce on December 9, 2022. Our workforce reduction could yield unanticipated consequences, such as attrition beyond planned staff reductions, increased difficulties in our day-to-day operations and reduced employee morale. If employees who were not affected by the reductions in force seek alternative employment, this could result in us seeking contractor support at unplanned additional expense or harm our productivity. Our workforce reductions could also harm our ability to attract and retain qualified management, sales and operational personnel who are critical to our business. Further, we may incur additional expenses not currently contemplated due to events associated with the reduction in force, which could result in losses in future periods. We also may not realize, in full or in part, the anticipated benefits and savings from the reduction in force due to unforeseen difficulties, delays or unexpected costs. Our ongoing and future initiatives to re-balance our cost structure may be disruptive to our operations and could result in increased costs in the short-term before significant benefits are achieved.</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120" w:after="283"/>
        <w:ind w:left="0" w:right="0" w:firstLine="54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are unable to maintain it, whether as a result of corporate growth or reduction in force, our business, operating results and financial condition could be harmed.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had 321 employees as of March 31, 2023.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allow our customers and suppliers to utilize application programming interfaces ("APIs"), with our platform, which could result in outages or security breaches and negatively impact our business, operating results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security and outage risks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Operational and performance issues with our platform, whether actual or perceived, including a failure to respond to technological changes or to upgrade our technology systems, may adversely affect our business, operating results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depend upon the sustained and uninterrupted performance of our platform to manage our inventory supply, acquire inventory for each campaign; collect, process and interpret data; and optimize campaign performance in real time and provide billing information to our financial systems. If our platform cannot scale to meet demand, if there are errors in our execution of any of these functions on our platform, or if we experience outages, then our business may be harmed.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platform is complex and multifaceted, and operational and performance issues could arise both from the platform itself or from outside factors, such as cyberattacks or other third-party attacks. Errors, failures, vulnerabilities or bugs have been found in the past, and may be found in 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will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Operational and performance issues with our platform could also result in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120" w:after="283"/>
        <w:ind w:left="0" w:right="0" w:firstLine="54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problems resulting from such issues could require significant expenditures of capital and other resources and could cause interruptions, delays or the cessation of our business, any of which may adversely affect our operating results and financial condition.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are dependent on the continued availability of third-party hosting and transmission services. Operational issues with, or changes to the costs of, our third-party data center providers could harm our business, reputation or results of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and hurricanes,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the non-proprietary technology, software, products and services that we use are unavailable, have future terms we cannot agree to, or do not perform as we expect, our business, operating results and financial condition could be harmed.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depend on various third-party open 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failure to meet content and inventory standards and provide services that our customers and inventory suppliers trust, could harm our brand and reputation and negatively impact our business, operating results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clients violate our ad policies or other contract terms, which could harm our business, operating results and financial condition.</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120" w:after="283"/>
        <w:ind w:left="0" w:right="0" w:firstLine="54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face potential liability and harm to our business based on the human factor of inputting information into our platform.</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Future acquisitions, strategic investments or alliances could disrupt our business and harm our business, operating results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We have no present commitments or agreements to enter into any such acquisitions or make any such investments. However,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regulatory hurdles;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failure of anticipated benefits to materialize;</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diversion of management time and focus from operating our business to addressing acquisition integration challenges;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retention of employees from the acquired company;</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cultural challenges associated with integrating employees from the acquired company into our organization;</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integration of the acquired company’s accounting, management information, human resources and other administrative systems;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need to implement or improve controls, procedures and policies at a business that prior to the acquisition may have lacked effective controls, procedures and policies;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coordination of product development and sales and marketing functions;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liability for activities of the acquired company before the acquisition, including known and unknown liabilities;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litigation or other claims in connection with the acquired company, including claims from terminated employees, former stockholders or other third parties; and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negative reception to an acquisition by clients, suppliers, vendors, or investors.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future success depends on the continuing efforts of our key employees, including Tim Vanderhook and Chris Vanderhook, and our ability to attract, hire, retain and motivate highly skilled employees in the future.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120" w:after="283"/>
        <w:ind w:left="0" w:right="0" w:firstLine="54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instrumental to our ability to attract and retain new talent. We also rely on employees in our engineering, technical, product development, support and sales teams to attract and retain key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face liabilities arising out of our ownership and operation of Myspace.com.</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including notifying and invalidating the passwords of known affected users, any present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120" w:after="283"/>
        <w:ind w:left="0" w:right="0" w:firstLine="54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market in which we participate is intensely competitive, and we may not be able to compete successfully with our current or future competitors.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compete with large privately-held companies such as Yahoo DSP, with public companies such as The Trade Desk, and with divisions of large, well-established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As a result, these competitors may be better able to respond quickly to new technologies, develop deeper marketer relationships or offer services at lower prices.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we derive a significant portion of our revenue from advertising in the desktop and mobile and connected TV channels, which are rapidly evolving, highly competitive, complex and fragmented. We face significant competition in these markets which we expect will intensify in the future. While fewer of our competitors currently have capability in other channels such as linear TV, in-game streaming audio and digital billboard channels, we also expect to face additional competition in those channels in the future.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Data Privacy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customers or sales, revenue declines, increase the cost of data, reduce the availability of data, reduce our ability to utilize or disclose data, adversely affect the demand for our products and services, or other adverse business consequences.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collect, store, use, transmit, disclose, or otherwise process (collectively, "Process") personal information and other sensitive data such as confidential business data, trade secrets, and intellectual property, from and about our customers, employees, service providers, and other third parties. Our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U.S. federal, state, and local governments, and foreign governments, have adopted or proposed numerous laws relating to the Processing of personal information relating to individuals and households, including contact information and other data for marketing, advertising and other communications with individuals and businesses. The legal landscape for data privacy issues worldwide is complex, continually evolving and often conflicting, and is likely to remain uncertain for the foreseeable future.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various laws and regulations apply to the Processing of personal information. For example, U.S. federal and state legislatures, along with regulatory authorities, have recently increased their focus on the collection and use of personal information, including relating to “interest-based” or “targeted” advertising. As an example, California enacted the CCPA, which requires covered businesses to, among other things, provide disclosures to California consumers and grant California consumers a right to opt-out of “sales” of personal information, a concept that is broadly defined. The CPRA, which came into effect on January 1, 2023, expands the CCPA by, among other things, providing consumers with a right to opt-out of “sharing” of personal information with third parties, requiring additional protections for sensitive personal information, creating new data subject rights, creating a new state rulemaking and enforcement agency for the CPRA, expanding potential liability for violations and giving consumers rights to opt out of additional forms of data sharing with third parties. Other states have enacted data privacy laws, such as Virginia, Colorado,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120" w:after="283"/>
        <w:ind w:left="0" w:right="0" w:firstLine="54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Utah, and Connecticut. In addition, other comprehensive data privacy and security laws have been proposed at the federal, state, and local levels in recent years, which could lead to a varied and complex regulatory landscape and further complicate our compliance efforts.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may apply to our data privacy and security practices. For example, the EU’s General Data Protection Regulation (“EU GDPR”) and the United Kingdom’s GDPR (“UK GDPR”) imposes strict requirements applicable to the Processing of individuals’ personal information, respectively, in the European Economic Area (“EEA”) and the United Kingdom (“UK”). The EU GDPR imposes strict requirements for Processing the personal information of individuals and includes significant penalties for noncompliance of up to the greater of €20 million or 4% of an enterprise’s global turnover (or revenue) for the preceding fiscal year. Companies that violate the GDPR can also face prohibitions on data processing and other corrective action, such as class action brought by classes of data subjects or by consumer protection organizations authorized at law to represent their interests. Additionally, Member States may assess other penalties for noncompliance. Additionally, several European legislative proposals could significantly affect our business. For example, the ePrivacy Regulation, which would repeal that European Union Directive 2002/58/EC (ePrivacy Directive), could impose new obligations or limitations in areas affecting our business, notably with respect to the use of cookies. There is also a proposed regulation related to artificial intelligence (“AI”) that, if adopted, could impose onerous obligations related to the use of AI-related systems. We may have to change our business practices to comply with such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are subject to evolving laws and regulations regarding data localization and cross-border transfers of personal information, which could make it more difficult or impossible for us to transfer personal information across jurisdictions in a manner that complies with local laws (such as transferring or receiving personal information that originates in the EU). For example, absent appropriate safeguards or other circumstances, the EU GDPR generally restricts the transfer of personal information to countries outside of the EEA, such as the United States, which the European Commission does not consider to provide an adequate level of data privacy and security protections. The European Commission released a set of “Standard Contractual Clauses” that are designed to be a valid mechanism by which entities can transfer personal information out of the EEA to jurisdictions that the European Commission has not found to provide an adequate level of protection. Currently, these Standard Contractual Clauses are a valid mechanism to transfer personal information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information. Moreover, due to potential legal challenges, there exists some uncertainty regarding whether the Standard Contractual Clauses will remain a valid mechanism for transfers of personal information out of the EEA. In addition, laws in Switzerland and the UK similarly restrict transfers of personal information outside of those jurisdictions to countries such as the United States that do not provide an adequate level of personal information protection and certain countries outside Europe (e.g., Russia, China) have also passed or are considering laws requiring local data residency or otherwise impeding the transfer of personal information across borders.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cannot implement a valid compliance mechanism for cross-border data transfers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prevented companies from transferring personal data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pStyle w:val="TextBody"/>
        <w:spacing w:lineRule="auto" w:line="288" w:before="120" w:after="283"/>
        <w:ind w:left="0" w:right="0" w:firstLine="540"/>
        <w:rPr/>
      </w:pPr>
      <w:r>
        <w:rPr>
          <w:rFonts w:ascii="Times New Roman;sans-serif" w:hAnsi="Times New Roman;sans-serif"/>
          <w:b w:val="false"/>
          <w:color w:val="000000"/>
          <w:sz w:val="20"/>
        </w:rPr>
        <w:t>In addition, privacy advocates and industry groups have proposed, and may propose in the future, industry standards with which we are legally or contractually bound to comply. Additionally, we may make statements about our data Processing practices and our compliance with, or our ability to facilitate our customers’ compliance with, these standards. For example, we have committed to comply, and generally require our customers and the third parties upon which we rely to comply, with applicable self-regulatory principles, such as the Network Advertising Initiative’s Code of Conduct and the Digital Advertising Alliance’s Self-Regulatory Principles for Online Behavioral Advertising in the United States, and similar self-regulatory principles in Europe and Canada adopted by the local Digital Advertising Alliance. These self-regulatory bodies impose additional requirements related to the Processing of personal information, such as providing notice about our use of cookies and other technologies. 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Times New Roman;sans-serif" w:hAnsi="Times New Roman;sans-serif"/>
          <w:b w:val="false"/>
          <w:i/>
          <w:color w:val="000000"/>
          <w:sz w:val="20"/>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120" w:after="283"/>
        <w:ind w:left="0" w:right="0" w:firstLine="540"/>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interpretation and application of privacy and data protection laws, regulations and standards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endeavor to comply with all applicable data privacy and security obligations, we may at times fail or be perceived to have failed to do so.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additional costs and liabilities; damage our reputation; reduction in sales and demand for our platform; and harm our business. </w:t>
      </w:r>
    </w:p>
    <w:p>
      <w:pPr>
        <w:pStyle w:val="TextBody"/>
        <w:spacing w:lineRule="auto" w:line="288" w:before="120" w:after="283"/>
        <w:ind w:left="0" w:right="0" w:firstLine="540"/>
        <w:rPr/>
      </w:pPr>
      <w:r>
        <w:rPr>
          <w:rFonts w:ascii="Times New Roman;sans-serif" w:hAnsi="Times New Roman;sans-serif"/>
          <w:b w:val="false"/>
          <w:color w:val="000000"/>
          <w:sz w:val="20"/>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sans-serif" w:hAnsi="Times New Roman;sans-serif"/>
          <w:b w:val="false"/>
          <w:i/>
          <w:color w:val="000000"/>
          <w:sz w:val="20"/>
        </w:rPr>
        <w:t>We face liabilities arising out of our ownership and operation of Myspace.com</w:t>
      </w:r>
      <w:r>
        <w:rPr>
          <w:rFonts w:ascii="Times New Roman;sans-serif" w:hAnsi="Times New Roman;sans-serif"/>
          <w:b w:val="false"/>
          <w:color w:val="000000"/>
          <w:sz w:val="20"/>
        </w:rPr>
        <w:t>.” Additionally, advocacy organizations have also filed complaints with data protection authorities against advertising technology companies, arguing that certain of these companies’ practices do not comply with the EU GDPR and/or the UK GDPR. It is possible that investigations or enforcement actions will involve our practices or practices similar to ours and we could be subject to similar investigations or enforcement actions in the future.</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business or ability to operate our platform could be impacted by changes in the technology industry by technology companies, end users, or government regulation. Such developments, including the restriction of “third-party cookies,” could cause instability in the advertising technology industry.</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For example, browser providers have recently enacted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which we refer to collectively as cookies, to collect data about users and devices. Although our business is less reliant on cookies than some of our competitors because we do not need cookies for marketers and their advertising agencies to identify consumers with our identity resolution capabilities and identity graph, we do use third-party cookies. Third-party cookies are cookies owned and used by parties other than the owners of the website visited by the internet user, in connection with our business for execution of obtaining information about consumers, and for delivering digital advertising. Apple introduced an iOS update in April 2021 that requires users to opt-in to tracking of their activity across devices. Google has also introduced ad blocking software in its Chrome web browser that will block certain ads based on quality standards established under a multi-stakeholder coalition. Additionally, the Safari browser currently blocks third-party cookies by default and has recently added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120" w:after="283"/>
        <w:ind w:left="0" w:right="0" w:firstLine="540"/>
        <w:rPr/>
      </w:pPr>
      <w:r>
        <w:rPr/>
      </w:r>
    </w:p>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controls that algorithmically block or limit some cookies.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providers may frequently delay or change their previously announced operations or policies. For example, in June 2021, Google announced that it would delay its timeline of blocking third-party cookies by 2022 until 2023, and in 2022 further indicated that it will not begin blocking cookies until 2024.</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Privacy aspects of other channels for programmatic advertising, such as connected TVs or over-the-top video, are still developing. Technical or policy changes, including regulation or industry self-regulation, could harm our growth in those channels.</w:t>
      </w:r>
    </w:p>
    <w:p>
      <w:pPr>
        <w:pStyle w:val="TextBody"/>
        <w:spacing w:lineRule="auto" w:line="288" w:before="120" w:after="283"/>
        <w:ind w:left="0" w:right="0" w:firstLine="540"/>
        <w:rPr/>
      </w:pPr>
      <w:r>
        <w:rPr>
          <w:rFonts w:ascii="Times New Roman;sans-serif" w:hAnsi="Times New Roman;sans-serif"/>
          <w:b w:val="false"/>
          <w:color w:val="000000"/>
          <w:sz w:val="20"/>
          <w:highlight w:val="white"/>
        </w:rPr>
        <w:t xml:space="preserve">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and individuals are increasingly aware of these options. </w:t>
      </w:r>
      <w:r>
        <w:rPr>
          <w:rFonts w:ascii="Times New Roman;sans-serif" w:hAnsi="Times New Roman;sans-serif"/>
          <w:b w:val="false"/>
          <w:color w:val="000000"/>
          <w:sz w:val="20"/>
        </w:rPr>
        <w:t xml:space="preserve">For example, the EU and the UK, regulators are increasingly focusing on compliance with requirements related to the behavioral, interest-based, or tailored advertising ecosystem. It is anticipated that the ePrivacy Regulation and national implementing laws will replace the current national laws implementing the ePrivacy Directive. Compliance with these laws may require us to make significant operational changes, limit the effectiveness of our activities, divert the attention of our technology personnel, adversely affect our margins, and subject us to liabilities.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 </w:t>
      </w:r>
      <w:r>
        <w:rPr>
          <w:rFonts w:ascii="Times New Roman;sans-serif" w:hAnsi="Times New Roman;sans-serif"/>
          <w:b w:val="false"/>
          <w:color w:val="000000"/>
          <w:sz w:val="20"/>
          <w:highlight w:val="white"/>
        </w:rPr>
        <w:t>However, the regulatory and self-regulatory landscape is inherently uncertain, and there is no consensus definition of tracking, nor agreement on what would be covered by ‘do-not-track’ functionality. There is activity by the major internet browsers to default set on ‘do-not-track’ functionality, including by Safari and Firefox. It is not clear if other internet browsers will follow.</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Limitations on our or our customers’ ability to collect and use data for advertising, whether imposed by established technology companies or U.S. legislation, or otherwise, may impact the performance of our platform.</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 significant inadvertent disclosure or breach of our information technology systems or data, or of the security of our or our customers’, suppliers’, or other third parties’ upon which we rely could be detrimental to our business, reputation and results of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business requires the processing of proprietary, confidential, and sensitive data, including personal information, intellectual property and trade secrets. We rely upon third party service providers and technologies to operate critical business systems to process such data, including, without limitation, third-party providers of cloud-based infrastructure such as Google Cloud Platform and Amazon Web Services, employee email, and other functions. We may share or receive sensitive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data processing activities have made, and may in the future make, us and the third parties upon which we rely a target of cyber-attacks, malicious internet-based activity, online and offline fraud, and other similar activities by third parties. We and the third parties upon which we rely face a variety of evolving threats, which could cause security breaches. In recent years, the frequency, severity and sophistication of cyber-attacks, computer malware, viruses, social engineering, and other intentional misconduct has significantly increased, and these threats are becoming increasingly difficult to detect. These threats come from a variety of sources, including traditional computer hackers, threat actors, and personnel (such as through theft or misuse).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4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120" w:after="283"/>
        <w:ind w:left="0" w:right="0" w:firstLine="540"/>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Ransomware attacks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information technology systems (including our products/services) or the third-party information technology systems that support us and our services.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previously identified or similar threats, whether actual or perceived, could cause a security breach or other interruption, resulting in the unauthorized, unlawful, or accidental acquisition, disclosure, modification, misuse, destruction, disclosure of, encryption of, or loss of data. </w:t>
      </w:r>
    </w:p>
    <w:p>
      <w:pPr>
        <w:pStyle w:val="TextBody"/>
        <w:spacing w:lineRule="auto" w:line="288" w:before="120" w:after="283"/>
        <w:ind w:left="0" w:right="0" w:firstLine="540"/>
        <w:rPr/>
      </w:pPr>
      <w:r>
        <w:rPr>
          <w:rFonts w:ascii="Times New Roman;sans-serif" w:hAnsi="Times New Roman;sans-serif"/>
          <w:b w:val="false"/>
          <w:color w:val="000000"/>
          <w:sz w:val="20"/>
        </w:rPr>
        <w:t>We may incur significant costs in protecting against such security breaches. Furthermore, certain data privacy and security obligations may require us to implement and maintain specific security measures. Although we have taken measures to protect our systems from such threats, these measures may not be effective.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sans-serif" w:hAnsi="Times New Roman;sans-serif"/>
          <w:b w:val="false"/>
          <w:i/>
          <w:color w:val="000000"/>
          <w:sz w:val="20"/>
        </w:rPr>
        <w:t>We face liabilities arising out of our ownership and operation of Myspace.com.</w:t>
      </w:r>
      <w:r>
        <w:rPr>
          <w:color w:val="000000"/>
        </w:rPr>
        <w:t xml:space="preserve">” </w:t>
      </w:r>
      <w:r>
        <w:rPr>
          <w:rFonts w:ascii="Times New Roman;sans-serif" w:hAnsi="Times New Roman;sans-serif"/>
          <w:b w:val="false"/>
          <w:color w:val="000000"/>
          <w:sz w:val="20"/>
        </w:rPr>
        <w:t xml:space="preserve">Additionally, we have not always been able in the past and may be unable in the future to detect vulnerabilities in our information technology systems (including those that are part of or that support our services) because such threats and techniques to exploit them change frequently, are often sophisticated in nature, and may not be detected until after a security breach has occurred. Further, we may experience delays in developing and deploying remedial measures designed to address any such identified vulnerabilities.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security breach of our or the third parties’ upon which we rely information technology systems or data could result in adverse consequences, including but not limited to litigation,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proprietary rights may be difficult to enforce, which could enable others to copy or use aspects of our technology without compensating us, thereby eroding our competitive advantages and harming our business.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and the laws, procedures and restrictions may provide only limited protection.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120" w:after="283"/>
        <w:ind w:left="0" w:right="0" w:firstLine="540"/>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are subject to third party claims for alleged infringement of their proprietary rights, which would result in additional expense and potential damages.</w:t>
      </w:r>
    </w:p>
    <w:p>
      <w:pPr>
        <w:pStyle w:val="TextBody"/>
        <w:spacing w:lineRule="auto" w:line="26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often attempt to aggressively assert their rights in order to extract value from technology companies. Furthermore, from time to time we may introduce or acquire new products, including in areas where we historically have not competed, which could increase our exposure to patent and other intellectual property claims from competitors and non-practicing entities. The cost settling or of defending against intellectual property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face potential liability and harm to our business based on the nature of our business and the content on our platform.</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any of these representations are untrue,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Our Capital Structure and Related Tax Matters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depend on distributions from Viant Technology LLC to pay any dividends, if declared, taxes and other expenses, including payments under the Tax Receivable Agreement.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Viant Technology Inc. is a holding company and its only business is to act as the managing member of Viant Technology LLC, and its only material assets are Class A units representing approximately 24.2% of the membership interests of Viant Technology LLC as of March 31, 2023. Viant Technology Inc. does not have any independent means of generating revenue. 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Viant Technology Inc. is required to pay income taxes on its allocable share of any net taxable income of Viant Technology LLC. We cause Viant Technology LLC to make distributions to each of its members, including Viant Technology Inc., in an amount intended to enable each member to pay all applicable taxes on taxable income allocable to such member and to allow Viant Technology Inc. to make payments under the Tax Receivable Agreement. In addition, Viant Technology LLC reimburses Viant Technology Inc. for corporate and other overhead expenses. If the amount of tax distributions to be made exceeds the amount of funds available for distribution, Viant Technology Inc. shall receive the full amount of its tax distribution before the other members receive any distribution and the balance, if any, of funds available for distribution shall be distributed to the other members pro rata in accordance with their assumed tax liabilities. To the extent that Viant Technology Inc. needs funds, and Viant Technology LLC is restricted from making such distributions under applicable laws or regulations, or is otherwise unable to provide such funds, it could materially and adversely affect Viant Technology Inc.’s ability to pay dividends and taxes and other expenses, including payments under the Tax Receivable Agreement, and affect our liquidity and financial condition.</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120" w:after="283"/>
        <w:ind w:left="0" w:right="0" w:firstLine="54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Internal Revenue Service (“IRS”) might challenge the tax basis step-ups and other tax benefits we received in connection with our IPO and the related transactions and in connection with future acquisitions of Viant Technology LLC units.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Viant Technology LLC units held directly by the members of Viant Technology LLC other than Viant Technology Inc., including the Tim Vanderhook, Chris Vanderhook, and Capital V LLC (formerly Four Brothers 2 LLC) (the "Vanderhook Parties"), may in the future be exchanged for shares of our Class A common stock or, at our election, cash. Those exchanges may result in increases in the tax basis of the assets of Viant Technology LLC that otherwise would not have been available. These increases in tax basis are expected to increase (for tax purposes) Viant Technology Inc.’s depreciation and amortization and, together with other tax benefits, reduce the amount of tax that Viant Technology Inc. would otherwise be required to pay, although it is possible that the IRS might challenge all or part of these tax basis increases or other tax benefits, and a court might sustain such a challenge. Viant Technology Inc.’s ability to achieve benefits from any tax basis increases or other tax benefits will depend upon a number of factors, as discussed below, including the timing and amount of our future income.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will not be reimbursed for any payments previously made under the Tax Receivable Agreement if the basis increases or other tax benefits described above are successfully challenged by the IRS or another taxing authority. As a result, in certain circumstances, payments could be made under the Tax Receivable Agreement in excess of our ultimate cash tax savings.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are required to pay over to continuing members of Viant Technology LLC most of the tax benefits we receive from tax basis step-ups (and certain other tax benefits) attributable to its acquisition of units of Viant Technology LLC, and the amount of those payments may be substantial.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Viant Technology Inc. has entered into a Tax Receivable Agreement with Viant Technology LLC, continuing members of Viant Technology LLC (not including Viant Technology Inc.) and the TRA Representative. The Tax Receivable Agreement provides for payment by Viant Technology Inc. to continuing members of Viant Technology LLC (not including Viant Technology Inc.) of 85% of the amount of the net cash tax savings, if any, that Viant Technology Inc. realizes (or, under certain circumstances, is deemed to realize) as a result of increases in tax basis (and utilization of certain other tax benefits) resulting from (i) Viant Technology Inc.’s acquisition of Viant Technology LLC units from pre-IPO members of Viant Technology LLC in connection with the IPO and in future exchanges and (ii) any payments Viant Technology Inc. makes under the Tax Receivable Agreement (including tax benefits related to imputed interest). Viant Technology Inc. will retain the benefit of the remaining 15% of these net cash tax savings.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term of the Tax Receivable Agreement will continue until all tax benefits that are subject to the Tax Receivable Agreement have been utilized or have expired, unless we exercise our right to terminate the Tax Receivable Agreement (or it is terminated due to a change in control or our breach of a material obligation thereunder), in which case, Viant Technology Inc. will be required to make the termination payment specified in the Tax Receivable Agreement. In addition, payments we make under the Tax Receivable Agreement will be increased by any interest accrued from the due date (without extensions) of the corresponding tax return. The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Viant Technology Inc.’s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Viant Technology Inc. may have made under the Tax Receivable Agreement and the portion of Viant Technology Inc.’s payments under the Tax Receivable Agreement that constitute imputed interest or give rise to depreciable or amortizable tax basis. We expect that, as a result of the increases in the tax basis of the tangible and intangible assets of Viant Technology LLC attributable to the exchanged Viant Technology LLC interests, and certain other tax benefits, the payments that Viant Technology Inc. will be required to make to the holders of rights under the Tax Receivable Agreement will be substantial. There may be a material negative effect on our financial condition and liquidity if, as described below, the payments under the Tax Receivable Agreement exceed the actual benefits Viant Technology Inc. receives in respect of the tax attributes subject to the Tax Receivable Agreement and/or distributions to Viant Technology Inc. by Viant Technology LLC are not sufficient to permit Viant Technology Inc. to make payments under the Tax Receivable Agreement.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 certain circumstances, payments under the Tax Receivable Agreement may be accelerated and/or significantly exceed the actual tax benefits, if any, that Viant Technology Inc. actually realizes.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Receivable Agreement provides that if (i) Viant Technology Inc. exercises its right to early termination of the Tax Receivable Agreement in whole (that is, with respect to all benefits due to all beneficiaries under the Tax Receivable Agreement) or in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120" w:after="283"/>
        <w:ind w:left="0" w:right="0" w:firstLine="54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part (that is, with respect to some benefits due to all beneficiaries under the Tax Receivable Agreement), (ii) Viant Technology Inc. experiences certain changes in control, (iii) the Tax Receivable Agreement is rejected in certain bankruptcy proceedings, (iv) Viant Technology Inc. fails (subject to certain exceptions) to make a payment under the Tax Receivable Agreement within 180 days after the due date or (v) Viant Technology Inc. materially breaches its obligations under the Tax Receivable Agreement, Viant Technology Inc. will be obligated to make an early termination payment to holders of rights under the Tax Receivable Agreement equal to the present value of all payments that would be required to be paid by Viant Technology Inc. under the Tax Receivable Agreement. The amount of such payments will be determined on the basis of certain assumptions in the Tax Receivable Agreement, including (i) the assumption that Viant Technology Inc.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Viant Technology Inc.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Viant Technology Inc.)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Viant Technology Inc. under the Tax Receivable Agreement at a rate equal to the lesser of (a) 6.5% and (b) the Secured Overnight Financing Rate, as reported by the Wall Street Journal plus 400 basis points.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Moreover, as a result of an elective early termination, a change in control or Viant Technology Inc.’s material breach of its obligations under the Tax Receivable Agreement, Viant Technology Inc. could be required to make payments under the Tax Receivable Agreement that exceed its actual cash savings under the Tax Receivable Agreement. Thus, Viant Technology Inc.’s obligations under the Tax Receivable Agreement could have a substantial negative effect on its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Viant Technology Inc.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Viant Technology Inc. will not be permitted to reduce its payments under the Tax Receivable Agreement until there has been a final and binding determination, by which time sufficient subsequent payments under the Tax Receivable Agreement may not be available to offset prior payments for disallowed benefits. Viant Technology Inc. will not be reimbursed for any payments previously made under the Tax Receivable Agreement if the basis increases described above are successfully challenged by the IRS or another taxing authority. As a result, in certain circumstances, payments could be made under the Tax Receivable Agreement that are significantly in excess of the benefit that Viant Technology Inc. actually realizes in respect of the increases in tax basis (and utilization of certain other tax benefits) and Viant Technology Inc. may not be able to recoup those payments, which could adversely affect Viant Technology Inc.’s financial condition and liquidity.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 certain circumstances, Viant Technology LLC will be required to make distributions to us and the existing members of Viant Technology LLC, and the distributions that Viant Technology LLC will be required to make may be substantial.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Viant Technology LLC is expected to continue to be treated as a partnership for U.S. federal income tax purposes and, as such, is not subject to U.S. federal income tax. Instead, taxable income is allocated to members, including Viant Technology Inc. Pursuant to the Viant Technology LLC Operating Agreement, Viant Technology LLC makes tax distributions to its members, including Viant Technology Inc.,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3"/>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120" w:after="283"/>
        <w:ind w:left="0" w:right="0" w:firstLine="54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aggregate, likely exceed the aggregate amount of taxes payable by its members with respect to the allocation of Viant Technology LLC income.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Funds used by Viant Technology LLC to satisfy its tax distribution obligations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significantly in excess of our tax liabilities and obligations to make payments under the Tax Receivable Agreement. We may choose to manage these excess distributions through a number of different approaches, including by applying them to general corporate purposes.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Viant Technology LLC were to become a publicly traded partnership taxable as a corporation for U.S. federal income tax purposes, Viant Technology Inc. and Viant Technology LLC might be subject to potentially significant tax inefficiencies, and Viant Technology Inc. would not be able to recover payments previously made by it under the Tax Receivable Agreement, even if the corresponding tax benefits were subsequently determined to have been unavailable due to such status.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Viant Technology LLC were to become a publicly traded partnership taxable as a corporation for U.S. federal income tax purposes, significant tax inefficiencies might result for Viant Technology Inc. and Viant Technology LLC, including as a result of Viant Technology Inc.’s inability to file a consolidated U.S. federal income tax return with Viant Technology LLC. In addition, Viant Technology Inc.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Requirements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may experience fluctuations in our operating results, which could make our future operating results difficult to predict or cause our operating results to fall below securities analysts’ and investors’ expectations.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The varying nature of our pricing mix between periods may 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the COVID-19 pandemic, bank failures, labor shortages, inflation and monetary supply shifts, rising interest rates, tightening of credit markets, and potential disruptions from the ongoing Russia-Ukraine conflict, our historical operating results may not be necessarily indicative of our future operating results. In addition to changes in terms of mix of our different pricing options, factors that may cause our operating results to fluctuate include the following:</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in demand for our platform, including those related to the seasonal nature of our customers’ spending on digital advertising campaigns;</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4"/>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120" w:after="283"/>
        <w:ind w:left="0" w:right="0" w:firstLine="540"/>
        <w:rPr/>
      </w:pPr>
      <w:r>
        <w:rPr/>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in our pricing policies, the pricing policies of our competitors and the pricing or availability of inventory, data or other third-party services;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in our customer base and platform offerings;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addition or loss of advertising agencies and marketers as customers;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in advertising budget allocations, agency affiliations or marketing strategies;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to our channel mix (including, for example, changes in demand for connected TV);</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and uncertainty in the regulatory and business environment for us or customers (for example, when Apple or Google change policies for their browsers and operating systems);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in the economic prospects of marketers or the economy generally (due to COVID-19, labor shortages, inflation and monetary supply shifts, rising interest rates, tightening of credit markets, and potential disruptions from the ongoing Russia-Ukraine conflict or otherwise), which could alter marketers’ spending priorities, or could increase the time or costs required to complete advertising inventory sales;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in the availability of advertising inventory or in the cost of reaching end consumers through digital advertising;</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disruptions or outages on our platform;</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introduction of new technologies or offerings by our competitors;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changes in our capital expenditures as we acquire the hardware, equipment and other assets required to support our business;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timing differences between our payments for advertising inventory and our collection of related advertising revenue;</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the length and unpredictability of our sales cycle;</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costs related to acquisitions of businesses or technologies, or employee recruiting; and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shifting views and behaviors of consumers concerning use of data.</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may not be able to secure additional financing on favorable terms, or at all, to meet our future capital needs, which may in turn impair our growth.</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continue to grow our business and increase our offerings, our costs will increase and we may not be able to generate sufficient revenue to sustain profitability and failure to manage growth effectively could cause our business to suffer.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expended significant resources in the past to grow our business and increase the offerings of our platform. While we have recently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develop our platform, including by investing in our engineering team, creating, acquiring or licensing new products or features, and improving the functionality, availability and security of our platform;</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improve our technology infrastructure, including investing in internal technology development and acquiring outside technologies;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5"/>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120" w:after="283"/>
        <w:ind w:left="0" w:right="0" w:firstLine="540"/>
        <w:rPr/>
      </w:pPr>
      <w:r>
        <w:rPr/>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cover general and administrative expenses, including legal, accounting and other expenses necessary to support a larger organization;</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 xml:space="preserve">cover sales and marketing expenses, including a significant expansion of our direct sales organization; </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cover expenses relating to data collection and consumer privacy compliance, including additional infrastructure, automation and personnel; and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explore strategic acquisitions.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Investing in the foregoing, however, may not yield anticipated returns. Consequently, as our costs increase, we may not be able to generate sufficient revenue to achieve or sustain profitability.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are a party to a revolving credit agreement, which contains a number of covenants that may restrict our current and future operations and could adversely affect our ability to execute business needs.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Loan Agreement with PNC Bank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As of March 31, 2023, the Loan Agreement also contains a financial covenant that requires us to maintain a minimum fixed charge coverage ratio of 1.40 to 1 when undrawn availability under the Loan Agreement is less than 25%. We may not be able to generate sufficient cash flow or sales to meet the financial covenant or pay the principal or interest under the Loan Agreement.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are unable to comply with our payment requirements, our lender may accelerate our obligations under our Loan Agreement and foreclose upon the collateral, or we may be forced to sell assets, restructure our indebtedness or seek additional equity capital, which would dilute our stockholders’ interests. If we fail to comply with our covenants under the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pStyle w:val="TextBody"/>
        <w:spacing w:before="240" w:after="283"/>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Seasonal fluctuations in advertising activity could have a material impact on our revenue, cash flow and operating results.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has been and may continue to be volatile or may decline regardless of our operating performance.</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market price of equity securities of technology companies has historically experienced high levels of volatility. The closing price of our Class A common stock since first trading on February 10, 2021 through May 5, 2023 has ranged from a low of $3.15 to a high of $68.31. </w:t>
      </w:r>
      <w:r>
        <w:rPr>
          <w:rFonts w:ascii="Times New Roman;sans-serif" w:hAnsi="Times New Roman;sans-serif"/>
          <w:b w:val="false"/>
          <w:color w:val="000000"/>
          <w:sz w:val="20"/>
          <w:highlight w:val="white"/>
        </w:rPr>
        <w:t xml:space="preserve">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w:t>
      </w:r>
      <w:r>
        <w:rPr>
          <w:rFonts w:ascii="Times New Roman;sans-serif" w:hAnsi="Times New Roman;sans-serif"/>
          <w:b w:val="false"/>
          <w:color w:val="000000"/>
          <w:sz w:val="20"/>
        </w:rPr>
        <w:t xml:space="preserve">if the stock market for technology companies, or the stock market generally, experiences a loss of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6"/>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120" w:after="283"/>
        <w:ind w:left="0" w:right="0" w:firstLine="54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Sales of substantial blocks of our Class A common stock into the public market, or the perception that such sales might occur, could cause the market price of our Class A common stock to decline.</w:t>
      </w:r>
    </w:p>
    <w:p>
      <w:pPr>
        <w:pStyle w:val="TextBody"/>
        <w:spacing w:lineRule="auto" w:line="288" w:before="120" w:after="283"/>
        <w:ind w:left="0" w:right="0" w:firstLine="540"/>
        <w:rPr/>
      </w:pPr>
      <w:r>
        <w:rPr>
          <w:rFonts w:ascii="Times New Roman;sans-serif" w:hAnsi="Times New Roman;sans-serif"/>
          <w:b w:val="false"/>
          <w:color w:val="000000"/>
          <w:sz w:val="20"/>
        </w:rPr>
        <w:t xml:space="preserve">Sales of substantial blocks of our Class A common stock into the public market, or the perception that such sales might occur, in particular sales by our directors, officers or other affiliates, could cause the market price of our Class A common stock to decline and </w:t>
      </w:r>
      <w:r>
        <w:rPr>
          <w:rFonts w:ascii="Times New Roman;sans-serif" w:hAnsi="Times New Roman;sans-serif"/>
          <w:b w:val="false"/>
          <w:color w:val="000000"/>
          <w:sz w:val="20"/>
          <w:highlight w:val="white"/>
        </w:rPr>
        <w:t>could impair our ability to raise capital through the sale of additional equity securities.</w:t>
      </w:r>
      <w:r>
        <w:rPr>
          <w:color w:val="000000"/>
        </w:rPr>
        <w:t xml:space="preserve">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the listing standards of the Nasdaq Global Select Market (“Nasdaq”) and, as a result, qualify for, and rely on, exemptions from certain corporate governance requirements.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Vanderhook Parties hold a majority of the voting power of our outstanding common stock through their ownership of our Class B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Insiders have substantial control over our company, which could limit your ability to influence the outcome of key decisions, including a change of control.</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Through their ownership of Class B common stock, the Vanderhook Parties control 71.0% of the voting power of our common stock in the election of directors as of March 31, 2023.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other corporate governance changes.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provide that our board of directors will be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permit the board of directors to establish the number of directors and fill any vacancies and newly created directorships;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provide that, after the Triggering Event, vacancies on our board of directors may be filled only by a majority of directors then in office, even though less than a quorum;</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prohibit cumulative voting in the election of directors;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require super-majority voting to amend our certificate of incorporation and bylaws;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chairman of our board of directors, or our chief executive officer with the concurrence of a majority of our board of directors;</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7"/>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120" w:after="283"/>
        <w:ind w:left="0" w:right="0" w:firstLine="540"/>
        <w:rPr/>
      </w:pPr>
      <w:r>
        <w:rPr/>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prohibit stockholder action by written consent after the Triggering Event, which requires all stockholder actions to be taken at a meeting of our stockholders;</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permit our board of directors to alter our bylaws without obtaining stockholder approval;</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reflect the dual class structure of our common stock, as discussed above; and</w:t>
      </w:r>
    </w:p>
    <w:p>
      <w:pPr>
        <w:pStyle w:val="TextBody"/>
        <w:spacing w:lineRule="auto" w:line="288" w:before="120" w:after="283"/>
        <w:ind w:left="0" w:right="0" w:hanging="540"/>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includes an exclusive forum clause, which could limit our stockholders’ ability to obtain a favorable judicial forum for disputes with 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Our business is subject to a wide range of laws and regulations, many of which are evolving, and failure to comply with such laws and regulations could harm our business, financial condition, and results of operations.</w:t>
      </w:r>
    </w:p>
    <w:p>
      <w:pPr>
        <w:pStyle w:val="TextBody"/>
        <w:spacing w:lineRule="auto" w:line="288" w:before="120" w:after="283"/>
        <w:ind w:left="0" w:right="0" w:firstLine="540"/>
        <w:rPr>
          <w:rFonts w:ascii="Times New Roman;sans-serif" w:hAnsi="Times New Roman;sans-serif"/>
          <w:b w:val="false"/>
          <w:color w:val="231F20"/>
          <w:sz w:val="20"/>
        </w:rPr>
      </w:pPr>
      <w:r>
        <w:rPr>
          <w:rFonts w:ascii="Times New Roman;sans-serif" w:hAnsi="Times New Roman;sans-serif"/>
          <w:b w:val="false"/>
          <w:color w:val="231F20"/>
          <w:sz w:val="20"/>
        </w:rPr>
        <w:t xml:space="preserve">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For instance, new regulations, laws, policies, and international accords relating to environmental and social matters, including sustainability, climate change, human capital, and diversity, are being developed and formalized in the United States, Europe and elsewhere, which may entail specific, target-driven frameworks and/or disclosure requirements. We have implemented environmental and social programs, adopted reporting frameworks and principles, and announced a number of goals and initiatives, including those related to environmental sustainability and diversity. The implementation of these goals and initiatives may require considerable investments, and our goals, with all of their contingencies, dependencies, and in certain cases, reliance on third-party verification and/or performance, are complex and ambitious, and we may not achieve them. Additionally, our current programs, reporting frameworks, and principles may not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may impose added costs on our business and could require us to make changes to our business or platform. Noncompliance with applicable regulations or requirements could subject us to investigations, enforcement actions,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8"/>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120" w:after="283"/>
        <w:ind w:left="0" w:right="0" w:firstLine="540"/>
        <w:rPr/>
      </w:pPr>
      <w:r>
        <w:rPr/>
      </w:r>
    </w:p>
    <w:p>
      <w:pPr>
        <w:pStyle w:val="TextBody"/>
        <w:spacing w:lineRule="auto" w:line="288" w:before="120" w:after="283"/>
        <w:rPr>
          <w:rFonts w:ascii="Times New Roman;sans-serif" w:hAnsi="Times New Roman;sans-serif"/>
          <w:b w:val="false"/>
          <w:color w:val="231F20"/>
          <w:sz w:val="20"/>
        </w:rPr>
      </w:pPr>
      <w:r>
        <w:rPr>
          <w:rFonts w:ascii="Times New Roman;sans-serif" w:hAnsi="Times New Roman;sans-serif"/>
          <w:b w:val="false"/>
          <w:color w:val="231F20"/>
          <w:sz w:val="20"/>
        </w:rPr>
        <w:t>sanctions, fines, damages, penalties, injunctions or termination of contracts. Any such matters could have a material adverse effect on our business, results of operations and financial condition.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Reduced reporting and disclosure requirements applicable to us as an emerging growth company and a smaller reporting company could make our Class A common stock less attractive to investors.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until December 31, 2026, (ii) the first fiscal year after our annual gross revenue is $1.235 billion or more, (iii) the date on which we have, during the previous three-year period, issued more than $1 billion in nonconvertible debt securities or (iv) the end of any fiscal year in which the market value of our Class A common stock held by non-affiliates exceeded $700.0 million as of the end of the second quarter of that fiscal year. </w:t>
      </w:r>
    </w:p>
    <w:p>
      <w:pPr>
        <w:pStyle w:val="TextBody"/>
        <w:spacing w:lineRule="auto" w:line="288" w:before="120" w:after="283"/>
        <w:ind w:left="0" w:right="0" w:firstLine="540"/>
        <w:rPr/>
      </w:pPr>
      <w:r>
        <w:rPr>
          <w:rFonts w:ascii="Times New Roman;sans-serif" w:hAnsi="Times New Roman;sans-serif"/>
          <w:b w:val="false"/>
          <w:color w:val="231F20"/>
          <w:sz w:val="20"/>
        </w:rPr>
        <w:t xml:space="preserve">We are also a “smaller reporting company” as defined in the Exchange Act. We may take advantage of certain of the scaled disclosures available to smaller reporting companies as long as we qualify as a smaller reporting company, even after we are no longer an EGC, </w:t>
      </w:r>
      <w:r>
        <w:rPr>
          <w:rFonts w:ascii="Times New Roman;sans-serif" w:hAnsi="Times New Roman;sans-serif"/>
          <w:b w:val="false"/>
          <w:color w:val="000000"/>
          <w:sz w:val="20"/>
        </w:rPr>
        <w:t>including not being required to comply with the auditor attestation requirements of Section 404 of the Sarbanes-Oxley Act and reduced disclosure obligations regarding executive compensation in our periodic reports and proxy statements.</w:t>
      </w:r>
      <w:r>
        <w:rPr>
          <w:color w:val="231F20"/>
        </w:rPr>
        <w:t xml:space="preserve">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not required to audit the effectiveness of our internal control over financial reporting until after we are no longer an EGC and a smaller reporting company.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Any failure to maintain effective disclosure controls and internal control over financial reporting could have a material and adverse effect on our business and operating results and cause a decline in the market price of our Class A common stock.</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reports about our business, or publish inaccurate or unfavorable research reports about our business, our share price and trading volume could decline.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partially depends on the research and reports that securities or industry analysts publish about us or our business. We do not have any control over these analysts.</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59"/>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120" w:after="283"/>
        <w:ind w:left="0" w:right="0" w:firstLine="540"/>
        <w:rPr/>
      </w:pPr>
      <w:r>
        <w:rPr/>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Purchases of Equity Securities by the Issuer and Affiliated Purchasers</w:t>
      </w:r>
    </w:p>
    <w:p>
      <w:pPr>
        <w:pStyle w:val="TextBody"/>
        <w:spacing w:lineRule="auto" w:line="288" w:before="120" w:after="283"/>
        <w:ind w:left="0" w:right="0" w:firstLine="540"/>
        <w:rPr/>
      </w:pPr>
      <w:r>
        <w:rPr>
          <w:rFonts w:ascii="Times New Roman;sans-serif" w:hAnsi="Times New Roman;sans-serif"/>
          <w:b w:val="false"/>
          <w:color w:val="000000"/>
          <w:sz w:val="20"/>
        </w:rPr>
        <w:t>In March 2023, we repurchased shares of Class A common stock in connection with the vesting of restricted stock units to provide the holders of such restricted units with cash to</w:t>
      </w:r>
      <w:r>
        <w:rPr>
          <w:color w:val="000000"/>
          <w:highlight w:val="white"/>
        </w:rPr>
        <w:t xml:space="preserve"> </w:t>
      </w:r>
      <w:r>
        <w:rPr>
          <w:rFonts w:ascii="Times New Roman;sans-serif" w:hAnsi="Times New Roman;sans-serif"/>
          <w:b w:val="false"/>
          <w:color w:val="000000"/>
          <w:sz w:val="20"/>
          <w:highlight w:val="white"/>
        </w:rPr>
        <w:t>satisfy the estimated taxes incidental to the vesting of the related awards.</w:t>
      </w:r>
    </w:p>
    <w:tbl>
      <w:tblPr>
        <w:tblW w:w="10205" w:type="dxa"/>
        <w:jc w:val="left"/>
        <w:tblInd w:w="0" w:type="dxa"/>
        <w:tblCellMar>
          <w:top w:w="28" w:type="dxa"/>
          <w:left w:w="28" w:type="dxa"/>
          <w:bottom w:w="28" w:type="dxa"/>
          <w:right w:w="28" w:type="dxa"/>
        </w:tblCellMar>
      </w:tblPr>
      <w:tblGrid>
        <w:gridCol w:w="314"/>
        <w:gridCol w:w="275"/>
        <w:gridCol w:w="278"/>
        <w:gridCol w:w="109"/>
        <w:gridCol w:w="109"/>
        <w:gridCol w:w="109"/>
        <w:gridCol w:w="530"/>
        <w:gridCol w:w="452"/>
        <w:gridCol w:w="453"/>
        <w:gridCol w:w="109"/>
        <w:gridCol w:w="109"/>
        <w:gridCol w:w="109"/>
        <w:gridCol w:w="311"/>
        <w:gridCol w:w="754"/>
        <w:gridCol w:w="160"/>
        <w:gridCol w:w="109"/>
        <w:gridCol w:w="109"/>
        <w:gridCol w:w="109"/>
        <w:gridCol w:w="774"/>
        <w:gridCol w:w="774"/>
        <w:gridCol w:w="776"/>
        <w:gridCol w:w="109"/>
        <w:gridCol w:w="109"/>
        <w:gridCol w:w="109"/>
        <w:gridCol w:w="830"/>
        <w:gridCol w:w="1600"/>
        <w:gridCol w:w="616"/>
      </w:tblGrid>
      <w:tr>
        <w:trPr/>
        <w:tc>
          <w:tcPr>
            <w:tcW w:w="31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Average Price Paid Per Share </w:t>
            </w:r>
            <w:r>
              <w:rPr>
                <w:rFonts w:ascii="Times New Roman;sans-serif" w:hAnsi="Times New Roman;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Number (or Approximate Dollar Value) of Shares that May Yet Be Purchased Under the Plans or Programs</w:t>
            </w:r>
          </w:p>
        </w:tc>
      </w:tr>
      <w:tr>
        <w:trPr/>
        <w:tc>
          <w:tcPr>
            <w:tcW w:w="8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1/1/23 to 1/31/23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2/1/23 to 2/28/23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3/1/23 to 3/31/23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70,200 </w:t>
            </w:r>
          </w:p>
        </w:tc>
        <w:tc>
          <w:tcPr>
            <w:tcW w:w="4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70,200 </w:t>
            </w:r>
          </w:p>
        </w:tc>
        <w:tc>
          <w:tcPr>
            <w:tcW w:w="45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40" w:after="283"/>
        <w:ind w:left="0" w:right="0" w:hanging="990"/>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Represents the average price per share that we paid for the repurchases described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0"/>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120" w:after="283"/>
        <w:ind w:left="0" w:right="0" w:firstLine="54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69"/>
        <w:gridCol w:w="237"/>
        <w:gridCol w:w="238"/>
        <w:gridCol w:w="109"/>
        <w:gridCol w:w="109"/>
        <w:gridCol w:w="109"/>
        <w:gridCol w:w="2753"/>
        <w:gridCol w:w="2628"/>
        <w:gridCol w:w="3753"/>
      </w:tblGrid>
      <w:tr>
        <w:trPr/>
        <w:tc>
          <w:tcPr>
            <w:tcW w:w="26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3" w:type="dxa"/>
            <w:tcBorders/>
            <w:shd w:fill="auto" w:val="clear"/>
            <w:vAlign w:val="center"/>
          </w:tcPr>
          <w:p>
            <w:pPr>
              <w:pStyle w:val="TableContents"/>
              <w:spacing w:before="0" w:after="283"/>
              <w:rPr>
                <w:sz w:val="4"/>
                <w:szCs w:val="4"/>
              </w:rPr>
            </w:pPr>
            <w:r>
              <w:rPr>
                <w:sz w:val="4"/>
                <w:szCs w:val="4"/>
              </w:rPr>
            </w:r>
          </w:p>
        </w:tc>
        <w:tc>
          <w:tcPr>
            <w:tcW w:w="2628" w:type="dxa"/>
            <w:tcBorders/>
            <w:shd w:fill="auto" w:val="clear"/>
            <w:vAlign w:val="center"/>
          </w:tcPr>
          <w:p>
            <w:pPr>
              <w:pStyle w:val="TableContents"/>
              <w:spacing w:before="0" w:after="283"/>
              <w:rPr>
                <w:sz w:val="4"/>
                <w:szCs w:val="4"/>
              </w:rPr>
            </w:pPr>
            <w:r>
              <w:rPr>
                <w:sz w:val="4"/>
                <w:szCs w:val="4"/>
              </w:rPr>
            </w:r>
          </w:p>
        </w:tc>
        <w:tc>
          <w:tcPr>
            <w:tcW w:w="3753" w:type="dxa"/>
            <w:tcBorders/>
            <w:shd w:fill="auto" w:val="clear"/>
            <w:vAlign w:val="center"/>
          </w:tcPr>
          <w:p>
            <w:pPr>
              <w:pStyle w:val="TableContents"/>
              <w:spacing w:before="0" w:after="283"/>
              <w:rPr>
                <w:sz w:val="4"/>
                <w:szCs w:val="4"/>
              </w:rPr>
            </w:pPr>
            <w:r>
              <w:rPr>
                <w:sz w:val="4"/>
                <w:szCs w:val="4"/>
              </w:rPr>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of Viant Technology Inc. (incorporated by reference to Exhibit 3.1 to the Company’s Annual Report on Form 10-K (File No. 001-40015) for the year ended December 31, 2020, filed on March 23, 2021)</w:t>
              </w:r>
            </w:hyperlink>
          </w:p>
        </w:tc>
      </w:tr>
      <w:tr>
        <w:trPr/>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Viant Technology Inc. (incorporated by reference to Exhibit 3.2 to the Company’s Annual Report on Form 10-K (File No. 001-40015) for the year ended December 31, 2020, filed on March 23, 2021)</w:t>
              </w:r>
            </w:hyperlink>
          </w:p>
        </w:tc>
      </w:tr>
      <w:tr>
        <w:trPr/>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Sixth Amendment to the Revolving Credit and Security Agreement and Guaranty, dated as of April 4, 2023, among Viant Technology LLC, Viant US LLC, Adelphic LLC, Myspace LLC, Viant Technology Inc., the Lenders party thereto and PNC Bank, National Association (incorporated by reference to Exhibit 10.1 to the Company’s Current Report on Form 8-K (File No. 001-40015) filed on April 6, 2023)</w:t>
              </w:r>
            </w:hyperlink>
          </w:p>
        </w:tc>
      </w:tr>
      <w:tr>
        <w:trPr/>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dsp-2023x03x31xexx311.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r>
      <w:tr>
        <w:trPr/>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dsp-2023x03x31xexx312.htm">
              <w:r>
                <w:rPr>
                  <w:rStyle w:val="InternetLink"/>
                  <w:rFonts w:ascii="Times New Roman;sans-serif" w:hAnsi="Times New Roman;sans-serif"/>
                  <w:b w:val="false"/>
                  <w:color w:val="0000FF"/>
                  <w:sz w:val="20"/>
                  <w:u w:val="single"/>
                </w:rPr>
                <w:t>Certification of Principal Financial Officer Pursuant to Section 302 of the Sarbanes-Oxley Act of 2002</w:t>
              </w:r>
            </w:hyperlink>
          </w:p>
        </w:tc>
      </w:tr>
      <w:tr>
        <w:trPr/>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dsp-2023x03x31xexx321.htm">
              <w:r>
                <w:rPr>
                  <w:rStyle w:val="InternetLink"/>
                  <w:rFonts w:ascii="Times New Roman;sans-serif" w:hAnsi="Times New Roman;sans-serif"/>
                  <w:b w:val="false"/>
                  <w:color w:val="0000FF"/>
                  <w:sz w:val="20"/>
                  <w:u w:val="single"/>
                </w:rPr>
                <w:t>Certification of Principal Executive Officer Pursuant to Section 906 of the Sarbanes-Oxley Act of 2002</w:t>
              </w:r>
            </w:hyperlink>
          </w:p>
        </w:tc>
      </w:tr>
      <w:tr>
        <w:trPr/>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dsp-2023x03x31xexx322.htm">
              <w:r>
                <w:rPr>
                  <w:rStyle w:val="InternetLink"/>
                  <w:rFonts w:ascii="Times New Roman;sans-serif" w:hAnsi="Times New Roman;sans-serif"/>
                  <w:b w:val="false"/>
                  <w:color w:val="0000FF"/>
                  <w:sz w:val="20"/>
                  <w:u w:val="single"/>
                </w:rPr>
                <w:t>Certification of Principal Financial Officer Pursuant to Section 906 of the Sarbanes-Oxley Act of 2002</w:t>
              </w:r>
            </w:hyperlink>
          </w:p>
        </w:tc>
      </w:tr>
      <w:tr>
        <w:trPr/>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spacing w:lineRule="auto" w:line="288" w:before="12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120" w:after="283"/>
        <w:ind w:left="0" w:right="0" w:hanging="720"/>
        <w:rPr>
          <w:color w:val="000000"/>
        </w:rPr>
      </w:pPr>
      <w:r>
        <w:rPr>
          <w:color w:val="000000"/>
        </w:rPr>
        <w:t>†    </w:t>
      </w:r>
      <w:r>
        <w:rPr>
          <w:rFonts w:ascii="Times New Roman;sans-serif" w:hAnsi="Times New Roman;sans-serif"/>
          <w:b w:val="false"/>
          <w:color w:val="000000"/>
          <w:sz w:val="20"/>
        </w:rPr>
        <w:t>The certifications furnished in Exhibits 32.1 and 32.2 hereto are deemed to accompany this Quarterly Report on Form 10-Q and will not be deemed “filed” for purposes of Section 18 of the Exchange Act, except to the extent that the registrant specifically incorporates it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120" w:after="283"/>
        <w:ind w:left="0" w:right="0" w:firstLine="540"/>
        <w:rPr/>
      </w:pPr>
      <w:r>
        <w:rPr/>
      </w:r>
    </w:p>
    <w:p>
      <w:pPr>
        <w:pStyle w:val="TextBody"/>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734" w:type="dxa"/>
        <w:jc w:val="left"/>
        <w:tblInd w:w="0" w:type="dxa"/>
        <w:tblCellMar>
          <w:top w:w="28" w:type="dxa"/>
          <w:left w:w="28" w:type="dxa"/>
          <w:bottom w:w="28" w:type="dxa"/>
          <w:right w:w="28" w:type="dxa"/>
        </w:tblCellMar>
      </w:tblPr>
      <w:tblGrid>
        <w:gridCol w:w="591"/>
        <w:gridCol w:w="520"/>
        <w:gridCol w:w="523"/>
        <w:gridCol w:w="390"/>
        <w:gridCol w:w="390"/>
        <w:gridCol w:w="390"/>
        <w:gridCol w:w="1151"/>
        <w:gridCol w:w="1151"/>
        <w:gridCol w:w="1628"/>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Tim Vanderhook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Chairman</w:t>
              <w:br/>
              <w:t>(Principal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Larry Madden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b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2"/>
                <a:graphic xmlns:a="http://schemas.openxmlformats.org/drawingml/2006/main">
                  <a:graphicData uri="http://schemas.microsoft.com/office/word/2010/wordprocessingShape">
                    <wps:wsp>
                      <wps:cNvSpPr txBox="1"/>
                      <wps:spPr>
                        <a:xfrm>
                          <a:off x="0" y="0"/>
                          <a:ext cx="6480175" cy="222885"/>
                        </a:xfrm>
                        <a:prstGeom prst="rect"/>
                      </wps:spPr>
                      <wps:txb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Tim Vanderhook, certify that: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Viant Technology Inc.;</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firstLine="7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w:t>
      </w:r>
      <w:r>
        <w:rPr>
          <w:rFonts w:ascii="Times New Roman;sans-serif" w:hAnsi="Times New Roman;sans-serif"/>
          <w:b w:val="false"/>
          <w:color w:val="333333"/>
          <w:sz w:val="20"/>
        </w:rPr>
        <w:t xml:space="preserve">and internal control over financial reporting (as defined in Exchange Act Rules 13a-15(f) and 15d-15(f)) </w:t>
      </w:r>
      <w:r>
        <w:rPr>
          <w:rFonts w:ascii="Times New Roman;sans-serif" w:hAnsi="Times New Roman;sans-serif"/>
          <w:b w:val="false"/>
          <w:color w:val="000000"/>
          <w:sz w:val="20"/>
        </w:rPr>
        <w:t>for the registrant and have: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bl>
      <w:tblPr>
        <w:tblW w:w="3596" w:type="dxa"/>
        <w:jc w:val="left"/>
        <w:tblInd w:w="0" w:type="dxa"/>
        <w:tblCellMar>
          <w:top w:w="28" w:type="dxa"/>
          <w:left w:w="28" w:type="dxa"/>
          <w:bottom w:w="28" w:type="dxa"/>
          <w:right w:w="28" w:type="dxa"/>
        </w:tblCellMar>
      </w:tblPr>
      <w:tblGrid>
        <w:gridCol w:w="1168"/>
        <w:gridCol w:w="1025"/>
        <w:gridCol w:w="1031"/>
        <w:gridCol w:w="109"/>
        <w:gridCol w:w="109"/>
        <w:gridCol w:w="154"/>
      </w:tblGrid>
      <w:tr>
        <w:trPr/>
        <w:tc>
          <w:tcPr>
            <w:tcW w:w="116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Vanderhook</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Larry Madden, certify that: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Viant Technology Inc.;</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firstLine="7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w:t>
      </w:r>
      <w:r>
        <w:rPr>
          <w:rFonts w:ascii="Times New Roman;sans-serif" w:hAnsi="Times New Roman;sans-serif"/>
          <w:b w:val="false"/>
          <w:color w:val="333333"/>
          <w:sz w:val="20"/>
        </w:rPr>
        <w:t xml:space="preserve">and internal control over financial reporting (as defined in Exchange Act Rules 13a-15(f) and 15d-15(f)) </w:t>
      </w:r>
      <w:r>
        <w:rPr>
          <w:rFonts w:ascii="Times New Roman;sans-serif" w:hAnsi="Times New Roman;sans-serif"/>
          <w:b w:val="false"/>
          <w:color w:val="000000"/>
          <w:sz w:val="20"/>
        </w:rPr>
        <w:t>for the registrant and have: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bl>
      <w:tblPr>
        <w:tblW w:w="4766" w:type="dxa"/>
        <w:jc w:val="left"/>
        <w:tblInd w:w="0" w:type="dxa"/>
        <w:tblCellMar>
          <w:top w:w="28" w:type="dxa"/>
          <w:left w:w="28" w:type="dxa"/>
          <w:bottom w:w="28" w:type="dxa"/>
          <w:right w:w="28" w:type="dxa"/>
        </w:tblCellMar>
      </w:tblPr>
      <w:tblGrid>
        <w:gridCol w:w="1591"/>
        <w:gridCol w:w="1396"/>
        <w:gridCol w:w="1407"/>
        <w:gridCol w:w="109"/>
        <w:gridCol w:w="109"/>
        <w:gridCol w:w="154"/>
      </w:tblGrid>
      <w:tr>
        <w:trPr/>
        <w:tc>
          <w:tcPr>
            <w:tcW w:w="1591"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Madden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 and Accounting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32.1</w:t>
      </w:r>
    </w:p>
    <w:p>
      <w:pPr>
        <w:pStyle w:val="TextBody"/>
        <w:spacing w:lineRule="auto" w:line="288" w:before="20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Viant Technology Inc. (the “Company”) on Form 10-Q for the quarter ended March 31, 2023, as filed with the Securities and Exchange Commission on the date hereof (the “Report”), I certify, pursuant to 18 U.S.C. § 1350, as adopted pursuant to § 906 of the Sarbanes-Oxley Act of 2002, that: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292" w:type="dxa"/>
        <w:jc w:val="left"/>
        <w:tblInd w:w="0" w:type="dxa"/>
        <w:tblCellMar>
          <w:top w:w="28" w:type="dxa"/>
          <w:left w:w="28" w:type="dxa"/>
          <w:bottom w:w="28" w:type="dxa"/>
          <w:right w:w="28" w:type="dxa"/>
        </w:tblCellMar>
      </w:tblPr>
      <w:tblGrid>
        <w:gridCol w:w="591"/>
        <w:gridCol w:w="520"/>
        <w:gridCol w:w="523"/>
        <w:gridCol w:w="134"/>
        <w:gridCol w:w="134"/>
        <w:gridCol w:w="136"/>
        <w:gridCol w:w="951"/>
        <w:gridCol w:w="951"/>
        <w:gridCol w:w="1352"/>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 Vanderhook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32.2</w:t>
      </w:r>
    </w:p>
    <w:p>
      <w:pPr>
        <w:pStyle w:val="TextBody"/>
        <w:spacing w:lineRule="auto" w:line="288" w:before="20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Viant Technology Inc. (the “Company”) on Form 10-Q for the quarter ended March 31, 2023, as filed with the Securities and Exchange Commission on the date hereof (the “Report”), I certify, pursuant to 18 U.S.C. § 1350, as adopted pursuant to § 906 of the Sarbanes-Oxley Act of 2002, that: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803" w:type="dxa"/>
        <w:jc w:val="left"/>
        <w:tblInd w:w="0" w:type="dxa"/>
        <w:tblCellMar>
          <w:top w:w="28" w:type="dxa"/>
          <w:left w:w="28" w:type="dxa"/>
          <w:bottom w:w="28" w:type="dxa"/>
          <w:right w:w="28" w:type="dxa"/>
        </w:tblCellMar>
      </w:tblPr>
      <w:tblGrid>
        <w:gridCol w:w="591"/>
        <w:gridCol w:w="520"/>
        <w:gridCol w:w="523"/>
        <w:gridCol w:w="134"/>
        <w:gridCol w:w="134"/>
        <w:gridCol w:w="136"/>
        <w:gridCol w:w="1102"/>
        <w:gridCol w:w="1102"/>
        <w:gridCol w:w="156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Larry Madden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28791/000156459021014855/dsp-ex31_279.htm" TargetMode="External"/><Relationship Id="rId4" Type="http://schemas.openxmlformats.org/officeDocument/2006/relationships/hyperlink" Target="http://www.sec.gov/Archives/edgar/data/1828791/000156459021014855/dsp-ex32_278.htm" TargetMode="External"/><Relationship Id="rId5" Type="http://schemas.openxmlformats.org/officeDocument/2006/relationships/hyperlink" Target="https://www.sec.gov/Archives/edgar/data/1828791/000182879123000030/redline-conformedcreditagr.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42349</Words>
  <CharactersWithSpaces>277349</CharactersWithSpaces>
  <Paragraphs>2728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